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pacing w:before="0" w:beforeAutospacing="0" w:after="0" w:afterAutospacing="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2686050" cy="447675"/>
            <wp:effectExtent l="0" t="0" r="0" b="9525"/>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11"/>
                    <a:stretch>
                      <a:fillRect/>
                    </a:stretch>
                  </pic:blipFill>
                  <pic:spPr>
                    <a:xfrm>
                      <a:off x="0" y="0"/>
                      <a:ext cx="2686050" cy="447675"/>
                    </a:xfrm>
                    <a:prstGeom prst="rect">
                      <a:avLst/>
                    </a:prstGeom>
                    <a:noFill/>
                    <a:ln>
                      <a:noFill/>
                    </a:ln>
                  </pic:spPr>
                </pic:pic>
              </a:graphicData>
            </a:graphic>
          </wp:inline>
        </w:drawing>
      </w:r>
    </w:p>
    <w:p>
      <w:pPr>
        <w:pStyle w:val="20"/>
        <w:spacing w:before="0" w:beforeAutospacing="0" w:after="0" w:afterAutospacing="0"/>
        <w:ind w:firstLine="480"/>
        <w:jc w:val="both"/>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both"/>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both"/>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jc w:val="center"/>
        <w:rPr>
          <w:rFonts w:ascii="Times New Roman" w:hAnsi="Times New Roman" w:eastAsia="楷体" w:cs="Times New Roman"/>
          <w:color w:val="000000" w:themeColor="text1"/>
          <w:sz w:val="52"/>
          <w:szCs w:val="52"/>
          <w14:textFill>
            <w14:solidFill>
              <w14:schemeClr w14:val="tx1"/>
            </w14:solidFill>
          </w14:textFill>
        </w:rPr>
      </w:pPr>
      <w:r>
        <w:rPr>
          <w:rFonts w:ascii="Times New Roman" w:hAnsi="Times New Roman" w:eastAsia="楷体" w:cs="Times New Roman"/>
          <w:color w:val="000000" w:themeColor="text1"/>
          <w:sz w:val="52"/>
          <w:szCs w:val="52"/>
          <w14:textFill>
            <w14:solidFill>
              <w14:schemeClr w14:val="tx1"/>
            </w14:solidFill>
          </w14:textFill>
        </w:rPr>
        <w:t>陆9井区白垩系呼图壁河组油藏加密调整工程</w:t>
      </w:r>
    </w:p>
    <w:p>
      <w:pPr>
        <w:pStyle w:val="20"/>
        <w:spacing w:before="0" w:beforeAutospacing="0" w:after="0" w:afterAutospacing="0"/>
        <w:jc w:val="center"/>
        <w:rPr>
          <w:rFonts w:ascii="Times New Roman" w:hAnsi="Times New Roman" w:eastAsia="楷体" w:cs="Times New Roman"/>
          <w:color w:val="000000" w:themeColor="text1"/>
          <w:sz w:val="52"/>
          <w:szCs w:val="52"/>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jc w:val="center"/>
        <w:outlineLvl w:val="0"/>
        <w:rPr>
          <w:rFonts w:ascii="Times New Roman" w:hAnsi="Times New Roman" w:eastAsia="楷体" w:cs="Times New Roman"/>
          <w:b/>
          <w:bCs/>
          <w:color w:val="000000" w:themeColor="text1"/>
          <w:sz w:val="96"/>
          <w:szCs w:val="96"/>
          <w14:textFill>
            <w14:solidFill>
              <w14:schemeClr w14:val="tx1"/>
            </w14:solidFill>
          </w14:textFill>
        </w:rPr>
      </w:pPr>
      <w:bookmarkStart w:id="0" w:name="_Toc25296"/>
      <w:bookmarkStart w:id="1" w:name="_Toc29378"/>
      <w:bookmarkStart w:id="2" w:name="_Toc7455"/>
      <w:bookmarkStart w:id="3" w:name="_Toc14489"/>
      <w:bookmarkStart w:id="4" w:name="_Toc10344"/>
      <w:bookmarkStart w:id="5" w:name="_Toc23058"/>
      <w:bookmarkStart w:id="6" w:name="_Toc30411"/>
      <w:r>
        <w:rPr>
          <w:rFonts w:ascii="Times New Roman" w:hAnsi="Times New Roman" w:eastAsia="楷体" w:cs="Times New Roman"/>
          <w:b/>
          <w:bCs/>
          <w:color w:val="000000" w:themeColor="text1"/>
          <w:sz w:val="96"/>
          <w:szCs w:val="96"/>
          <w14:textFill>
            <w14:solidFill>
              <w14:schemeClr w14:val="tx1"/>
            </w14:solidFill>
          </w14:textFill>
        </w:rPr>
        <w:t>环境影响报告书</w:t>
      </w:r>
      <w:bookmarkEnd w:id="0"/>
      <w:bookmarkEnd w:id="1"/>
      <w:bookmarkEnd w:id="2"/>
      <w:bookmarkEnd w:id="3"/>
      <w:bookmarkEnd w:id="4"/>
      <w:bookmarkEnd w:id="5"/>
      <w:bookmarkEnd w:id="6"/>
    </w:p>
    <w:p>
      <w:pPr>
        <w:pStyle w:val="20"/>
        <w:spacing w:before="0" w:beforeAutospacing="0" w:after="0" w:afterAutospacing="0"/>
        <w:jc w:val="center"/>
        <w:rPr>
          <w:rFonts w:ascii="Times New Roman" w:hAnsi="Times New Roman" w:eastAsia="楷体" w:cs="Times New Roman"/>
          <w:b/>
          <w:bCs/>
          <w:color w:val="000000" w:themeColor="text1"/>
          <w:sz w:val="96"/>
          <w:szCs w:val="96"/>
          <w14:textFill>
            <w14:solidFill>
              <w14:schemeClr w14:val="tx1"/>
            </w14:solidFill>
          </w14:textFill>
        </w:rPr>
      </w:pPr>
    </w:p>
    <w:p>
      <w:pPr>
        <w:pStyle w:val="20"/>
        <w:wordWrap w:val="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ind w:firstLine="480"/>
        <w:jc w:val="center"/>
        <w:rPr>
          <w:rFonts w:ascii="Times New Roman" w:hAnsi="Times New Roman" w:cs="Times New Roman"/>
          <w:color w:val="000000" w:themeColor="text1"/>
          <w14:textFill>
            <w14:solidFill>
              <w14:schemeClr w14:val="tx1"/>
            </w14:solidFill>
          </w14:textFill>
        </w:rPr>
      </w:pPr>
    </w:p>
    <w:p>
      <w:pPr>
        <w:pStyle w:val="20"/>
        <w:spacing w:before="0" w:beforeAutospacing="0" w:after="0" w:afterAutospacing="0"/>
        <w:jc w:val="center"/>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sz w:val="32"/>
          <w:szCs w:val="32"/>
          <w14:textFill>
            <w14:solidFill>
              <w14:schemeClr w14:val="tx1"/>
            </w14:solidFill>
          </w14:textFill>
        </w:rPr>
        <w:t>建设单位：中国石油新疆油田分公司开发公司</w:t>
      </w:r>
    </w:p>
    <w:p>
      <w:pPr>
        <w:pStyle w:val="20"/>
        <w:spacing w:before="0" w:beforeAutospacing="0" w:after="0" w:afterAutospacing="0"/>
        <w:jc w:val="center"/>
        <w:rPr>
          <w:rFonts w:ascii="Times New Roman" w:hAnsi="Times New Roman" w:cs="Times New Roman"/>
          <w:color w:val="000000" w:themeColor="text1"/>
          <w14:textFill>
            <w14:solidFill>
              <w14:schemeClr w14:val="tx1"/>
            </w14:solidFill>
          </w14:textFill>
        </w:rPr>
      </w:pPr>
      <w:r>
        <w:rPr>
          <w:rFonts w:ascii="Times New Roman" w:hAnsi="Times New Roman" w:eastAsia="楷体" w:cs="Times New Roman"/>
          <w:color w:val="000000" w:themeColor="text1"/>
          <w:sz w:val="32"/>
          <w:szCs w:val="32"/>
          <w14:textFill>
            <w14:solidFill>
              <w14:schemeClr w14:val="tx1"/>
            </w14:solidFill>
          </w14:textFill>
        </w:rPr>
        <w:t>编制单位：南京国环科技股份有限公司</w:t>
      </w:r>
    </w:p>
    <w:p>
      <w:pPr>
        <w:pStyle w:val="20"/>
        <w:spacing w:before="0" w:beforeAutospacing="0" w:after="0" w:afterAutospacing="0"/>
        <w:jc w:val="center"/>
        <w:rPr>
          <w:rFonts w:ascii="Times New Roman" w:hAnsi="Times New Roman" w:eastAsia="楷体" w:cs="Times New Roman"/>
          <w:color w:val="000000" w:themeColor="text1"/>
          <w:sz w:val="32"/>
          <w:szCs w:val="32"/>
          <w14:textFill>
            <w14:solidFill>
              <w14:schemeClr w14:val="tx1"/>
            </w14:solidFill>
          </w14:textFill>
        </w:rPr>
        <w:sectPr>
          <w:headerReference r:id="rId3" w:type="default"/>
          <w:pgSz w:w="11906" w:h="16838"/>
          <w:pgMar w:top="1440" w:right="1800" w:bottom="1440" w:left="1800" w:header="851" w:footer="992" w:gutter="0"/>
          <w:pgNumType w:fmt="upperRoman"/>
          <w:cols w:space="425" w:num="1"/>
          <w:titlePg/>
          <w:docGrid w:type="lines" w:linePitch="312" w:charSpace="0"/>
        </w:sectPr>
      </w:pPr>
      <w:r>
        <w:rPr>
          <w:rFonts w:ascii="Times New Roman" w:hAnsi="Times New Roman" w:eastAsia="楷体" w:cs="Times New Roman"/>
          <w:color w:val="000000" w:themeColor="text1"/>
          <w:sz w:val="32"/>
          <w:szCs w:val="32"/>
          <w14:textFill>
            <w14:solidFill>
              <w14:schemeClr w14:val="tx1"/>
            </w14:solidFill>
          </w14:textFill>
        </w:rPr>
        <w:t>二〇二</w:t>
      </w:r>
      <w:r>
        <w:rPr>
          <w:rFonts w:hint="eastAsia" w:ascii="Times New Roman" w:hAnsi="Times New Roman" w:eastAsia="楷体" w:cs="Times New Roman"/>
          <w:color w:val="000000" w:themeColor="text1"/>
          <w:sz w:val="32"/>
          <w:szCs w:val="32"/>
          <w:lang w:val="en-US" w:eastAsia="zh-CN"/>
          <w14:textFill>
            <w14:solidFill>
              <w14:schemeClr w14:val="tx1"/>
            </w14:solidFill>
          </w14:textFill>
        </w:rPr>
        <w:t>五</w:t>
      </w:r>
      <w:r>
        <w:rPr>
          <w:rFonts w:ascii="Times New Roman" w:hAnsi="Times New Roman" w:eastAsia="楷体" w:cs="Times New Roman"/>
          <w:color w:val="000000" w:themeColor="text1"/>
          <w:sz w:val="32"/>
          <w:szCs w:val="32"/>
          <w14:textFill>
            <w14:solidFill>
              <w14:schemeClr w14:val="tx1"/>
            </w14:solidFill>
          </w14:textFill>
        </w:rPr>
        <w:t>年</w:t>
      </w:r>
      <w:r>
        <w:rPr>
          <w:rFonts w:hint="eastAsia" w:ascii="Times New Roman" w:hAnsi="Times New Roman" w:eastAsia="楷体" w:cs="Times New Roman"/>
          <w:color w:val="000000" w:themeColor="text1"/>
          <w:sz w:val="32"/>
          <w:szCs w:val="32"/>
          <w:lang w:val="en-US" w:eastAsia="zh-CN"/>
          <w14:textFill>
            <w14:solidFill>
              <w14:schemeClr w14:val="tx1"/>
            </w14:solidFill>
          </w14:textFill>
        </w:rPr>
        <w:t>一</w:t>
      </w:r>
      <w:r>
        <w:rPr>
          <w:rFonts w:ascii="Times New Roman" w:hAnsi="Times New Roman" w:eastAsia="楷体" w:cs="Times New Roman"/>
          <w:color w:val="000000" w:themeColor="text1"/>
          <w:sz w:val="32"/>
          <w:szCs w:val="32"/>
          <w14:textFill>
            <w14:solidFill>
              <w14:schemeClr w14:val="tx1"/>
            </w14:solidFill>
          </w14:textFill>
        </w:rPr>
        <w:t>月</w:t>
      </w:r>
    </w:p>
    <w:sdt>
      <w:sdtPr>
        <w:rPr>
          <w:rFonts w:ascii="宋体" w:hAnsi="宋体" w:eastAsia="宋体"/>
          <w:color w:val="000000" w:themeColor="text1"/>
          <w14:textFill>
            <w14:solidFill>
              <w14:schemeClr w14:val="tx1"/>
            </w14:solidFill>
          </w14:textFill>
        </w:rPr>
        <w:id w:val="147451412"/>
        <w15:color w:val="DBDBDB"/>
        <w:docPartObj>
          <w:docPartGallery w:val="Table of Contents"/>
          <w:docPartUnique/>
        </w:docPartObj>
      </w:sdtPr>
      <w:sdtEndPr>
        <w:rPr>
          <w:rFonts w:ascii="Times New Roman" w:hAnsi="Times New Roman" w:eastAsia="宋体" w:cs="Times New Roman"/>
          <w:b/>
          <w:bCs/>
          <w:color w:val="000000" w:themeColor="text1"/>
          <w:sz w:val="24"/>
          <w14:textFill>
            <w14:solidFill>
              <w14:schemeClr w14:val="tx1"/>
            </w14:solidFill>
          </w14:textFill>
        </w:rPr>
      </w:sdtEndPr>
      <w:sdtContent>
        <w:p>
          <w:pPr>
            <w:jc w:val="center"/>
            <w:rPr>
              <w:b/>
              <w:bCs/>
              <w:color w:val="000000" w:themeColor="text1"/>
              <w:sz w:val="32"/>
              <w:szCs w:val="32"/>
              <w14:textFill>
                <w14:solidFill>
                  <w14:schemeClr w14:val="tx1"/>
                </w14:solidFill>
              </w14:textFill>
            </w:rPr>
          </w:pPr>
          <w:r>
            <w:rPr>
              <w:rFonts w:ascii="宋体" w:hAnsi="宋体" w:eastAsia="宋体"/>
              <w:b/>
              <w:bCs/>
              <w:color w:val="000000" w:themeColor="text1"/>
              <w:sz w:val="32"/>
              <w:szCs w:val="32"/>
              <w14:textFill>
                <w14:solidFill>
                  <w14:schemeClr w14:val="tx1"/>
                </w14:solidFill>
              </w14:textFill>
            </w:rPr>
            <w:t>目</w:t>
          </w:r>
          <w:r>
            <w:rPr>
              <w:rFonts w:hint="eastAsia" w:ascii="宋体" w:hAnsi="宋体" w:eastAsia="宋体"/>
              <w:b/>
              <w:bCs/>
              <w:color w:val="000000" w:themeColor="text1"/>
              <w:sz w:val="32"/>
              <w:szCs w:val="32"/>
              <w14:textFill>
                <w14:solidFill>
                  <w14:schemeClr w14:val="tx1"/>
                </w14:solidFill>
              </w14:textFill>
            </w:rPr>
            <w:t xml:space="preserve"> </w:t>
          </w:r>
          <w:r>
            <w:rPr>
              <w:rFonts w:ascii="宋体" w:hAnsi="宋体" w:eastAsia="宋体"/>
              <w:b/>
              <w:bCs/>
              <w:color w:val="000000" w:themeColor="text1"/>
              <w:sz w:val="32"/>
              <w:szCs w:val="32"/>
              <w14:textFill>
                <w14:solidFill>
                  <w14:schemeClr w14:val="tx1"/>
                </w14:solidFill>
              </w14:textFill>
            </w:rPr>
            <w:t>录</w:t>
          </w:r>
        </w:p>
        <w:p>
          <w:pPr>
            <w:pStyle w:val="28"/>
            <w:tabs>
              <w:tab w:val="right" w:leader="dot" w:pos="8306"/>
            </w:tabs>
            <w:spacing w:line="360" w:lineRule="auto"/>
            <w:rPr>
              <w:b/>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fldChar w:fldCharType="begin"/>
          </w:r>
          <w:r>
            <w:rPr>
              <w:b/>
              <w:bCs/>
              <w:color w:val="000000" w:themeColor="text1"/>
              <w:sz w:val="24"/>
              <w:szCs w:val="24"/>
              <w14:textFill>
                <w14:solidFill>
                  <w14:schemeClr w14:val="tx1"/>
                </w14:solidFill>
              </w14:textFill>
            </w:rPr>
            <w:instrText xml:space="preserve">TOC \o "1-2" \h \u </w:instrText>
          </w:r>
          <w:r>
            <w:rPr>
              <w:b/>
              <w:bCs/>
              <w:color w:val="000000" w:themeColor="text1"/>
              <w:sz w:val="24"/>
              <w:szCs w:val="24"/>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"_Toc11843" </w:instrText>
          </w:r>
          <w:r>
            <w:rPr>
              <w:color w:val="000000" w:themeColor="text1"/>
              <w14:textFill>
                <w14:solidFill>
                  <w14:schemeClr w14:val="tx1"/>
                </w14:solidFill>
              </w14:textFill>
            </w:rPr>
            <w:fldChar w:fldCharType="separate"/>
          </w:r>
          <w:r>
            <w:rPr>
              <w:b/>
              <w:snapToGrid w:val="0"/>
              <w:color w:val="000000" w:themeColor="text1"/>
              <w:sz w:val="24"/>
              <w:szCs w:val="24"/>
              <w14:textFill>
                <w14:solidFill>
                  <w14:schemeClr w14:val="tx1"/>
                </w14:solidFill>
              </w14:textFill>
            </w:rPr>
            <w:t>1概述</w:t>
          </w:r>
          <w:r>
            <w:rPr>
              <w:b/>
              <w:color w:val="000000" w:themeColor="text1"/>
              <w:sz w:val="24"/>
              <w:szCs w:val="24"/>
              <w14:textFill>
                <w14:solidFill>
                  <w14:schemeClr w14:val="tx1"/>
                </w14:solidFill>
              </w14:textFill>
            </w:rPr>
            <w:tab/>
          </w:r>
          <w:r>
            <w:rPr>
              <w:b/>
              <w:color w:val="000000" w:themeColor="text1"/>
              <w:sz w:val="24"/>
              <w:szCs w:val="24"/>
              <w14:textFill>
                <w14:solidFill>
                  <w14:schemeClr w14:val="tx1"/>
                </w14:solidFill>
              </w14:textFill>
            </w:rPr>
            <w:fldChar w:fldCharType="begin"/>
          </w:r>
          <w:r>
            <w:rPr>
              <w:b/>
              <w:color w:val="000000" w:themeColor="text1"/>
              <w:sz w:val="24"/>
              <w:szCs w:val="24"/>
              <w14:textFill>
                <w14:solidFill>
                  <w14:schemeClr w14:val="tx1"/>
                </w14:solidFill>
              </w14:textFill>
            </w:rPr>
            <w:instrText xml:space="preserve"> PAGEREF _Toc11843 \h </w:instrText>
          </w:r>
          <w:r>
            <w:rPr>
              <w:b/>
              <w:color w:val="000000" w:themeColor="text1"/>
              <w:sz w:val="24"/>
              <w:szCs w:val="24"/>
              <w14:textFill>
                <w14:solidFill>
                  <w14:schemeClr w14:val="tx1"/>
                </w14:solidFill>
              </w14:textFill>
            </w:rPr>
            <w:fldChar w:fldCharType="separate"/>
          </w:r>
          <w:r>
            <w:rPr>
              <w:b/>
              <w:color w:val="000000" w:themeColor="text1"/>
              <w:sz w:val="24"/>
              <w:szCs w:val="24"/>
              <w14:textFill>
                <w14:solidFill>
                  <w14:schemeClr w14:val="tx1"/>
                </w14:solidFill>
              </w14:textFill>
            </w:rPr>
            <w:t>1</w:t>
          </w:r>
          <w:r>
            <w:rPr>
              <w:b/>
              <w:color w:val="000000" w:themeColor="text1"/>
              <w:sz w:val="24"/>
              <w:szCs w:val="24"/>
              <w14:textFill>
                <w14:solidFill>
                  <w14:schemeClr w14:val="tx1"/>
                </w14:solidFill>
              </w14:textFill>
            </w:rPr>
            <w:fldChar w:fldCharType="end"/>
          </w:r>
          <w:r>
            <w:rPr>
              <w:b/>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"_Toc24219"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1.1建设项目情况</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_Toc24219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"_Toc22173"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1.2环境影响评价技术路线</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_Toc22173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"_Toc16231"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1.3分析判定相关情况</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_Toc16231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"_Toc3782"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1.4关注的主要环境问题及环境影响</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_Toc3782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"_Toc20196"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1.5环境影响报告的主要结论</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_Toc20196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8"/>
            <w:tabs>
              <w:tab w:val="right" w:leader="dot" w:pos="8306"/>
            </w:tabs>
            <w:spacing w:line="360" w:lineRule="auto"/>
            <w:rPr>
              <w:b/>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"_Toc24967" </w:instrText>
          </w:r>
          <w:r>
            <w:rPr>
              <w:color w:val="000000" w:themeColor="text1"/>
              <w14:textFill>
                <w14:solidFill>
                  <w14:schemeClr w14:val="tx1"/>
                </w14:solidFill>
              </w14:textFill>
            </w:rPr>
            <w:fldChar w:fldCharType="separate"/>
          </w:r>
          <w:r>
            <w:rPr>
              <w:b/>
              <w:snapToGrid w:val="0"/>
              <w:color w:val="000000" w:themeColor="text1"/>
              <w:sz w:val="24"/>
              <w:szCs w:val="24"/>
              <w14:textFill>
                <w14:solidFill>
                  <w14:schemeClr w14:val="tx1"/>
                </w14:solidFill>
              </w14:textFill>
            </w:rPr>
            <w:t>2总则</w:t>
          </w:r>
          <w:r>
            <w:rPr>
              <w:b/>
              <w:color w:val="000000" w:themeColor="text1"/>
              <w:sz w:val="24"/>
              <w:szCs w:val="24"/>
              <w14:textFill>
                <w14:solidFill>
                  <w14:schemeClr w14:val="tx1"/>
                </w14:solidFill>
              </w14:textFill>
            </w:rPr>
            <w:tab/>
          </w:r>
          <w:r>
            <w:rPr>
              <w:b/>
              <w:color w:val="000000" w:themeColor="text1"/>
              <w:sz w:val="24"/>
              <w:szCs w:val="24"/>
              <w14:textFill>
                <w14:solidFill>
                  <w14:schemeClr w14:val="tx1"/>
                </w14:solidFill>
              </w14:textFill>
            </w:rPr>
            <w:fldChar w:fldCharType="begin"/>
          </w:r>
          <w:r>
            <w:rPr>
              <w:b/>
              <w:color w:val="000000" w:themeColor="text1"/>
              <w:sz w:val="24"/>
              <w:szCs w:val="24"/>
              <w14:textFill>
                <w14:solidFill>
                  <w14:schemeClr w14:val="tx1"/>
                </w14:solidFill>
              </w14:textFill>
            </w:rPr>
            <w:instrText xml:space="preserve"> PAGEREF _Toc24967 \h </w:instrText>
          </w:r>
          <w:r>
            <w:rPr>
              <w:b/>
              <w:color w:val="000000" w:themeColor="text1"/>
              <w:sz w:val="24"/>
              <w:szCs w:val="24"/>
              <w14:textFill>
                <w14:solidFill>
                  <w14:schemeClr w14:val="tx1"/>
                </w14:solidFill>
              </w14:textFill>
            </w:rPr>
            <w:fldChar w:fldCharType="separate"/>
          </w:r>
          <w:r>
            <w:rPr>
              <w:b/>
              <w:color w:val="000000" w:themeColor="text1"/>
              <w:sz w:val="24"/>
              <w:szCs w:val="24"/>
              <w14:textFill>
                <w14:solidFill>
                  <w14:schemeClr w14:val="tx1"/>
                </w14:solidFill>
              </w14:textFill>
            </w:rPr>
            <w:t>7</w:t>
          </w:r>
          <w:r>
            <w:rPr>
              <w:b/>
              <w:color w:val="000000" w:themeColor="text1"/>
              <w:sz w:val="24"/>
              <w:szCs w:val="24"/>
              <w14:textFill>
                <w14:solidFill>
                  <w14:schemeClr w14:val="tx1"/>
                </w14:solidFill>
              </w14:textFill>
            </w:rPr>
            <w:fldChar w:fldCharType="end"/>
          </w:r>
          <w:r>
            <w:rPr>
              <w:b/>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"_Toc22425"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2.1评价目的、原则</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_Toc22425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7</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"_Toc13990"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2.2编制依据</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_Toc13990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"_Toc13343"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2.3环境影响因素识别和评价因子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_Toc13343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15</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"_Toc4224"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2.4环境功能区划和评价标准</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_Toc4224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20</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"_Toc20202"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2.5评价工作等级与评价范围</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_Toc20202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"_Toc25399"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2.6评价重点</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_Toc25399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40</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"_Toc6437"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2.7控制污染与环境保护目标</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_Toc6437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41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"_Toc14993" </w:instrText>
          </w:r>
          <w:r>
            <w:rPr>
              <w:color w:val="000000" w:themeColor="text1"/>
              <w14:textFill>
                <w14:solidFill>
                  <w14:schemeClr w14:val="tx1"/>
                </w14:solidFill>
              </w14:textFill>
            </w:rPr>
            <w:fldChar w:fldCharType="separate"/>
          </w:r>
          <w:r>
            <w:rPr>
              <w:color w:val="000000" w:themeColor="text1"/>
              <w:kern w:val="2"/>
              <w:sz w:val="24"/>
              <w:szCs w:val="24"/>
              <w14:textFill>
                <w14:solidFill>
                  <w14:schemeClr w14:val="tx1"/>
                </w14:solidFill>
              </w14:textFill>
            </w:rPr>
            <w:t>2.8相关规划、政策法规等符合性分析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_Toc14993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42</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8"/>
            <w:tabs>
              <w:tab w:val="right" w:leader="dot" w:pos="8306"/>
            </w:tabs>
            <w:spacing w:line="360" w:lineRule="auto"/>
            <w:rPr>
              <w:b/>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"_Toc31128" </w:instrText>
          </w:r>
          <w:r>
            <w:rPr>
              <w:color w:val="000000" w:themeColor="text1"/>
              <w14:textFill>
                <w14:solidFill>
                  <w14:schemeClr w14:val="tx1"/>
                </w14:solidFill>
              </w14:textFill>
            </w:rPr>
            <w:fldChar w:fldCharType="separate"/>
          </w:r>
          <w:r>
            <w:rPr>
              <w:b/>
              <w:snapToGrid w:val="0"/>
              <w:color w:val="000000" w:themeColor="text1"/>
              <w:sz w:val="24"/>
              <w:szCs w:val="24"/>
              <w14:textFill>
                <w14:solidFill>
                  <w14:schemeClr w14:val="tx1"/>
                </w14:solidFill>
              </w14:textFill>
            </w:rPr>
            <w:t>3建设项目概况与工程分析</w:t>
          </w:r>
          <w:r>
            <w:rPr>
              <w:b/>
              <w:color w:val="000000" w:themeColor="text1"/>
              <w:sz w:val="24"/>
              <w:szCs w:val="24"/>
              <w14:textFill>
                <w14:solidFill>
                  <w14:schemeClr w14:val="tx1"/>
                </w14:solidFill>
              </w14:textFill>
            </w:rPr>
            <w:tab/>
          </w:r>
          <w:r>
            <w:rPr>
              <w:b/>
              <w:color w:val="000000" w:themeColor="text1"/>
              <w:sz w:val="24"/>
              <w:szCs w:val="24"/>
              <w14:textFill>
                <w14:solidFill>
                  <w14:schemeClr w14:val="tx1"/>
                </w14:solidFill>
              </w14:textFill>
            </w:rPr>
            <w:fldChar w:fldCharType="begin"/>
          </w:r>
          <w:r>
            <w:rPr>
              <w:b/>
              <w:color w:val="000000" w:themeColor="text1"/>
              <w:sz w:val="24"/>
              <w:szCs w:val="24"/>
              <w14:textFill>
                <w14:solidFill>
                  <w14:schemeClr w14:val="tx1"/>
                </w14:solidFill>
              </w14:textFill>
            </w:rPr>
            <w:instrText xml:space="preserve"> PAGEREF _Toc31128 \h </w:instrText>
          </w:r>
          <w:r>
            <w:rPr>
              <w:b/>
              <w:color w:val="000000" w:themeColor="text1"/>
              <w:sz w:val="24"/>
              <w:szCs w:val="24"/>
              <w14:textFill>
                <w14:solidFill>
                  <w14:schemeClr w14:val="tx1"/>
                </w14:solidFill>
              </w14:textFill>
            </w:rPr>
            <w:fldChar w:fldCharType="separate"/>
          </w:r>
          <w:r>
            <w:rPr>
              <w:b/>
              <w:color w:val="000000" w:themeColor="text1"/>
              <w:sz w:val="24"/>
              <w:szCs w:val="24"/>
              <w14:textFill>
                <w14:solidFill>
                  <w14:schemeClr w14:val="tx1"/>
                </w14:solidFill>
              </w14:textFill>
            </w:rPr>
            <w:t>76</w:t>
          </w:r>
          <w:r>
            <w:rPr>
              <w:b/>
              <w:color w:val="000000" w:themeColor="text1"/>
              <w:sz w:val="24"/>
              <w:szCs w:val="24"/>
              <w14:textFill>
                <w14:solidFill>
                  <w14:schemeClr w14:val="tx1"/>
                </w14:solidFill>
              </w14:textFill>
            </w:rPr>
            <w:fldChar w:fldCharType="end"/>
          </w:r>
          <w:r>
            <w:rPr>
              <w:b/>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"_Toc19405"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3.1工程基本情况</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_Toc19405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76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"_Toc31680"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3.2油田概况</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_Toc31680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76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"_Toc15077"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3.3工程组成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_Toc15077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83</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"_Toc2158"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3.4工程方案</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_Toc2158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86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"_Toc22297"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3.5主要建设内容</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_Toc22297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90</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"_Toc31924"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3.6现有工程开发回顾</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_Toc31924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131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"_Toc28866"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3.7工程分析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_Toc28866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151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"_Toc3636"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3.8清洁生产分析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_Toc3636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186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"_Toc26341"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3.9污染物排放总量控制</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_Toc26341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197</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8"/>
            <w:tabs>
              <w:tab w:val="right" w:leader="dot" w:pos="8306"/>
            </w:tabs>
            <w:spacing w:line="360" w:lineRule="auto"/>
            <w:rPr>
              <w:b/>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"_Toc27737" </w:instrText>
          </w:r>
          <w:r>
            <w:rPr>
              <w:color w:val="000000" w:themeColor="text1"/>
              <w14:textFill>
                <w14:solidFill>
                  <w14:schemeClr w14:val="tx1"/>
                </w14:solidFill>
              </w14:textFill>
            </w:rPr>
            <w:fldChar w:fldCharType="separate"/>
          </w:r>
          <w:r>
            <w:rPr>
              <w:b/>
              <w:snapToGrid w:val="0"/>
              <w:color w:val="000000" w:themeColor="text1"/>
              <w:sz w:val="24"/>
              <w:szCs w:val="24"/>
              <w14:textFill>
                <w14:solidFill>
                  <w14:schemeClr w14:val="tx1"/>
                </w14:solidFill>
              </w14:textFill>
            </w:rPr>
            <w:t>4环境现状调查与评价</w:t>
          </w:r>
          <w:r>
            <w:rPr>
              <w:b/>
              <w:color w:val="000000" w:themeColor="text1"/>
              <w:sz w:val="24"/>
              <w:szCs w:val="24"/>
              <w14:textFill>
                <w14:solidFill>
                  <w14:schemeClr w14:val="tx1"/>
                </w14:solidFill>
              </w14:textFill>
            </w:rPr>
            <w:tab/>
          </w:r>
          <w:r>
            <w:rPr>
              <w:b/>
              <w:color w:val="000000" w:themeColor="text1"/>
              <w:sz w:val="24"/>
              <w:szCs w:val="24"/>
              <w14:textFill>
                <w14:solidFill>
                  <w14:schemeClr w14:val="tx1"/>
                </w14:solidFill>
              </w14:textFill>
            </w:rPr>
            <w:fldChar w:fldCharType="begin"/>
          </w:r>
          <w:r>
            <w:rPr>
              <w:b/>
              <w:color w:val="000000" w:themeColor="text1"/>
              <w:sz w:val="24"/>
              <w:szCs w:val="24"/>
              <w14:textFill>
                <w14:solidFill>
                  <w14:schemeClr w14:val="tx1"/>
                </w14:solidFill>
              </w14:textFill>
            </w:rPr>
            <w:instrText xml:space="preserve"> PAGEREF _Toc27737 \h </w:instrText>
          </w:r>
          <w:r>
            <w:rPr>
              <w:b/>
              <w:color w:val="000000" w:themeColor="text1"/>
              <w:sz w:val="24"/>
              <w:szCs w:val="24"/>
              <w14:textFill>
                <w14:solidFill>
                  <w14:schemeClr w14:val="tx1"/>
                </w14:solidFill>
              </w14:textFill>
            </w:rPr>
            <w:fldChar w:fldCharType="separate"/>
          </w:r>
          <w:r>
            <w:rPr>
              <w:b/>
              <w:color w:val="000000" w:themeColor="text1"/>
              <w:sz w:val="24"/>
              <w:szCs w:val="24"/>
              <w14:textFill>
                <w14:solidFill>
                  <w14:schemeClr w14:val="tx1"/>
                </w14:solidFill>
              </w14:textFill>
            </w:rPr>
            <w:t>199</w:t>
          </w:r>
          <w:r>
            <w:rPr>
              <w:b/>
              <w:color w:val="000000" w:themeColor="text1"/>
              <w:sz w:val="24"/>
              <w:szCs w:val="24"/>
              <w14:textFill>
                <w14:solidFill>
                  <w14:schemeClr w14:val="tx1"/>
                </w14:solidFill>
              </w14:textFill>
            </w:rPr>
            <w:fldChar w:fldCharType="end"/>
          </w:r>
          <w:r>
            <w:rPr>
              <w:b/>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"_Toc15769"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4.1自然环境概况</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_Toc15769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199</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"_Toc13424"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4.2环境空气现状调查与评价</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_Toc13424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202</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"_Toc8658"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4.3水环境现状调查与评价</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_Toc8658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204</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"_Toc26387"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4.4声环境现状调查与评价</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_Toc26387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209</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"_Toc17068"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4.5土壤环境现状调查与评价</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_Toc17068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211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"_Toc24478"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4.6生态环境现状调查与评价</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_Toc24478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213</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8"/>
            <w:tabs>
              <w:tab w:val="right" w:leader="dot" w:pos="8306"/>
            </w:tabs>
            <w:spacing w:line="360" w:lineRule="auto"/>
            <w:rPr>
              <w:b/>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"_Toc25341" </w:instrText>
          </w:r>
          <w:r>
            <w:rPr>
              <w:color w:val="000000" w:themeColor="text1"/>
              <w14:textFill>
                <w14:solidFill>
                  <w14:schemeClr w14:val="tx1"/>
                </w14:solidFill>
              </w14:textFill>
            </w:rPr>
            <w:fldChar w:fldCharType="separate"/>
          </w:r>
          <w:r>
            <w:rPr>
              <w:b/>
              <w:snapToGrid w:val="0"/>
              <w:color w:val="000000" w:themeColor="text1"/>
              <w:sz w:val="24"/>
              <w:szCs w:val="24"/>
              <w14:textFill>
                <w14:solidFill>
                  <w14:schemeClr w14:val="tx1"/>
                </w14:solidFill>
              </w14:textFill>
            </w:rPr>
            <w:t>5环境影响预测与评价</w:t>
          </w:r>
          <w:r>
            <w:rPr>
              <w:b/>
              <w:color w:val="000000" w:themeColor="text1"/>
              <w:sz w:val="24"/>
              <w:szCs w:val="24"/>
              <w14:textFill>
                <w14:solidFill>
                  <w14:schemeClr w14:val="tx1"/>
                </w14:solidFill>
              </w14:textFill>
            </w:rPr>
            <w:tab/>
          </w:r>
          <w:r>
            <w:rPr>
              <w:b/>
              <w:color w:val="000000" w:themeColor="text1"/>
              <w:sz w:val="24"/>
              <w:szCs w:val="24"/>
              <w14:textFill>
                <w14:solidFill>
                  <w14:schemeClr w14:val="tx1"/>
                </w14:solidFill>
              </w14:textFill>
            </w:rPr>
            <w:fldChar w:fldCharType="begin"/>
          </w:r>
          <w:r>
            <w:rPr>
              <w:b/>
              <w:color w:val="000000" w:themeColor="text1"/>
              <w:sz w:val="24"/>
              <w:szCs w:val="24"/>
              <w14:textFill>
                <w14:solidFill>
                  <w14:schemeClr w14:val="tx1"/>
                </w14:solidFill>
              </w14:textFill>
            </w:rPr>
            <w:instrText xml:space="preserve"> PAGEREF _Toc25341 \h </w:instrText>
          </w:r>
          <w:r>
            <w:rPr>
              <w:b/>
              <w:color w:val="000000" w:themeColor="text1"/>
              <w:sz w:val="24"/>
              <w:szCs w:val="24"/>
              <w14:textFill>
                <w14:solidFill>
                  <w14:schemeClr w14:val="tx1"/>
                </w14:solidFill>
              </w14:textFill>
            </w:rPr>
            <w:fldChar w:fldCharType="separate"/>
          </w:r>
          <w:r>
            <w:rPr>
              <w:b/>
              <w:color w:val="000000" w:themeColor="text1"/>
              <w:sz w:val="24"/>
              <w:szCs w:val="24"/>
              <w14:textFill>
                <w14:solidFill>
                  <w14:schemeClr w14:val="tx1"/>
                </w14:solidFill>
              </w14:textFill>
            </w:rPr>
            <w:t>237</w:t>
          </w:r>
          <w:r>
            <w:rPr>
              <w:b/>
              <w:color w:val="000000" w:themeColor="text1"/>
              <w:sz w:val="24"/>
              <w:szCs w:val="24"/>
              <w14:textFill>
                <w14:solidFill>
                  <w14:schemeClr w14:val="tx1"/>
                </w14:solidFill>
              </w14:textFill>
            </w:rPr>
            <w:fldChar w:fldCharType="end"/>
          </w:r>
          <w:r>
            <w:rPr>
              <w:b/>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"_Toc30512"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5.1大气环境影响分析与评价</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_Toc30512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237</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"_Toc12119"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5.2地表水环境影响分析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_Toc12119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245</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"_Toc31123"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5.3地下水环境影响分析与评价</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_Toc31123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246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"_Toc4089"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5.4声环境影响分析与评价</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_Toc4089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262</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"_Toc17893"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5.5固体废物影响分析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_Toc17893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266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"_Toc28535"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5.6土壤环境影响分析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_Toc28535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268</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"_Toc11438"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5.7生态环境影响分析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_Toc11438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278</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"_Toc13170"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5.8水土流失影响分析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_Toc13170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288</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"_Toc24415"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5.9土地沙化影响分析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_Toc24415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290</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"_Toc26784"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5.10运输过程影响分析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_Toc26784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291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8"/>
            <w:tabs>
              <w:tab w:val="right" w:leader="dot" w:pos="8306"/>
            </w:tabs>
            <w:spacing w:line="360" w:lineRule="auto"/>
            <w:rPr>
              <w:b/>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"_Toc31922" </w:instrText>
          </w:r>
          <w:r>
            <w:rPr>
              <w:color w:val="000000" w:themeColor="text1"/>
              <w14:textFill>
                <w14:solidFill>
                  <w14:schemeClr w14:val="tx1"/>
                </w14:solidFill>
              </w14:textFill>
            </w:rPr>
            <w:fldChar w:fldCharType="separate"/>
          </w:r>
          <w:r>
            <w:rPr>
              <w:b/>
              <w:snapToGrid w:val="0"/>
              <w:color w:val="000000" w:themeColor="text1"/>
              <w:sz w:val="24"/>
              <w:szCs w:val="24"/>
              <w14:textFill>
                <w14:solidFill>
                  <w14:schemeClr w14:val="tx1"/>
                </w14:solidFill>
              </w14:textFill>
            </w:rPr>
            <w:t>6环境保护措施及其可行性论证</w:t>
          </w:r>
          <w:r>
            <w:rPr>
              <w:b/>
              <w:color w:val="000000" w:themeColor="text1"/>
              <w:sz w:val="24"/>
              <w:szCs w:val="24"/>
              <w14:textFill>
                <w14:solidFill>
                  <w14:schemeClr w14:val="tx1"/>
                </w14:solidFill>
              </w14:textFill>
            </w:rPr>
            <w:tab/>
          </w:r>
          <w:r>
            <w:rPr>
              <w:b/>
              <w:color w:val="000000" w:themeColor="text1"/>
              <w:sz w:val="24"/>
              <w:szCs w:val="24"/>
              <w14:textFill>
                <w14:solidFill>
                  <w14:schemeClr w14:val="tx1"/>
                </w14:solidFill>
              </w14:textFill>
            </w:rPr>
            <w:fldChar w:fldCharType="begin"/>
          </w:r>
          <w:r>
            <w:rPr>
              <w:b/>
              <w:color w:val="000000" w:themeColor="text1"/>
              <w:sz w:val="24"/>
              <w:szCs w:val="24"/>
              <w14:textFill>
                <w14:solidFill>
                  <w14:schemeClr w14:val="tx1"/>
                </w14:solidFill>
              </w14:textFill>
            </w:rPr>
            <w:instrText xml:space="preserve"> PAGEREF _Toc31922 \h </w:instrText>
          </w:r>
          <w:r>
            <w:rPr>
              <w:b/>
              <w:color w:val="000000" w:themeColor="text1"/>
              <w:sz w:val="24"/>
              <w:szCs w:val="24"/>
              <w14:textFill>
                <w14:solidFill>
                  <w14:schemeClr w14:val="tx1"/>
                </w14:solidFill>
              </w14:textFill>
            </w:rPr>
            <w:fldChar w:fldCharType="separate"/>
          </w:r>
          <w:r>
            <w:rPr>
              <w:b/>
              <w:color w:val="000000" w:themeColor="text1"/>
              <w:sz w:val="24"/>
              <w:szCs w:val="24"/>
              <w14:textFill>
                <w14:solidFill>
                  <w14:schemeClr w14:val="tx1"/>
                </w14:solidFill>
              </w14:textFill>
            </w:rPr>
            <w:t>293</w:t>
          </w:r>
          <w:r>
            <w:rPr>
              <w:b/>
              <w:color w:val="000000" w:themeColor="text1"/>
              <w:sz w:val="24"/>
              <w:szCs w:val="24"/>
              <w14:textFill>
                <w14:solidFill>
                  <w14:schemeClr w14:val="tx1"/>
                </w14:solidFill>
              </w14:textFill>
            </w:rPr>
            <w:fldChar w:fldCharType="end"/>
          </w:r>
          <w:r>
            <w:rPr>
              <w:b/>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"_Toc27692"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6.1大气污染防治措施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_Toc27692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293</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"_Toc10522"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6.2水环境保护措施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_Toc10522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295</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"_Toc25832"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6.3地下水环境保护措施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_Toc25832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296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"_Toc23463"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6.4噪声污染防治措施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_Toc23463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300</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"_Toc13088"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6.5固废污染防治措施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_Toc13088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301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"_Toc2820"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6.6土壤污染防治措施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_Toc2820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306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"_Toc29723"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6.7生态环境保护措施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_Toc29723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308</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"_Toc896"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6.8温室气体管控措施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_Toc896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315</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"_Toc24200"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6.9生态恢复方案</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_Toc24200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318</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"_Toc13884"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6.10水土保持方案</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_Toc13884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322</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"_Toc10088"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6.11防沙治沙方案</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_Toc10088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325</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"_Toc4858"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6.12防洪措施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_Toc4858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328</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"_Toc23350"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6.13环保投资分析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_Toc23350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328</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"_Toc18714"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6.14环境影响经济损益分析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_Toc18714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329</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8"/>
            <w:tabs>
              <w:tab w:val="right" w:leader="dot" w:pos="8306"/>
            </w:tabs>
            <w:spacing w:line="360" w:lineRule="auto"/>
            <w:rPr>
              <w:b/>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"_Toc29807" </w:instrText>
          </w:r>
          <w:r>
            <w:rPr>
              <w:color w:val="000000" w:themeColor="text1"/>
              <w14:textFill>
                <w14:solidFill>
                  <w14:schemeClr w14:val="tx1"/>
                </w14:solidFill>
              </w14:textFill>
            </w:rPr>
            <w:fldChar w:fldCharType="separate"/>
          </w:r>
          <w:r>
            <w:rPr>
              <w:b/>
              <w:snapToGrid w:val="0"/>
              <w:color w:val="000000" w:themeColor="text1"/>
              <w:sz w:val="24"/>
              <w:szCs w:val="24"/>
              <w14:textFill>
                <w14:solidFill>
                  <w14:schemeClr w14:val="tx1"/>
                </w14:solidFill>
              </w14:textFill>
            </w:rPr>
            <w:t>7环境风险评价</w:t>
          </w:r>
          <w:r>
            <w:rPr>
              <w:b/>
              <w:color w:val="000000" w:themeColor="text1"/>
              <w:sz w:val="24"/>
              <w:szCs w:val="24"/>
              <w14:textFill>
                <w14:solidFill>
                  <w14:schemeClr w14:val="tx1"/>
                </w14:solidFill>
              </w14:textFill>
            </w:rPr>
            <w:tab/>
          </w:r>
          <w:r>
            <w:rPr>
              <w:b/>
              <w:color w:val="000000" w:themeColor="text1"/>
              <w:sz w:val="24"/>
              <w:szCs w:val="24"/>
              <w14:textFill>
                <w14:solidFill>
                  <w14:schemeClr w14:val="tx1"/>
                </w14:solidFill>
              </w14:textFill>
            </w:rPr>
            <w:fldChar w:fldCharType="begin"/>
          </w:r>
          <w:r>
            <w:rPr>
              <w:b/>
              <w:color w:val="000000" w:themeColor="text1"/>
              <w:sz w:val="24"/>
              <w:szCs w:val="24"/>
              <w14:textFill>
                <w14:solidFill>
                  <w14:schemeClr w14:val="tx1"/>
                </w14:solidFill>
              </w14:textFill>
            </w:rPr>
            <w:instrText xml:space="preserve"> PAGEREF _Toc29807 \h </w:instrText>
          </w:r>
          <w:r>
            <w:rPr>
              <w:b/>
              <w:color w:val="000000" w:themeColor="text1"/>
              <w:sz w:val="24"/>
              <w:szCs w:val="24"/>
              <w14:textFill>
                <w14:solidFill>
                  <w14:schemeClr w14:val="tx1"/>
                </w14:solidFill>
              </w14:textFill>
            </w:rPr>
            <w:fldChar w:fldCharType="separate"/>
          </w:r>
          <w:r>
            <w:rPr>
              <w:b/>
              <w:color w:val="000000" w:themeColor="text1"/>
              <w:sz w:val="24"/>
              <w:szCs w:val="24"/>
              <w14:textFill>
                <w14:solidFill>
                  <w14:schemeClr w14:val="tx1"/>
                </w14:solidFill>
              </w14:textFill>
            </w:rPr>
            <w:t>332</w:t>
          </w:r>
          <w:r>
            <w:rPr>
              <w:b/>
              <w:color w:val="000000" w:themeColor="text1"/>
              <w:sz w:val="24"/>
              <w:szCs w:val="24"/>
              <w14:textFill>
                <w14:solidFill>
                  <w14:schemeClr w14:val="tx1"/>
                </w14:solidFill>
              </w14:textFill>
            </w:rPr>
            <w:fldChar w:fldCharType="end"/>
          </w:r>
          <w:r>
            <w:rPr>
              <w:b/>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"_Toc6665"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7.1评价依据</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_Toc6665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332</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"_Toc16364"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7.2环境敏感目标调查</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_Toc16364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333</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"_Toc8290"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7.3环境风险识别</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_Toc8290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334</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"_Toc1550"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7.4环境风险影响分析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_Toc1550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347</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"_Toc1937"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7.5环境风险防范措施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_Toc1937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351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"_Toc21608"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7.6风险事故应急处理措施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_Toc21608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358</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"_Toc32500"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7.7环境风险管理</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_Toc32500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360</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"_Toc31883"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7.8突发环境事件应急预案</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_Toc31883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362</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"_Toc3862"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7.9环境风险评价小结</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_Toc3862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365</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8"/>
            <w:tabs>
              <w:tab w:val="right" w:leader="dot" w:pos="8306"/>
            </w:tabs>
            <w:spacing w:line="360" w:lineRule="auto"/>
            <w:rPr>
              <w:b/>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"_Toc2395" </w:instrText>
          </w:r>
          <w:r>
            <w:rPr>
              <w:color w:val="000000" w:themeColor="text1"/>
              <w14:textFill>
                <w14:solidFill>
                  <w14:schemeClr w14:val="tx1"/>
                </w14:solidFill>
              </w14:textFill>
            </w:rPr>
            <w:fldChar w:fldCharType="separate"/>
          </w:r>
          <w:r>
            <w:rPr>
              <w:b/>
              <w:snapToGrid w:val="0"/>
              <w:color w:val="000000" w:themeColor="text1"/>
              <w:sz w:val="24"/>
              <w:szCs w:val="24"/>
              <w14:textFill>
                <w14:solidFill>
                  <w14:schemeClr w14:val="tx1"/>
                </w14:solidFill>
              </w14:textFill>
            </w:rPr>
            <w:t>8环境管理与监测计划</w:t>
          </w:r>
          <w:r>
            <w:rPr>
              <w:b/>
              <w:color w:val="000000" w:themeColor="text1"/>
              <w:sz w:val="24"/>
              <w:szCs w:val="24"/>
              <w14:textFill>
                <w14:solidFill>
                  <w14:schemeClr w14:val="tx1"/>
                </w14:solidFill>
              </w14:textFill>
            </w:rPr>
            <w:tab/>
          </w:r>
          <w:r>
            <w:rPr>
              <w:b/>
              <w:color w:val="000000" w:themeColor="text1"/>
              <w:sz w:val="24"/>
              <w:szCs w:val="24"/>
              <w14:textFill>
                <w14:solidFill>
                  <w14:schemeClr w14:val="tx1"/>
                </w14:solidFill>
              </w14:textFill>
            </w:rPr>
            <w:fldChar w:fldCharType="begin"/>
          </w:r>
          <w:r>
            <w:rPr>
              <w:b/>
              <w:color w:val="000000" w:themeColor="text1"/>
              <w:sz w:val="24"/>
              <w:szCs w:val="24"/>
              <w14:textFill>
                <w14:solidFill>
                  <w14:schemeClr w14:val="tx1"/>
                </w14:solidFill>
              </w14:textFill>
            </w:rPr>
            <w:instrText xml:space="preserve"> PAGEREF _Toc2395 \h </w:instrText>
          </w:r>
          <w:r>
            <w:rPr>
              <w:b/>
              <w:color w:val="000000" w:themeColor="text1"/>
              <w:sz w:val="24"/>
              <w:szCs w:val="24"/>
              <w14:textFill>
                <w14:solidFill>
                  <w14:schemeClr w14:val="tx1"/>
                </w14:solidFill>
              </w14:textFill>
            </w:rPr>
            <w:fldChar w:fldCharType="separate"/>
          </w:r>
          <w:r>
            <w:rPr>
              <w:b/>
              <w:color w:val="000000" w:themeColor="text1"/>
              <w:sz w:val="24"/>
              <w:szCs w:val="24"/>
              <w14:textFill>
                <w14:solidFill>
                  <w14:schemeClr w14:val="tx1"/>
                </w14:solidFill>
              </w14:textFill>
            </w:rPr>
            <w:t>367</w:t>
          </w:r>
          <w:r>
            <w:rPr>
              <w:b/>
              <w:color w:val="000000" w:themeColor="text1"/>
              <w:sz w:val="24"/>
              <w:szCs w:val="24"/>
              <w14:textFill>
                <w14:solidFill>
                  <w14:schemeClr w14:val="tx1"/>
                </w14:solidFill>
              </w14:textFill>
            </w:rPr>
            <w:fldChar w:fldCharType="end"/>
          </w:r>
          <w:r>
            <w:rPr>
              <w:b/>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"_Toc2114"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8.1环境管理</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_Toc2114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367</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"_Toc2075"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8.2企业自主验收</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_Toc2075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376</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"_Toc468"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8.3环境信息公开</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_Toc468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382</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"_Toc7182"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8.4环境监测计划</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_Toc7182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382</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"_Toc7579"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8.5污染物排放清单</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_Toc7579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385</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8"/>
            <w:tabs>
              <w:tab w:val="right" w:leader="dot" w:pos="8306"/>
            </w:tabs>
            <w:spacing w:line="360" w:lineRule="auto"/>
            <w:rPr>
              <w:b/>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"_Toc13554" </w:instrText>
          </w:r>
          <w:r>
            <w:rPr>
              <w:color w:val="000000" w:themeColor="text1"/>
              <w14:textFill>
                <w14:solidFill>
                  <w14:schemeClr w14:val="tx1"/>
                </w14:solidFill>
              </w14:textFill>
            </w:rPr>
            <w:fldChar w:fldCharType="separate"/>
          </w:r>
          <w:r>
            <w:rPr>
              <w:b/>
              <w:snapToGrid w:val="0"/>
              <w:color w:val="000000" w:themeColor="text1"/>
              <w:sz w:val="24"/>
              <w:szCs w:val="24"/>
              <w14:textFill>
                <w14:solidFill>
                  <w14:schemeClr w14:val="tx1"/>
                </w14:solidFill>
              </w14:textFill>
            </w:rPr>
            <w:t>9环境影响评价结论与建议</w:t>
          </w:r>
          <w:r>
            <w:rPr>
              <w:b/>
              <w:color w:val="000000" w:themeColor="text1"/>
              <w:sz w:val="24"/>
              <w:szCs w:val="24"/>
              <w14:textFill>
                <w14:solidFill>
                  <w14:schemeClr w14:val="tx1"/>
                </w14:solidFill>
              </w14:textFill>
            </w:rPr>
            <w:tab/>
          </w:r>
          <w:r>
            <w:rPr>
              <w:b/>
              <w:color w:val="000000" w:themeColor="text1"/>
              <w:sz w:val="24"/>
              <w:szCs w:val="24"/>
              <w14:textFill>
                <w14:solidFill>
                  <w14:schemeClr w14:val="tx1"/>
                </w14:solidFill>
              </w14:textFill>
            </w:rPr>
            <w:fldChar w:fldCharType="begin"/>
          </w:r>
          <w:r>
            <w:rPr>
              <w:b/>
              <w:color w:val="000000" w:themeColor="text1"/>
              <w:sz w:val="24"/>
              <w:szCs w:val="24"/>
              <w14:textFill>
                <w14:solidFill>
                  <w14:schemeClr w14:val="tx1"/>
                </w14:solidFill>
              </w14:textFill>
            </w:rPr>
            <w:instrText xml:space="preserve"> PAGEREF _Toc13554 \h </w:instrText>
          </w:r>
          <w:r>
            <w:rPr>
              <w:b/>
              <w:color w:val="000000" w:themeColor="text1"/>
              <w:sz w:val="24"/>
              <w:szCs w:val="24"/>
              <w14:textFill>
                <w14:solidFill>
                  <w14:schemeClr w14:val="tx1"/>
                </w14:solidFill>
              </w14:textFill>
            </w:rPr>
            <w:fldChar w:fldCharType="separate"/>
          </w:r>
          <w:r>
            <w:rPr>
              <w:b/>
              <w:color w:val="000000" w:themeColor="text1"/>
              <w:sz w:val="24"/>
              <w:szCs w:val="24"/>
              <w14:textFill>
                <w14:solidFill>
                  <w14:schemeClr w14:val="tx1"/>
                </w14:solidFill>
              </w14:textFill>
            </w:rPr>
            <w:t>387</w:t>
          </w:r>
          <w:r>
            <w:rPr>
              <w:b/>
              <w:color w:val="000000" w:themeColor="text1"/>
              <w:sz w:val="24"/>
              <w:szCs w:val="24"/>
              <w14:textFill>
                <w14:solidFill>
                  <w14:schemeClr w14:val="tx1"/>
                </w14:solidFill>
              </w14:textFill>
            </w:rPr>
            <w:fldChar w:fldCharType="end"/>
          </w:r>
          <w:r>
            <w:rPr>
              <w:b/>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"_Toc13541"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9.1结论</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_Toc13541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387</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pStyle w:val="29"/>
            <w:tabs>
              <w:tab w:val="right" w:leader="dot" w:pos="8306"/>
            </w:tabs>
            <w:spacing w:line="360" w:lineRule="auto"/>
            <w:ind w:left="420"/>
            <w:rPr>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"_Toc21848" </w:instrText>
          </w:r>
          <w:r>
            <w:rPr>
              <w:color w:val="000000" w:themeColor="text1"/>
              <w14:textFill>
                <w14:solidFill>
                  <w14:schemeClr w14:val="tx1"/>
                </w14:solidFill>
              </w14:textFill>
            </w:rPr>
            <w:fldChar w:fldCharType="separate"/>
          </w:r>
          <w:r>
            <w:rPr>
              <w:color w:val="000000" w:themeColor="text1"/>
              <w:sz w:val="24"/>
              <w:szCs w:val="24"/>
              <w14:textFill>
                <w14:solidFill>
                  <w14:schemeClr w14:val="tx1"/>
                </w14:solidFill>
              </w14:textFill>
            </w:rPr>
            <w:t>9.2要求与建议</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_Toc21848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391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fldChar w:fldCharType="end"/>
          </w:r>
        </w:p>
        <w:p>
          <w:pPr>
            <w:wordWrap w:val="0"/>
            <w:spacing w:line="360" w:lineRule="auto"/>
            <w:rPr>
              <w:rFonts w:ascii="Times New Roman" w:hAnsi="Times New Roman" w:eastAsia="宋体" w:cs="Times New Roman"/>
              <w:b/>
              <w:bCs/>
              <w:color w:val="000000" w:themeColor="text1"/>
              <w:sz w:val="24"/>
              <w14:textFill>
                <w14:solidFill>
                  <w14:schemeClr w14:val="tx1"/>
                </w14:solidFill>
              </w14:textFill>
            </w:rPr>
            <w:sectPr>
              <w:footerReference r:id="rId4"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宋体" w:cs="Times New Roman"/>
              <w:b/>
              <w:bCs/>
              <w:color w:val="000000" w:themeColor="text1"/>
              <w:sz w:val="24"/>
              <w14:textFill>
                <w14:solidFill>
                  <w14:schemeClr w14:val="tx1"/>
                </w14:solidFill>
              </w14:textFill>
            </w:rPr>
            <w:fldChar w:fldCharType="end"/>
          </w:r>
        </w:p>
      </w:sdtContent>
    </w:sdt>
    <w:p>
      <w:pPr>
        <w:keepNext w:val="0"/>
        <w:keepLines w:val="0"/>
        <w:pageBreakBefore w:val="0"/>
        <w:widowControl/>
        <w:kinsoku/>
        <w:wordWrap w:val="0"/>
        <w:overflowPunct/>
        <w:topLinePunct w:val="0"/>
        <w:autoSpaceDE/>
        <w:autoSpaceDN/>
        <w:bidi w:val="0"/>
        <w:snapToGrid/>
        <w:spacing w:line="360" w:lineRule="auto"/>
        <w:textAlignment w:val="auto"/>
        <w:outlineLvl w:val="0"/>
        <w:rPr>
          <w:rFonts w:ascii="Times New Roman" w:hAnsi="Times New Roman" w:cs="Times New Roman"/>
          <w:b/>
          <w:bCs/>
          <w:color w:val="000000" w:themeColor="text1"/>
          <w:sz w:val="28"/>
          <w:szCs w:val="28"/>
          <w14:textFill>
            <w14:solidFill>
              <w14:schemeClr w14:val="tx1"/>
            </w14:solidFill>
          </w14:textFill>
        </w:rPr>
      </w:pPr>
      <w:bookmarkStart w:id="7" w:name="_Toc17713"/>
      <w:r>
        <w:rPr>
          <w:rFonts w:ascii="Times New Roman" w:hAnsi="Times New Roman" w:cs="Times New Roman"/>
          <w:b/>
          <w:bCs/>
          <w:color w:val="000000" w:themeColor="text1"/>
          <w:sz w:val="28"/>
          <w:szCs w:val="28"/>
          <w14:textFill>
            <w14:solidFill>
              <w14:schemeClr w14:val="tx1"/>
            </w14:solidFill>
          </w14:textFill>
        </w:rPr>
        <w:t>附件：</w:t>
      </w:r>
      <w:bookmarkEnd w:id="7"/>
    </w:p>
    <w:p>
      <w:pPr>
        <w:keepNext w:val="0"/>
        <w:keepLines w:val="0"/>
        <w:pageBreakBefore w:val="0"/>
        <w:widowControl/>
        <w:kinsoku/>
        <w:wordWrap w:val="0"/>
        <w:overflowPunct/>
        <w:topLinePunct w:val="0"/>
        <w:autoSpaceDE/>
        <w:autoSpaceDN/>
        <w:bidi w:val="0"/>
        <w:snapToGrid/>
        <w:spacing w:line="360" w:lineRule="auto"/>
        <w:textAlignment w:val="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附件1：环评委托书；</w:t>
      </w:r>
    </w:p>
    <w:p>
      <w:pPr>
        <w:keepNext w:val="0"/>
        <w:keepLines w:val="0"/>
        <w:pageBreakBefore w:val="0"/>
        <w:widowControl/>
        <w:kinsoku/>
        <w:wordWrap w:val="0"/>
        <w:overflowPunct/>
        <w:topLinePunct w:val="0"/>
        <w:autoSpaceDE/>
        <w:autoSpaceDN/>
        <w:bidi w:val="0"/>
        <w:snapToGrid/>
        <w:spacing w:line="360" w:lineRule="auto"/>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附件</w:t>
      </w:r>
      <w:r>
        <w:rPr>
          <w:rFonts w:ascii="Times New Roman" w:hAnsi="Times New Roman" w:cs="Times New Roman"/>
          <w:color w:val="000000" w:themeColor="text1"/>
          <w:spacing w:val="4"/>
          <w:sz w:val="24"/>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现有</w:t>
      </w:r>
      <w:r>
        <w:rPr>
          <w:rFonts w:hint="eastAsia" w:ascii="Times New Roman" w:hAnsi="Times New Roman" w:eastAsia="宋体" w:cs="Times New Roman"/>
          <w:color w:val="000000" w:themeColor="text1"/>
          <w:sz w:val="24"/>
          <w:lang w:val="en-US" w:eastAsia="zh-CN"/>
          <w14:textFill>
            <w14:solidFill>
              <w14:schemeClr w14:val="tx1"/>
            </w14:solidFill>
          </w14:textFill>
        </w:rPr>
        <w:t>工程</w:t>
      </w:r>
      <w:r>
        <w:rPr>
          <w:rFonts w:ascii="Times New Roman" w:hAnsi="Times New Roman" w:eastAsia="宋体" w:cs="Times New Roman"/>
          <w:color w:val="000000" w:themeColor="text1"/>
          <w:sz w:val="24"/>
          <w14:textFill>
            <w14:solidFill>
              <w14:schemeClr w14:val="tx1"/>
            </w14:solidFill>
          </w14:textFill>
        </w:rPr>
        <w:t>环保手续</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附件2-1：关于《中国石油新疆油田分公司陆梁油田开发建设项目环境影响报告书审查意见的复函》（环审</w:t>
      </w:r>
      <w:r>
        <w:rPr>
          <w:rFonts w:ascii="Times New Roman" w:hAnsi="Times New Roman" w:eastAsia="宋体" w:cs="Times New Roman"/>
          <w:color w:val="000000" w:themeColor="text1"/>
          <w:sz w:val="24"/>
          <w14:textFill>
            <w14:solidFill>
              <w14:schemeClr w14:val="tx1"/>
            </w14:solidFill>
          </w14:textFill>
        </w:rPr>
        <w:t>〔20</w:t>
      </w:r>
      <w:r>
        <w:rPr>
          <w:rFonts w:hint="eastAsia" w:ascii="Times New Roman" w:hAnsi="Times New Roman" w:eastAsia="宋体" w:cs="Times New Roman"/>
          <w:color w:val="000000" w:themeColor="text1"/>
          <w:sz w:val="24"/>
          <w14:textFill>
            <w14:solidFill>
              <w14:schemeClr w14:val="tx1"/>
            </w14:solidFill>
          </w14:textFill>
        </w:rPr>
        <w:t>03</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69</w:t>
      </w:r>
      <w:r>
        <w:rPr>
          <w:rFonts w:ascii="Times New Roman" w:hAnsi="Times New Roman" w:eastAsia="宋体" w:cs="Times New Roman"/>
          <w:color w:val="000000" w:themeColor="text1"/>
          <w:sz w:val="24"/>
          <w14:textFill>
            <w14:solidFill>
              <w14:schemeClr w14:val="tx1"/>
            </w14:solidFill>
          </w14:textFill>
        </w:rPr>
        <w:t>号</w:t>
      </w:r>
      <w:r>
        <w:rPr>
          <w:rFonts w:hint="eastAsia" w:ascii="Times New Roman" w:hAnsi="Times New Roman" w:eastAsia="宋体" w:cs="Times New Roman"/>
          <w:color w:val="000000" w:themeColor="text1"/>
          <w:sz w:val="24"/>
          <w14:textFill>
            <w14:solidFill>
              <w14:schemeClr w14:val="tx1"/>
            </w14:solidFill>
          </w14:textFill>
        </w:rPr>
        <w:t>）；</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附件2-2：中国石油天然气股份公司新疆油田分公司陆梁油田开发建设项目竣工环境保护验收调查报告审定意见（原国家环保总局，2004年11月28日）；</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附件2-</w:t>
      </w:r>
      <w:r>
        <w:rPr>
          <w:rFonts w:hint="eastAsia" w:ascii="Times New Roman" w:hAnsi="Times New Roman" w:eastAsia="宋体" w:cs="Times New Roman"/>
          <w:color w:val="000000" w:themeColor="text1"/>
          <w:sz w:val="24"/>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：关于《陆梁油田陆9井区西山窑组油藏2016年产能建设工程环境影响报告书的批复》（新环函〔2016〕627号）；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附件2-</w:t>
      </w:r>
      <w:r>
        <w:rPr>
          <w:rFonts w:hint="eastAsia" w:ascii="Times New Roman" w:hAnsi="Times New Roman" w:eastAsia="宋体" w:cs="Times New Roman"/>
          <w:color w:val="000000" w:themeColor="text1"/>
          <w:sz w:val="24"/>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：陆梁油田陆9井区西山窑组油藏2016年产能建设工程第四批竣工环境保护验收意见；</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附件2-</w:t>
      </w:r>
      <w:r>
        <w:rPr>
          <w:rFonts w:hint="eastAsia" w:ascii="Times New Roman" w:hAnsi="Times New Roman" w:eastAsia="宋体" w:cs="Times New Roman"/>
          <w:color w:val="000000" w:themeColor="text1"/>
          <w:sz w:val="24"/>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：关于《陆梁油田陆9井区呼图壁河组油藏2017年开发建设工程环境影响报告书的批复》（新环函〔2017〕215号）；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附件2-</w:t>
      </w:r>
      <w:r>
        <w:rPr>
          <w:rFonts w:hint="eastAsia" w:ascii="Times New Roman" w:hAnsi="Times New Roman" w:eastAsia="宋体" w:cs="Times New Roman"/>
          <w:color w:val="000000" w:themeColor="text1"/>
          <w:sz w:val="24"/>
          <w14:textFill>
            <w14:solidFill>
              <w14:schemeClr w14:val="tx1"/>
            </w14:solidFill>
          </w14:textFill>
        </w:rPr>
        <w:t>6</w:t>
      </w:r>
      <w:r>
        <w:rPr>
          <w:rFonts w:ascii="Times New Roman" w:hAnsi="Times New Roman" w:eastAsia="宋体" w:cs="Times New Roman"/>
          <w:color w:val="000000" w:themeColor="text1"/>
          <w:sz w:val="24"/>
          <w14:textFill>
            <w14:solidFill>
              <w14:schemeClr w14:val="tx1"/>
            </w14:solidFill>
          </w14:textFill>
        </w:rPr>
        <w:t>：中国石油新疆油田分公司陆梁油田陆9井区呼图壁河组油藏2017年开发建设工程竣工环境保护验收意见；</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附件2-</w:t>
      </w:r>
      <w:r>
        <w:rPr>
          <w:rFonts w:hint="eastAsia" w:ascii="Times New Roman" w:hAnsi="Times New Roman" w:eastAsia="宋体" w:cs="Times New Roman"/>
          <w:color w:val="000000" w:themeColor="text1"/>
          <w:sz w:val="24"/>
          <w14:textFill>
            <w14:solidFill>
              <w14:schemeClr w14:val="tx1"/>
            </w14:solidFill>
          </w14:textFill>
        </w:rPr>
        <w:t>7</w:t>
      </w:r>
      <w:r>
        <w:rPr>
          <w:rFonts w:ascii="Times New Roman" w:hAnsi="Times New Roman" w:eastAsia="宋体" w:cs="Times New Roman"/>
          <w:color w:val="000000" w:themeColor="text1"/>
          <w:sz w:val="24"/>
          <w14:textFill>
            <w14:solidFill>
              <w14:schemeClr w14:val="tx1"/>
            </w14:solidFill>
          </w14:textFill>
        </w:rPr>
        <w:t>：关于《陆梁油气田陆9井区侏罗系呼图壁组油藏LUD9021等2口注水井钻探项目环境影响报告表的批复》（和环评函字〔2018〕45号）；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附件2-</w:t>
      </w:r>
      <w:r>
        <w:rPr>
          <w:rFonts w:hint="eastAsia" w:ascii="Times New Roman" w:hAnsi="Times New Roman" w:eastAsia="宋体" w:cs="Times New Roman"/>
          <w:color w:val="000000" w:themeColor="text1"/>
          <w:sz w:val="24"/>
          <w14:textFill>
            <w14:solidFill>
              <w14:schemeClr w14:val="tx1"/>
            </w14:solidFill>
          </w14:textFill>
        </w:rPr>
        <w:t>8</w:t>
      </w:r>
      <w:r>
        <w:rPr>
          <w:rFonts w:ascii="Times New Roman" w:hAnsi="Times New Roman" w:eastAsia="宋体" w:cs="Times New Roman"/>
          <w:color w:val="000000" w:themeColor="text1"/>
          <w:sz w:val="24"/>
          <w14:textFill>
            <w14:solidFill>
              <w14:schemeClr w14:val="tx1"/>
            </w14:solidFill>
          </w14:textFill>
        </w:rPr>
        <w:t>：陆9井区侏罗系呼图壁组油藏LUD9021等2口注水钻探项目竣工环境保护验收意见；</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附件2-</w:t>
      </w:r>
      <w:r>
        <w:rPr>
          <w:rFonts w:hint="eastAsia" w:ascii="Times New Roman" w:hAnsi="Times New Roman" w:eastAsia="宋体" w:cs="Times New Roman"/>
          <w:color w:val="000000" w:themeColor="text1"/>
          <w:sz w:val="24"/>
          <w14:textFill>
            <w14:solidFill>
              <w14:schemeClr w14:val="tx1"/>
            </w14:solidFill>
          </w14:textFill>
        </w:rPr>
        <w:t>9</w:t>
      </w:r>
      <w:r>
        <w:rPr>
          <w:rFonts w:ascii="Times New Roman" w:hAnsi="Times New Roman" w:eastAsia="宋体" w:cs="Times New Roman"/>
          <w:color w:val="000000" w:themeColor="text1"/>
          <w:sz w:val="24"/>
          <w14:textFill>
            <w14:solidFill>
              <w14:schemeClr w14:val="tx1"/>
            </w14:solidFill>
          </w14:textFill>
        </w:rPr>
        <w:t>：关于《陆梁油田作业区陆9井区呼图壁河组油藏补钻更新井工程环境影响报告表的批复》（塔地环宇〔2019〕52号）；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附件2-</w:t>
      </w:r>
      <w:r>
        <w:rPr>
          <w:rFonts w:hint="eastAsia" w:ascii="Times New Roman" w:hAnsi="Times New Roman" w:eastAsia="宋体" w:cs="Times New Roman"/>
          <w:color w:val="000000" w:themeColor="text1"/>
          <w:sz w:val="24"/>
          <w14:textFill>
            <w14:solidFill>
              <w14:schemeClr w14:val="tx1"/>
            </w14:solidFill>
          </w14:textFill>
        </w:rPr>
        <w:t>10</w:t>
      </w:r>
      <w:r>
        <w:rPr>
          <w:rFonts w:ascii="Times New Roman" w:hAnsi="Times New Roman" w:eastAsia="宋体" w:cs="Times New Roman"/>
          <w:color w:val="000000" w:themeColor="text1"/>
          <w:sz w:val="24"/>
          <w14:textFill>
            <w14:solidFill>
              <w14:schemeClr w14:val="tx1"/>
            </w14:solidFill>
          </w14:textFill>
        </w:rPr>
        <w:t>：陆梁油田作业区陆9井区呼图壁河组油藏补钻更新井工程竣工环境保护验收意见；</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附件2-</w:t>
      </w:r>
      <w:r>
        <w:rPr>
          <w:rFonts w:hint="eastAsia" w:ascii="Times New Roman" w:hAnsi="Times New Roman" w:eastAsia="宋体" w:cs="Times New Roman"/>
          <w:color w:val="000000" w:themeColor="text1"/>
          <w:sz w:val="24"/>
          <w14:textFill>
            <w14:solidFill>
              <w14:schemeClr w14:val="tx1"/>
            </w14:solidFill>
          </w14:textFill>
        </w:rPr>
        <w:t>11</w:t>
      </w:r>
      <w:r>
        <w:rPr>
          <w:rFonts w:ascii="Times New Roman" w:hAnsi="Times New Roman" w:eastAsia="宋体" w:cs="Times New Roman"/>
          <w:color w:val="000000" w:themeColor="text1"/>
          <w:sz w:val="24"/>
          <w14:textFill>
            <w14:solidFill>
              <w14:schemeClr w14:val="tx1"/>
            </w14:solidFill>
          </w14:textFill>
        </w:rPr>
        <w:t>：关于《陆9井区呼图壁河组油藏2022年水平井开发工程环境影响报告书的批复》（塔地环字〔2022〕147号）；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附件2-1</w:t>
      </w:r>
      <w:r>
        <w:rPr>
          <w:rFonts w:hint="eastAsia" w:ascii="Times New Roman" w:hAnsi="Times New Roman" w:eastAsia="宋体" w:cs="Times New Roman"/>
          <w:color w:val="000000" w:themeColor="text1"/>
          <w:sz w:val="24"/>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：陆9井区呼图壁河组油藏2022年水平井开发工程（第一批）竣工环境保护</w:t>
      </w:r>
      <w:r>
        <w:rPr>
          <w:rFonts w:hint="eastAsia" w:ascii="Times New Roman" w:hAnsi="Times New Roman" w:eastAsia="宋体" w:cs="Times New Roman"/>
          <w:color w:val="000000" w:themeColor="text1"/>
          <w:sz w:val="24"/>
          <w14:textFill>
            <w14:solidFill>
              <w14:schemeClr w14:val="tx1"/>
            </w14:solidFill>
          </w14:textFill>
        </w:rPr>
        <w:t>验收</w:t>
      </w:r>
      <w:r>
        <w:rPr>
          <w:rFonts w:ascii="Times New Roman" w:hAnsi="Times New Roman" w:eastAsia="宋体" w:cs="Times New Roman"/>
          <w:color w:val="000000" w:themeColor="text1"/>
          <w:sz w:val="24"/>
          <w14:textFill>
            <w14:solidFill>
              <w14:schemeClr w14:val="tx1"/>
            </w14:solidFill>
          </w14:textFill>
        </w:rPr>
        <w:t>意见；</w:t>
      </w:r>
    </w:p>
    <w:p>
      <w:pPr>
        <w:keepNext w:val="0"/>
        <w:keepLines w:val="0"/>
        <w:pageBreakBefore w:val="0"/>
        <w:widowControl/>
        <w:kinsoku/>
        <w:wordWrap w:val="0"/>
        <w:overflowPunct/>
        <w:topLinePunct w:val="0"/>
        <w:autoSpaceDE/>
        <w:autoSpaceDN/>
        <w:bidi w:val="0"/>
        <w:snapToGrid/>
        <w:spacing w:line="360" w:lineRule="auto"/>
        <w:textAlignment w:val="auto"/>
        <w:outlineLvl w:val="9"/>
        <w:rPr>
          <w:rFonts w:ascii="Times New Roman" w:hAnsi="Times New Roman" w:cs="Times New Roman"/>
          <w:color w:val="000000" w:themeColor="text1"/>
          <w:spacing w:val="4"/>
          <w:sz w:val="24"/>
          <w14:textFill>
            <w14:solidFill>
              <w14:schemeClr w14:val="tx1"/>
            </w14:solidFill>
          </w14:textFill>
        </w:rPr>
      </w:pPr>
      <w:bookmarkStart w:id="8" w:name="_Toc17855"/>
      <w:bookmarkStart w:id="9" w:name="_Toc27041"/>
      <w:bookmarkStart w:id="10" w:name="_Toc3260"/>
      <w:bookmarkStart w:id="11" w:name="_Toc5257"/>
      <w:r>
        <w:rPr>
          <w:rFonts w:ascii="Times New Roman" w:hAnsi="Times New Roman" w:cs="Times New Roman"/>
          <w:color w:val="000000" w:themeColor="text1"/>
          <w:spacing w:val="4"/>
          <w:sz w:val="24"/>
          <w14:textFill>
            <w14:solidFill>
              <w14:schemeClr w14:val="tx1"/>
            </w14:solidFill>
          </w14:textFill>
        </w:rPr>
        <w:t>附件3：</w:t>
      </w:r>
      <w:r>
        <w:rPr>
          <w:rFonts w:ascii="Times New Roman" w:hAnsi="Times New Roman" w:eastAsia="宋体" w:cs="Times New Roman"/>
          <w:color w:val="000000" w:themeColor="text1"/>
          <w:spacing w:val="4"/>
          <w:sz w:val="24"/>
          <w14:textFill>
            <w14:solidFill>
              <w14:schemeClr w14:val="tx1"/>
            </w14:solidFill>
          </w14:textFill>
        </w:rPr>
        <w:t>依托工程</w:t>
      </w:r>
      <w:r>
        <w:rPr>
          <w:rFonts w:ascii="Times New Roman" w:hAnsi="Times New Roman" w:cs="Times New Roman"/>
          <w:color w:val="000000" w:themeColor="text1"/>
          <w:spacing w:val="4"/>
          <w:sz w:val="24"/>
          <w14:textFill>
            <w14:solidFill>
              <w14:schemeClr w14:val="tx1"/>
            </w14:solidFill>
          </w14:textFill>
        </w:rPr>
        <w:t>相关环保手续</w:t>
      </w:r>
      <w:bookmarkEnd w:id="8"/>
      <w:bookmarkEnd w:id="9"/>
      <w:bookmarkEnd w:id="10"/>
      <w:bookmarkEnd w:id="11"/>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附件3-1：关于《新疆油田公司陆梁集中处理站污水处理系统扩建工程环境影响报告书的批复》（新环评价函〔2013〕273号）；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附件3-2：关于《新疆油田公司陆梁集中处理站污水处理系统扩建工程竣工环境保护验收合格的函》（新环函〔2016〕23号）；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附件3-3：关于《陆梁集中处理站改扩建工程环境影响报告书的批复》（新环函〔2015〕877号）；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附件3-4：关于《新疆油田公司陆梁集中处理站污水处理系统扩建工程竣工环境保护验收的批复》（塔地环验〔2017〕3号）；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附件3-5：关于《陆梁油田污水及注水系统扩建整体工程环境影响报告书的批复》（新环函〔2018〕16号）；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附件3-6：关于《新疆油田陆梁和石西原油密闭处理与稳定改造工程（陆梁部分）环境影响报告表的批复》（合生环评函字〔2019〕26号）；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附件3-7：关于</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新疆油田公司陆梁作业区陆梁污泥暂存池工程环境影响报告书的批复</w:t>
      </w:r>
      <w:r>
        <w:rPr>
          <w:rFonts w:hint="eastAsia" w:ascii="Times New Roman" w:hAnsi="Times New Roman" w:eastAsia="宋体" w:cs="Times New Roman"/>
          <w:color w:val="000000" w:themeColor="text1"/>
          <w:sz w:val="24"/>
          <w:lang w:val="en-US" w:eastAsia="zh-CN"/>
          <w14:textFill>
            <w14:solidFill>
              <w14:schemeClr w14:val="tx1"/>
            </w14:solidFill>
          </w14:textFill>
        </w:rPr>
        <w:t>》（新环函</w:t>
      </w:r>
      <w:r>
        <w:rPr>
          <w:rFonts w:ascii="Times New Roman" w:hAnsi="Times New Roman" w:eastAsia="宋体" w:cs="Times New Roman"/>
          <w:color w:val="000000" w:themeColor="text1"/>
          <w:sz w:val="24"/>
          <w14:textFill>
            <w14:solidFill>
              <w14:schemeClr w14:val="tx1"/>
            </w14:solidFill>
          </w14:textFill>
        </w:rPr>
        <w:t>〔201</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1853号）；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附件3-8：中国石油新疆油田公司陆梁作业区陆梁污泥暂存池工程竣工环境保护验收意见；</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附件3-9：关于《陆梁油田作业区污泥暂存场改造工程环境影响报告表的批复》（塔地环字</w:t>
      </w:r>
      <w:r>
        <w:rPr>
          <w:rFonts w:ascii="Times New Roman" w:hAnsi="Times New Roman" w:eastAsia="宋体" w:cs="Times New Roman"/>
          <w:color w:val="000000" w:themeColor="text1"/>
          <w:sz w:val="24"/>
          <w14:textFill>
            <w14:solidFill>
              <w14:schemeClr w14:val="tx1"/>
            </w14:solidFill>
          </w14:textFill>
        </w:rPr>
        <w:t>〔20</w:t>
      </w:r>
      <w:r>
        <w:rPr>
          <w:rFonts w:hint="eastAsia" w:ascii="Times New Roman" w:hAnsi="Times New Roman" w:eastAsia="宋体" w:cs="Times New Roman"/>
          <w:color w:val="000000" w:themeColor="text1"/>
          <w:sz w:val="24"/>
          <w:lang w:val="en-US" w:eastAsia="zh-CN"/>
          <w14:textFill>
            <w14:solidFill>
              <w14:schemeClr w14:val="tx1"/>
            </w14:solidFill>
          </w14:textFill>
        </w:rPr>
        <w:t>23</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264号）；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附件3-10：陆梁油田作业区污泥暂存场改造工程竣工环境保护验收意见</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附件3-</w:t>
      </w:r>
      <w:r>
        <w:rPr>
          <w:rFonts w:hint="eastAsia" w:ascii="Times New Roman" w:hAnsi="Times New Roman" w:eastAsia="宋体" w:cs="Times New Roman"/>
          <w:color w:val="000000" w:themeColor="text1"/>
          <w:sz w:val="24"/>
          <w:lang w:val="en-US" w:eastAsia="zh-CN"/>
          <w14:textFill>
            <w14:solidFill>
              <w14:schemeClr w14:val="tx1"/>
            </w14:solidFill>
          </w14:textFill>
        </w:rPr>
        <w:t>11</w:t>
      </w:r>
      <w:r>
        <w:rPr>
          <w:rFonts w:ascii="Times New Roman" w:hAnsi="Times New Roman" w:eastAsia="宋体" w:cs="Times New Roman"/>
          <w:color w:val="000000" w:themeColor="text1"/>
          <w:sz w:val="24"/>
          <w14:textFill>
            <w14:solidFill>
              <w14:schemeClr w14:val="tx1"/>
            </w14:solidFill>
          </w14:textFill>
        </w:rPr>
        <w:t>：关于《克拉玛依博达生态环保科技有限责任公司油田污泥污水处理项目升级改造工程环境影响报告书的批复》（新环函〔2018〕1182号）；</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附件3-</w:t>
      </w:r>
      <w:r>
        <w:rPr>
          <w:rFonts w:hint="eastAsia" w:ascii="Times New Roman" w:hAnsi="Times New Roman" w:eastAsia="宋体" w:cs="Times New Roman"/>
          <w:color w:val="000000" w:themeColor="text1"/>
          <w:sz w:val="24"/>
          <w:lang w:val="en-US" w:eastAsia="zh-CN"/>
          <w14:textFill>
            <w14:solidFill>
              <w14:schemeClr w14:val="tx1"/>
            </w14:solidFill>
          </w14:textFill>
        </w:rPr>
        <w:t>12</w:t>
      </w:r>
      <w:r>
        <w:rPr>
          <w:rFonts w:ascii="Times New Roman" w:hAnsi="Times New Roman" w:eastAsia="宋体" w:cs="Times New Roman"/>
          <w:color w:val="000000" w:themeColor="text1"/>
          <w:sz w:val="24"/>
          <w14:textFill>
            <w14:solidFill>
              <w14:schemeClr w14:val="tx1"/>
            </w14:solidFill>
          </w14:textFill>
        </w:rPr>
        <w:t>：克拉玛依博达生态环保科技有限责任公司油田污泥污水处理项目升级改造工程竣工环境保护验收意见；</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附件3-</w:t>
      </w:r>
      <w:r>
        <w:rPr>
          <w:rFonts w:hint="eastAsia" w:ascii="Times New Roman" w:hAnsi="Times New Roman" w:eastAsia="宋体" w:cs="Times New Roman"/>
          <w:color w:val="000000" w:themeColor="text1"/>
          <w:sz w:val="24"/>
          <w:lang w:val="en-US" w:eastAsia="zh-CN"/>
          <w14:textFill>
            <w14:solidFill>
              <w14:schemeClr w14:val="tx1"/>
            </w14:solidFill>
          </w14:textFill>
        </w:rPr>
        <w:t>13</w:t>
      </w:r>
      <w:r>
        <w:rPr>
          <w:rFonts w:hint="eastAsia" w:ascii="Times New Roman" w:hAnsi="Times New Roman" w:eastAsia="宋体" w:cs="Times New Roman"/>
          <w:color w:val="000000" w:themeColor="text1"/>
          <w:sz w:val="24"/>
          <w14:textFill>
            <w14:solidFill>
              <w14:schemeClr w14:val="tx1"/>
            </w14:solidFill>
          </w14:textFill>
        </w:rPr>
        <w:t>：关于《克拉玛依博达生态环保公司废弃物处置再生利用项目环境影响报告书的批复》</w:t>
      </w:r>
      <w:r>
        <w:rPr>
          <w:rFonts w:ascii="Times New Roman" w:hAnsi="Times New Roman" w:eastAsia="宋体" w:cs="Times New Roman"/>
          <w:color w:val="000000" w:themeColor="text1"/>
          <w:sz w:val="24"/>
          <w14:textFill>
            <w14:solidFill>
              <w14:schemeClr w14:val="tx1"/>
            </w14:solidFill>
          </w14:textFill>
        </w:rPr>
        <w:t>（新环函〔2018〕1</w:t>
      </w:r>
      <w:r>
        <w:rPr>
          <w:rFonts w:hint="eastAsia" w:ascii="Times New Roman" w:hAnsi="Times New Roman" w:eastAsia="宋体" w:cs="Times New Roman"/>
          <w:color w:val="000000" w:themeColor="text1"/>
          <w:sz w:val="24"/>
          <w14:textFill>
            <w14:solidFill>
              <w14:schemeClr w14:val="tx1"/>
            </w14:solidFill>
          </w14:textFill>
        </w:rPr>
        <w:t>447</w:t>
      </w:r>
      <w:r>
        <w:rPr>
          <w:rFonts w:ascii="Times New Roman" w:hAnsi="Times New Roman" w:eastAsia="宋体" w:cs="Times New Roman"/>
          <w:color w:val="000000" w:themeColor="text1"/>
          <w:sz w:val="24"/>
          <w14:textFill>
            <w14:solidFill>
              <w14:schemeClr w14:val="tx1"/>
            </w14:solidFill>
          </w14:textFill>
        </w:rPr>
        <w:t>号）</w:t>
      </w:r>
      <w:r>
        <w:rPr>
          <w:rFonts w:hint="eastAsia" w:ascii="Times New Roman" w:hAnsi="Times New Roman" w:eastAsia="宋体" w:cs="Times New Roman"/>
          <w:color w:val="000000" w:themeColor="text1"/>
          <w:sz w:val="24"/>
          <w14:textFill>
            <w14:solidFill>
              <w14:schemeClr w14:val="tx1"/>
            </w14:solidFill>
          </w14:textFill>
        </w:rPr>
        <w:t>；</w:t>
      </w:r>
    </w:p>
    <w:p>
      <w:pPr>
        <w:keepNext w:val="0"/>
        <w:keepLines w:val="0"/>
        <w:pageBreakBefore w:val="0"/>
        <w:widowControl/>
        <w:kinsoku/>
        <w:wordWrap w:val="0"/>
        <w:overflowPunct/>
        <w:topLinePunct w:val="0"/>
        <w:autoSpaceDE/>
        <w:autoSpaceDN/>
        <w:bidi w:val="0"/>
        <w:snapToGrid/>
        <w:spacing w:line="360" w:lineRule="auto"/>
        <w:ind w:firstLine="480" w:firstLineChars="200"/>
        <w:textAlignment w:val="auto"/>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附件3-1</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14:textFill>
            <w14:solidFill>
              <w14:schemeClr w14:val="tx1"/>
            </w14:solidFill>
          </w14:textFill>
        </w:rPr>
        <w:t>：克拉玛依博达生态环保科技有限责任公司废弃物处置再生利用项目竣工环境保护验收意见；</w:t>
      </w:r>
    </w:p>
    <w:p>
      <w:pPr>
        <w:pStyle w:val="30"/>
        <w:keepNext w:val="0"/>
        <w:keepLines w:val="0"/>
        <w:pageBreakBefore w:val="0"/>
        <w:widowControl/>
        <w:kinsoku/>
        <w:wordWrap w:val="0"/>
        <w:overflowPunct/>
        <w:topLinePunct w:val="0"/>
        <w:autoSpaceDE/>
        <w:autoSpaceDN/>
        <w:bidi w:val="0"/>
        <w:snapToGrid/>
        <w:spacing w:line="360" w:lineRule="auto"/>
        <w:ind w:firstLine="0"/>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附件4：危险废物处置合同；</w:t>
      </w:r>
    </w:p>
    <w:p>
      <w:pPr>
        <w:pStyle w:val="30"/>
        <w:keepNext w:val="0"/>
        <w:keepLines w:val="0"/>
        <w:pageBreakBefore w:val="0"/>
        <w:widowControl/>
        <w:kinsoku/>
        <w:wordWrap w:val="0"/>
        <w:overflowPunct/>
        <w:topLinePunct w:val="0"/>
        <w:autoSpaceDE/>
        <w:autoSpaceDN/>
        <w:bidi w:val="0"/>
        <w:snapToGrid/>
        <w:spacing w:line="360" w:lineRule="auto"/>
        <w:ind w:firstLine="0"/>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附件5：克拉玛依博达生态环保科技有限责任公司经营许可证；</w:t>
      </w:r>
    </w:p>
    <w:p>
      <w:pPr>
        <w:pStyle w:val="30"/>
        <w:keepNext w:val="0"/>
        <w:keepLines w:val="0"/>
        <w:pageBreakBefore w:val="0"/>
        <w:widowControl/>
        <w:kinsoku/>
        <w:wordWrap w:val="0"/>
        <w:overflowPunct/>
        <w:topLinePunct w:val="0"/>
        <w:autoSpaceDE/>
        <w:autoSpaceDN/>
        <w:bidi w:val="0"/>
        <w:snapToGrid/>
        <w:spacing w:line="360" w:lineRule="auto"/>
        <w:ind w:firstLine="0"/>
        <w:textAlignment w:val="auto"/>
        <w:rPr>
          <w:rFonts w:cs="Times New Roman"/>
          <w:color w:val="000000" w:themeColor="text1"/>
          <w:sz w:val="24"/>
          <w:szCs w:val="24"/>
          <w14:textFill>
            <w14:solidFill>
              <w14:schemeClr w14:val="tx1"/>
            </w14:solidFill>
          </w14:textFill>
        </w:rPr>
      </w:pPr>
      <w:bookmarkStart w:id="12" w:name="_Toc5098"/>
      <w:bookmarkStart w:id="13" w:name="_Toc11970"/>
      <w:r>
        <w:rPr>
          <w:rFonts w:cs="Times New Roman"/>
          <w:color w:val="000000" w:themeColor="text1"/>
          <w:sz w:val="24"/>
          <w:szCs w:val="24"/>
          <w14:textFill>
            <w14:solidFill>
              <w14:schemeClr w14:val="tx1"/>
            </w14:solidFill>
          </w14:textFill>
        </w:rPr>
        <w:t>附件6：新疆油田分公司陆梁油田作业区陆梁集中处理站排污许可</w:t>
      </w:r>
      <w:bookmarkEnd w:id="12"/>
      <w:bookmarkEnd w:id="13"/>
      <w:r>
        <w:rPr>
          <w:rFonts w:cs="Times New Roman"/>
          <w:color w:val="000000" w:themeColor="text1"/>
          <w:sz w:val="24"/>
          <w:szCs w:val="24"/>
          <w14:textFill>
            <w14:solidFill>
              <w14:schemeClr w14:val="tx1"/>
            </w14:solidFill>
          </w14:textFill>
        </w:rPr>
        <w:t>；</w:t>
      </w:r>
    </w:p>
    <w:p>
      <w:pPr>
        <w:pStyle w:val="30"/>
        <w:keepNext w:val="0"/>
        <w:keepLines w:val="0"/>
        <w:pageBreakBefore w:val="0"/>
        <w:widowControl/>
        <w:kinsoku/>
        <w:wordWrap w:val="0"/>
        <w:overflowPunct/>
        <w:topLinePunct w:val="0"/>
        <w:autoSpaceDE/>
        <w:autoSpaceDN/>
        <w:bidi w:val="0"/>
        <w:snapToGrid/>
        <w:spacing w:line="360" w:lineRule="auto"/>
        <w:ind w:firstLine="0"/>
        <w:textAlignment w:val="auto"/>
        <w:rPr>
          <w:rFonts w:cs="Times New Roman"/>
          <w:color w:val="000000" w:themeColor="text1"/>
          <w:sz w:val="24"/>
          <w:szCs w:val="24"/>
          <w14:textFill>
            <w14:solidFill>
              <w14:schemeClr w14:val="tx1"/>
            </w14:solidFill>
          </w14:textFill>
        </w:rPr>
      </w:pPr>
      <w:bookmarkStart w:id="14" w:name="_Toc32525"/>
      <w:bookmarkStart w:id="15" w:name="_Toc3331"/>
      <w:r>
        <w:rPr>
          <w:rFonts w:cs="Times New Roman"/>
          <w:color w:val="000000" w:themeColor="text1"/>
          <w:sz w:val="24"/>
          <w:szCs w:val="24"/>
          <w14:textFill>
            <w14:solidFill>
              <w14:schemeClr w14:val="tx1"/>
            </w14:solidFill>
          </w14:textFill>
        </w:rPr>
        <w:t>附件7：中国石油新疆油田分公司陆梁油田作业区突发环境事件应急预案备案</w:t>
      </w:r>
      <w:bookmarkEnd w:id="14"/>
      <w:bookmarkEnd w:id="15"/>
      <w:r>
        <w:rPr>
          <w:rFonts w:cs="Times New Roman"/>
          <w:color w:val="000000" w:themeColor="text1"/>
          <w:sz w:val="24"/>
          <w:szCs w:val="24"/>
          <w14:textFill>
            <w14:solidFill>
              <w14:schemeClr w14:val="tx1"/>
            </w14:solidFill>
          </w14:textFill>
        </w:rPr>
        <w:t>；</w:t>
      </w:r>
    </w:p>
    <w:p>
      <w:pPr>
        <w:pStyle w:val="20"/>
        <w:keepNext w:val="0"/>
        <w:keepLines w:val="0"/>
        <w:pageBreakBefore w:val="0"/>
        <w:widowControl/>
        <w:kinsoku/>
        <w:overflowPunct/>
        <w:topLinePunct w:val="0"/>
        <w:autoSpaceDE/>
        <w:autoSpaceDN/>
        <w:bidi w:val="0"/>
        <w:snapToGrid/>
        <w:spacing w:before="0" w:beforeAutospacing="0" w:after="0" w:afterAutospacing="0" w:line="360" w:lineRule="auto"/>
        <w:jc w:val="both"/>
        <w:textAlignment w:val="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附件8：</w:t>
      </w:r>
      <w:r>
        <w:rPr>
          <w:rFonts w:ascii="Times New Roman" w:hAnsi="Times New Roman" w:eastAsia="宋体" w:cs="Times New Roman"/>
          <w:color w:val="000000" w:themeColor="text1"/>
          <w:spacing w:val="4"/>
          <w:sz w:val="24"/>
          <w14:textFill>
            <w14:solidFill>
              <w14:schemeClr w14:val="tx1"/>
            </w14:solidFill>
          </w14:textFill>
        </w:rPr>
        <w:t>环境</w:t>
      </w:r>
      <w:r>
        <w:rPr>
          <w:rFonts w:hint="eastAsia" w:ascii="Times New Roman" w:hAnsi="Times New Roman" w:eastAsia="宋体" w:cs="Times New Roman"/>
          <w:color w:val="000000" w:themeColor="text1"/>
          <w:spacing w:val="4"/>
          <w:sz w:val="24"/>
          <w:lang w:val="en-US" w:eastAsia="zh-CN"/>
          <w14:textFill>
            <w14:solidFill>
              <w14:schemeClr w14:val="tx1"/>
            </w14:solidFill>
          </w14:textFill>
        </w:rPr>
        <w:t>检测</w:t>
      </w:r>
      <w:r>
        <w:rPr>
          <w:rFonts w:ascii="Times New Roman" w:hAnsi="Times New Roman" w:eastAsia="宋体" w:cs="Times New Roman"/>
          <w:color w:val="000000" w:themeColor="text1"/>
          <w:spacing w:val="4"/>
          <w:sz w:val="24"/>
          <w14:textFill>
            <w14:solidFill>
              <w14:schemeClr w14:val="tx1"/>
            </w14:solidFill>
          </w14:textFill>
        </w:rPr>
        <w:t>报告</w:t>
      </w:r>
      <w:r>
        <w:rPr>
          <w:rFonts w:ascii="Times New Roman" w:hAnsi="Times New Roman" w:eastAsia="宋体" w:cs="Times New Roman"/>
          <w:color w:val="000000" w:themeColor="text1"/>
          <w14:textFill>
            <w14:solidFill>
              <w14:schemeClr w14:val="tx1"/>
            </w14:solidFill>
          </w14:textFill>
        </w:rPr>
        <w:t>；</w:t>
      </w:r>
    </w:p>
    <w:p>
      <w:pPr>
        <w:keepNext w:val="0"/>
        <w:keepLines w:val="0"/>
        <w:pageBreakBefore w:val="0"/>
        <w:widowControl/>
        <w:kinsoku/>
        <w:wordWrap w:val="0"/>
        <w:overflowPunct/>
        <w:topLinePunct w:val="0"/>
        <w:autoSpaceDE/>
        <w:autoSpaceDN/>
        <w:bidi w:val="0"/>
        <w:snapToGrid/>
        <w:spacing w:line="360" w:lineRule="auto"/>
        <w:textAlignment w:val="auto"/>
        <w:rPr>
          <w:rFonts w:hint="eastAsia" w:ascii="Times New Roman" w:hAnsi="Times New Roman" w:eastAsia="宋体" w:cs="Times New Roman"/>
          <w:color w:val="000000" w:themeColor="text1"/>
          <w:spacing w:val="4"/>
          <w:sz w:val="24"/>
          <w:lang w:eastAsia="zh-CN"/>
          <w14:textFill>
            <w14:solidFill>
              <w14:schemeClr w14:val="tx1"/>
            </w14:solidFill>
          </w14:textFill>
        </w:rPr>
      </w:pPr>
      <w:r>
        <w:rPr>
          <w:rFonts w:ascii="Times New Roman" w:hAnsi="Times New Roman" w:eastAsia="宋体" w:cs="Times New Roman"/>
          <w:color w:val="000000" w:themeColor="text1"/>
          <w:spacing w:val="4"/>
          <w:sz w:val="24"/>
          <w14:textFill>
            <w14:solidFill>
              <w14:schemeClr w14:val="tx1"/>
            </w14:solidFill>
          </w14:textFill>
        </w:rPr>
        <w:t>附件9：建设项目环境影响报告审批基础信息表</w:t>
      </w:r>
      <w:r>
        <w:rPr>
          <w:rFonts w:hint="eastAsia" w:ascii="Times New Roman" w:hAnsi="Times New Roman" w:eastAsia="宋体" w:cs="Times New Roman"/>
          <w:color w:val="000000" w:themeColor="text1"/>
          <w:spacing w:val="4"/>
          <w:sz w:val="24"/>
          <w:lang w:eastAsia="zh-CN"/>
          <w14:textFill>
            <w14:solidFill>
              <w14:schemeClr w14:val="tx1"/>
            </w14:solidFill>
          </w14:textFill>
        </w:rPr>
        <w:t>。</w:t>
      </w:r>
    </w:p>
    <w:p>
      <w:pPr>
        <w:widowControl/>
        <w:wordWrap w:val="0"/>
        <w:spacing w:line="360" w:lineRule="auto"/>
        <w:rPr>
          <w:rFonts w:ascii="Times New Roman" w:hAnsi="Times New Roman" w:eastAsia="宋体" w:cs="Times New Roman"/>
          <w:color w:val="000000" w:themeColor="text1"/>
          <w:sz w:val="24"/>
          <w14:textFill>
            <w14:solidFill>
              <w14:schemeClr w14:val="tx1"/>
            </w14:solidFill>
          </w14:textFill>
        </w:rPr>
      </w:pPr>
    </w:p>
    <w:p>
      <w:pPr>
        <w:widowControl/>
        <w:wordWrap w:val="0"/>
        <w:spacing w:line="360" w:lineRule="auto"/>
        <w:rPr>
          <w:rFonts w:ascii="Times New Roman" w:hAnsi="Times New Roman" w:eastAsia="宋体" w:cs="Times New Roman"/>
          <w:color w:val="000000" w:themeColor="text1"/>
          <w:sz w:val="24"/>
          <w14:textFill>
            <w14:solidFill>
              <w14:schemeClr w14:val="tx1"/>
            </w14:solidFill>
          </w14:textFill>
        </w:rPr>
        <w:sectPr>
          <w:footerReference r:id="rId5" w:type="default"/>
          <w:pgSz w:w="11906" w:h="16838"/>
          <w:pgMar w:top="1440" w:right="1800" w:bottom="1440" w:left="1800" w:header="851" w:footer="992" w:gutter="0"/>
          <w:pgNumType w:fmt="upperRoman" w:start="4"/>
          <w:cols w:space="425" w:num="1"/>
          <w:docGrid w:type="lines" w:linePitch="312" w:charSpace="0"/>
        </w:sectPr>
      </w:pPr>
    </w:p>
    <w:p>
      <w:pPr>
        <w:pStyle w:val="2"/>
        <w:keepLines w:val="0"/>
        <w:pageBreakBefore/>
        <w:tabs>
          <w:tab w:val="center" w:pos="4252"/>
          <w:tab w:val="left" w:pos="6855"/>
        </w:tabs>
        <w:spacing w:before="312" w:beforeLines="100" w:after="312" w:afterLines="100"/>
        <w:ind w:left="431" w:hanging="431"/>
        <w:rPr>
          <w:rFonts w:ascii="Times New Roman" w:hAnsi="Times New Roman" w:cs="Times New Roman"/>
          <w:bCs w:val="0"/>
          <w:snapToGrid w:val="0"/>
          <w:color w:val="000000" w:themeColor="text1"/>
          <w:kern w:val="0"/>
          <w:sz w:val="44"/>
          <w14:textFill>
            <w14:solidFill>
              <w14:schemeClr w14:val="tx1"/>
            </w14:solidFill>
          </w14:textFill>
        </w:rPr>
      </w:pPr>
      <w:bookmarkStart w:id="16" w:name="_Toc11843"/>
      <w:r>
        <w:rPr>
          <w:rFonts w:ascii="Times New Roman" w:hAnsi="Times New Roman" w:cs="Times New Roman"/>
          <w:bCs w:val="0"/>
          <w:snapToGrid w:val="0"/>
          <w:color w:val="000000" w:themeColor="text1"/>
          <w:kern w:val="0"/>
          <w:sz w:val="44"/>
          <w14:textFill>
            <w14:solidFill>
              <w14:schemeClr w14:val="tx1"/>
            </w14:solidFill>
          </w14:textFill>
        </w:rPr>
        <w:t>1概述</w:t>
      </w:r>
      <w:bookmarkEnd w:id="16"/>
    </w:p>
    <w:p>
      <w:pPr>
        <w:pStyle w:val="3"/>
        <w:spacing w:before="10" w:after="10"/>
        <w:rPr>
          <w:rFonts w:ascii="Times New Roman" w:hAnsi="Times New Roman" w:cs="Times New Roman"/>
          <w:color w:val="000000" w:themeColor="text1"/>
          <w14:textFill>
            <w14:solidFill>
              <w14:schemeClr w14:val="tx1"/>
            </w14:solidFill>
          </w14:textFill>
        </w:rPr>
      </w:pPr>
      <w:bookmarkStart w:id="17" w:name="_Toc25321"/>
      <w:bookmarkStart w:id="18" w:name="_Toc24219"/>
      <w:r>
        <w:rPr>
          <w:rFonts w:ascii="Times New Roman" w:hAnsi="Times New Roman" w:cs="Times New Roman"/>
          <w:color w:val="000000" w:themeColor="text1"/>
          <w14:textFill>
            <w14:solidFill>
              <w14:schemeClr w14:val="tx1"/>
            </w14:solidFill>
          </w14:textFill>
        </w:rPr>
        <w:t>1.1建设项目</w:t>
      </w:r>
      <w:bookmarkEnd w:id="17"/>
      <w:r>
        <w:rPr>
          <w:rFonts w:hint="eastAsia" w:ascii="Times New Roman" w:hAnsi="Times New Roman" w:cs="Times New Roman"/>
          <w:color w:val="000000" w:themeColor="text1"/>
          <w14:textFill>
            <w14:solidFill>
              <w14:schemeClr w14:val="tx1"/>
            </w14:solidFill>
          </w14:textFill>
        </w:rPr>
        <w:t>情况</w:t>
      </w:r>
      <w:bookmarkEnd w:id="18"/>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油田陆9井区位于准噶尔盆地陆梁隆起三个泉凸起1号背斜东高点，行政隶属新疆维吾尔自治区塔城地区和布克赛尔蒙古自治县，位于已开发的石南油田北约20km处。工区地表为近南北向的未固定～半固定沙丘覆盖，地面海拔480m～520m。工区温差悬殊，夏季最高气温可达45℃以上，冬季最低气温可达-42℃以下。区内</w:t>
      </w:r>
      <w:r>
        <w:rPr>
          <w:rFonts w:hint="eastAsia" w:ascii="Times New Roman" w:hAnsi="Times New Roman" w:cs="Times New Roman"/>
          <w:color w:val="000000" w:themeColor="text1"/>
          <w:sz w:val="24"/>
          <w14:textFill>
            <w14:solidFill>
              <w14:schemeClr w14:val="tx1"/>
            </w14:solidFill>
          </w14:textFill>
        </w:rPr>
        <w:t>平均年降水量</w:t>
      </w:r>
      <w:r>
        <w:rPr>
          <w:rFonts w:ascii="Times New Roman" w:hAnsi="Times New Roman" w:cs="Times New Roman"/>
          <w:color w:val="000000" w:themeColor="text1"/>
          <w:sz w:val="24"/>
          <w14:textFill>
            <w14:solidFill>
              <w14:schemeClr w14:val="tx1"/>
            </w14:solidFill>
          </w14:textFill>
        </w:rPr>
        <w:t>80mm，属大陆干旱性气候。克拉玛依市至陆梁油田陆9井区建有柏油公路，交通便利。</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lang w:val="zh-CN"/>
          <w14:textFill>
            <w14:solidFill>
              <w14:schemeClr w14:val="tx1"/>
            </w14:solidFill>
          </w14:textFill>
        </w:rPr>
        <w:t>通过开发特征分析，</w:t>
      </w:r>
      <w:r>
        <w:rPr>
          <w:rFonts w:ascii="Times New Roman" w:hAnsi="Times New Roman" w:cs="Times New Roman"/>
          <w:color w:val="000000" w:themeColor="text1"/>
          <w:sz w:val="24"/>
          <w14:textFill>
            <w14:solidFill>
              <w14:schemeClr w14:val="tx1"/>
            </w14:solidFill>
          </w14:textFill>
        </w:rPr>
        <w:t>陆9井区油藏受剖面动用不均、井网不规则、井距偏大的影响，目前水驱效率低，边部采出程度小于25%，区域水洗半径小于140m。受水驱控制程度低及注水井单井负荷逐年增加而欠注的影响，注采比逐年降低，油藏已不满足持续提高注采强度从而提高采收率的需求。通过穿层井及数模验证，井间尚有大量剩余油，但受底水及井网不规则、井距偏大的影响，井间剩余油无法动用，需通过井网调整，进一步提高油藏采收率。</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根据《陆9井区白垩系呼图壁河组油藏加密调整工程方案》，</w:t>
      </w:r>
      <w:r>
        <w:rPr>
          <w:rFonts w:ascii="Times New Roman" w:hAnsi="Times New Roman" w:eastAsia="宋体" w:cs="Times New Roman"/>
          <w:color w:val="000000" w:themeColor="text1"/>
          <w:kern w:val="0"/>
          <w:sz w:val="24"/>
          <w14:textFill>
            <w14:solidFill>
              <w14:schemeClr w14:val="tx1"/>
            </w14:solidFill>
          </w14:textFill>
        </w:rPr>
        <w:t>本项目计划在陆9井区</w:t>
      </w:r>
      <w:r>
        <w:rPr>
          <w:rFonts w:hint="eastAsia" w:ascii="Times New Roman" w:hAnsi="Times New Roman" w:eastAsia="宋体" w:cs="Times New Roman"/>
          <w:color w:val="000000" w:themeColor="text1"/>
          <w:kern w:val="0"/>
          <w:sz w:val="24"/>
          <w14:textFill>
            <w14:solidFill>
              <w14:schemeClr w14:val="tx1"/>
            </w14:solidFill>
          </w14:textFill>
        </w:rPr>
        <w:t>共</w:t>
      </w:r>
      <w:r>
        <w:rPr>
          <w:rFonts w:ascii="Times New Roman" w:hAnsi="Times New Roman" w:eastAsia="宋体" w:cs="Times New Roman"/>
          <w:color w:val="000000" w:themeColor="text1"/>
          <w:kern w:val="0"/>
          <w:sz w:val="24"/>
          <w14:textFill>
            <w14:solidFill>
              <w14:schemeClr w14:val="tx1"/>
            </w14:solidFill>
          </w14:textFill>
        </w:rPr>
        <w:t>部署调整井37口，包括新钻采油井28口，老井转注9口</w:t>
      </w:r>
      <w:r>
        <w:rPr>
          <w:rFonts w:hint="eastAsia" w:ascii="Times New Roman" w:hAnsi="Times New Roman" w:eastAsia="宋体" w:cs="Times New Roman"/>
          <w:color w:val="000000" w:themeColor="text1"/>
          <w:kern w:val="0"/>
          <w:sz w:val="24"/>
          <w14:textFill>
            <w14:solidFill>
              <w14:schemeClr w14:val="tx1"/>
            </w14:solidFill>
          </w14:textFill>
        </w:rPr>
        <w:t>。</w:t>
      </w:r>
      <w:r>
        <w:rPr>
          <w:rFonts w:ascii="Times New Roman" w:hAnsi="Times New Roman" w:eastAsia="宋体" w:cs="Times New Roman"/>
          <w:color w:val="000000" w:themeColor="text1"/>
          <w:kern w:val="0"/>
          <w:sz w:val="24"/>
          <w14:textFill>
            <w14:solidFill>
              <w14:schemeClr w14:val="tx1"/>
            </w14:solidFill>
          </w14:textFill>
        </w:rPr>
        <w:t>新建产能</w:t>
      </w:r>
      <w:r>
        <w:rPr>
          <w:rFonts w:hint="eastAsia" w:ascii="Times New Roman" w:hAnsi="Times New Roman" w:eastAsia="宋体" w:cs="Times New Roman"/>
          <w:color w:val="000000" w:themeColor="text1"/>
          <w:kern w:val="0"/>
          <w:sz w:val="24"/>
          <w14:textFill>
            <w14:solidFill>
              <w14:schemeClr w14:val="tx1"/>
            </w14:solidFill>
          </w14:textFill>
        </w:rPr>
        <w:t>2.52</w:t>
      </w:r>
      <w:r>
        <w:rPr>
          <w:rFonts w:ascii="Times New Roman" w:hAnsi="Times New Roman" w:eastAsia="宋体" w:cs="Times New Roman"/>
          <w:color w:val="000000" w:themeColor="text1"/>
          <w:kern w:val="0"/>
          <w:sz w:val="24"/>
          <w14:textFill>
            <w14:solidFill>
              <w14:schemeClr w14:val="tx1"/>
            </w14:solidFill>
          </w14:textFill>
        </w:rPr>
        <w:t>×10</w:t>
      </w:r>
      <w:r>
        <w:rPr>
          <w:rFonts w:ascii="Times New Roman" w:hAnsi="Times New Roman" w:eastAsia="宋体" w:cs="Times New Roman"/>
          <w:color w:val="000000" w:themeColor="text1"/>
          <w:kern w:val="0"/>
          <w:sz w:val="24"/>
          <w:vertAlign w:val="superscript"/>
          <w14:textFill>
            <w14:solidFill>
              <w14:schemeClr w14:val="tx1"/>
            </w14:solidFill>
          </w14:textFill>
        </w:rPr>
        <w:t>4</w:t>
      </w:r>
      <w:r>
        <w:rPr>
          <w:rFonts w:ascii="Times New Roman" w:hAnsi="Times New Roman" w:eastAsia="宋体" w:cs="Times New Roman"/>
          <w:color w:val="000000" w:themeColor="text1"/>
          <w:kern w:val="0"/>
          <w:sz w:val="24"/>
          <w14:textFill>
            <w14:solidFill>
              <w14:schemeClr w14:val="tx1"/>
            </w14:solidFill>
          </w14:textFill>
        </w:rPr>
        <w:t>t/a</w:t>
      </w:r>
      <w:r>
        <w:rPr>
          <w:rFonts w:hint="eastAsia" w:ascii="Times New Roman" w:hAnsi="Times New Roman" w:eastAsia="宋体" w:cs="Times New Roman"/>
          <w:color w:val="000000" w:themeColor="text1"/>
          <w:kern w:val="0"/>
          <w:sz w:val="24"/>
          <w14:textFill>
            <w14:solidFill>
              <w14:schemeClr w14:val="tx1"/>
            </w14:solidFill>
          </w14:textFill>
        </w:rPr>
        <w:t>，单井最大注水量为150m</w:t>
      </w:r>
      <w:r>
        <w:rPr>
          <w:rFonts w:hint="eastAsia" w:ascii="Times New Roman" w:hAnsi="Times New Roman" w:eastAsia="宋体" w:cs="Times New Roman"/>
          <w:color w:val="000000" w:themeColor="text1"/>
          <w:kern w:val="0"/>
          <w:sz w:val="24"/>
          <w:vertAlign w:val="superscript"/>
          <w14:textFill>
            <w14:solidFill>
              <w14:schemeClr w14:val="tx1"/>
            </w14:solidFill>
          </w14:textFill>
        </w:rPr>
        <w:t>3</w:t>
      </w:r>
      <w:r>
        <w:rPr>
          <w:rFonts w:hint="eastAsia" w:ascii="Times New Roman" w:hAnsi="Times New Roman" w:eastAsia="宋体" w:cs="Times New Roman"/>
          <w:color w:val="000000" w:themeColor="text1"/>
          <w:kern w:val="0"/>
          <w:sz w:val="24"/>
          <w14:textFill>
            <w14:solidFill>
              <w14:schemeClr w14:val="tx1"/>
            </w14:solidFill>
          </w14:textFill>
        </w:rPr>
        <w:t>/d。新建计量站5座、配水撬3座。新建37口井的单井出油管道10.33km、集油支线3.6km、集油干线2.1km，单井注水管道4.52km、注水干线2.12km、注水支线1.77km。</w:t>
      </w:r>
      <w:r>
        <w:rPr>
          <w:rFonts w:ascii="Times New Roman" w:hAnsi="Times New Roman" w:eastAsia="宋体" w:cs="Times New Roman"/>
          <w:color w:val="000000" w:themeColor="text1"/>
          <w:kern w:val="0"/>
          <w:sz w:val="24"/>
          <w14:textFill>
            <w14:solidFill>
              <w14:schemeClr w14:val="tx1"/>
            </w14:solidFill>
          </w14:textFill>
        </w:rPr>
        <w:t>配套建设供配电及仪表自动化等地面工程。</w:t>
      </w:r>
    </w:p>
    <w:p>
      <w:pPr>
        <w:pStyle w:val="3"/>
        <w:spacing w:before="10" w:after="10"/>
        <w:rPr>
          <w:rFonts w:ascii="Times New Roman" w:hAnsi="Times New Roman" w:cs="Times New Roman"/>
          <w:color w:val="000000" w:themeColor="text1"/>
          <w14:textFill>
            <w14:solidFill>
              <w14:schemeClr w14:val="tx1"/>
            </w14:solidFill>
          </w14:textFill>
        </w:rPr>
      </w:pPr>
      <w:bookmarkStart w:id="19" w:name="_Toc22173"/>
      <w:bookmarkStart w:id="20" w:name="_Toc3644"/>
      <w:r>
        <w:rPr>
          <w:rFonts w:ascii="Times New Roman" w:hAnsi="Times New Roman" w:cs="Times New Roman"/>
          <w:color w:val="000000" w:themeColor="text1"/>
          <w14:textFill>
            <w14:solidFill>
              <w14:schemeClr w14:val="tx1"/>
            </w14:solidFill>
          </w14:textFill>
        </w:rPr>
        <w:t>1.2环境影响评价技术路线</w:t>
      </w:r>
      <w:bookmarkEnd w:id="19"/>
      <w:bookmarkEnd w:id="20"/>
    </w:p>
    <w:p>
      <w:pPr>
        <w:autoSpaceDN w:val="0"/>
        <w:spacing w:line="360" w:lineRule="auto"/>
        <w:ind w:firstLine="480" w:firstLineChars="200"/>
        <w:rPr>
          <w:rFonts w:ascii="Times New Roman" w:hAnsi="Times New Roman" w:cs="Times New Roman"/>
          <w:color w:val="000000" w:themeColor="text1"/>
          <w:sz w:val="24"/>
          <w14:textFill>
            <w14:solidFill>
              <w14:schemeClr w14:val="tx1"/>
            </w14:solidFill>
          </w14:textFill>
        </w:rPr>
        <w:sectPr>
          <w:footerReference r:id="rId6" w:type="default"/>
          <w:pgSz w:w="11906" w:h="16838"/>
          <w:pgMar w:top="1440" w:right="1800" w:bottom="1440" w:left="1800" w:header="851" w:footer="992" w:gutter="0"/>
          <w:pgNumType w:start="1"/>
          <w:cols w:space="425" w:num="1"/>
          <w:docGrid w:type="lines" w:linePitch="312" w:charSpace="0"/>
        </w:sectPr>
      </w:pPr>
      <w:r>
        <w:rPr>
          <w:rFonts w:ascii="Times New Roman" w:hAnsi="Times New Roman" w:cs="Times New Roman"/>
          <w:color w:val="000000" w:themeColor="text1"/>
          <w:sz w:val="24"/>
          <w14:textFill>
            <w14:solidFill>
              <w14:schemeClr w14:val="tx1"/>
            </w14:solidFill>
          </w14:textFill>
        </w:rPr>
        <w:t>本项目为陆地石油开采项目，位于塔城地区和布克赛尔蒙古自治县境内，根据新疆生态环境厅发布的《进一步加强和规范油气田开发项目环境保护管理工作的通知》（新环发〔2018〕133号），要求对油田开发区域情况划分一张图（即：老区块范围），经核对，本项目</w:t>
      </w:r>
      <w:r>
        <w:rPr>
          <w:rFonts w:hint="eastAsia" w:ascii="Times New Roman" w:hAnsi="Times New Roman" w:cs="Times New Roman"/>
          <w:color w:val="000000" w:themeColor="text1"/>
          <w:sz w:val="24"/>
          <w14:textFill>
            <w14:solidFill>
              <w14:schemeClr w14:val="tx1"/>
            </w14:solidFill>
          </w14:textFill>
        </w:rPr>
        <w:t>37</w:t>
      </w:r>
      <w:r>
        <w:rPr>
          <w:rFonts w:ascii="Times New Roman" w:hAnsi="Times New Roman" w:cs="Times New Roman"/>
          <w:color w:val="000000" w:themeColor="text1"/>
          <w:sz w:val="24"/>
          <w14:textFill>
            <w14:solidFill>
              <w14:schemeClr w14:val="tx1"/>
            </w14:solidFill>
          </w14:textFill>
        </w:rPr>
        <w:t>口井在老区块评价范围内，详细见图1.2-1，故按照老区块进行环境影响评价</w:t>
      </w:r>
    </w:p>
    <w:p>
      <w:pPr>
        <w:autoSpaceDN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新疆维吾尔自治区水土保持规划》（2018-2030年）、《关于印发新疆维吾尔自治区级水土流失重点预防区和重点治理区复核划分成果的通知》（新水水保〔2019〕4号）和《新疆维吾尔自治区2020年水土流失动态监测数据》（水利部水土保持监测中心、2021年4月），项目所在区域属于水土流失重点治理区天山北坡诸小河流域重点治理区。根据《中华人民共和国环境影响评价法》《建设项目环境影响评价分类管理名录（2021年版）》（生态环境部</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部令第16号），本工程属于分类管理名录</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五、石油和天然气开采业07、陆地石油开采0711—石油开采新区块开发、页岩油开采、涉及环境敏感区的（含内部集输管线建设）</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，应编制环境影响报告书。</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中国石油新疆油田分公司开发公司于202</w:t>
      </w:r>
      <w:r>
        <w:rPr>
          <w:rFonts w:hint="eastAsia" w:ascii="Times New Roman" w:hAnsi="Times New Roman" w:cs="Times New Roman"/>
          <w:color w:val="000000" w:themeColor="text1"/>
          <w:sz w:val="24"/>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年1</w:t>
      </w:r>
      <w:r>
        <w:rPr>
          <w:rFonts w:hint="eastAsia" w:ascii="Times New Roman" w:hAnsi="Times New Roman" w:cs="Times New Roman"/>
          <w:color w:val="000000" w:themeColor="text1"/>
          <w:sz w:val="24"/>
          <w14:textFill>
            <w14:solidFill>
              <w14:schemeClr w14:val="tx1"/>
            </w14:solidFill>
          </w14:textFill>
        </w:rPr>
        <w:t>0</w:t>
      </w:r>
      <w:r>
        <w:rPr>
          <w:rFonts w:ascii="Times New Roman" w:hAnsi="Times New Roman" w:cs="Times New Roman"/>
          <w:color w:val="000000" w:themeColor="text1"/>
          <w:sz w:val="24"/>
          <w14:textFill>
            <w14:solidFill>
              <w14:schemeClr w14:val="tx1"/>
            </w14:solidFill>
          </w14:textFill>
        </w:rPr>
        <w:t>月委托南京国环科技股份有限公司开展《陆9井区白垩系呼图壁河组油藏加密调整工程环境影响报告书》的编制工作。</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单位接受环评委托后，在建设单位的大力协助下，进行了现场踏勘和资料收集，结合有关资料和当地环境特征，按国家、自治区环境保护政策以及环评技术导则、规范的要求，开展该项目的环境影响评价工作。对本项目进行初步的工程分析，同时开展初步的环境状况调查及公众意见调查。识别本项目的环境影响因素，筛选主要的环境影响评价因子，明确评价重点和环境保护目标，确定环境影响评价的范围、评价工作等级和评价标准，最后制定工作方案。再进一步工程分析，环境现状调查、监测并开展环境质量现状评价的基础上进行环境影响预测及评价，提出减少环境污染和生态影响的环境管理措施和工程措施。从环境保护的角度确定项目建设的可行性，给出评价结论和提出进一步减缓环境影响的措施，并最终完成环境影响报告书编制。</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受评价单位委托，新疆天熙环保科技有限公司于2024年</w:t>
      </w:r>
      <w:r>
        <w:rPr>
          <w:rFonts w:hint="eastAsia" w:ascii="Times New Roman" w:hAnsi="Times New Roman" w:cs="Times New Roman"/>
          <w:color w:val="000000" w:themeColor="text1"/>
          <w:sz w:val="24"/>
          <w14:textFill>
            <w14:solidFill>
              <w14:schemeClr w14:val="tx1"/>
            </w14:solidFill>
          </w14:textFill>
        </w:rPr>
        <w:t>11</w:t>
      </w:r>
      <w:r>
        <w:rPr>
          <w:rFonts w:ascii="Times New Roman" w:hAnsi="Times New Roman" w:cs="Times New Roman"/>
          <w:color w:val="000000" w:themeColor="text1"/>
          <w:sz w:val="24"/>
          <w14:textFill>
            <w14:solidFill>
              <w14:schemeClr w14:val="tx1"/>
            </w14:solidFill>
          </w14:textFill>
        </w:rPr>
        <w:t>月对拟建项目评价区域声环境、土壤环境及环境空气质量现状进行了监测。在以上工作基础上，南京国环科技股份有限公司编制完成了本项目环境影响报告书。</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具体评价工程程序图如下：</w:t>
      </w: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mc:AlternateContent>
          <mc:Choice Requires="wpg">
            <w:drawing>
              <wp:anchor distT="0" distB="0" distL="114300" distR="114300" simplePos="0" relativeHeight="251665408" behindDoc="0" locked="0" layoutInCell="1" allowOverlap="1">
                <wp:simplePos x="0" y="0"/>
                <wp:positionH relativeFrom="column">
                  <wp:posOffset>94615</wp:posOffset>
                </wp:positionH>
                <wp:positionV relativeFrom="paragraph">
                  <wp:posOffset>168275</wp:posOffset>
                </wp:positionV>
                <wp:extent cx="4981575" cy="5053965"/>
                <wp:effectExtent l="6350" t="6350" r="22225" b="6985"/>
                <wp:wrapNone/>
                <wp:docPr id="140" name="组合 140"/>
                <wp:cNvGraphicFramePr/>
                <a:graphic xmlns:a="http://schemas.openxmlformats.org/drawingml/2006/main">
                  <a:graphicData uri="http://schemas.microsoft.com/office/word/2010/wordprocessingGroup">
                    <wpg:wgp>
                      <wpg:cNvGrpSpPr/>
                      <wpg:grpSpPr>
                        <a:xfrm>
                          <a:off x="0" y="0"/>
                          <a:ext cx="4981575" cy="5053965"/>
                          <a:chOff x="2889" y="103443"/>
                          <a:chExt cx="7845" cy="7959"/>
                        </a:xfrm>
                      </wpg:grpSpPr>
                      <wpg:grpSp>
                        <wpg:cNvPr id="137" name="组合 137"/>
                        <wpg:cNvGrpSpPr/>
                        <wpg:grpSpPr>
                          <a:xfrm>
                            <a:off x="4530" y="103625"/>
                            <a:ext cx="3992" cy="7627"/>
                            <a:chOff x="4530" y="103625"/>
                            <a:chExt cx="3992" cy="7627"/>
                          </a:xfrm>
                        </wpg:grpSpPr>
                        <wps:wsp>
                          <wps:cNvPr id="10" name="文本框 10"/>
                          <wps:cNvSpPr txBox="1"/>
                          <wps:spPr>
                            <a:xfrm>
                              <a:off x="5362" y="103625"/>
                              <a:ext cx="2335" cy="74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收集分析工程技术文件以及相关基础资料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106"/>
                          <wps:cNvSpPr txBox="1"/>
                          <wps:spPr>
                            <a:xfrm>
                              <a:off x="4818" y="104804"/>
                              <a:ext cx="3420" cy="107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进行工程分析，识别环境影响并筛选评价因子，明确环境影响评价工作重点和环境保护目标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4530" y="106302"/>
                              <a:ext cx="3992"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确定评价工作等级、评价范围和评价标准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a:off x="5076" y="107182"/>
                              <a:ext cx="2886" cy="4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现状监测并进行调查与评价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19"/>
                          <wps:cNvSpPr txBox="1"/>
                          <wps:spPr>
                            <a:xfrm>
                              <a:off x="4574" y="108112"/>
                              <a:ext cx="3888" cy="43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各环境要素和专题环境影响预测与评价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121"/>
                          <wps:cNvSpPr txBox="1"/>
                          <wps:spPr>
                            <a:xfrm>
                              <a:off x="4921" y="110512"/>
                              <a:ext cx="3172" cy="74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从生态环境影响的角度给出工程建设项目是否可行的结论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文本框 124"/>
                          <wps:cNvSpPr txBox="1"/>
                          <wps:spPr>
                            <a:xfrm>
                              <a:off x="4598" y="109013"/>
                              <a:ext cx="3823" cy="107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确定科学合理、可行的工程方案，提出预防或减缓不利影响的对策或措施，制定相应的环境管理或环境监测计划</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直接箭头连接符 125"/>
                          <wps:cNvCnPr>
                            <a:stCxn id="10" idx="2"/>
                            <a:endCxn id="106" idx="0"/>
                          </wps:cNvCnPr>
                          <wps:spPr>
                            <a:xfrm flipH="1">
                              <a:off x="6528" y="104366"/>
                              <a:ext cx="2" cy="438"/>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6" name="直接箭头连接符 126"/>
                          <wps:cNvCnPr>
                            <a:stCxn id="106" idx="2"/>
                            <a:endCxn id="107" idx="0"/>
                          </wps:cNvCnPr>
                          <wps:spPr>
                            <a:xfrm flipH="1">
                              <a:off x="6526" y="105882"/>
                              <a:ext cx="2" cy="42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7" name="直接箭头连接符 127"/>
                          <wps:cNvCnPr>
                            <a:stCxn id="107" idx="2"/>
                            <a:endCxn id="112" idx="0"/>
                          </wps:cNvCnPr>
                          <wps:spPr>
                            <a:xfrm flipH="1">
                              <a:off x="6519" y="106752"/>
                              <a:ext cx="7" cy="43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8" name="直接箭头连接符 128"/>
                          <wps:cNvCnPr>
                            <a:stCxn id="112" idx="2"/>
                            <a:endCxn id="119" idx="0"/>
                          </wps:cNvCnPr>
                          <wps:spPr>
                            <a:xfrm flipH="1">
                              <a:off x="6518" y="107633"/>
                              <a:ext cx="1" cy="479"/>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9" name="直接箭头连接符 129"/>
                          <wps:cNvCnPr>
                            <a:stCxn id="119" idx="2"/>
                            <a:endCxn id="124" idx="0"/>
                          </wps:cNvCnPr>
                          <wps:spPr>
                            <a:xfrm flipH="1">
                              <a:off x="6510" y="108544"/>
                              <a:ext cx="8" cy="469"/>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30" name="直接箭头连接符 130"/>
                          <wps:cNvCnPr>
                            <a:stCxn id="124" idx="2"/>
                            <a:endCxn id="121" idx="0"/>
                          </wps:cNvCnPr>
                          <wps:spPr>
                            <a:xfrm flipH="1">
                              <a:off x="6507" y="110091"/>
                              <a:ext cx="3" cy="421"/>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grpSp>
                        <wpg:cNvPr id="138" name="组合 138"/>
                        <wpg:cNvGrpSpPr/>
                        <wpg:grpSpPr>
                          <a:xfrm>
                            <a:off x="2942" y="104413"/>
                            <a:ext cx="449" cy="6407"/>
                            <a:chOff x="2942" y="104413"/>
                            <a:chExt cx="449" cy="6407"/>
                          </a:xfrm>
                        </wpg:grpSpPr>
                        <wps:wsp>
                          <wps:cNvPr id="131" name="文本框 131"/>
                          <wps:cNvSpPr txBox="1"/>
                          <wps:spPr>
                            <a:xfrm>
                              <a:off x="2946" y="104413"/>
                              <a:ext cx="439" cy="14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第一阶段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文本框 132"/>
                          <wps:cNvSpPr txBox="1"/>
                          <wps:spPr>
                            <a:xfrm>
                              <a:off x="2952" y="109414"/>
                              <a:ext cx="439" cy="14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第三阶段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文本框 133"/>
                          <wps:cNvSpPr txBox="1"/>
                          <wps:spPr>
                            <a:xfrm>
                              <a:off x="2942" y="107176"/>
                              <a:ext cx="439" cy="14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第二阶段</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39" name="组合 139"/>
                        <wpg:cNvGrpSpPr/>
                        <wpg:grpSpPr>
                          <a:xfrm>
                            <a:off x="2889" y="103443"/>
                            <a:ext cx="7845" cy="7959"/>
                            <a:chOff x="2889" y="103443"/>
                            <a:chExt cx="7845" cy="7959"/>
                          </a:xfrm>
                        </wpg:grpSpPr>
                        <wps:wsp>
                          <wps:cNvPr id="134" name="矩形 134"/>
                          <wps:cNvSpPr/>
                          <wps:spPr>
                            <a:xfrm>
                              <a:off x="2891" y="103443"/>
                              <a:ext cx="7835" cy="3413"/>
                            </a:xfrm>
                            <a:prstGeom prst="rect">
                              <a:avLst/>
                            </a:prstGeom>
                            <a:noFill/>
                            <a:ln>
                              <a:solidFill>
                                <a:schemeClr val="bg1">
                                  <a:lumMod val="50000"/>
                                </a:schemeClr>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矩形 135"/>
                          <wps:cNvSpPr/>
                          <wps:spPr>
                            <a:xfrm>
                              <a:off x="2889" y="106968"/>
                              <a:ext cx="7835" cy="1791"/>
                            </a:xfrm>
                            <a:prstGeom prst="rect">
                              <a:avLst/>
                            </a:prstGeom>
                            <a:noFill/>
                            <a:ln>
                              <a:solidFill>
                                <a:schemeClr val="bg1">
                                  <a:lumMod val="50000"/>
                                </a:schemeClr>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6" name="矩形 136"/>
                          <wps:cNvSpPr/>
                          <wps:spPr>
                            <a:xfrm>
                              <a:off x="2899" y="108861"/>
                              <a:ext cx="7835" cy="2541"/>
                            </a:xfrm>
                            <a:prstGeom prst="rect">
                              <a:avLst/>
                            </a:prstGeom>
                            <a:noFill/>
                            <a:ln>
                              <a:solidFill>
                                <a:schemeClr val="bg1">
                                  <a:lumMod val="50000"/>
                                </a:schemeClr>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7.45pt;margin-top:13.25pt;height:397.95pt;width:392.25pt;z-index:251665408;mso-width-relative:page;mso-height-relative:page;" coordorigin="2889,103443" coordsize="7845,7959" o:gfxdata="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">
                <o:lock v:ext="edit" aspectratio="f"/>
                <v:group id="_x0000_s1026" o:spid="_x0000_s1026" o:spt="203" style="position:absolute;left:4530;top:103625;height:7627;width:3992;" coordorigin="4530,103625" coordsize="3992,7627"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5362;top:103625;height:741;width:2335;" fillcolor="#FFFFFF [3201]" filled="t" stroked="t" coordsize="21600,21600" o:gfxdata="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Jr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r>
                            <w:rPr>
                              <w:rFonts w:hint="eastAsia"/>
                            </w:rPr>
                            <w:t>收集分析工程技术文件以及相关基础资料</w:t>
                          </w:r>
                        </w:p>
                      </w:txbxContent>
                    </v:textbox>
                  </v:shape>
                  <v:shape id="_x0000_s1026" o:spid="_x0000_s1026" o:spt="202" type="#_x0000_t202" style="position:absolute;left:4818;top:104804;height:1078;width:3420;" fillcolor="#FFFFFF [3201]" filled="t" stroked="t" coordsize="21600,21600" o:gfxdata="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BK9m5AAAA3A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r>
                            <w:rPr>
                              <w:rFonts w:hint="eastAsia"/>
                            </w:rPr>
                            <w:t>进行工程分析，识别环境影响并筛选评价因子，明确环境影响评价工作重点和环境保护目标</w:t>
                          </w:r>
                        </w:p>
                      </w:txbxContent>
                    </v:textbox>
                  </v:shape>
                  <v:shape id="_x0000_s1026" o:spid="_x0000_s1026" o:spt="202" type="#_x0000_t202" style="position:absolute;left:4530;top:106302;height:450;width:3992;" fillcolor="#FFFFFF [3201]" filled="t" stroked="t" coordsize="21600,21600" o:gfxdata="UEsDBAoAAAAAAIdO4kAAAAAAAAAAAAAAAAAEAAAAZHJzL1BLAwQUAAAACACHTuJA/02OQrcAAADc&#10;AAAADwAAAGRycy9kb3ducmV2LnhtbEVPTYvCMBC9L/gfwgjetokKrl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Y5C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r>
                            <w:rPr>
                              <w:rFonts w:hint="eastAsia"/>
                            </w:rPr>
                            <w:t>确定评价工作等级、评价范围和评价标准</w:t>
                          </w:r>
                        </w:p>
                      </w:txbxContent>
                    </v:textbox>
                  </v:shape>
                  <v:shape id="_x0000_s1026" o:spid="_x0000_s1026" o:spt="202" type="#_x0000_t202" style="position:absolute;left:5076;top:107182;height:451;width:2886;" fillcolor="#FFFFFF [3201]" filled="t" stroked="t" coordsize="21600,21600" o:gfxdata="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uO7B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现状监测并进行调查与评价</w:t>
                          </w:r>
                        </w:p>
                      </w:txbxContent>
                    </v:textbox>
                  </v:shape>
                  <v:shape id="_x0000_s1026" o:spid="_x0000_s1026" o:spt="202" type="#_x0000_t202" style="position:absolute;left:4574;top:108112;height:432;width:3888;" fillcolor="#FFFFFF [3201]" filled="t" stroked="t" coordsize="21600,21600" o:gfxdata="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Ecpd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各环境要素和专题环境影响预测与评价</w:t>
                          </w:r>
                        </w:p>
                      </w:txbxContent>
                    </v:textbox>
                  </v:shape>
                  <v:shape id="_x0000_s1026" o:spid="_x0000_s1026" o:spt="202" type="#_x0000_t202" style="position:absolute;left:4921;top:110512;height:741;width:3172;" fillcolor="#FFFFFF [3201]" filled="t" stroked="t" coordsize="21600,21600" o:gfxdata="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F3vz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从生态环境影响的角度给出工程建设项目是否可行的结论</w:t>
                          </w:r>
                        </w:p>
                      </w:txbxContent>
                    </v:textbox>
                  </v:shape>
                  <v:shape id="_x0000_s1026" o:spid="_x0000_s1026" o:spt="202" type="#_x0000_t202" style="position:absolute;left:4598;top:109013;height:1078;width:3823;" fillcolor="#FFFFFF [3201]" filled="t" stroked="t" coordsize="21600,21600" o:gfxdata="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CpMV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确定科学合理、可行的工程方案，提出预防或减缓不利影响的对策或措施，制定相应的环境管理或环境监测计划</w:t>
                          </w:r>
                        </w:p>
                        <w:p/>
                      </w:txbxContent>
                    </v:textbox>
                  </v:shape>
                  <v:shape id="_x0000_s1026" o:spid="_x0000_s1026" o:spt="32" type="#_x0000_t32" style="position:absolute;left:6528;top:104366;flip:x;height:438;width:2;" filled="f" stroked="t" coordsize="21600,21600" o:gfxdata="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7eX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6526;top:105882;flip:x;height:420;width:2;" filled="f" stroked="t" coordsize="21600,21600" o:gfxdata="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xAK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6519;top:106752;flip:x;height:430;width:7;" filled="f" stroked="t" coordsize="21600,21600" o:gfxdata="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Dls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6518;top:107633;flip:x;height:479;width:1;" filled="f" stroked="t" coordsize="21600,21600" o:gfxdata="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9xw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6510;top:108544;flip:x;height:469;width:8;" filled="f" stroked="t" coordsize="21600,21600" o:gfxdata="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PUWL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6507;top:110091;flip:x;height:421;width:3;" filled="f" stroked="t" coordsize="21600,21600" o:gfxdata="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DrG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v:group id="_x0000_s1026" o:spid="_x0000_s1026" o:spt="203" style="position:absolute;left:2942;top:104413;height:6407;width:449;" coordorigin="2942,104413" coordsize="449,6407"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2946;top:104413;height:1406;width:439;" filled="f" stroked="f" coordsize="21600,21600" o:gfxdata="UEsDBAoAAAAAAIdO4kAAAAAAAAAAAAAAAAAEAAAAZHJzL1BLAwQUAAAACACHTuJADupiqLwAAADc&#10;AAAADwAAAGRycy9kb3ducmV2LnhtbEVPS4vCMBC+C/6HMII3Taso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Yq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第一阶段</w:t>
                          </w:r>
                        </w:p>
                      </w:txbxContent>
                    </v:textbox>
                  </v:shape>
                  <v:shape id="_x0000_s1026" o:spid="_x0000_s1026" o:spt="202" type="#_x0000_t202" style="position:absolute;left:2952;top:109414;height:1406;width:439;" filled="f" stroked="f" coordsize="21600,21600" o:gfxdata="UEsDBAoAAAAAAIdO4kAAAAAAAAAAAAAAAAAEAAAAZHJzL1BLAwQUAAAACACHTuJA/jj837wAAADc&#10;AAAADwAAAGRycy9kb3ducmV2LnhtbEVPS4vCMBC+C/6HMII3Ta3s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4/N+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第三阶段</w:t>
                          </w:r>
                        </w:p>
                      </w:txbxContent>
                    </v:textbox>
                  </v:shape>
                  <v:shape id="_x0000_s1026" o:spid="_x0000_s1026" o:spt="202" type="#_x0000_t202" style="position:absolute;left:2942;top:107176;height:1406;width:439;" filled="f" stroked="f" coordsize="21600,21600" o:gfxdata="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RZR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第二阶段</w:t>
                          </w:r>
                        </w:p>
                      </w:txbxContent>
                    </v:textbox>
                  </v:shape>
                </v:group>
                <v:group id="_x0000_s1026" o:spid="_x0000_s1026" o:spt="203" style="position:absolute;left:2889;top:103443;height:7959;width:7845;" coordorigin="2889,103443" coordsize="7845,7959"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rect id="_x0000_s1026" o:spid="_x0000_s1026" o:spt="1" style="position:absolute;left:2891;top:103443;height:3413;width:7835;v-text-anchor:middle;" filled="f" stroked="t" coordsize="21600,21600" o:gfxdata="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yyVq/&#10;AAAA3AAAAA8AAAAAAAAAAQAgAAAAIgAAAGRycy9kb3ducmV2LnhtbFBLAQIUABQAAAAIAIdO4kAz&#10;LwWeOwAAADkAAAAQAAAAAAAAAAEAIAAAAA4BAABkcnMvc2hhcGV4bWwueG1sUEsFBgAAAAAGAAYA&#10;WwEAALgDAAAAAA==&#10;">
                    <v:fill on="f" focussize="0,0"/>
                    <v:stroke weight="1pt" color="#7F7F7F [1612]" miterlimit="8" joinstyle="miter" dashstyle="3 1"/>
                    <v:imagedata o:title=""/>
                    <o:lock v:ext="edit" aspectratio="f"/>
                  </v:rect>
                  <v:rect id="_x0000_s1026" o:spid="_x0000_s1026" o:spt="1" style="position:absolute;left:2889;top:106968;height:1791;width:7835;v-text-anchor:middle;" filled="f" stroked="t" coordsize="21600,21600" o:gfxdata="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vmzB&#10;wAAAANwAAAAPAAAAAAAAAAEAIAAAACIAAABkcnMvZG93bnJldi54bWxQSwECFAAUAAAACACHTuJA&#10;My8FnjsAAAA5AAAAEAAAAAAAAAABACAAAAAPAQAAZHJzL3NoYXBleG1sLnhtbFBLBQYAAAAABgAG&#10;AFsBAAC5AwAAAAA=&#10;">
                    <v:fill on="f" focussize="0,0"/>
                    <v:stroke weight="1pt" color="#7F7F7F [1612]" miterlimit="8" joinstyle="miter" dashstyle="3 1"/>
                    <v:imagedata o:title=""/>
                    <o:lock v:ext="edit" aspectratio="f"/>
                  </v:rect>
                  <v:rect id="_x0000_s1026" o:spid="_x0000_s1026" o:spt="1" style="position:absolute;left:2899;top:108861;height:2541;width:7835;v-text-anchor:middle;" filled="f" stroked="t" coordsize="21600,21600" o:gfxdata="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s8ra/&#10;AAAA3AAAAA8AAAAAAAAAAQAgAAAAIgAAAGRycy9kb3ducmV2LnhtbFBLAQIUABQAAAAIAIdO4kAz&#10;LwWeOwAAADkAAAAQAAAAAAAAAAEAIAAAAA4BAABkcnMvc2hhcGV4bWwueG1sUEsFBgAAAAAGAAYA&#10;WwEAALgDAAAAAA==&#10;">
                    <v:fill on="f" focussize="0,0"/>
                    <v:stroke weight="1pt" color="#7F7F7F [1612]" miterlimit="8" joinstyle="miter" dashstyle="3 1"/>
                    <v:imagedata o:title=""/>
                    <o:lock v:ext="edit" aspectratio="f"/>
                  </v:rect>
                </v:group>
              </v:group>
            </w:pict>
          </mc:Fallback>
        </mc:AlternateContent>
      </w: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rPr>
          <w:rFonts w:ascii="Times New Roman" w:hAnsi="Times New Roman" w:cs="Times New Roman"/>
          <w:color w:val="000000" w:themeColor="text1"/>
          <w:sz w:val="24"/>
          <w14:textFill>
            <w14:solidFill>
              <w14:schemeClr w14:val="tx1"/>
            </w14:solidFill>
          </w14:textFill>
        </w:rPr>
      </w:pPr>
    </w:p>
    <w:p>
      <w:pPr>
        <w:spacing w:line="360" w:lineRule="auto"/>
        <w:ind w:firstLine="422" w:firstLineChars="200"/>
        <w:jc w:val="center"/>
        <w:rPr>
          <w:rFonts w:ascii="Times New Roman" w:hAnsi="Times New Roman" w:cs="Times New Roman"/>
          <w:b/>
          <w:bCs/>
          <w:color w:val="000000" w:themeColor="text1"/>
          <w:szCs w:val="21"/>
          <w14:textFill>
            <w14:solidFill>
              <w14:schemeClr w14:val="tx1"/>
            </w14:solidFill>
          </w14:textFill>
        </w:rPr>
      </w:pPr>
    </w:p>
    <w:p>
      <w:pPr>
        <w:spacing w:line="360" w:lineRule="auto"/>
        <w:ind w:firstLine="422" w:firstLineChars="200"/>
        <w:jc w:val="center"/>
        <w:rPr>
          <w:rFonts w:ascii="Times New Roman" w:hAnsi="Times New Roman" w:cs="Times New Roman"/>
          <w:b/>
          <w:bCs/>
          <w:color w:val="000000" w:themeColor="text1"/>
          <w:szCs w:val="21"/>
          <w14:textFill>
            <w14:solidFill>
              <w14:schemeClr w14:val="tx1"/>
            </w14:solidFill>
          </w14:textFill>
        </w:rPr>
      </w:pPr>
    </w:p>
    <w:p>
      <w:pPr>
        <w:spacing w:line="360" w:lineRule="auto"/>
        <w:ind w:firstLine="422" w:firstLineChars="200"/>
        <w:jc w:val="center"/>
        <w:rPr>
          <w:rFonts w:ascii="Times New Roman" w:hAnsi="Times New Roman" w:cs="Times New Roman"/>
          <w:b/>
          <w:bCs/>
          <w:color w:val="000000" w:themeColor="text1"/>
          <w:szCs w:val="21"/>
          <w14:textFill>
            <w14:solidFill>
              <w14:schemeClr w14:val="tx1"/>
            </w14:solidFill>
          </w14:textFill>
        </w:rPr>
      </w:pPr>
    </w:p>
    <w:p>
      <w:pPr>
        <w:spacing w:line="360" w:lineRule="auto"/>
        <w:ind w:firstLine="422" w:firstLineChars="200"/>
        <w:jc w:val="center"/>
        <w:rPr>
          <w:rFonts w:ascii="Times New Roman" w:hAnsi="Times New Roman" w:cs="Times New Roman"/>
          <w:b/>
          <w:bCs/>
          <w:color w:val="000000" w:themeColor="text1"/>
          <w:szCs w:val="21"/>
          <w14:textFill>
            <w14:solidFill>
              <w14:schemeClr w14:val="tx1"/>
            </w14:solidFill>
          </w14:textFill>
        </w:rPr>
      </w:pPr>
    </w:p>
    <w:p>
      <w:pPr>
        <w:spacing w:line="360" w:lineRule="auto"/>
        <w:ind w:firstLine="422" w:firstLineChars="20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图1.2-2  建设项目环境影响评价工作程序图</w:t>
      </w:r>
    </w:p>
    <w:p>
      <w:pPr>
        <w:pStyle w:val="3"/>
        <w:spacing w:before="10" w:after="10"/>
        <w:rPr>
          <w:rFonts w:ascii="Times New Roman" w:hAnsi="Times New Roman" w:cs="Times New Roman"/>
          <w:color w:val="000000" w:themeColor="text1"/>
          <w14:textFill>
            <w14:solidFill>
              <w14:schemeClr w14:val="tx1"/>
            </w14:solidFill>
          </w14:textFill>
        </w:rPr>
      </w:pPr>
      <w:bookmarkStart w:id="21" w:name="_Toc44088051"/>
      <w:bookmarkStart w:id="22" w:name="_Toc6849"/>
      <w:bookmarkStart w:id="23" w:name="_Toc11092"/>
      <w:bookmarkStart w:id="24" w:name="_Toc16231"/>
      <w:bookmarkStart w:id="25" w:name="_Toc19765"/>
      <w:bookmarkStart w:id="26" w:name="_Toc35366450"/>
      <w:bookmarkStart w:id="27" w:name="_Toc35366059"/>
      <w:bookmarkStart w:id="28" w:name="_Hlk93312674"/>
      <w:r>
        <w:rPr>
          <w:rFonts w:ascii="Times New Roman" w:hAnsi="Times New Roman" w:cs="Times New Roman"/>
          <w:color w:val="000000" w:themeColor="text1"/>
          <w14:textFill>
            <w14:solidFill>
              <w14:schemeClr w14:val="tx1"/>
            </w14:solidFill>
          </w14:textFill>
        </w:rPr>
        <w:t>1.3分析判定相关情况</w:t>
      </w:r>
      <w:bookmarkEnd w:id="21"/>
      <w:bookmarkEnd w:id="22"/>
      <w:bookmarkEnd w:id="23"/>
      <w:bookmarkEnd w:id="24"/>
      <w:bookmarkEnd w:id="25"/>
      <w:bookmarkEnd w:id="26"/>
      <w:bookmarkEnd w:id="27"/>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（1）产业政策符合性判定</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拟建工程为石油开采项目，结合《产业结构调整指导目录》（2024年本），拟建工程属于第一类</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鼓励类</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第七条</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石油天然气开采</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第一款</w:t>
      </w:r>
      <w:r>
        <w:rPr>
          <w:rFonts w:hint="eastAsia" w:ascii="Times New Roman" w:hAnsi="Times New Roman" w:cs="Times New Roman"/>
          <w:color w:val="000000" w:themeColor="text1"/>
          <w:sz w:val="24"/>
          <w14:textFill>
            <w14:solidFill>
              <w14:schemeClr w14:val="tx1"/>
            </w14:solidFill>
          </w14:textFill>
        </w:rPr>
        <w:t>“常规石油、天然气勘探与开采”</w:t>
      </w:r>
      <w:r>
        <w:rPr>
          <w:rFonts w:ascii="Times New Roman" w:hAnsi="Times New Roman" w:cs="Times New Roman"/>
          <w:color w:val="000000" w:themeColor="text1"/>
          <w:sz w:val="24"/>
          <w14:textFill>
            <w14:solidFill>
              <w14:schemeClr w14:val="tx1"/>
            </w14:solidFill>
          </w14:textFill>
        </w:rPr>
        <w:t>，为鼓励类产业，符合国家当前产业政策要求。</w:t>
      </w:r>
    </w:p>
    <w:p>
      <w:pPr>
        <w:spacing w:line="360" w:lineRule="auto"/>
        <w:ind w:firstLine="480" w:firstLineChars="200"/>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（2）规划符合性判定</w:t>
      </w:r>
    </w:p>
    <w:p>
      <w:pPr>
        <w:topLinePunct/>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拟建工程属于</w:t>
      </w:r>
      <w:r>
        <w:rPr>
          <w:rFonts w:hint="eastAsia" w:ascii="Times New Roman" w:hAnsi="Times New Roman" w:cs="Times New Roman"/>
          <w:color w:val="000000" w:themeColor="text1"/>
          <w:sz w:val="24"/>
          <w14:textFill>
            <w14:solidFill>
              <w14:schemeClr w14:val="tx1"/>
            </w14:solidFill>
          </w14:textFill>
        </w:rPr>
        <w:t>陆梁油田作业区</w:t>
      </w:r>
      <w:r>
        <w:rPr>
          <w:rFonts w:ascii="Times New Roman" w:hAnsi="Times New Roman" w:cs="Times New Roman"/>
          <w:color w:val="000000" w:themeColor="text1"/>
          <w:sz w:val="24"/>
          <w14:textFill>
            <w14:solidFill>
              <w14:schemeClr w14:val="tx1"/>
            </w14:solidFill>
          </w14:textFill>
        </w:rPr>
        <w:t>油气开采项目，符合《新疆维吾尔自治区国民经济和社会发展第十四个五年规划和2035年远景目标纲要》</w:t>
      </w:r>
      <w:r>
        <w:rPr>
          <w:rFonts w:ascii="Times New Roman" w:hAnsi="Times New Roman" w:cs="Times New Roman"/>
          <w:color w:val="000000" w:themeColor="text1"/>
          <w:sz w:val="24"/>
          <w:lang w:val="zh-CN"/>
          <w14:textFill>
            <w14:solidFill>
              <w14:schemeClr w14:val="tx1"/>
            </w14:solidFill>
          </w14:textFill>
        </w:rPr>
        <w:t>《新疆油田公司</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zh-CN"/>
          <w14:textFill>
            <w14:solidFill>
              <w14:schemeClr w14:val="tx1"/>
            </w14:solidFill>
          </w14:textFill>
        </w:rPr>
        <w:t>十四五</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zh-CN"/>
          <w14:textFill>
            <w14:solidFill>
              <w14:schemeClr w14:val="tx1"/>
            </w14:solidFill>
          </w14:textFill>
        </w:rPr>
        <w:t>发展规划》《新疆生态环境保护</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zh-CN"/>
          <w14:textFill>
            <w14:solidFill>
              <w14:schemeClr w14:val="tx1"/>
            </w14:solidFill>
          </w14:textFill>
        </w:rPr>
        <w:t>十四五</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zh-CN"/>
          <w14:textFill>
            <w14:solidFill>
              <w14:schemeClr w14:val="tx1"/>
            </w14:solidFill>
          </w14:textFill>
        </w:rPr>
        <w:t>规划》</w:t>
      </w:r>
      <w:r>
        <w:rPr>
          <w:rFonts w:hint="eastAsia" w:ascii="Times New Roman" w:hAnsi="Times New Roman" w:cs="Times New Roman"/>
          <w:color w:val="000000" w:themeColor="text1"/>
          <w:sz w:val="24"/>
          <w:lang w:val="zh-CN"/>
          <w14:textFill>
            <w14:solidFill>
              <w14:schemeClr w14:val="tx1"/>
            </w14:solidFill>
          </w14:textFill>
        </w:rPr>
        <w:t>《塔城地区生态环境保护“十四五”规划》</w:t>
      </w:r>
      <w:r>
        <w:rPr>
          <w:rFonts w:ascii="Times New Roman" w:hAnsi="Times New Roman" w:cs="Times New Roman"/>
          <w:color w:val="000000" w:themeColor="text1"/>
          <w:sz w:val="24"/>
          <w:lang w:val="zh-CN"/>
          <w14:textFill>
            <w14:solidFill>
              <w14:schemeClr w14:val="tx1"/>
            </w14:solidFill>
          </w14:textFill>
        </w:rPr>
        <w:t>《新疆维吾尔自治区石油天然气发展</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zh-CN"/>
          <w14:textFill>
            <w14:solidFill>
              <w14:schemeClr w14:val="tx1"/>
            </w14:solidFill>
          </w14:textFill>
        </w:rPr>
        <w:t>十四五</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zh-CN"/>
          <w14:textFill>
            <w14:solidFill>
              <w14:schemeClr w14:val="tx1"/>
            </w14:solidFill>
          </w14:textFill>
        </w:rPr>
        <w:t>规划》《新疆维吾尔自治区水土保持规划（2018-2030年）》《塔城地区和布克赛尔蒙古自治县水土保持规划（2018-2030年）》</w:t>
      </w:r>
      <w:r>
        <w:rPr>
          <w:rFonts w:ascii="Times New Roman" w:hAnsi="Times New Roman" w:cs="Times New Roman"/>
          <w:color w:val="000000" w:themeColor="text1"/>
          <w:sz w:val="24"/>
          <w14:textFill>
            <w14:solidFill>
              <w14:schemeClr w14:val="tx1"/>
            </w14:solidFill>
          </w14:textFill>
        </w:rPr>
        <w:t>。拟建工程主要建设内容位于</w:t>
      </w:r>
      <w:r>
        <w:rPr>
          <w:rFonts w:hint="eastAsia" w:ascii="Times New Roman" w:hAnsi="Times New Roman" w:cs="Times New Roman"/>
          <w:color w:val="000000" w:themeColor="text1"/>
          <w:spacing w:val="6"/>
          <w:sz w:val="24"/>
          <w14:textFill>
            <w14:solidFill>
              <w14:schemeClr w14:val="tx1"/>
            </w14:solidFill>
          </w14:textFill>
        </w:rPr>
        <w:t>塔城地区陆梁油田作业区陆9井区</w:t>
      </w:r>
      <w:r>
        <w:rPr>
          <w:rFonts w:ascii="Times New Roman" w:hAnsi="Times New Roman" w:cs="Times New Roman"/>
          <w:color w:val="000000" w:themeColor="text1"/>
          <w:spacing w:val="6"/>
          <w:sz w:val="24"/>
          <w14:textFill>
            <w14:solidFill>
              <w14:schemeClr w14:val="tx1"/>
            </w14:solidFill>
          </w14:textFill>
        </w:rPr>
        <w:t>内</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项目区</w:t>
      </w:r>
      <w:r>
        <w:rPr>
          <w:rFonts w:ascii="Times New Roman" w:hAnsi="Times New Roman" w:cs="Times New Roman"/>
          <w:color w:val="000000" w:themeColor="text1"/>
          <w:sz w:val="24"/>
          <w14:textFill>
            <w14:solidFill>
              <w14:schemeClr w14:val="tx1"/>
            </w14:solidFill>
          </w14:textFill>
        </w:rPr>
        <w:t>不涉及水源地、风景名胜区等</w:t>
      </w:r>
      <w:r>
        <w:rPr>
          <w:rFonts w:hint="eastAsia" w:ascii="Times New Roman" w:hAnsi="Times New Roman" w:cs="Times New Roman"/>
          <w:color w:val="000000" w:themeColor="text1"/>
          <w:sz w:val="24"/>
          <w14:textFill>
            <w14:solidFill>
              <w14:schemeClr w14:val="tx1"/>
            </w14:solidFill>
          </w14:textFill>
        </w:rPr>
        <w:t>敏感区，但</w:t>
      </w:r>
      <w:r>
        <w:rPr>
          <w:rFonts w:ascii="Times New Roman" w:hAnsi="Times New Roman" w:cs="Times New Roman"/>
          <w:color w:val="000000" w:themeColor="text1"/>
          <w:sz w:val="24"/>
          <w14:textFill>
            <w14:solidFill>
              <w14:schemeClr w14:val="tx1"/>
            </w14:solidFill>
          </w14:textFill>
        </w:rPr>
        <w:t>属于新疆维吾尔自治区水土流失重点治理区（Ⅱ</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天山北坡诸小河流域重点治理区）</w:t>
      </w:r>
      <w:r>
        <w:rPr>
          <w:rFonts w:hint="eastAsia" w:ascii="Times New Roman" w:hAnsi="Times New Roman" w:cs="Times New Roman"/>
          <w:color w:val="000000" w:themeColor="text1"/>
          <w:sz w:val="24"/>
          <w14:textFill>
            <w14:solidFill>
              <w14:schemeClr w14:val="tx1"/>
            </w14:solidFill>
          </w14:textFill>
        </w:rPr>
        <w:t>环境敏感区，</w:t>
      </w:r>
      <w:r>
        <w:rPr>
          <w:rFonts w:ascii="Times New Roman" w:hAnsi="Times New Roman" w:cs="Times New Roman"/>
          <w:color w:val="000000" w:themeColor="text1"/>
          <w:sz w:val="24"/>
          <w14:textFill>
            <w14:solidFill>
              <w14:schemeClr w14:val="tx1"/>
            </w14:solidFill>
          </w14:textFill>
        </w:rPr>
        <w:t>不在划定的禁止开发区域范围内，符合《新疆维吾尔自治区主体功能区规划》相关要求。</w:t>
      </w:r>
    </w:p>
    <w:p>
      <w:pPr>
        <w:spacing w:line="360" w:lineRule="auto"/>
        <w:ind w:firstLine="470" w:firstLineChars="196"/>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三线一单</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符合性判定</w:t>
      </w:r>
    </w:p>
    <w:p>
      <w:pPr>
        <w:spacing w:line="360" w:lineRule="auto"/>
        <w:ind w:firstLine="470" w:firstLineChars="196"/>
        <w:rPr>
          <w:color w:val="000000" w:themeColor="text1"/>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拟建工程不在生态保护红线内，</w:t>
      </w:r>
      <w:r>
        <w:rPr>
          <w:rFonts w:ascii="Times New Roman" w:hAnsi="Times New Roman" w:cs="Times New Roman"/>
          <w:color w:val="000000" w:themeColor="text1"/>
          <w:sz w:val="24"/>
          <w14:textFill>
            <w14:solidFill>
              <w14:schemeClr w14:val="tx1"/>
            </w14:solidFill>
          </w14:textFill>
        </w:rPr>
        <w:t>运营期采出液密闭输送，从源头减少泄漏产生的无组织废气，废水、固废处置措施得当，不会对外环境产生明显不利影响；工程在正常状况下不会造成土壤环境质量超标，不会增加土壤环境风险。本项目满足生态环境准入清单中空间布局约束、污染物排放管控、环境风险管控及资源利用效率的相关要求，符合</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三线一单</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生态环境分区管控方案要求。</w:t>
      </w:r>
    </w:p>
    <w:bookmarkEnd w:id="28"/>
    <w:p>
      <w:pPr>
        <w:pStyle w:val="3"/>
        <w:keepLines w:val="0"/>
        <w:spacing w:before="10" w:after="10"/>
        <w:rPr>
          <w:rFonts w:ascii="Times New Roman" w:hAnsi="Times New Roman" w:cs="Times New Roman"/>
          <w:color w:val="000000" w:themeColor="text1"/>
          <w14:textFill>
            <w14:solidFill>
              <w14:schemeClr w14:val="tx1"/>
            </w14:solidFill>
          </w14:textFill>
        </w:rPr>
      </w:pPr>
      <w:bookmarkStart w:id="29" w:name="_Toc35366060"/>
      <w:bookmarkStart w:id="30" w:name="_Toc44088052"/>
      <w:bookmarkStart w:id="31" w:name="_Toc29221"/>
      <w:bookmarkStart w:id="32" w:name="_Toc32662"/>
      <w:bookmarkStart w:id="33" w:name="_Toc35366451"/>
      <w:bookmarkStart w:id="34" w:name="_Toc20930"/>
      <w:bookmarkStart w:id="35" w:name="_Toc3782"/>
      <w:bookmarkStart w:id="36" w:name="_Toc6657"/>
      <w:bookmarkStart w:id="37" w:name="_Toc35366452"/>
      <w:bookmarkStart w:id="38" w:name="_Toc35366061"/>
      <w:bookmarkStart w:id="39" w:name="_Toc44088053"/>
      <w:bookmarkStart w:id="40" w:name="_Toc20453"/>
      <w:bookmarkStart w:id="41" w:name="_Toc19193"/>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关注的主要环境问题</w:t>
      </w:r>
      <w:bookmarkEnd w:id="29"/>
      <w:bookmarkEnd w:id="30"/>
      <w:bookmarkEnd w:id="31"/>
      <w:bookmarkEnd w:id="32"/>
      <w:bookmarkEnd w:id="33"/>
      <w:r>
        <w:rPr>
          <w:rFonts w:hint="eastAsia" w:ascii="Times New Roman" w:hAnsi="Times New Roman" w:cs="Times New Roman"/>
          <w:color w:val="000000" w:themeColor="text1"/>
          <w14:textFill>
            <w14:solidFill>
              <w14:schemeClr w14:val="tx1"/>
            </w14:solidFill>
          </w14:textFill>
        </w:rPr>
        <w:t>及环境影响</w:t>
      </w:r>
      <w:bookmarkEnd w:id="34"/>
      <w:bookmarkEnd w:id="35"/>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本项目为油田开采项目，环境影响主要来源于</w:t>
      </w:r>
      <w:r>
        <w:rPr>
          <w:rFonts w:hint="eastAsia" w:ascii="Times New Roman" w:hAnsi="Times New Roman" w:cs="Times New Roman"/>
          <w:color w:val="000000" w:themeColor="text1"/>
          <w:sz w:val="24"/>
          <w:lang w:val="en-US" w:eastAsia="zh-CN"/>
          <w14:textFill>
            <w14:solidFill>
              <w14:schemeClr w14:val="tx1"/>
            </w14:solidFill>
          </w14:textFill>
        </w:rPr>
        <w:t>钻井作业、</w:t>
      </w:r>
      <w:r>
        <w:rPr>
          <w:rFonts w:ascii="Times New Roman" w:hAnsi="Times New Roman" w:cs="Times New Roman"/>
          <w:color w:val="000000" w:themeColor="text1"/>
          <w:sz w:val="24"/>
          <w14:textFill>
            <w14:solidFill>
              <w14:schemeClr w14:val="tx1"/>
            </w14:solidFill>
          </w14:textFill>
        </w:rPr>
        <w:t>原油集输、井下作业、管道等工艺过程，环境影响包括施工期和运营期污染物排放造成的环境污染影响和占地及施工造成的生态影响。根据现状调查，本区块</w:t>
      </w:r>
      <w:r>
        <w:rPr>
          <w:rFonts w:hint="eastAsia" w:ascii="Times New Roman" w:hAnsi="Times New Roman" w:cs="Times New Roman"/>
          <w:color w:val="000000" w:themeColor="text1"/>
          <w:sz w:val="24"/>
          <w14:textFill>
            <w14:solidFill>
              <w14:schemeClr w14:val="tx1"/>
            </w14:solidFill>
          </w14:textFill>
        </w:rPr>
        <w:t>属于新疆维吾尔自治区水土流失重点治理区环境敏感区，</w:t>
      </w:r>
      <w:r>
        <w:rPr>
          <w:rFonts w:ascii="Times New Roman" w:hAnsi="Times New Roman" w:cs="Times New Roman"/>
          <w:color w:val="000000" w:themeColor="text1"/>
          <w:sz w:val="24"/>
          <w14:textFill>
            <w14:solidFill>
              <w14:schemeClr w14:val="tx1"/>
            </w14:solidFill>
          </w14:textFill>
        </w:rPr>
        <w:t>主要环境保护目标为评价范围内</w:t>
      </w:r>
      <w:r>
        <w:rPr>
          <w:rFonts w:hint="eastAsia" w:ascii="Times New Roman" w:hAnsi="Times New Roman" w:cs="Times New Roman"/>
          <w:color w:val="000000" w:themeColor="text1"/>
          <w:sz w:val="24"/>
          <w14:textFill>
            <w14:solidFill>
              <w14:schemeClr w14:val="tx1"/>
            </w14:solidFill>
          </w14:textFill>
        </w:rPr>
        <w:t>植被，无重大环境制约问题</w:t>
      </w:r>
      <w:r>
        <w:rPr>
          <w:rFonts w:ascii="Times New Roman" w:hAnsi="Times New Roman"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根据油田产能建设项目的特点，环评过程关注的主要环境问题如下：</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工程建设占地对生态环境的影响程度；</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工程建设和运行过程中产生的废气对当地大气环境的影响；</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工程建设过程中产生的废水和施工人员生活污水的环境影响和处置方式，依托工程的可行性、有效性和可靠性；</w:t>
      </w:r>
    </w:p>
    <w:p>
      <w:pPr>
        <w:pStyle w:val="19"/>
        <w:spacing w:line="360" w:lineRule="auto"/>
        <w:ind w:left="426" w:leftChars="203" w:firstLine="0"/>
        <w:rPr>
          <w:rFonts w:ascii="Times New Roman" w:hAnsi="Times New Roman" w:cs="Times New Roman"/>
          <w:b w:val="0"/>
          <w:bCs w:val="0"/>
          <w:color w:val="000000" w:themeColor="text1"/>
          <w:sz w:val="24"/>
          <w:szCs w:val="24"/>
          <w14:textFill>
            <w14:solidFill>
              <w14:schemeClr w14:val="tx1"/>
            </w14:solidFill>
          </w14:textFill>
        </w:rPr>
      </w:pPr>
      <w:r>
        <w:rPr>
          <w:rFonts w:hint="eastAsia" w:ascii="Times New Roman" w:hAnsi="Times New Roman" w:cs="Times New Roman"/>
          <w:b w:val="0"/>
          <w:bCs w:val="0"/>
          <w:color w:val="000000" w:themeColor="text1"/>
          <w:sz w:val="24"/>
          <w:szCs w:val="24"/>
          <w14:textFill>
            <w14:solidFill>
              <w14:schemeClr w14:val="tx1"/>
            </w14:solidFill>
          </w14:textFill>
        </w:rPr>
        <w:t>（4）工程建设扰动造成水土流失的影响；</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钻完井过程中产生的固体废物处置方式可行性；</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（6）</w:t>
      </w:r>
      <w:r>
        <w:rPr>
          <w:rFonts w:ascii="Times New Roman" w:hAnsi="Times New Roman" w:cs="Times New Roman"/>
          <w:color w:val="000000" w:themeColor="text1"/>
          <w:sz w:val="24"/>
          <w14:textFill>
            <w14:solidFill>
              <w14:schemeClr w14:val="tx1"/>
            </w14:solidFill>
          </w14:textFill>
        </w:rPr>
        <w:t>钻井施工以及运营期集输过程中各类声源对周边声环境的影响；</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（7）</w:t>
      </w:r>
      <w:r>
        <w:rPr>
          <w:rFonts w:ascii="Times New Roman" w:hAnsi="Times New Roman" w:cs="Times New Roman"/>
          <w:color w:val="000000" w:themeColor="text1"/>
          <w:sz w:val="24"/>
          <w14:textFill>
            <w14:solidFill>
              <w14:schemeClr w14:val="tx1"/>
            </w14:solidFill>
          </w14:textFill>
        </w:rPr>
        <w:t>关注施工过程中施工场地</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跑</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冒</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滴</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漏</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对浅层地下水环境的影响以及污染防治措施的可行性、有效性</w:t>
      </w:r>
      <w:r>
        <w:rPr>
          <w:rFonts w:hint="eastAsia" w:ascii="Times New Roman" w:hAnsi="Times New Roman"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重点关注施工过程的各项污染物产生以及可能发生的风险对区域环境产生的影响、施工过程中产生的生态环境问题以及生态恢复措施；运营期井场无组织挥发的非甲烷总烃、</w:t>
      </w:r>
      <w:r>
        <w:rPr>
          <w:rFonts w:hint="eastAsia" w:ascii="Times New Roman" w:hAnsi="Times New Roman" w:cs="Times New Roman"/>
          <w:color w:val="000000" w:themeColor="text1"/>
          <w:sz w:val="24"/>
          <w14:textFill>
            <w14:solidFill>
              <w14:schemeClr w14:val="tx1"/>
            </w14:solidFill>
          </w14:textFill>
        </w:rPr>
        <w:t>硫化氢、</w:t>
      </w:r>
      <w:r>
        <w:rPr>
          <w:rFonts w:ascii="Times New Roman" w:hAnsi="Times New Roman" w:cs="Times New Roman"/>
          <w:color w:val="000000" w:themeColor="text1"/>
          <w:sz w:val="24"/>
          <w14:textFill>
            <w14:solidFill>
              <w14:schemeClr w14:val="tx1"/>
            </w14:solidFill>
          </w14:textFill>
        </w:rPr>
        <w:t>井场抽油机和管道泵撬的噪声、含油污泥等对环境产生的影响。本工程涉及的风险物质主要包括原油、天然气</w:t>
      </w:r>
      <w:r>
        <w:rPr>
          <w:rFonts w:hint="eastAsia" w:ascii="Times New Roman" w:hAnsi="Times New Roman" w:cs="Times New Roman"/>
          <w:color w:val="000000" w:themeColor="text1"/>
          <w:sz w:val="24"/>
          <w14:textFill>
            <w14:solidFill>
              <w14:schemeClr w14:val="tx1"/>
            </w14:solidFill>
          </w14:textFill>
        </w:rPr>
        <w:t>、硫化氢</w:t>
      </w:r>
      <w:r>
        <w:rPr>
          <w:rFonts w:ascii="Times New Roman" w:hAnsi="Times New Roman" w:cs="Times New Roman"/>
          <w:color w:val="000000" w:themeColor="text1"/>
          <w:sz w:val="24"/>
          <w14:textFill>
            <w14:solidFill>
              <w14:schemeClr w14:val="tx1"/>
            </w14:solidFill>
          </w14:textFill>
        </w:rPr>
        <w:t>，在采取相应的风险防控措施后，环境风险可防控。</w:t>
      </w:r>
    </w:p>
    <w:p>
      <w:pPr>
        <w:pStyle w:val="3"/>
        <w:spacing w:before="10" w:after="10"/>
        <w:rPr>
          <w:rFonts w:ascii="Times New Roman" w:hAnsi="Times New Roman" w:cs="Times New Roman"/>
          <w:color w:val="000000" w:themeColor="text1"/>
          <w14:textFill>
            <w14:solidFill>
              <w14:schemeClr w14:val="tx1"/>
            </w14:solidFill>
          </w14:textFill>
        </w:rPr>
      </w:pPr>
      <w:bookmarkStart w:id="42" w:name="_Toc20196"/>
      <w:r>
        <w:rPr>
          <w:rFonts w:ascii="Times New Roman" w:hAnsi="Times New Roman" w:cs="Times New Roman"/>
          <w:color w:val="000000" w:themeColor="text1"/>
          <w14:textFill>
            <w14:solidFill>
              <w14:schemeClr w14:val="tx1"/>
            </w14:solidFill>
          </w14:textFill>
        </w:rPr>
        <w:t>1.5环境影响报告的主要结论</w:t>
      </w:r>
      <w:bookmarkEnd w:id="36"/>
      <w:bookmarkEnd w:id="37"/>
      <w:bookmarkEnd w:id="38"/>
      <w:bookmarkEnd w:id="39"/>
      <w:bookmarkEnd w:id="40"/>
      <w:bookmarkEnd w:id="41"/>
      <w:bookmarkEnd w:id="42"/>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综上所述，项目的建设符合相关国家产业政策及规划。项目采用的各项污染防治措施切实可行，项目建成后，在落实各项污染防治措施及确保达标排放的前提下，区域环境质量基本保持现状，对区域环境影响较小；项目在运行过程中存在一定的环境风险，但采取相应的环境风险防范措施后，其影响是可防可控的，环境风险水平可以接受；清洁生产水平较高，项目社会效益较好。从环境保护角度考虑，项目建设是可行的。</w:t>
      </w:r>
    </w:p>
    <w:p>
      <w:pPr>
        <w:spacing w:line="360" w:lineRule="auto"/>
        <w:rPr>
          <w:rFonts w:ascii="Times New Roman" w:hAnsi="Times New Roman" w:cs="Times New Roman"/>
          <w:color w:val="000000" w:themeColor="text1"/>
          <w:sz w:val="24"/>
          <w14:textFill>
            <w14:solidFill>
              <w14:schemeClr w14:val="tx1"/>
            </w14:solidFill>
          </w14:textFill>
        </w:rPr>
      </w:pPr>
    </w:p>
    <w:p>
      <w:pPr>
        <w:pStyle w:val="25"/>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sectPr>
          <w:footerReference r:id="rId7" w:type="default"/>
          <w:pgSz w:w="11906" w:h="16838"/>
          <w:pgMar w:top="1440" w:right="1800" w:bottom="1440" w:left="1800" w:header="851" w:footer="992" w:gutter="0"/>
          <w:pgNumType w:start="3"/>
          <w:cols w:space="425" w:num="1"/>
          <w:docGrid w:type="lines" w:linePitch="312" w:charSpace="0"/>
        </w:sectPr>
      </w:pPr>
    </w:p>
    <w:p>
      <w:pPr>
        <w:pStyle w:val="2"/>
        <w:keepLines w:val="0"/>
        <w:pageBreakBefore/>
        <w:tabs>
          <w:tab w:val="center" w:pos="4252"/>
          <w:tab w:val="left" w:pos="6855"/>
        </w:tabs>
        <w:spacing w:before="312" w:beforeLines="100" w:after="312" w:afterLines="100"/>
        <w:ind w:left="431" w:hanging="431"/>
        <w:rPr>
          <w:rFonts w:ascii="Times New Roman" w:hAnsi="Times New Roman" w:cs="Times New Roman"/>
          <w:bCs w:val="0"/>
          <w:snapToGrid w:val="0"/>
          <w:color w:val="000000" w:themeColor="text1"/>
          <w:kern w:val="0"/>
          <w:sz w:val="44"/>
          <w14:textFill>
            <w14:solidFill>
              <w14:schemeClr w14:val="tx1"/>
            </w14:solidFill>
          </w14:textFill>
        </w:rPr>
      </w:pPr>
      <w:bookmarkStart w:id="43" w:name="_Toc14765"/>
      <w:bookmarkStart w:id="44" w:name="_Toc17112"/>
      <w:bookmarkStart w:id="45" w:name="_Toc24967"/>
      <w:r>
        <w:rPr>
          <w:rFonts w:ascii="Times New Roman" w:hAnsi="Times New Roman" w:cs="Times New Roman"/>
          <w:bCs w:val="0"/>
          <w:snapToGrid w:val="0"/>
          <w:color w:val="000000" w:themeColor="text1"/>
          <w:kern w:val="0"/>
          <w:sz w:val="44"/>
          <w14:textFill>
            <w14:solidFill>
              <w14:schemeClr w14:val="tx1"/>
            </w14:solidFill>
          </w14:textFill>
        </w:rPr>
        <w:t>2总则</w:t>
      </w:r>
      <w:bookmarkEnd w:id="43"/>
      <w:bookmarkEnd w:id="44"/>
      <w:bookmarkEnd w:id="45"/>
    </w:p>
    <w:p>
      <w:pPr>
        <w:pStyle w:val="3"/>
        <w:spacing w:before="10" w:after="10"/>
        <w:rPr>
          <w:rFonts w:ascii="Times New Roman" w:hAnsi="Times New Roman" w:cs="Times New Roman"/>
          <w:color w:val="000000" w:themeColor="text1"/>
          <w14:textFill>
            <w14:solidFill>
              <w14:schemeClr w14:val="tx1"/>
            </w14:solidFill>
          </w14:textFill>
        </w:rPr>
      </w:pPr>
      <w:bookmarkStart w:id="46" w:name="_Toc35366064"/>
      <w:bookmarkStart w:id="47" w:name="_Toc30633"/>
      <w:bookmarkStart w:id="48" w:name="_Toc35366455"/>
      <w:bookmarkStart w:id="49" w:name="_Toc29390904"/>
      <w:bookmarkStart w:id="50" w:name="_Toc22425"/>
      <w:bookmarkStart w:id="51" w:name="_Toc92725430"/>
      <w:bookmarkStart w:id="52" w:name="_Toc9948"/>
      <w:r>
        <w:rPr>
          <w:rFonts w:ascii="Times New Roman" w:hAnsi="Times New Roman" w:cs="Times New Roman"/>
          <w:color w:val="000000" w:themeColor="text1"/>
          <w14:textFill>
            <w14:solidFill>
              <w14:schemeClr w14:val="tx1"/>
            </w14:solidFill>
          </w14:textFill>
        </w:rPr>
        <w:t>2.1评价目的、原则</w:t>
      </w:r>
      <w:bookmarkEnd w:id="46"/>
      <w:bookmarkEnd w:id="47"/>
      <w:bookmarkEnd w:id="48"/>
      <w:bookmarkEnd w:id="49"/>
      <w:bookmarkEnd w:id="50"/>
      <w:bookmarkEnd w:id="51"/>
      <w:bookmarkEnd w:id="52"/>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bookmarkStart w:id="53" w:name="_Toc401860360"/>
      <w:bookmarkStart w:id="54" w:name="_Toc401859664"/>
      <w:bookmarkStart w:id="55" w:name="_Toc401913098"/>
      <w:r>
        <w:rPr>
          <w:rFonts w:ascii="Times New Roman" w:hAnsi="Times New Roman" w:eastAsia="黑体" w:cs="Times New Roman"/>
          <w:b/>
          <w:color w:val="000000" w:themeColor="text1"/>
          <w:sz w:val="30"/>
          <w:szCs w:val="30"/>
          <w14:textFill>
            <w14:solidFill>
              <w14:schemeClr w14:val="tx1"/>
            </w14:solidFill>
          </w14:textFill>
        </w:rPr>
        <w:t>2.1.1评价目的</w:t>
      </w:r>
      <w:bookmarkEnd w:id="53"/>
      <w:bookmarkEnd w:id="54"/>
      <w:bookmarkEnd w:id="55"/>
    </w:p>
    <w:p>
      <w:pPr>
        <w:spacing w:line="360" w:lineRule="auto"/>
        <w:ind w:firstLine="480"/>
        <w:rPr>
          <w:rFonts w:ascii="Times New Roman" w:hAnsi="Times New Roman" w:cs="Times New Roman"/>
          <w:snapToGrid w:val="0"/>
          <w:color w:val="000000" w:themeColor="text1"/>
          <w:sz w:val="24"/>
          <w14:textFill>
            <w14:solidFill>
              <w14:schemeClr w14:val="tx1"/>
            </w14:solidFill>
          </w14:textFill>
        </w:rPr>
      </w:pPr>
      <w:bookmarkStart w:id="56" w:name="_Toc401860361"/>
      <w:bookmarkStart w:id="57" w:name="_Toc401913099"/>
      <w:bookmarkStart w:id="58" w:name="_Toc401859665"/>
      <w:r>
        <w:rPr>
          <w:rFonts w:ascii="Times New Roman" w:hAnsi="Times New Roman" w:cs="Times New Roman"/>
          <w:snapToGrid w:val="0"/>
          <w:color w:val="000000" w:themeColor="text1"/>
          <w:sz w:val="24"/>
          <w14:textFill>
            <w14:solidFill>
              <w14:schemeClr w14:val="tx1"/>
            </w14:solidFill>
          </w14:textFill>
        </w:rPr>
        <w:t>（1）通过实地调查与现状监测，了解项目区的自然环境、社会环境和经济状况、自然资源及土地利用情况，掌握油田所在区域的环境质量和生态现状。</w:t>
      </w:r>
    </w:p>
    <w:p>
      <w:pPr>
        <w:spacing w:line="360" w:lineRule="auto"/>
        <w:ind w:firstLine="48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（2）通过工程分析，明确本工程施工期、</w:t>
      </w:r>
      <w:r>
        <w:rPr>
          <w:rFonts w:hint="eastAsia" w:ascii="Times New Roman" w:hAnsi="Times New Roman" w:cs="Times New Roman"/>
          <w:snapToGrid w:val="0"/>
          <w:color w:val="000000" w:themeColor="text1"/>
          <w:sz w:val="24"/>
          <w14:textFill>
            <w14:solidFill>
              <w14:schemeClr w14:val="tx1"/>
            </w14:solidFill>
          </w14:textFill>
        </w:rPr>
        <w:t>运营</w:t>
      </w:r>
      <w:r>
        <w:rPr>
          <w:rFonts w:ascii="Times New Roman" w:hAnsi="Times New Roman" w:cs="Times New Roman"/>
          <w:snapToGrid w:val="0"/>
          <w:color w:val="000000" w:themeColor="text1"/>
          <w:sz w:val="24"/>
          <w14:textFill>
            <w14:solidFill>
              <w14:schemeClr w14:val="tx1"/>
            </w14:solidFill>
          </w14:textFill>
        </w:rPr>
        <w:t>期和退役期满主要污染源、污染物种类、排放强度，分析环境污染的影响特征，预测和评价本工程施工期、</w:t>
      </w:r>
      <w:r>
        <w:rPr>
          <w:rFonts w:hint="eastAsia" w:ascii="Times New Roman" w:hAnsi="Times New Roman" w:cs="Times New Roman"/>
          <w:snapToGrid w:val="0"/>
          <w:color w:val="000000" w:themeColor="text1"/>
          <w:sz w:val="24"/>
          <w14:textFill>
            <w14:solidFill>
              <w14:schemeClr w14:val="tx1"/>
            </w14:solidFill>
          </w14:textFill>
        </w:rPr>
        <w:t>运营</w:t>
      </w:r>
      <w:r>
        <w:rPr>
          <w:rFonts w:ascii="Times New Roman" w:hAnsi="Times New Roman" w:cs="Times New Roman"/>
          <w:snapToGrid w:val="0"/>
          <w:color w:val="000000" w:themeColor="text1"/>
          <w:sz w:val="24"/>
          <w14:textFill>
            <w14:solidFill>
              <w14:schemeClr w14:val="tx1"/>
            </w14:solidFill>
          </w14:textFill>
        </w:rPr>
        <w:t>期及退役期对环境的影响程度，并提出采取的污染防治和生态保护措施。</w:t>
      </w:r>
    </w:p>
    <w:p>
      <w:pPr>
        <w:spacing w:line="360" w:lineRule="auto"/>
        <w:ind w:firstLine="48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（3）对油田开发过程中拟采取的环境保护措施进行论证，提出油田开发建设施工期、</w:t>
      </w:r>
      <w:r>
        <w:rPr>
          <w:rFonts w:hint="eastAsia" w:ascii="Times New Roman" w:hAnsi="Times New Roman" w:cs="Times New Roman"/>
          <w:snapToGrid w:val="0"/>
          <w:color w:val="000000" w:themeColor="text1"/>
          <w:sz w:val="24"/>
          <w14:textFill>
            <w14:solidFill>
              <w14:schemeClr w14:val="tx1"/>
            </w14:solidFill>
          </w14:textFill>
        </w:rPr>
        <w:t>运营</w:t>
      </w:r>
      <w:r>
        <w:rPr>
          <w:rFonts w:ascii="Times New Roman" w:hAnsi="Times New Roman" w:cs="Times New Roman"/>
          <w:snapToGrid w:val="0"/>
          <w:color w:val="000000" w:themeColor="text1"/>
          <w:sz w:val="24"/>
          <w14:textFill>
            <w14:solidFill>
              <w14:schemeClr w14:val="tx1"/>
            </w14:solidFill>
          </w14:textFill>
        </w:rPr>
        <w:t>期和退役期污染防治措施及生态保护措施对策及建议。</w:t>
      </w:r>
    </w:p>
    <w:p>
      <w:pPr>
        <w:spacing w:line="360" w:lineRule="auto"/>
        <w:ind w:firstLine="48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（4）评价本工程对国家产业政策、区域总体发展规划、城市功能区划、环境保护规划、清洁生产、达标排放和污染物排放总量控制的符合性；</w:t>
      </w:r>
    </w:p>
    <w:p>
      <w:pPr>
        <w:spacing w:line="360" w:lineRule="auto"/>
        <w:ind w:firstLine="48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（5）分析本工程可能存在的事故隐患，预测风险事故可能产生的环境影响程度，提出环境风险防范措施。</w:t>
      </w:r>
    </w:p>
    <w:p>
      <w:pPr>
        <w:spacing w:line="360" w:lineRule="auto"/>
        <w:ind w:firstLine="480"/>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通过上述评价，论证项目在环境方面的可行性，给出环境影响评价结论，为本项目的设计、施工、验收及建成投产后的环境管理提供技术依据，为生态环境主管部门提供决策依据。</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2.1.2评价原则</w:t>
      </w:r>
      <w:bookmarkEnd w:id="56"/>
      <w:bookmarkEnd w:id="57"/>
      <w:bookmarkEnd w:id="58"/>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突出环境影响评价的源头预防作用，坚持保护和改善环境质量。</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（1）依法评价</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贯彻执行国家和地方环境保护相关法律法规、标准、政策和规划等，优化项目建设，服务建设项目环境管理。</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（2）科学评价</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采用规范的环境影响评价方法，科学分析项目建设对环境质量的影响。</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（3）突出重点</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根据建设项目的工程内容及其特点，明确与环境要素间的作用效应关系，充分利用符合时效的数据资料及成果，结合工程设计和预测数据，对建设项目主要环境影响予以重点分析和评价。</w:t>
      </w:r>
    </w:p>
    <w:p>
      <w:pPr>
        <w:pStyle w:val="3"/>
        <w:spacing w:before="10" w:after="10"/>
        <w:rPr>
          <w:rFonts w:ascii="Times New Roman" w:hAnsi="Times New Roman" w:cs="Times New Roman"/>
          <w:color w:val="000000" w:themeColor="text1"/>
          <w14:textFill>
            <w14:solidFill>
              <w14:schemeClr w14:val="tx1"/>
            </w14:solidFill>
          </w14:textFill>
        </w:rPr>
      </w:pPr>
      <w:bookmarkStart w:id="59" w:name="_Toc17962"/>
      <w:bookmarkStart w:id="60" w:name="_Toc13990"/>
      <w:r>
        <w:rPr>
          <w:rFonts w:ascii="Times New Roman" w:hAnsi="Times New Roman" w:cs="Times New Roman"/>
          <w:color w:val="000000" w:themeColor="text1"/>
          <w14:textFill>
            <w14:solidFill>
              <w14:schemeClr w14:val="tx1"/>
            </w14:solidFill>
          </w14:textFill>
        </w:rPr>
        <w:t>2.2编制依据</w:t>
      </w:r>
      <w:bookmarkEnd w:id="59"/>
      <w:bookmarkEnd w:id="60"/>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2.2.1国家法律法规与条例</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《中华人民共和国环境保护法》（全国人大常委会，2015年1月1日施行）；</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《中华人民共和国环境影响评价法》（13届人大第7次会议，2018年12月29日施行）；</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《中华人民共和国大气污染防治法》（13届人大第6次会议，2018年10月26日实施）；</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《中华人民共和国水污染防治法》（2017年第二次修正，2018年1月1日起施行）；</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《中华人民共和国水土保持法实施条例》（国务院令第588号，2011年1月8日）；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《中华人民共和国噪声污染防治法》（13届全国人大常委会第32次会议通过，202</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14:textFill>
            <w14:solidFill>
              <w14:schemeClr w14:val="tx1"/>
            </w14:solidFill>
          </w14:textFill>
        </w:rPr>
        <w:t>6</w:t>
      </w:r>
      <w:r>
        <w:rPr>
          <w:rFonts w:ascii="Times New Roman" w:hAnsi="Times New Roman" w:cs="Times New Roman"/>
          <w:color w:val="000000" w:themeColor="text1"/>
          <w:sz w:val="24"/>
          <w14:textFill>
            <w14:solidFill>
              <w14:schemeClr w14:val="tx1"/>
            </w14:solidFill>
          </w14:textFill>
        </w:rPr>
        <w:t>月</w:t>
      </w:r>
      <w:r>
        <w:rPr>
          <w:rFonts w:hint="eastAsia" w:ascii="Times New Roman" w:hAnsi="Times New Roman" w:cs="Times New Roman"/>
          <w:color w:val="000000" w:themeColor="text1"/>
          <w:sz w:val="24"/>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日起施行）；</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《中华人民共和国固体废物污染环境防治法》（全国人民代表大会常务委员会，2020年9月1日实施）；</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《中华人民共和国土壤污染防治法》（全国人民代表大会常务委员会，2019年1月1日实施）；</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《国务院关于修改〈建设项目环境保护管理条例〉的决定》（国令第682号，2017年10月1日起施行）；</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《中华人民共和国水土保持法》（中华人民共和国主席第三十九号令，2011年3月1日施行）；</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《中华人民共和国清洁生产促进法》（全国人大常委会，2012年7月1日施行）；</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《中华人民共和国节约能源法》（2018年10月26日修正）；</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《中华人民共和国土地管理法》（13届人大第12次会议，2019年8月26日实施）；</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《中华人民共和国土地管理法实施条例》（国务院令653号，2014年7月29日）；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《中华人民共和国水法》（2016年修订，2016年7月2日施行）；</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《中华人民共和国防洪法》（12届人大第21次会议，2016年7月2日实施）；</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《中华人民共和国野生植物保护条例》（国务院令第687号，2017年10月7日）；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《中华人民共和国野生动物保护法》（2016年7月2日第十二届全国人民代表大会常务委员会第二十一次会议修订，2017年1月1日实施）；</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《中华人民共和国石油天然气管道保护法》（11届人大15次会议，2010年10月1日）；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《中共中央 国务院关于深入打好污染防治攻坚战的意见》（2021年11月7日）；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《危险化学品安全管理条例》（国务院令645号，2013年12月7日）；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《突发环境事件应急管理办法》（环境保护部令第34号，2015年6月5日起实施）；</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《突发环境事件信息报告办法》（环境保护部（第17号），2011年4月18日）；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《建设项目环境影响评价分类管理名录》（生态环境部令第16号，2020年11月30日）；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《国家重点保护野生植物名录》（2021年）；</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《关于进一步加强石油天然气行业环境影响评价管理的通知》（环办环评函〔2019〕910号）；</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《国家危险废物名录（2025年版）》</w:t>
      </w:r>
      <w:r>
        <w:rPr>
          <w:rFonts w:hint="eastAsia" w:ascii="Times New Roman" w:hAnsi="Times New Roman" w:cs="Times New Roman"/>
          <w:color w:val="000000" w:themeColor="text1"/>
          <w:sz w:val="24"/>
          <w14:textFill>
            <w14:solidFill>
              <w14:schemeClr w14:val="tx1"/>
            </w14:solidFill>
          </w14:textFill>
        </w:rPr>
        <w:t>（2025年1月1日起施行）</w:t>
      </w:r>
      <w:r>
        <w:rPr>
          <w:rFonts w:ascii="Times New Roman" w:hAnsi="Times New Roman" w:cs="Times New Roman"/>
          <w:color w:val="000000" w:themeColor="text1"/>
          <w:sz w:val="24"/>
          <w14:textFill>
            <w14:solidFill>
              <w14:schemeClr w14:val="tx1"/>
            </w14:solidFill>
          </w14:textFill>
        </w:rPr>
        <w:t>；</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《危险废物污染防治技术政策》（环境保护部2001年第199号公告，2001年12月17日施行）；</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《产业结构调整指导目录》（</w:t>
      </w:r>
      <w:r>
        <w:rPr>
          <w:rFonts w:hint="eastAsia" w:ascii="Times New Roman" w:hAnsi="Times New Roman" w:cs="Times New Roman"/>
          <w:color w:val="000000" w:themeColor="text1"/>
          <w:sz w:val="24"/>
          <w14:textFill>
            <w14:solidFill>
              <w14:schemeClr w14:val="tx1"/>
            </w14:solidFill>
          </w14:textFill>
        </w:rPr>
        <w:t>2024年本</w:t>
      </w:r>
      <w:r>
        <w:rPr>
          <w:rFonts w:ascii="Times New Roman" w:hAnsi="Times New Roman" w:cs="Times New Roman"/>
          <w:color w:val="000000" w:themeColor="text1"/>
          <w:sz w:val="24"/>
          <w14:textFill>
            <w14:solidFill>
              <w14:schemeClr w14:val="tx1"/>
            </w14:solidFill>
          </w14:textFill>
        </w:rPr>
        <w:t>）；</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《关于进一步加强环境影响评价管理防范环境风险的通知》（环发〔2012〕77号，2012年7月3日）；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《关于切实加强风险防范严格环境影响评价管理的通知》（环发〔2012〕98号，2012年8月7日）；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《中华人民共和国突发事件应对法》（10届人大第29次会议，2007年11月1日）；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《突发环境事件应急预案管理暂行办法》（环发〔2010〕113号，2010年9月28日）；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《环境影响评价公众参与办法》（生态环境部令第4号，2019年1月1日）；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《中华人民共和国矿产资源法》（</w:t>
      </w:r>
      <w:r>
        <w:rPr>
          <w:rFonts w:hint="eastAsia" w:ascii="Times New Roman" w:hAnsi="Times New Roman" w:cs="Times New Roman"/>
          <w:color w:val="000000" w:themeColor="text1"/>
          <w:sz w:val="24"/>
          <w:lang w:val="en-US" w:eastAsia="zh-CN"/>
          <w14:textFill>
            <w14:solidFill>
              <w14:schemeClr w14:val="tx1"/>
            </w14:solidFill>
          </w14:textFill>
        </w:rPr>
        <w:t>2024年修订</w:t>
      </w:r>
      <w:r>
        <w:rPr>
          <w:rFonts w:ascii="Times New Roman" w:hAnsi="Times New Roman" w:cs="Times New Roman"/>
          <w:color w:val="000000" w:themeColor="text1"/>
          <w:sz w:val="24"/>
          <w14:textFill>
            <w14:solidFill>
              <w14:schemeClr w14:val="tx1"/>
            </w14:solidFill>
          </w14:textFill>
        </w:rPr>
        <w:t>）；</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《石油天然气开采业污染防治技术政策》（公告2012年第18号，2012年3月7</w:t>
      </w:r>
      <w:r>
        <w:rPr>
          <w:rFonts w:hint="eastAsia" w:ascii="Times New Roman" w:hAnsi="Times New Roman" w:cs="Times New Roman"/>
          <w:color w:val="000000" w:themeColor="text1"/>
          <w:sz w:val="24"/>
          <w14:textFill>
            <w14:solidFill>
              <w14:schemeClr w14:val="tx1"/>
            </w14:solidFill>
          </w14:textFill>
        </w:rPr>
        <w:t>日</w:t>
      </w:r>
      <w:r>
        <w:rPr>
          <w:rFonts w:ascii="Times New Roman" w:hAnsi="Times New Roman" w:cs="Times New Roman"/>
          <w:color w:val="000000" w:themeColor="text1"/>
          <w:sz w:val="24"/>
          <w14:textFill>
            <w14:solidFill>
              <w14:schemeClr w14:val="tx1"/>
            </w14:solidFill>
          </w14:textFill>
        </w:rPr>
        <w:t>实施）；</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《中华人民共和国防沙治沙法》（2018年修订），2018年10月26日施行；</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《全国水土保持规划国家级水土流失重点预防区和重点治理区复核划分成果》（办水保〔2013〕188号）；</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《国家林业局关于做好沙区开发建设项目环评中防沙治沙内容评价工作的意见》（林沙发〔2013〕136号）；</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《国务院关于加强环境保护重点工作的意见》（国发〔2012〕35号，2011年10月17日）；</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《关于划定并严守生态保护红线的若干意见》（中共中央办公厅、国务院办公厅，2017年2月7日印发）；</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《关于做好环境影响评价制度与排污许可制衔接相关工作的通知》（环办环评〔2017〕84号）；</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关于印发《建设项目主要污染物排放总量指标审核及管理暂行办法》的通知（环发〔2014〕197号）；</w:t>
      </w:r>
    </w:p>
    <w:p>
      <w:pPr>
        <w:numPr>
          <w:ilvl w:val="0"/>
          <w:numId w:val="2"/>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《关于全面加强生态环境保护坚决打好污染防治攻</w:t>
      </w:r>
      <w:r>
        <w:rPr>
          <w:rFonts w:hint="eastAsia" w:ascii="Times New Roman" w:hAnsi="Times New Roman" w:cs="Times New Roman"/>
          <w:color w:val="000000" w:themeColor="text1"/>
          <w:sz w:val="24"/>
          <w14:textFill>
            <w14:solidFill>
              <w14:schemeClr w14:val="tx1"/>
            </w14:solidFill>
          </w14:textFill>
        </w:rPr>
        <w:t>坚战</w:t>
      </w:r>
      <w:r>
        <w:rPr>
          <w:rFonts w:ascii="Times New Roman" w:hAnsi="Times New Roman" w:cs="Times New Roman"/>
          <w:color w:val="000000" w:themeColor="text1"/>
          <w:sz w:val="24"/>
          <w14:textFill>
            <w14:solidFill>
              <w14:schemeClr w14:val="tx1"/>
            </w14:solidFill>
          </w14:textFill>
        </w:rPr>
        <w:t>实施方案》（中发〔2018〕17号，2018年6月16日）；</w:t>
      </w:r>
    </w:p>
    <w:p>
      <w:pPr>
        <w:numPr>
          <w:ilvl w:val="0"/>
          <w:numId w:val="2"/>
        </w:num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《关于加快解决当前挥发性有机物治理突出问题的通知》（环大气〔2021〕65号）；</w:t>
      </w:r>
    </w:p>
    <w:p>
      <w:pPr>
        <w:numPr>
          <w:ilvl w:val="0"/>
          <w:numId w:val="2"/>
        </w:num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《排污许可管理条例》（2021年1月24日国务院令第736号发布，2021年3月1日起实施）；</w:t>
      </w:r>
    </w:p>
    <w:p>
      <w:pPr>
        <w:numPr>
          <w:ilvl w:val="0"/>
          <w:numId w:val="2"/>
        </w:num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《排污许可管理办法》（20</w:t>
      </w:r>
      <w:r>
        <w:rPr>
          <w:rFonts w:hint="eastAsia" w:ascii="Times New Roman" w:hAnsi="Times New Roman" w:eastAsia="宋体" w:cs="Times New Roman"/>
          <w:bCs/>
          <w:color w:val="000000" w:themeColor="text1"/>
          <w:sz w:val="24"/>
          <w:lang w:val="en-US" w:eastAsia="zh-CN"/>
          <w14:textFill>
            <w14:solidFill>
              <w14:schemeClr w14:val="tx1"/>
            </w14:solidFill>
          </w14:textFill>
        </w:rPr>
        <w:t>24</w:t>
      </w:r>
      <w:r>
        <w:rPr>
          <w:rFonts w:ascii="Times New Roman" w:hAnsi="Times New Roman" w:eastAsia="宋体" w:cs="Times New Roman"/>
          <w:bCs/>
          <w:color w:val="000000" w:themeColor="text1"/>
          <w:sz w:val="24"/>
          <w14:textFill>
            <w14:solidFill>
              <w14:schemeClr w14:val="tx1"/>
            </w14:solidFill>
          </w14:textFill>
        </w:rPr>
        <w:t>年</w:t>
      </w:r>
      <w:r>
        <w:rPr>
          <w:rFonts w:hint="eastAsia" w:ascii="Times New Roman" w:hAnsi="Times New Roman" w:eastAsia="宋体" w:cs="Times New Roman"/>
          <w:bCs/>
          <w:color w:val="000000" w:themeColor="text1"/>
          <w:sz w:val="24"/>
          <w:lang w:val="en-US" w:eastAsia="zh-CN"/>
          <w14:textFill>
            <w14:solidFill>
              <w14:schemeClr w14:val="tx1"/>
            </w14:solidFill>
          </w14:textFill>
        </w:rPr>
        <w:t>4</w:t>
      </w:r>
      <w:r>
        <w:rPr>
          <w:rFonts w:ascii="Times New Roman" w:hAnsi="Times New Roman" w:eastAsia="宋体" w:cs="Times New Roman"/>
          <w:bCs/>
          <w:color w:val="000000" w:themeColor="text1"/>
          <w:sz w:val="24"/>
          <w14:textFill>
            <w14:solidFill>
              <w14:schemeClr w14:val="tx1"/>
            </w14:solidFill>
          </w14:textFill>
        </w:rPr>
        <w:t>月</w:t>
      </w:r>
      <w:r>
        <w:rPr>
          <w:rFonts w:hint="eastAsia" w:ascii="Times New Roman" w:hAnsi="Times New Roman" w:eastAsia="宋体" w:cs="Times New Roman"/>
          <w:bCs/>
          <w:color w:val="000000" w:themeColor="text1"/>
          <w:sz w:val="24"/>
          <w:lang w:val="en-US" w:eastAsia="zh-CN"/>
          <w14:textFill>
            <w14:solidFill>
              <w14:schemeClr w14:val="tx1"/>
            </w14:solidFill>
          </w14:textFill>
        </w:rPr>
        <w:t>8</w:t>
      </w:r>
      <w:r>
        <w:rPr>
          <w:rFonts w:ascii="Times New Roman" w:hAnsi="Times New Roman" w:eastAsia="宋体" w:cs="Times New Roman"/>
          <w:bCs/>
          <w:color w:val="000000" w:themeColor="text1"/>
          <w:sz w:val="24"/>
          <w14:textFill>
            <w14:solidFill>
              <w14:schemeClr w14:val="tx1"/>
            </w14:solidFill>
          </w14:textFill>
        </w:rPr>
        <w:t>日</w:t>
      </w:r>
      <w:r>
        <w:rPr>
          <w:rFonts w:hint="eastAsia" w:ascii="Times New Roman" w:hAnsi="Times New Roman" w:eastAsia="宋体" w:cs="Times New Roman"/>
          <w:bCs/>
          <w:color w:val="000000" w:themeColor="text1"/>
          <w:sz w:val="24"/>
          <w:lang w:val="en-US" w:eastAsia="zh-CN"/>
          <w14:textFill>
            <w14:solidFill>
              <w14:schemeClr w14:val="tx1"/>
            </w14:solidFill>
          </w14:textFill>
        </w:rPr>
        <w:t>生态环境部</w:t>
      </w:r>
      <w:r>
        <w:rPr>
          <w:rFonts w:ascii="Times New Roman" w:hAnsi="Times New Roman" w:eastAsia="宋体" w:cs="Times New Roman"/>
          <w:bCs/>
          <w:color w:val="000000" w:themeColor="text1"/>
          <w:sz w:val="24"/>
          <w14:textFill>
            <w14:solidFill>
              <w14:schemeClr w14:val="tx1"/>
            </w14:solidFill>
          </w14:textFill>
        </w:rPr>
        <w:t>部令第</w:t>
      </w:r>
      <w:r>
        <w:rPr>
          <w:rFonts w:hint="eastAsia" w:ascii="Times New Roman" w:hAnsi="Times New Roman" w:eastAsia="宋体" w:cs="Times New Roman"/>
          <w:bCs/>
          <w:color w:val="000000" w:themeColor="text1"/>
          <w:sz w:val="24"/>
          <w:lang w:val="en-US" w:eastAsia="zh-CN"/>
          <w14:textFill>
            <w14:solidFill>
              <w14:schemeClr w14:val="tx1"/>
            </w14:solidFill>
          </w14:textFill>
        </w:rPr>
        <w:t>32</w:t>
      </w:r>
      <w:r>
        <w:rPr>
          <w:rFonts w:ascii="Times New Roman" w:hAnsi="Times New Roman" w:eastAsia="宋体" w:cs="Times New Roman"/>
          <w:bCs/>
          <w:color w:val="000000" w:themeColor="text1"/>
          <w:sz w:val="24"/>
          <w14:textFill>
            <w14:solidFill>
              <w14:schemeClr w14:val="tx1"/>
            </w14:solidFill>
          </w14:textFill>
        </w:rPr>
        <w:t>号发布）；</w:t>
      </w:r>
    </w:p>
    <w:p>
      <w:pPr>
        <w:numPr>
          <w:ilvl w:val="0"/>
          <w:numId w:val="2"/>
        </w:num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《排污许可证申请与核发技术规范 总则》（环境保护部第15号，2018年2月8日</w:t>
      </w:r>
      <w:r>
        <w:rPr>
          <w:rFonts w:hint="eastAsia" w:ascii="Times New Roman" w:hAnsi="Times New Roman" w:eastAsia="宋体" w:cs="Times New Roman"/>
          <w:bCs/>
          <w:color w:val="000000" w:themeColor="text1"/>
          <w:sz w:val="24"/>
          <w:lang w:eastAsia="zh-CN"/>
          <w14:textFill>
            <w14:solidFill>
              <w14:schemeClr w14:val="tx1"/>
            </w14:solidFill>
          </w14:textFill>
        </w:rPr>
        <w:t>发布</w:t>
      </w:r>
      <w:r>
        <w:rPr>
          <w:rFonts w:ascii="Times New Roman" w:hAnsi="Times New Roman" w:eastAsia="宋体" w:cs="Times New Roman"/>
          <w:bCs/>
          <w:color w:val="000000" w:themeColor="text1"/>
          <w:sz w:val="24"/>
          <w14:textFill>
            <w14:solidFill>
              <w14:schemeClr w14:val="tx1"/>
            </w14:solidFill>
          </w14:textFill>
        </w:rPr>
        <w:t>）；</w:t>
      </w:r>
    </w:p>
    <w:p>
      <w:pPr>
        <w:numPr>
          <w:ilvl w:val="0"/>
          <w:numId w:val="2"/>
        </w:num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《排污许可证申请与核发技术规范 工业固体废物（试行）》（生态环境部第53号，2021年11月8日）；</w:t>
      </w:r>
    </w:p>
    <w:p>
      <w:pPr>
        <w:numPr>
          <w:ilvl w:val="0"/>
          <w:numId w:val="2"/>
        </w:num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《国务院关于印发</w:t>
      </w:r>
      <w:r>
        <w:rPr>
          <w:rFonts w:hint="eastAsia" w:ascii="Times New Roman" w:hAnsi="Times New Roman" w:cs="Times New Roman"/>
          <w:bCs/>
          <w:color w:val="000000" w:themeColor="text1"/>
          <w:sz w:val="24"/>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十四五</w:t>
      </w:r>
      <w:r>
        <w:rPr>
          <w:rFonts w:hint="eastAsia" w:ascii="Times New Roman" w:hAnsi="Times New Roman" w:cs="Times New Roman"/>
          <w:bCs/>
          <w:color w:val="000000" w:themeColor="text1"/>
          <w:sz w:val="24"/>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节能减排综合工作方案的通知》（国务院20</w:t>
      </w:r>
      <w:r>
        <w:rPr>
          <w:rFonts w:ascii="Times New Roman" w:hAnsi="Times New Roman" w:eastAsia="宋体" w:cs="Times New Roman"/>
          <w:bCs/>
          <w:color w:val="000000" w:themeColor="text1"/>
          <w:sz w:val="24"/>
          <w14:textFill>
            <w14:solidFill>
              <w14:schemeClr w14:val="tx1"/>
            </w14:solidFill>
          </w14:textFill>
        </w:rPr>
        <w:t>21年12月28日）</w:t>
      </w:r>
      <w:r>
        <w:rPr>
          <w:rFonts w:hint="eastAsia" w:ascii="Times New Roman" w:hAnsi="Times New Roman" w:eastAsia="宋体" w:cs="Times New Roman"/>
          <w:bCs/>
          <w:color w:val="000000" w:themeColor="text1"/>
          <w:sz w:val="24"/>
          <w14:textFill>
            <w14:solidFill>
              <w14:schemeClr w14:val="tx1"/>
            </w14:solidFill>
          </w14:textFill>
        </w:rPr>
        <w:t>；</w:t>
      </w:r>
    </w:p>
    <w:p>
      <w:pPr>
        <w:numPr>
          <w:ilvl w:val="0"/>
          <w:numId w:val="2"/>
        </w:num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国务院关于印发《空气质量持续改善行动计划》的通知（国发〔2023〕24号）</w:t>
      </w:r>
      <w:r>
        <w:rPr>
          <w:rFonts w:hint="eastAsia" w:ascii="Times New Roman" w:hAnsi="Times New Roman" w:eastAsia="宋体" w:cs="Times New Roman"/>
          <w:bCs/>
          <w:color w:val="000000" w:themeColor="text1"/>
          <w:sz w:val="24"/>
          <w14:textFill>
            <w14:solidFill>
              <w14:schemeClr w14:val="tx1"/>
            </w14:solidFill>
          </w14:textFill>
        </w:rPr>
        <w:t>。</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2.2.2地方</w:t>
      </w:r>
      <w:r>
        <w:rPr>
          <w:rFonts w:hint="eastAsia" w:ascii="Times New Roman" w:hAnsi="Times New Roman" w:eastAsia="黑体" w:cs="Times New Roman"/>
          <w:b/>
          <w:color w:val="000000" w:themeColor="text1"/>
          <w:sz w:val="30"/>
          <w:szCs w:val="30"/>
          <w14:textFill>
            <w14:solidFill>
              <w14:schemeClr w14:val="tx1"/>
            </w14:solidFill>
          </w14:textFill>
        </w:rPr>
        <w:t>性</w:t>
      </w:r>
      <w:r>
        <w:rPr>
          <w:rFonts w:ascii="Times New Roman" w:hAnsi="Times New Roman" w:eastAsia="黑体" w:cs="Times New Roman"/>
          <w:b/>
          <w:color w:val="000000" w:themeColor="text1"/>
          <w:sz w:val="30"/>
          <w:szCs w:val="30"/>
          <w14:textFill>
            <w14:solidFill>
              <w14:schemeClr w14:val="tx1"/>
            </w14:solidFill>
          </w14:textFill>
        </w:rPr>
        <w:t>法律法规及文件</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《新疆维吾尔自治区环境保护条例（2018年修订）》（新疆维吾尔自治区第十三届人民代表大会常务</w:t>
      </w:r>
      <w:r>
        <w:rPr>
          <w:rFonts w:ascii="Times New Roman" w:hAnsi="Times New Roman" w:cs="Times New Roman"/>
          <w:color w:val="000000" w:themeColor="text1"/>
          <w:sz w:val="24"/>
          <w14:textFill>
            <w14:solidFill>
              <w14:schemeClr w14:val="tx1"/>
            </w14:solidFill>
          </w14:textFill>
        </w:rPr>
        <w:t>委员会第六次会议，2018年9月21日实施）；</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《新疆维吾尔自治区水污染防治工作方案》（新政发〔2016〕21号）；</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《新疆维吾尔自治区大气污染防治行动计划实施方案》（新政发〔2014〕35号）；</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《新疆维吾尔自治区人民政府办公厅转发贯彻落实〈全国生态环境保护纲要〉实施意见的通知》（自治区人民政府办公厅，新政办〔2001〕147号，2001年9月30日）；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《新疆维吾尔自治区野生植物保护条例》（新疆维吾尔自治区人民代表大会常务委员会，2018年9月21日）；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bookmarkStart w:id="61" w:name="_Hlk160181487"/>
      <w:r>
        <w:rPr>
          <w:rFonts w:hint="eastAsia" w:ascii="Times New Roman" w:hAnsi="Times New Roman" w:cs="Times New Roman"/>
          <w:color w:val="000000" w:themeColor="text1"/>
          <w:sz w:val="24"/>
          <w14:textFill>
            <w14:solidFill>
              <w14:schemeClr w14:val="tx1"/>
            </w14:solidFill>
          </w14:textFill>
        </w:rPr>
        <w:t>《新疆维吾尔自治区重点保护野生植物名录》</w:t>
      </w:r>
      <w:r>
        <w:rPr>
          <w:rFonts w:ascii="Times New Roman" w:hAnsi="Times New Roman" w:cs="Times New Roman"/>
          <w:color w:val="000000" w:themeColor="text1"/>
          <w:sz w:val="24"/>
          <w14:textFill>
            <w14:solidFill>
              <w14:schemeClr w14:val="tx1"/>
            </w14:solidFill>
          </w14:textFill>
        </w:rPr>
        <w:t>（新政发</w:t>
      </w:r>
      <w:r>
        <w:rPr>
          <w:rFonts w:ascii="Times New Roman" w:hAnsi="Times New Roman" w:eastAsia="宋体" w:cs="Times New Roman"/>
          <w:color w:val="000000" w:themeColor="text1"/>
          <w:sz w:val="24"/>
          <w14:textFill>
            <w14:solidFill>
              <w14:schemeClr w14:val="tx1"/>
            </w14:solidFill>
          </w14:textFill>
        </w:rPr>
        <w:t>〔2023〕63号</w:t>
      </w:r>
      <w:r>
        <w:rPr>
          <w:rFonts w:ascii="Times New Roman" w:hAnsi="Times New Roman" w:cs="Times New Roman"/>
          <w:color w:val="000000" w:themeColor="text1"/>
          <w:sz w:val="24"/>
          <w14:textFill>
            <w14:solidFill>
              <w14:schemeClr w14:val="tx1"/>
            </w14:solidFill>
          </w14:textFill>
        </w:rPr>
        <w:t>）；</w:t>
      </w:r>
    </w:p>
    <w:bookmarkEnd w:id="61"/>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《新疆国家重点保护野生植物名录》（2022年3月）；</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《新疆维吾尔自治区重点保护野生动物名录》（2022年9月18日修订）；</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《新疆维吾尔自治区实施〈中华人民共和国土地管理法〉办法》（新疆维吾尔自治区人大常委会，1999年10月1日）；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《新疆维吾尔自治区土壤污染防治工作方案》（新疆维吾尔自治区人民政府办公厅，2017年3月7日印发）；</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bookmarkStart w:id="62" w:name="_Hlk93256700"/>
      <w:r>
        <w:rPr>
          <w:rFonts w:ascii="Times New Roman" w:hAnsi="Times New Roman" w:cs="Times New Roman"/>
          <w:color w:val="000000" w:themeColor="text1"/>
          <w:sz w:val="24"/>
          <w14:textFill>
            <w14:solidFill>
              <w14:schemeClr w14:val="tx1"/>
            </w14:solidFill>
          </w14:textFill>
        </w:rPr>
        <w:t>《新疆维吾尔自治区实施〈中华人民共和国防沙治沙法〉办法》（根据202</w:t>
      </w:r>
      <w:r>
        <w:rPr>
          <w:rFonts w:hint="eastAsia" w:ascii="Times New Roman" w:hAnsi="Times New Roman" w:cs="Times New Roman"/>
          <w:color w:val="000000" w:themeColor="text1"/>
          <w:sz w:val="24"/>
          <w:lang w:val="en-US" w:eastAsia="zh-CN"/>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11</w:t>
      </w:r>
      <w:r>
        <w:rPr>
          <w:rFonts w:ascii="Times New Roman" w:hAnsi="Times New Roman" w:cs="Times New Roman"/>
          <w:color w:val="000000" w:themeColor="text1"/>
          <w:sz w:val="24"/>
          <w14:textFill>
            <w14:solidFill>
              <w14:schemeClr w14:val="tx1"/>
            </w14:solidFill>
          </w14:textFill>
        </w:rPr>
        <w:t>月</w:t>
      </w:r>
      <w:r>
        <w:rPr>
          <w:rFonts w:hint="eastAsia" w:ascii="Times New Roman" w:hAnsi="Times New Roman" w:cs="Times New Roman"/>
          <w:color w:val="000000" w:themeColor="text1"/>
          <w:sz w:val="24"/>
          <w:lang w:val="en-US" w:eastAsia="zh-CN"/>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日新疆维吾尔自治区第十</w:t>
      </w:r>
      <w:r>
        <w:rPr>
          <w:rFonts w:hint="eastAsia" w:ascii="Times New Roman" w:hAnsi="Times New Roman" w:cs="Times New Roman"/>
          <w:color w:val="000000" w:themeColor="text1"/>
          <w:sz w:val="24"/>
          <w:lang w:val="en-US" w:eastAsia="zh-CN"/>
          <w14:textFill>
            <w14:solidFill>
              <w14:schemeClr w14:val="tx1"/>
            </w14:solidFill>
          </w14:textFill>
        </w:rPr>
        <w:t>四</w:t>
      </w:r>
      <w:r>
        <w:rPr>
          <w:rFonts w:ascii="Times New Roman" w:hAnsi="Times New Roman" w:cs="Times New Roman"/>
          <w:color w:val="000000" w:themeColor="text1"/>
          <w:sz w:val="24"/>
          <w14:textFill>
            <w14:solidFill>
              <w14:schemeClr w14:val="tx1"/>
            </w14:solidFill>
          </w14:textFill>
        </w:rPr>
        <w:t>届人民代表大会常务委员会第十</w:t>
      </w:r>
      <w:r>
        <w:rPr>
          <w:rFonts w:hint="eastAsia" w:ascii="Times New Roman" w:hAnsi="Times New Roman" w:cs="Times New Roman"/>
          <w:color w:val="000000" w:themeColor="text1"/>
          <w:sz w:val="24"/>
          <w:lang w:val="en-US" w:eastAsia="zh-CN"/>
          <w14:textFill>
            <w14:solidFill>
              <w14:schemeClr w14:val="tx1"/>
            </w14:solidFill>
          </w14:textFill>
        </w:rPr>
        <w:t>六</w:t>
      </w:r>
      <w:r>
        <w:rPr>
          <w:rFonts w:ascii="Times New Roman" w:hAnsi="Times New Roman" w:cs="Times New Roman"/>
          <w:color w:val="000000" w:themeColor="text1"/>
          <w:sz w:val="24"/>
          <w14:textFill>
            <w14:solidFill>
              <w14:schemeClr w14:val="tx1"/>
            </w14:solidFill>
          </w14:textFill>
        </w:rPr>
        <w:t>次会议修</w:t>
      </w:r>
      <w:r>
        <w:rPr>
          <w:rFonts w:hint="eastAsia" w:ascii="Times New Roman" w:hAnsi="Times New Roman" w:cs="Times New Roman"/>
          <w:color w:val="000000" w:themeColor="text1"/>
          <w:sz w:val="24"/>
          <w:lang w:val="en-US" w:eastAsia="zh-CN"/>
          <w14:textFill>
            <w14:solidFill>
              <w14:schemeClr w14:val="tx1"/>
            </w14:solidFill>
          </w14:textFill>
        </w:rPr>
        <w:t>订</w:t>
      </w:r>
      <w:r>
        <w:rPr>
          <w:rFonts w:ascii="Times New Roman" w:hAnsi="Times New Roman" w:cs="Times New Roman"/>
          <w:color w:val="000000" w:themeColor="text1"/>
          <w:sz w:val="24"/>
          <w14:textFill>
            <w14:solidFill>
              <w14:schemeClr w14:val="tx1"/>
            </w14:solidFill>
          </w14:textFill>
        </w:rPr>
        <w:t>，202</w:t>
      </w:r>
      <w:r>
        <w:rPr>
          <w:rFonts w:hint="eastAsia" w:ascii="Times New Roman" w:hAnsi="Times New Roman" w:cs="Times New Roman"/>
          <w:color w:val="000000" w:themeColor="text1"/>
          <w:sz w:val="24"/>
          <w:lang w:val="en-US" w:eastAsia="zh-CN"/>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月1日实施）；</w:t>
      </w:r>
      <w:bookmarkEnd w:id="62"/>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关于印发《新疆维吾尔自治区级水土流失重点预防区和重点治理区复核划分成果的通知》（新水水保〔2019〕4号）；</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《新疆维吾尔自治区水土保持规划（2018-2030年）》（2018年8月）；</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《塔城地区和布克赛尔蒙古自治县水土保持规划》（2018-2030年）</w:t>
      </w:r>
      <w:r>
        <w:rPr>
          <w:rFonts w:hint="eastAsia"/>
          <w:color w:val="000000" w:themeColor="text1"/>
          <w14:textFill>
            <w14:solidFill>
              <w14:schemeClr w14:val="tx1"/>
            </w14:solidFill>
          </w14:textFill>
        </w:rPr>
        <w:t>；</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《新疆维吾尔自治区主体功能区规划》；</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《新疆生态功能区划》（新政函〔2005〕96号，2005年7月14日）；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《新疆水环境功能区划》（新政函〔2002〕194号，2002年11月16日）；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《新疆生态环境保护</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十四五</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规划》（2021年12月24日）；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《塔城地区生态环境保护</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十四五</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规划》（2022年9月7日）；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《新疆维吾尔自治区实施〈中华人民共和国节约能源法〉办法》（2013年11月28日新疆维吾尔自治区第十二届人民代表大会常务委员会第五次会议通过）；</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《新疆维吾尔自治区地下水资源管理条例》（新疆维吾尔自治区第十二届人民代表大会常务委员会公告（第40号），自2017年7月1日起施行）；</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《新疆维吾尔自治区大气污染防治条例》（13届人大第7次会议，2019年1月1日）；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《关于印发新疆维吾尔自治区水污染防治工作方案的通知》（新政发〔2016〕21号）；</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《关于印发新疆维吾尔自治区土壤污染防治工作方案的通知》（新政发〔2017〕25号）；</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关于印发《新疆维吾尔自治区大气污染防治行动计划实施方案的通知》（新政发〔2014〕35号，2014年4月17日）；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《关于进一步加强和规范油气田开发项目环境保护管理工作的通知》（新环发〔2018〕133号，2018年9月6日）；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《关于下发新疆加强危险废物和医疗废物监管工作实施方案的通知》（新环防发〔2011〕330号，2011年7月1日）；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《关于做好危险废物安全处置工作的通知》（新环防发〔2011〕389号，2011年7月29日）；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《新疆维吾尔自治区重点行业</w:t>
      </w:r>
      <w:r>
        <w:rPr>
          <w:rFonts w:hint="eastAsia" w:ascii="Times New Roman" w:hAnsi="Times New Roman" w:cs="Times New Roman"/>
          <w:color w:val="000000" w:themeColor="text1"/>
          <w:sz w:val="24"/>
          <w14:textFill>
            <w14:solidFill>
              <w14:schemeClr w14:val="tx1"/>
            </w14:solidFill>
          </w14:textFill>
        </w:rPr>
        <w:t>生态</w:t>
      </w:r>
      <w:r>
        <w:rPr>
          <w:rFonts w:ascii="Times New Roman" w:hAnsi="Times New Roman" w:cs="Times New Roman"/>
          <w:color w:val="000000" w:themeColor="text1"/>
          <w:sz w:val="24"/>
          <w14:textFill>
            <w14:solidFill>
              <w14:schemeClr w14:val="tx1"/>
            </w14:solidFill>
          </w14:textFill>
        </w:rPr>
        <w:t>环境准入条件</w:t>
      </w:r>
      <w:r>
        <w:rPr>
          <w:rFonts w:hint="eastAsia" w:ascii="Times New Roman" w:hAnsi="Times New Roman" w:cs="Times New Roman"/>
          <w:color w:val="000000" w:themeColor="text1"/>
          <w:sz w:val="24"/>
          <w14:textFill>
            <w14:solidFill>
              <w14:schemeClr w14:val="tx1"/>
            </w14:solidFill>
          </w14:textFill>
        </w:rPr>
        <w:t>（2024年）</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（新环环评发〔2024〕93号）</w:t>
      </w:r>
      <w:r>
        <w:rPr>
          <w:rFonts w:ascii="Times New Roman" w:hAnsi="Times New Roman" w:cs="Times New Roman"/>
          <w:color w:val="000000" w:themeColor="text1"/>
          <w:sz w:val="24"/>
          <w14:textFill>
            <w14:solidFill>
              <w14:schemeClr w14:val="tx1"/>
            </w14:solidFill>
          </w14:textFill>
        </w:rPr>
        <w:t>；</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《关于含油污泥处置有关事宜的通知》（新环办发〔2018〕20号，2018年12月20日）；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自治区党委、人民政府印发《关于全面加强生态环境保护坚决打好污染防治攻坚实施方案》（新党发〔2018〕23号，2018年9月4日）；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《关于加强建设项目环境影响后评价管理的通知》（新环环评发〔2020〕162号，2020年9月1日）；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转发《关于进一步加强石油天然气行业环境影响评价的通知》（新环环评发〔2020〕142号，2020年7月30日）；</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《加强沙区建设项目环境影响评价工作的通知》（新环环评发〔2020〕138号）；</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《新疆维吾尔自治区石油天然气发展</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十四五</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规划》；</w:t>
      </w:r>
    </w:p>
    <w:p>
      <w:pPr>
        <w:numPr>
          <w:ilvl w:val="0"/>
          <w:numId w:val="3"/>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《新疆维吾尔自治区国民经济和社会发展第十四个五年规划和2035年远景目标纲要》；</w:t>
      </w:r>
    </w:p>
    <w:p>
      <w:pPr>
        <w:numPr>
          <w:ilvl w:val="0"/>
          <w:numId w:val="3"/>
        </w:num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《塔城地区</w:t>
      </w:r>
      <w:r>
        <w:rPr>
          <w:rFonts w:hint="eastAsia" w:ascii="Times New Roman" w:hAnsi="Times New Roman" w:cs="Times New Roman"/>
          <w:color w:val="000000" w:themeColor="text1"/>
          <w:kern w:val="0"/>
          <w:sz w:val="24"/>
          <w14:textFill>
            <w14:solidFill>
              <w14:schemeClr w14:val="tx1"/>
            </w14:solidFill>
          </w14:textFill>
        </w:rPr>
        <w:t>“</w:t>
      </w:r>
      <w:r>
        <w:rPr>
          <w:rFonts w:ascii="Times New Roman" w:hAnsi="Times New Roman" w:cs="Times New Roman"/>
          <w:color w:val="000000" w:themeColor="text1"/>
          <w:kern w:val="0"/>
          <w:sz w:val="24"/>
          <w14:textFill>
            <w14:solidFill>
              <w14:schemeClr w14:val="tx1"/>
            </w14:solidFill>
          </w14:textFill>
        </w:rPr>
        <w:t>三线一单</w:t>
      </w:r>
      <w:r>
        <w:rPr>
          <w:rFonts w:hint="eastAsia" w:ascii="Times New Roman" w:hAnsi="Times New Roman" w:cs="Times New Roman"/>
          <w:color w:val="000000" w:themeColor="text1"/>
          <w:kern w:val="0"/>
          <w:sz w:val="24"/>
          <w14:textFill>
            <w14:solidFill>
              <w14:schemeClr w14:val="tx1"/>
            </w14:solidFill>
          </w14:textFill>
        </w:rPr>
        <w:t>”</w:t>
      </w:r>
      <w:r>
        <w:rPr>
          <w:rFonts w:ascii="Times New Roman" w:hAnsi="Times New Roman" w:cs="Times New Roman"/>
          <w:color w:val="000000" w:themeColor="text1"/>
          <w:kern w:val="0"/>
          <w:sz w:val="24"/>
          <w14:textFill>
            <w14:solidFill>
              <w14:schemeClr w14:val="tx1"/>
            </w14:solidFill>
          </w14:textFill>
        </w:rPr>
        <w:t>生态环境分区管控方案》</w:t>
      </w:r>
      <w:r>
        <w:rPr>
          <w:rFonts w:hint="eastAsia" w:ascii="Times New Roman" w:hAnsi="Times New Roman" w:cs="Times New Roman"/>
          <w:color w:val="000000" w:themeColor="text1"/>
          <w:kern w:val="0"/>
          <w:sz w:val="24"/>
          <w14:textFill>
            <w14:solidFill>
              <w14:schemeClr w14:val="tx1"/>
            </w14:solidFill>
          </w14:textFill>
        </w:rPr>
        <w:t>（2023年版）</w:t>
      </w:r>
      <w:r>
        <w:rPr>
          <w:rFonts w:ascii="Times New Roman" w:hAnsi="Times New Roman" w:cs="Times New Roman"/>
          <w:color w:val="000000" w:themeColor="text1"/>
          <w:kern w:val="0"/>
          <w:sz w:val="24"/>
          <w14:textFill>
            <w14:solidFill>
              <w14:schemeClr w14:val="tx1"/>
            </w14:solidFill>
          </w14:textFill>
        </w:rPr>
        <w:t>。</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2.2.3技术标准及规范</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《建设项目环境影响评价技术导则 总纲》（HJ2.1-2016）；</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《环境影响评价技术导则 大气环境》（HJ2.2-2018）；</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《环境影响评价技术导则 地表水环境》（HJ2.3-2018）；</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《环境影响评价技术导则 声环境》（HJ2.4-2021）；</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《环境影响评价技术导则 地下水环境》（HJ610-2016）；</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《环境影响评价技术导则 生态影响》（HJ19-2022）；</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《环境影响评价技术导则 土壤环境（试行）》（HJ964-2018）；</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《环境影响评价技术导则 陆地石油天然气开发建设项目》（HJ 349-2023）；</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《建设项目竣工环境保护验收技术规范 石油天然气开采》（HJ612-2011）；</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《建设项目环境风险评价技术导则》（HJ169-2018）；</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《建设项目危险废物环境影响评价指南》（环境保护部公告2017年第43号，2017年10月1日起施行）；</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《陆上石油天然气开采业绿色矿山建设规范》（DZ/T0317-2018）；</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《生产建设项目水土保持技术标准》（GB 50433-2018）；</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《石油和天然气开采行业清洁生产评价体系指标（试行）》（2009年2月19日）；</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《危险废物环境管理指南 陆上石油天然气开采》（2021年12月21日）；</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《石油天然气工业健康、安全与环境管理体系》（SY/T6276-2014）；</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《石油化工环境保护设计规范》（SH/T3024-2017）；</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《非常规油气开采污染控制技术规范》</w:t>
      </w:r>
      <w:r>
        <w:rPr>
          <w:rFonts w:ascii="Times New Roman" w:hAnsi="Times New Roman" w:cs="Times New Roman"/>
          <w:color w:val="000000" w:themeColor="text1"/>
          <w:sz w:val="24"/>
          <w14:textFill>
            <w14:solidFill>
              <w14:schemeClr w14:val="tx1"/>
            </w14:solidFill>
          </w14:textFill>
        </w:rPr>
        <w:t>（SY/T7482-2020）；</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《油气田含油污泥及钻井固体废物处理处置技术规范》（DB65/T3999-2017）；</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《陆上石油天然气开采含油污泥资源化综合利用及污染控制技术要求》（SY/T301-2016）；</w:t>
      </w:r>
    </w:p>
    <w:p>
      <w:pPr>
        <w:numPr>
          <w:ilvl w:val="0"/>
          <w:numId w:val="4"/>
        </w:num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《油气田钻井固体废物综合利用污染控制要求》（DB65/T3997-2017）；</w:t>
      </w:r>
    </w:p>
    <w:p>
      <w:pPr>
        <w:numPr>
          <w:ilvl w:val="0"/>
          <w:numId w:val="4"/>
        </w:num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《建设项目危险废物环境影响评价技术指南》（2017年10月1日）；</w:t>
      </w:r>
    </w:p>
    <w:p>
      <w:pPr>
        <w:numPr>
          <w:ilvl w:val="0"/>
          <w:numId w:val="4"/>
        </w:num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lang w:val="zh-CN"/>
          <w14:textFill>
            <w14:solidFill>
              <w14:schemeClr w14:val="tx1"/>
            </w14:solidFill>
          </w14:textFill>
        </w:rPr>
        <w:t>《矿山生态环境保护与恢复治理技术规范（试行）》（HJ651-2013）</w:t>
      </w:r>
    </w:p>
    <w:p>
      <w:pPr>
        <w:numPr>
          <w:ilvl w:val="0"/>
          <w:numId w:val="4"/>
        </w:num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《危险废物管理计划和管理台账制定技术导则》（HJ1259-2022）；</w:t>
      </w:r>
    </w:p>
    <w:p>
      <w:pPr>
        <w:numPr>
          <w:ilvl w:val="0"/>
          <w:numId w:val="4"/>
        </w:num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lang w:val="zh-CN"/>
          <w14:textFill>
            <w14:solidFill>
              <w14:schemeClr w14:val="tx1"/>
            </w14:solidFill>
          </w14:textFill>
        </w:rPr>
        <w:t>《排污单位自行监测技术指南</w:t>
      </w:r>
      <w:r>
        <w:rPr>
          <w:rFonts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lang w:val="zh-CN"/>
          <w14:textFill>
            <w14:solidFill>
              <w14:schemeClr w14:val="tx1"/>
            </w14:solidFill>
          </w14:textFill>
        </w:rPr>
        <w:t>总则》（HJ 819-2017）；</w:t>
      </w:r>
    </w:p>
    <w:p>
      <w:pPr>
        <w:numPr>
          <w:ilvl w:val="0"/>
          <w:numId w:val="4"/>
        </w:num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《排污单位自行监测技术指南 陆上石油天然气开采工业》（HJ1248-2022）</w:t>
      </w:r>
      <w:r>
        <w:rPr>
          <w:rFonts w:hint="eastAsia" w:ascii="Times New Roman" w:hAnsi="Times New Roman" w:cs="Times New Roman"/>
          <w:color w:val="000000" w:themeColor="text1"/>
          <w:sz w:val="24"/>
          <w14:textFill>
            <w14:solidFill>
              <w14:schemeClr w14:val="tx1"/>
            </w14:solidFill>
          </w14:textFill>
        </w:rPr>
        <w:t>；</w:t>
      </w:r>
    </w:p>
    <w:p>
      <w:pPr>
        <w:numPr>
          <w:ilvl w:val="0"/>
          <w:numId w:val="4"/>
        </w:num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《陆上石油天然气开采工业大气污染物排放标准》（GB39728-2020）</w:t>
      </w:r>
      <w:r>
        <w:rPr>
          <w:rFonts w:hint="eastAsia" w:ascii="Times New Roman" w:hAnsi="Times New Roman" w:cs="Times New Roman"/>
          <w:color w:val="000000" w:themeColor="text1"/>
          <w:sz w:val="24"/>
          <w:lang w:eastAsia="zh-CN"/>
          <w14:textFill>
            <w14:solidFill>
              <w14:schemeClr w14:val="tx1"/>
            </w14:solidFill>
          </w14:textFill>
        </w:rPr>
        <w:t>；</w:t>
      </w:r>
    </w:p>
    <w:p>
      <w:pPr>
        <w:numPr>
          <w:ilvl w:val="0"/>
          <w:numId w:val="4"/>
        </w:numPr>
        <w:spacing w:line="360" w:lineRule="auto"/>
        <w:ind w:firstLine="48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石油天然气项目土地复垦与生态修复技术规范</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GB/T 43936-2024</w:t>
      </w:r>
      <w:r>
        <w:rPr>
          <w:rFonts w:hint="eastAsia" w:ascii="Times New Roman" w:hAnsi="Times New Roman" w:cs="Times New Roman"/>
          <w:color w:val="000000" w:themeColor="text1"/>
          <w:sz w:val="24"/>
          <w:lang w:eastAsia="zh-CN"/>
          <w14:textFill>
            <w14:solidFill>
              <w14:schemeClr w14:val="tx1"/>
            </w14:solidFill>
          </w14:textFill>
        </w:rPr>
        <w:t>）；</w:t>
      </w:r>
    </w:p>
    <w:p>
      <w:pPr>
        <w:numPr>
          <w:ilvl w:val="0"/>
          <w:numId w:val="4"/>
        </w:num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《新疆维吾尔自治区建设项目环境影响评价文件分级审批目录（2024年本）》。</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bookmarkStart w:id="63" w:name="_Toc262464319"/>
      <w:r>
        <w:rPr>
          <w:rFonts w:ascii="Times New Roman" w:hAnsi="Times New Roman" w:eastAsia="黑体" w:cs="Times New Roman"/>
          <w:b/>
          <w:color w:val="000000" w:themeColor="text1"/>
          <w:sz w:val="30"/>
          <w:szCs w:val="30"/>
          <w14:textFill>
            <w14:solidFill>
              <w14:schemeClr w14:val="tx1"/>
            </w14:solidFill>
          </w14:textFill>
        </w:rPr>
        <w:t>2.2.4委托书及相关技术资料</w:t>
      </w:r>
      <w:bookmarkEnd w:id="63"/>
    </w:p>
    <w:p>
      <w:pPr>
        <w:numPr>
          <w:ilvl w:val="0"/>
          <w:numId w:val="5"/>
        </w:num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委托书，中国石油新疆油田分公司开发公司，202</w:t>
      </w:r>
      <w:r>
        <w:rPr>
          <w:rFonts w:hint="eastAsia" w:ascii="Times New Roman" w:hAnsi="Times New Roman" w:eastAsia="宋体" w:cs="Times New Roman"/>
          <w:color w:val="000000" w:themeColor="text1"/>
          <w:sz w:val="24"/>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年1</w:t>
      </w:r>
      <w:r>
        <w:rPr>
          <w:rFonts w:hint="eastAsia" w:ascii="Times New Roman" w:hAnsi="Times New Roman" w:eastAsia="宋体" w:cs="Times New Roman"/>
          <w:color w:val="000000" w:themeColor="text1"/>
          <w:sz w:val="24"/>
          <w14:textFill>
            <w14:solidFill>
              <w14:schemeClr w14:val="tx1"/>
            </w14:solidFill>
          </w14:textFill>
        </w:rPr>
        <w:t>0</w:t>
      </w:r>
      <w:r>
        <w:rPr>
          <w:rFonts w:ascii="Times New Roman" w:hAnsi="Times New Roman" w:eastAsia="宋体" w:cs="Times New Roman"/>
          <w:color w:val="000000" w:themeColor="text1"/>
          <w:sz w:val="24"/>
          <w14:textFill>
            <w14:solidFill>
              <w14:schemeClr w14:val="tx1"/>
            </w14:solidFill>
          </w14:textFill>
        </w:rPr>
        <w:t>月1</w:t>
      </w:r>
      <w:r>
        <w:rPr>
          <w:rFonts w:hint="eastAsia" w:ascii="Times New Roman" w:hAnsi="Times New Roman" w:eastAsia="宋体" w:cs="Times New Roman"/>
          <w:color w:val="000000" w:themeColor="text1"/>
          <w:sz w:val="24"/>
          <w14:textFill>
            <w14:solidFill>
              <w14:schemeClr w14:val="tx1"/>
            </w14:solidFill>
          </w14:textFill>
        </w:rPr>
        <w:t>6</w:t>
      </w:r>
      <w:r>
        <w:rPr>
          <w:rFonts w:ascii="Times New Roman" w:hAnsi="Times New Roman" w:eastAsia="宋体" w:cs="Times New Roman"/>
          <w:color w:val="000000" w:themeColor="text1"/>
          <w:sz w:val="24"/>
          <w14:textFill>
            <w14:solidFill>
              <w14:schemeClr w14:val="tx1"/>
            </w14:solidFill>
          </w14:textFill>
        </w:rPr>
        <w:t>日</w:t>
      </w:r>
      <w:r>
        <w:rPr>
          <w:rFonts w:hint="eastAsia" w:ascii="Times New Roman" w:hAnsi="Times New Roman" w:eastAsia="宋体" w:cs="Times New Roman"/>
          <w:color w:val="000000" w:themeColor="text1"/>
          <w:sz w:val="24"/>
          <w14:textFill>
            <w14:solidFill>
              <w14:schemeClr w14:val="tx1"/>
            </w14:solidFill>
          </w14:textFill>
        </w:rPr>
        <w:t>；</w:t>
      </w:r>
    </w:p>
    <w:p>
      <w:pPr>
        <w:numPr>
          <w:ilvl w:val="0"/>
          <w:numId w:val="5"/>
        </w:num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《陆梁油田陆9井区白垩系呼图壁河组油藏加密调整试验方案（钻井工程）》（202</w:t>
      </w:r>
      <w:r>
        <w:rPr>
          <w:rFonts w:hint="eastAsia" w:ascii="Times New Roman" w:hAnsi="Times New Roman" w:eastAsia="宋体" w:cs="Times New Roman"/>
          <w:color w:val="000000" w:themeColor="text1"/>
          <w:sz w:val="24"/>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年1</w:t>
      </w:r>
      <w:r>
        <w:rPr>
          <w:rFonts w:hint="eastAsia" w:ascii="Times New Roman" w:hAnsi="Times New Roman" w:eastAsia="宋体" w:cs="Times New Roman"/>
          <w:color w:val="000000" w:themeColor="text1"/>
          <w:sz w:val="24"/>
          <w14:textFill>
            <w14:solidFill>
              <w14:schemeClr w14:val="tx1"/>
            </w14:solidFill>
          </w14:textFill>
        </w:rPr>
        <w:t>0</w:t>
      </w:r>
      <w:r>
        <w:rPr>
          <w:rFonts w:ascii="Times New Roman" w:hAnsi="Times New Roman" w:eastAsia="宋体" w:cs="Times New Roman"/>
          <w:color w:val="000000" w:themeColor="text1"/>
          <w:sz w:val="24"/>
          <w14:textFill>
            <w14:solidFill>
              <w14:schemeClr w14:val="tx1"/>
            </w14:solidFill>
          </w14:textFill>
        </w:rPr>
        <w:t>月）；</w:t>
      </w:r>
    </w:p>
    <w:p>
      <w:pPr>
        <w:numPr>
          <w:ilvl w:val="0"/>
          <w:numId w:val="5"/>
        </w:num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《陆梁油田陆9井区白垩系呼图壁河组油藏加密调整（</w:t>
      </w:r>
      <w:r>
        <w:rPr>
          <w:rFonts w:hint="eastAsia" w:ascii="Times New Roman" w:hAnsi="Times New Roman" w:eastAsia="宋体" w:cs="Times New Roman"/>
          <w:color w:val="000000" w:themeColor="text1"/>
          <w:sz w:val="24"/>
          <w14:textFill>
            <w14:solidFill>
              <w14:schemeClr w14:val="tx1"/>
            </w14:solidFill>
          </w14:textFill>
        </w:rPr>
        <w:t>地面</w:t>
      </w:r>
      <w:r>
        <w:rPr>
          <w:rFonts w:ascii="Times New Roman" w:hAnsi="Times New Roman" w:eastAsia="宋体" w:cs="Times New Roman"/>
          <w:color w:val="000000" w:themeColor="text1"/>
          <w:sz w:val="24"/>
          <w14:textFill>
            <w14:solidFill>
              <w14:schemeClr w14:val="tx1"/>
            </w14:solidFill>
          </w14:textFill>
        </w:rPr>
        <w:t>工程）》（202</w:t>
      </w:r>
      <w:r>
        <w:rPr>
          <w:rFonts w:hint="eastAsia" w:ascii="Times New Roman" w:hAnsi="Times New Roman" w:eastAsia="宋体" w:cs="Times New Roman"/>
          <w:color w:val="000000" w:themeColor="text1"/>
          <w:sz w:val="24"/>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年1</w:t>
      </w:r>
      <w:r>
        <w:rPr>
          <w:rFonts w:hint="eastAsia" w:ascii="Times New Roman" w:hAnsi="Times New Roman" w:eastAsia="宋体" w:cs="Times New Roman"/>
          <w:color w:val="000000" w:themeColor="text1"/>
          <w:sz w:val="24"/>
          <w14:textFill>
            <w14:solidFill>
              <w14:schemeClr w14:val="tx1"/>
            </w14:solidFill>
          </w14:textFill>
        </w:rPr>
        <w:t>0</w:t>
      </w:r>
      <w:r>
        <w:rPr>
          <w:rFonts w:ascii="Times New Roman" w:hAnsi="Times New Roman" w:eastAsia="宋体" w:cs="Times New Roman"/>
          <w:color w:val="000000" w:themeColor="text1"/>
          <w:sz w:val="24"/>
          <w14:textFill>
            <w14:solidFill>
              <w14:schemeClr w14:val="tx1"/>
            </w14:solidFill>
          </w14:textFill>
        </w:rPr>
        <w:t>月）；</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陆9井区白垩系呼图壁河组油藏加密调整</w:t>
      </w:r>
      <w:r>
        <w:rPr>
          <w:rFonts w:hint="eastAsia" w:ascii="Times New Roman" w:hAnsi="Times New Roman" w:eastAsia="宋体" w:cs="Times New Roman"/>
          <w:color w:val="000000" w:themeColor="text1"/>
          <w:sz w:val="24"/>
          <w14:textFill>
            <w14:solidFill>
              <w14:schemeClr w14:val="tx1"/>
            </w14:solidFill>
          </w14:textFill>
        </w:rPr>
        <w:t>2025年实施</w:t>
      </w:r>
      <w:r>
        <w:rPr>
          <w:rFonts w:ascii="Times New Roman" w:hAnsi="Times New Roman" w:eastAsia="宋体" w:cs="Times New Roman"/>
          <w:color w:val="000000" w:themeColor="text1"/>
          <w:sz w:val="24"/>
          <w14:textFill>
            <w14:solidFill>
              <w14:schemeClr w14:val="tx1"/>
            </w14:solidFill>
          </w14:textFill>
        </w:rPr>
        <w:t>方案</w:t>
      </w:r>
      <w:r>
        <w:rPr>
          <w:rFonts w:hint="eastAsia" w:ascii="Times New Roman" w:hAnsi="Times New Roman" w:eastAsia="宋体" w:cs="Times New Roman"/>
          <w:color w:val="000000" w:themeColor="text1"/>
          <w:sz w:val="24"/>
          <w14:textFill>
            <w14:solidFill>
              <w14:schemeClr w14:val="tx1"/>
            </w14:solidFill>
          </w14:textFill>
        </w:rPr>
        <w:t>（地质方案）》</w:t>
      </w:r>
      <w:r>
        <w:rPr>
          <w:rFonts w:ascii="Times New Roman" w:hAnsi="Times New Roman" w:eastAsia="宋体" w:cs="Times New Roman"/>
          <w:color w:val="000000" w:themeColor="text1"/>
          <w:sz w:val="24"/>
          <w14:textFill>
            <w14:solidFill>
              <w14:schemeClr w14:val="tx1"/>
            </w14:solidFill>
          </w14:textFill>
        </w:rPr>
        <w:t>（202</w:t>
      </w:r>
      <w:r>
        <w:rPr>
          <w:rFonts w:hint="eastAsia" w:ascii="Times New Roman" w:hAnsi="Times New Roman" w:eastAsia="宋体" w:cs="Times New Roman"/>
          <w:color w:val="000000" w:themeColor="text1"/>
          <w:sz w:val="24"/>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14:textFill>
            <w14:solidFill>
              <w14:schemeClr w14:val="tx1"/>
            </w14:solidFill>
          </w14:textFill>
        </w:rPr>
        <w:t>7</w:t>
      </w:r>
      <w:r>
        <w:rPr>
          <w:rFonts w:ascii="Times New Roman" w:hAnsi="Times New Roman" w:eastAsia="宋体" w:cs="Times New Roman"/>
          <w:color w:val="000000" w:themeColor="text1"/>
          <w:sz w:val="24"/>
          <w14:textFill>
            <w14:solidFill>
              <w14:schemeClr w14:val="tx1"/>
            </w14:solidFill>
          </w14:textFill>
        </w:rPr>
        <w:t>月）</w:t>
      </w:r>
      <w:r>
        <w:rPr>
          <w:rFonts w:hint="eastAsia" w:ascii="Times New Roman" w:hAnsi="Times New Roman" w:eastAsia="宋体" w:cs="Times New Roman"/>
          <w:color w:val="000000" w:themeColor="text1"/>
          <w:sz w:val="24"/>
          <w:lang w:eastAsia="zh-CN"/>
          <w14:textFill>
            <w14:solidFill>
              <w14:schemeClr w14:val="tx1"/>
            </w14:solidFill>
          </w14:textFill>
        </w:rPr>
        <w:t>。</w:t>
      </w:r>
    </w:p>
    <w:p>
      <w:pPr>
        <w:pStyle w:val="3"/>
        <w:spacing w:before="10" w:after="10"/>
        <w:rPr>
          <w:rFonts w:ascii="Times New Roman" w:hAnsi="Times New Roman" w:cs="Times New Roman"/>
          <w:color w:val="000000" w:themeColor="text1"/>
          <w14:textFill>
            <w14:solidFill>
              <w14:schemeClr w14:val="tx1"/>
            </w14:solidFill>
          </w14:textFill>
        </w:rPr>
      </w:pPr>
      <w:bookmarkStart w:id="64" w:name="_Toc401859666"/>
      <w:bookmarkStart w:id="65" w:name="_Toc402632168"/>
      <w:bookmarkStart w:id="66" w:name="_Toc401860362"/>
      <w:bookmarkStart w:id="67" w:name="_Toc369770081"/>
      <w:bookmarkStart w:id="68" w:name="_Toc402632066"/>
      <w:bookmarkStart w:id="69" w:name="_Toc401913100"/>
      <w:bookmarkStart w:id="70" w:name="_Toc402631955"/>
      <w:bookmarkStart w:id="71" w:name="_Toc402631795"/>
      <w:bookmarkStart w:id="72" w:name="_Toc388776107"/>
      <w:bookmarkStart w:id="73" w:name="_Toc35366065"/>
      <w:bookmarkStart w:id="74" w:name="_Toc13343"/>
      <w:bookmarkStart w:id="75" w:name="_Toc28638"/>
      <w:bookmarkStart w:id="76" w:name="_Toc92725431"/>
      <w:bookmarkStart w:id="77" w:name="_Toc16479"/>
      <w:bookmarkStart w:id="78" w:name="_Toc35366456"/>
      <w:bookmarkStart w:id="79" w:name="_Toc29390905"/>
      <w:r>
        <w:rPr>
          <w:rFonts w:ascii="Times New Roman" w:hAnsi="Times New Roman" w:cs="Times New Roman"/>
          <w:color w:val="000000" w:themeColor="text1"/>
          <w14:textFill>
            <w14:solidFill>
              <w14:schemeClr w14:val="tx1"/>
            </w14:solidFill>
          </w14:textFill>
        </w:rPr>
        <w:t>2.3</w:t>
      </w:r>
      <w:bookmarkEnd w:id="64"/>
      <w:bookmarkEnd w:id="65"/>
      <w:bookmarkEnd w:id="66"/>
      <w:bookmarkEnd w:id="67"/>
      <w:bookmarkEnd w:id="68"/>
      <w:bookmarkEnd w:id="69"/>
      <w:bookmarkEnd w:id="70"/>
      <w:bookmarkEnd w:id="71"/>
      <w:bookmarkEnd w:id="72"/>
      <w:r>
        <w:rPr>
          <w:rFonts w:ascii="Times New Roman" w:hAnsi="Times New Roman" w:cs="Times New Roman"/>
          <w:color w:val="000000" w:themeColor="text1"/>
          <w14:textFill>
            <w14:solidFill>
              <w14:schemeClr w14:val="tx1"/>
            </w14:solidFill>
          </w14:textFill>
        </w:rPr>
        <w:t>环境影响因素识别和评价因子</w:t>
      </w:r>
      <w:bookmarkEnd w:id="73"/>
      <w:bookmarkEnd w:id="74"/>
      <w:bookmarkEnd w:id="75"/>
      <w:bookmarkEnd w:id="76"/>
      <w:bookmarkEnd w:id="77"/>
      <w:bookmarkEnd w:id="78"/>
      <w:bookmarkEnd w:id="79"/>
      <w:r>
        <w:rPr>
          <w:rFonts w:hint="eastAsia" w:ascii="Times New Roman" w:hAnsi="Times New Roman" w:cs="Times New Roman"/>
          <w:color w:val="000000" w:themeColor="text1"/>
          <w14:textFill>
            <w14:solidFill>
              <w14:schemeClr w14:val="tx1"/>
            </w14:solidFill>
          </w14:textFill>
        </w:rPr>
        <w:t>确定</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bookmarkStart w:id="80" w:name="_Toc401859667"/>
      <w:bookmarkStart w:id="81" w:name="_Toc401913101"/>
      <w:bookmarkStart w:id="82" w:name="_Toc401860363"/>
      <w:r>
        <w:rPr>
          <w:rFonts w:ascii="Times New Roman" w:hAnsi="Times New Roman" w:eastAsia="黑体" w:cs="Times New Roman"/>
          <w:b/>
          <w:color w:val="000000" w:themeColor="text1"/>
          <w:sz w:val="30"/>
          <w:szCs w:val="30"/>
          <w14:textFill>
            <w14:solidFill>
              <w14:schemeClr w14:val="tx1"/>
            </w14:solidFill>
          </w14:textFill>
        </w:rPr>
        <w:t>2.3.1环境影响因素识别</w:t>
      </w:r>
      <w:bookmarkEnd w:id="80"/>
      <w:bookmarkEnd w:id="81"/>
      <w:bookmarkEnd w:id="82"/>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本项目对环境的影响时段主要为施工期、运营期和退役期。</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施工期环境影响主要为钻前工程、钻井工程、储层改造工程、油气集输管线敷设等工程施工活动对周围环境产生的不利影响。一是对土壤扰动和自然植被等的破坏，这种影响是比较持久的，在施工完成后的一段时间内仍将存在，逐步恢复；</w:t>
      </w:r>
      <w:r>
        <w:rPr>
          <w:rFonts w:hint="eastAsia" w:ascii="Times New Roman" w:hAnsi="Times New Roman" w:cs="Times New Roman"/>
          <w:color w:val="000000" w:themeColor="text1"/>
          <w:sz w:val="24"/>
          <w14:textFill>
            <w14:solidFill>
              <w14:schemeClr w14:val="tx1"/>
            </w14:solidFill>
          </w14:textFill>
        </w:rPr>
        <w:t>二</w:t>
      </w:r>
      <w:r>
        <w:rPr>
          <w:rFonts w:ascii="Times New Roman" w:hAnsi="Times New Roman" w:cs="Times New Roman"/>
          <w:color w:val="000000" w:themeColor="text1"/>
          <w:sz w:val="24"/>
          <w14:textFill>
            <w14:solidFill>
              <w14:schemeClr w14:val="tx1"/>
            </w14:solidFill>
          </w14:textFill>
        </w:rPr>
        <w:t>是在施工过程中产生的污染物排放对环境造成的不利影响，这种影响是短暂的，待施工结束后将随之消失。</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运营期的环境影响主要为井场、站场产生的污染物排放对环境造成的不利影响，这种影响是长期的。运营期事故状态的环境影响包括输油管线、井场发生原油泄漏、火灾、爆炸等事故对周围环境和人员的影响，同时还涉及社会经济等问题。</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退役期环境的影响主要表现为井场封井、管道拆除等施工活动，这种影响是短期的。</w:t>
      </w:r>
    </w:p>
    <w:p>
      <w:pPr>
        <w:spacing w:line="360" w:lineRule="auto"/>
        <w:ind w:firstLine="480"/>
        <w:rPr>
          <w:rFonts w:ascii="Times New Roman" w:hAnsi="Times New Roman" w:cs="Times New Roman"/>
          <w:color w:val="000000" w:themeColor="text1"/>
          <w:sz w:val="24"/>
          <w14:textFill>
            <w14:solidFill>
              <w14:schemeClr w14:val="tx1"/>
            </w14:solidFill>
          </w14:textFill>
        </w:rPr>
        <w:sectPr>
          <w:footerReference r:id="rId8" w:type="default"/>
          <w:pgSz w:w="11906" w:h="16838"/>
          <w:pgMar w:top="1440" w:right="1800" w:bottom="1440" w:left="1800" w:header="851" w:footer="992" w:gutter="0"/>
          <w:cols w:space="425" w:num="1"/>
          <w:docGrid w:type="lines" w:linePitch="312" w:charSpace="0"/>
        </w:sectPr>
      </w:pPr>
      <w:r>
        <w:rPr>
          <w:rFonts w:ascii="Times New Roman" w:hAnsi="Times New Roman" w:cs="Times New Roman"/>
          <w:color w:val="000000" w:themeColor="text1"/>
          <w:sz w:val="24"/>
          <w14:textFill>
            <w14:solidFill>
              <w14:schemeClr w14:val="tx1"/>
            </w14:solidFill>
          </w14:textFill>
        </w:rPr>
        <w:t>环境影响因素识别见表2.3-1～表2.3-4。</w:t>
      </w:r>
    </w:p>
    <w:p>
      <w:pPr>
        <w:overflowPunct w:val="0"/>
        <w:topLinePunct/>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bookmarkStart w:id="83" w:name="_Toc401860364"/>
      <w:bookmarkStart w:id="84" w:name="_Toc401859668"/>
      <w:bookmarkStart w:id="85" w:name="_Toc401913102"/>
      <w:r>
        <w:rPr>
          <w:rFonts w:ascii="Times New Roman" w:hAnsi="Times New Roman" w:cs="Times New Roman"/>
          <w:b/>
          <w:bCs/>
          <w:color w:val="000000" w:themeColor="text1"/>
          <w:szCs w:val="21"/>
          <w14:textFill>
            <w14:solidFill>
              <w14:schemeClr w14:val="tx1"/>
            </w14:solidFill>
          </w14:textFill>
        </w:rPr>
        <w:t>表2.3-1  施工期环境影响因素识别矩阵</w:t>
      </w:r>
    </w:p>
    <w:tbl>
      <w:tblPr>
        <w:tblStyle w:val="24"/>
        <w:tblW w:w="141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257"/>
        <w:gridCol w:w="620"/>
        <w:gridCol w:w="711"/>
        <w:gridCol w:w="910"/>
        <w:gridCol w:w="706"/>
        <w:gridCol w:w="706"/>
        <w:gridCol w:w="805"/>
        <w:gridCol w:w="754"/>
        <w:gridCol w:w="961"/>
        <w:gridCol w:w="669"/>
        <w:gridCol w:w="788"/>
        <w:gridCol w:w="774"/>
        <w:gridCol w:w="666"/>
        <w:gridCol w:w="887"/>
        <w:gridCol w:w="638"/>
        <w:gridCol w:w="694"/>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998" w:type="dxa"/>
            <w:gridSpan w:val="2"/>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jc w:val="center"/>
              <w:rPr>
                <w:rFonts w:ascii="Times New Roman" w:hAnsi="Times New Roman" w:cs="Times New Roman"/>
                <w:b/>
                <w:bCs/>
                <w:color w:val="000000" w:themeColor="text1"/>
                <w:szCs w:val="21"/>
                <w14:textFill>
                  <w14:solidFill>
                    <w14:schemeClr w14:val="tx1"/>
                  </w14:solidFill>
                </w14:textFill>
              </w:rPr>
            </w:pPr>
          </w:p>
          <w:p>
            <w:pPr>
              <w:snapToGrid w:val="0"/>
              <w:jc w:val="center"/>
              <w:rPr>
                <w:rFonts w:ascii="Times New Roman" w:hAnsi="Times New Roman" w:cs="Times New Roman"/>
                <w:b/>
                <w:bCs/>
                <w:color w:val="000000" w:themeColor="text1"/>
                <w:szCs w:val="21"/>
                <w14:textFill>
                  <w14:solidFill>
                    <w14:schemeClr w14:val="tx1"/>
                  </w14:solidFill>
                </w14:textFill>
              </w:rPr>
            </w:pPr>
          </w:p>
          <w:p>
            <w:pPr>
              <w:snapToGrid w:val="0"/>
              <w:jc w:val="center"/>
              <w:rPr>
                <w:rFonts w:ascii="Times New Roman" w:hAnsi="Times New Roman" w:cs="Times New Roman"/>
                <w:b/>
                <w:bCs/>
                <w:color w:val="000000" w:themeColor="text1"/>
                <w:szCs w:val="21"/>
                <w14:textFill>
                  <w14:solidFill>
                    <w14:schemeClr w14:val="tx1"/>
                  </w14:solidFill>
                </w14:textFill>
              </w:rPr>
            </w:pPr>
          </w:p>
          <w:p>
            <w:pPr>
              <w:snapToGrid w:val="0"/>
              <w:jc w:val="center"/>
              <w:rPr>
                <w:rFonts w:ascii="Times New Roman" w:hAnsi="Times New Roman" w:cs="Times New Roman"/>
                <w:b/>
                <w:bCs/>
                <w:color w:val="000000" w:themeColor="text1"/>
                <w:szCs w:val="21"/>
                <w14:textFill>
                  <w14:solidFill>
                    <w14:schemeClr w14:val="tx1"/>
                  </w14:solidFill>
                </w14:textFill>
              </w:rPr>
            </w:pPr>
          </w:p>
          <w:p>
            <w:pPr>
              <w:snapToGrid w:val="0"/>
              <w:jc w:val="center"/>
              <w:rPr>
                <w:rFonts w:ascii="Times New Roman" w:hAnsi="Times New Roman" w:cs="Times New Roman"/>
                <w:b/>
                <w:bCs/>
                <w:color w:val="000000" w:themeColor="text1"/>
                <w:szCs w:val="21"/>
                <w14:textFill>
                  <w14:solidFill>
                    <w14:schemeClr w14:val="tx1"/>
                  </w14:solidFill>
                </w14:textFill>
              </w:rPr>
            </w:pPr>
          </w:p>
          <w:p>
            <w:pPr>
              <w:snapToGrid w:val="0"/>
              <w:jc w:val="center"/>
              <w:rPr>
                <w:rFonts w:ascii="Times New Roman" w:hAnsi="Times New Roman" w:cs="Times New Roman"/>
                <w:color w:val="000000" w:themeColor="text1"/>
                <w:szCs w:val="21"/>
                <w14:textFill>
                  <w14:solidFill>
                    <w14:schemeClr w14:val="tx1"/>
                  </w14:solidFill>
                </w14:textFill>
              </w:rPr>
            </w:pPr>
          </w:p>
          <w:p>
            <w:pPr>
              <w:jc w:val="center"/>
              <w:rPr>
                <w:rFonts w:ascii="Times New Roman" w:hAnsi="Times New Roman" w:cs="Times New Roman"/>
                <w:b/>
                <w:bCs/>
                <w:color w:val="000000" w:themeColor="text1"/>
                <w:szCs w:val="21"/>
                <w14:textFill>
                  <w14:solidFill>
                    <w14:schemeClr w14:val="tx1"/>
                  </w14:solidFill>
                </w14:textFill>
              </w:rPr>
            </w:pPr>
          </w:p>
          <w:p>
            <w:pPr>
              <w:snapToGrid w:val="0"/>
              <w:spacing w:line="240" w:lineRule="auto"/>
              <w:jc w:val="center"/>
              <mc:AlternateContent>
                <mc:Choice Requires="wpsCustomData">
                  <wpsCustomData:diagonalParaType/>
                </mc:Choice>
              </mc:AlternateContent>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影响因素</w:t>
            </w:r>
          </w:p>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环境</w:t>
            </w:r>
            <w:r>
              <w:rPr>
                <w:rFonts w:hint="eastAsia" w:ascii="Times New Roman" w:hAnsi="Times New Roman" w:cs="Times New Roman"/>
                <w:b/>
                <w:bCs/>
                <w:color w:val="000000" w:themeColor="text1"/>
                <w:szCs w:val="21"/>
                <w14:textFill>
                  <w14:solidFill>
                    <w14:schemeClr w14:val="tx1"/>
                  </w14:solidFill>
                </w14:textFill>
              </w:rPr>
              <w:t>因素</w:t>
            </w:r>
          </w:p>
        </w:tc>
        <w:tc>
          <w:tcPr>
            <w:tcW w:w="620" w:type="dxa"/>
            <w:vMerge w:val="restart"/>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占地</w:t>
            </w:r>
          </w:p>
        </w:tc>
        <w:tc>
          <w:tcPr>
            <w:tcW w:w="71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钻前工程</w:t>
            </w:r>
          </w:p>
        </w:tc>
        <w:tc>
          <w:tcPr>
            <w:tcW w:w="3881" w:type="dxa"/>
            <w:gridSpan w:val="5"/>
            <w:vAlign w:val="center"/>
          </w:tcPr>
          <w:p>
            <w:pPr>
              <w:ind w:firstLine="422" w:firstLineChars="20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钻井工程</w:t>
            </w:r>
          </w:p>
        </w:tc>
        <w:tc>
          <w:tcPr>
            <w:tcW w:w="3858" w:type="dxa"/>
            <w:gridSpan w:val="5"/>
            <w:vAlign w:val="center"/>
          </w:tcPr>
          <w:p>
            <w:pPr>
              <w:ind w:firstLine="422" w:firstLineChars="20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储层改造工程</w:t>
            </w:r>
          </w:p>
        </w:tc>
        <w:tc>
          <w:tcPr>
            <w:tcW w:w="3095" w:type="dxa"/>
            <w:gridSpan w:val="4"/>
            <w:vAlign w:val="center"/>
          </w:tcPr>
          <w:p>
            <w:pPr>
              <w:ind w:firstLine="422" w:firstLineChars="20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油气集输工程（管线敷设）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8" w:type="dxa"/>
            <w:gridSpan w:val="2"/>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620" w:type="dxa"/>
            <w:vMerge w:val="continue"/>
            <w:vAlign w:val="center"/>
          </w:tcPr>
          <w:p>
            <w:pPr>
              <w:jc w:val="center"/>
              <w:rPr>
                <w:rFonts w:ascii="Times New Roman" w:hAnsi="Times New Roman" w:cs="Times New Roman"/>
                <w:b/>
                <w:bCs/>
                <w:color w:val="000000" w:themeColor="text1"/>
                <w:szCs w:val="21"/>
                <w14:textFill>
                  <w14:solidFill>
                    <w14:schemeClr w14:val="tx1"/>
                  </w14:solidFill>
                </w14:textFill>
              </w:rPr>
            </w:pPr>
          </w:p>
        </w:tc>
        <w:tc>
          <w:tcPr>
            <w:tcW w:w="71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废气</w:t>
            </w:r>
          </w:p>
        </w:tc>
        <w:tc>
          <w:tcPr>
            <w:tcW w:w="910"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废气</w:t>
            </w:r>
          </w:p>
        </w:tc>
        <w:tc>
          <w:tcPr>
            <w:tcW w:w="706"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废水</w:t>
            </w:r>
          </w:p>
        </w:tc>
        <w:tc>
          <w:tcPr>
            <w:tcW w:w="706"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噪声</w:t>
            </w:r>
          </w:p>
        </w:tc>
        <w:tc>
          <w:tcPr>
            <w:tcW w:w="805"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固废</w:t>
            </w:r>
          </w:p>
        </w:tc>
        <w:tc>
          <w:tcPr>
            <w:tcW w:w="754"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环境风险</w:t>
            </w:r>
          </w:p>
        </w:tc>
        <w:tc>
          <w:tcPr>
            <w:tcW w:w="96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废气</w:t>
            </w:r>
          </w:p>
        </w:tc>
        <w:tc>
          <w:tcPr>
            <w:tcW w:w="669"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废水</w:t>
            </w:r>
          </w:p>
        </w:tc>
        <w:tc>
          <w:tcPr>
            <w:tcW w:w="788"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噪声</w:t>
            </w:r>
          </w:p>
        </w:tc>
        <w:tc>
          <w:tcPr>
            <w:tcW w:w="774"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固废</w:t>
            </w:r>
          </w:p>
        </w:tc>
        <w:tc>
          <w:tcPr>
            <w:tcW w:w="666"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环境风险</w:t>
            </w:r>
          </w:p>
        </w:tc>
        <w:tc>
          <w:tcPr>
            <w:tcW w:w="887"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废气</w:t>
            </w:r>
          </w:p>
        </w:tc>
        <w:tc>
          <w:tcPr>
            <w:tcW w:w="638"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废水</w:t>
            </w:r>
          </w:p>
        </w:tc>
        <w:tc>
          <w:tcPr>
            <w:tcW w:w="694"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噪声</w:t>
            </w:r>
          </w:p>
        </w:tc>
        <w:tc>
          <w:tcPr>
            <w:tcW w:w="876"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8" w:type="dxa"/>
            <w:gridSpan w:val="2"/>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620" w:type="dxa"/>
            <w:vMerge w:val="continue"/>
            <w:vAlign w:val="center"/>
          </w:tcPr>
          <w:p>
            <w:pPr>
              <w:jc w:val="center"/>
              <w:rPr>
                <w:rFonts w:ascii="Times New Roman" w:hAnsi="Times New Roman" w:cs="Times New Roman"/>
                <w:b/>
                <w:bCs/>
                <w:color w:val="000000" w:themeColor="text1"/>
                <w:szCs w:val="21"/>
                <w14:textFill>
                  <w14:solidFill>
                    <w14:schemeClr w14:val="tx1"/>
                  </w14:solidFill>
                </w14:textFill>
              </w:rPr>
            </w:pPr>
          </w:p>
        </w:tc>
        <w:tc>
          <w:tcPr>
            <w:tcW w:w="71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施工扬尘</w:t>
            </w:r>
          </w:p>
        </w:tc>
        <w:tc>
          <w:tcPr>
            <w:tcW w:w="910"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施工扬尘、柴油发电机燃油燃烧废气、车辆尾气</w:t>
            </w:r>
          </w:p>
        </w:tc>
        <w:tc>
          <w:tcPr>
            <w:tcW w:w="706"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钻井废水</w:t>
            </w:r>
          </w:p>
        </w:tc>
        <w:tc>
          <w:tcPr>
            <w:tcW w:w="706"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发电机、钻机和各类泵的噪声</w:t>
            </w:r>
          </w:p>
        </w:tc>
        <w:tc>
          <w:tcPr>
            <w:tcW w:w="805"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岩屑、机械设备废油、生活垃圾</w:t>
            </w:r>
          </w:p>
        </w:tc>
        <w:tc>
          <w:tcPr>
            <w:tcW w:w="754"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井喷</w:t>
            </w:r>
          </w:p>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井漏</w:t>
            </w:r>
          </w:p>
        </w:tc>
        <w:tc>
          <w:tcPr>
            <w:tcW w:w="96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施工扬尘、柴油发电机燃油燃烧废气、车辆尾气</w:t>
            </w:r>
          </w:p>
        </w:tc>
        <w:tc>
          <w:tcPr>
            <w:tcW w:w="669"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废射孔液</w:t>
            </w:r>
          </w:p>
        </w:tc>
        <w:tc>
          <w:tcPr>
            <w:tcW w:w="788"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发电机各类泵的噪声</w:t>
            </w:r>
          </w:p>
        </w:tc>
        <w:tc>
          <w:tcPr>
            <w:tcW w:w="774"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机械设备废油、废弃防渗膜、生活垃圾</w:t>
            </w:r>
          </w:p>
        </w:tc>
        <w:tc>
          <w:tcPr>
            <w:tcW w:w="666" w:type="dxa"/>
            <w:vAlign w:val="center"/>
          </w:tcPr>
          <w:p>
            <w:pP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井喷、套管破损</w:t>
            </w:r>
          </w:p>
        </w:tc>
        <w:tc>
          <w:tcPr>
            <w:tcW w:w="887"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施工扬尘、柴油发电机燃油燃烧废气、车辆尾气</w:t>
            </w:r>
          </w:p>
        </w:tc>
        <w:tc>
          <w:tcPr>
            <w:tcW w:w="638"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管道试压废水</w:t>
            </w:r>
          </w:p>
        </w:tc>
        <w:tc>
          <w:tcPr>
            <w:tcW w:w="694"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发电机等噪声</w:t>
            </w:r>
          </w:p>
        </w:tc>
        <w:tc>
          <w:tcPr>
            <w:tcW w:w="876"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弃土、机械设备废油、建筑垃圾、生活垃圾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污染影响</w:t>
            </w:r>
          </w:p>
        </w:tc>
        <w:tc>
          <w:tcPr>
            <w:tcW w:w="12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大气环境</w:t>
            </w:r>
          </w:p>
        </w:tc>
        <w:tc>
          <w:tcPr>
            <w:tcW w:w="62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1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0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5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8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7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6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8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9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地表水</w:t>
            </w:r>
          </w:p>
        </w:tc>
        <w:tc>
          <w:tcPr>
            <w:tcW w:w="62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1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9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0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5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8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7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6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8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9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地下水</w:t>
            </w:r>
          </w:p>
        </w:tc>
        <w:tc>
          <w:tcPr>
            <w:tcW w:w="62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1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9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0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5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8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7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6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8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9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声环境</w:t>
            </w:r>
          </w:p>
        </w:tc>
        <w:tc>
          <w:tcPr>
            <w:tcW w:w="62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1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9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0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5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9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8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7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6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8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9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生态影响</w:t>
            </w:r>
          </w:p>
        </w:tc>
        <w:tc>
          <w:tcPr>
            <w:tcW w:w="12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土壤环境</w:t>
            </w:r>
          </w:p>
        </w:tc>
        <w:tc>
          <w:tcPr>
            <w:tcW w:w="62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1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9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0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5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8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7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6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8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9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野生植物</w:t>
            </w:r>
          </w:p>
        </w:tc>
        <w:tc>
          <w:tcPr>
            <w:tcW w:w="62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1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0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5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8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7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6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8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69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野生动物</w:t>
            </w:r>
          </w:p>
        </w:tc>
        <w:tc>
          <w:tcPr>
            <w:tcW w:w="62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1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9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0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5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8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7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6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8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9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1"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2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生态环境自然景观</w:t>
            </w:r>
          </w:p>
        </w:tc>
        <w:tc>
          <w:tcPr>
            <w:tcW w:w="62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71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9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0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0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5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9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6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8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77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6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8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3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69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8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bl>
    <w:p>
      <w:pPr>
        <w:spacing w:line="360" w:lineRule="auto"/>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注：〇：无影响；+：短期不利影响；++：长期不利影响。</w:t>
      </w:r>
    </w:p>
    <w:p>
      <w:pPr>
        <w:spacing w:line="360" w:lineRule="auto"/>
        <w:jc w:val="center"/>
        <w:rPr>
          <w:rFonts w:ascii="Times New Roman" w:hAnsi="Times New Roman" w:cs="Times New Roman"/>
          <w:b/>
          <w:bCs/>
          <w:color w:val="000000" w:themeColor="text1"/>
          <w:szCs w:val="21"/>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pPr>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表2.3-2  运营期环境影响因素识别矩阵</w:t>
      </w:r>
    </w:p>
    <w:tbl>
      <w:tblPr>
        <w:tblStyle w:val="2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229"/>
        <w:gridCol w:w="803"/>
        <w:gridCol w:w="1232"/>
        <w:gridCol w:w="1202"/>
        <w:gridCol w:w="1162"/>
        <w:gridCol w:w="1324"/>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694" w:type="dxa"/>
            <w:gridSpan w:val="2"/>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jc w:val="center"/>
              <w:rPr>
                <w:rFonts w:ascii="Times New Roman" w:hAnsi="Times New Roman" w:eastAsia="宋体" w:cs="Times New Roman"/>
                <w:b/>
                <w:bCs/>
                <w:color w:val="000000" w:themeColor="text1"/>
                <w:szCs w:val="21"/>
                <w14:textFill>
                  <w14:solidFill>
                    <w14:schemeClr w14:val="tx1"/>
                  </w14:solidFill>
                </w14:textFill>
              </w:rPr>
            </w:pPr>
          </w:p>
          <w:p>
            <w:pPr>
              <w:snapToGrid w:val="0"/>
              <w:jc w:val="center"/>
              <w:rPr>
                <w:rFonts w:ascii="Times New Roman" w:hAnsi="Times New Roman" w:eastAsia="宋体" w:cs="Times New Roman"/>
                <w:b/>
                <w:bCs/>
                <w:color w:val="000000" w:themeColor="text1"/>
                <w:szCs w:val="21"/>
                <w14:textFill>
                  <w14:solidFill>
                    <w14:schemeClr w14:val="tx1"/>
                  </w14:solidFill>
                </w14:textFill>
              </w:rPr>
            </w:pPr>
          </w:p>
          <w:p>
            <w:pPr>
              <w:snapToGrid w:val="0"/>
              <w:jc w:val="center"/>
              <w:rPr>
                <w:rFonts w:ascii="Times New Roman" w:hAnsi="Times New Roman" w:eastAsia="宋体" w:cs="Times New Roman"/>
                <w:b/>
                <w:bCs/>
                <w:color w:val="000000" w:themeColor="text1"/>
                <w:szCs w:val="21"/>
                <w14:textFill>
                  <w14:solidFill>
                    <w14:schemeClr w14:val="tx1"/>
                  </w14:solidFill>
                </w14:textFill>
              </w:rPr>
            </w:pPr>
          </w:p>
          <w:p>
            <w:pPr>
              <w:jc w:val="center"/>
              <w:rPr>
                <w:rFonts w:ascii="Times New Roman" w:hAnsi="Times New Roman" w:eastAsia="宋体" w:cs="Times New Roman"/>
                <w:b/>
                <w:bCs/>
                <w:color w:val="000000" w:themeColor="text1"/>
                <w:szCs w:val="21"/>
                <w14:textFill>
                  <w14:solidFill>
                    <w14:schemeClr w14:val="tx1"/>
                  </w14:solidFill>
                </w14:textFill>
              </w:rPr>
            </w:pPr>
          </w:p>
          <w:p>
            <w:pPr>
              <w:snapToGrid w:val="0"/>
              <w:spacing w:line="240" w:lineRule="auto"/>
              <w:jc w:val="center"/>
              <w:rPr>
                <w:rFonts w:ascii="Times New Roman" w:hAnsi="Times New Roman" w:eastAsia="宋体" w:cs="Times New Roman"/>
                <w:b/>
                <w:bCs/>
                <w:color w:val="000000" w:themeColor="text1"/>
                <w:szCs w:val="21"/>
                <w14:textFill>
                  <w14:solidFill>
                    <w14:schemeClr w14:val="tx1"/>
                  </w14:solidFill>
                </w14:textFill>
              </w:rPr>
            </w:pPr>
          </w:p>
          <w:p>
            <w:pPr>
              <w:snapToGrid w:val="0"/>
              <w:spacing w:line="240" w:lineRule="auto"/>
              <w:jc w:val="center"/>
              <mc:AlternateContent>
                <mc:Choice Requires="wpsCustomData">
                  <wpsCustomData:diagonalParaType/>
                </mc:Choice>
              </mc:AlternateContent>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影响</w:t>
            </w:r>
            <w:r>
              <w:rPr>
                <w:rFonts w:hint="eastAsia" w:ascii="Times New Roman" w:hAnsi="Times New Roman" w:cs="Times New Roman"/>
                <w:b/>
                <w:bCs/>
                <w:color w:val="000000" w:themeColor="text1"/>
                <w:szCs w:val="21"/>
                <w14:textFill>
                  <w14:solidFill>
                    <w14:schemeClr w14:val="tx1"/>
                  </w14:solidFill>
                </w14:textFill>
              </w:rPr>
              <w:t>因素</w:t>
            </w:r>
          </w:p>
          <w:p>
            <w:pPr>
              <w:snapToGrid w:val="0"/>
              <w:jc w:val="center"/>
              <w:rPr>
                <w:rFonts w:ascii="Times New Roman" w:hAnsi="Times New Roman" w:eastAsia="宋体" w:cs="Times New Roman"/>
                <w:b/>
                <w:bCs/>
                <w:color w:val="000000" w:themeColor="text1"/>
                <w:szCs w:val="21"/>
                <w14:textFill>
                  <w14:solidFill>
                    <w14:schemeClr w14:val="tx1"/>
                  </w14:solidFill>
                </w14:textFill>
              </w:rPr>
            </w:pPr>
          </w:p>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环境</w:t>
            </w:r>
            <w:r>
              <w:rPr>
                <w:rFonts w:hint="eastAsia" w:ascii="Times New Roman" w:hAnsi="Times New Roman" w:cs="Times New Roman"/>
                <w:b/>
                <w:bCs/>
                <w:color w:val="000000" w:themeColor="text1"/>
                <w:szCs w:val="21"/>
                <w14:textFill>
                  <w14:solidFill>
                    <w14:schemeClr w14:val="tx1"/>
                  </w14:solidFill>
                </w14:textFill>
              </w:rPr>
              <w:t>因素</w:t>
            </w:r>
          </w:p>
        </w:tc>
        <w:tc>
          <w:tcPr>
            <w:tcW w:w="803" w:type="dxa"/>
            <w:vMerge w:val="restart"/>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占地</w:t>
            </w:r>
          </w:p>
        </w:tc>
        <w:tc>
          <w:tcPr>
            <w:tcW w:w="6022" w:type="dxa"/>
            <w:gridSpan w:val="5"/>
            <w:vAlign w:val="center"/>
          </w:tcPr>
          <w:p>
            <w:pPr>
              <w:ind w:firstLine="422" w:firstLineChars="20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采油、油气集输工程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4" w:type="dxa"/>
            <w:gridSpan w:val="2"/>
            <w:vMerge w:val="continue"/>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p>
        </w:tc>
        <w:tc>
          <w:tcPr>
            <w:tcW w:w="803" w:type="dxa"/>
            <w:vMerge w:val="continue"/>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p>
        </w:tc>
        <w:tc>
          <w:tcPr>
            <w:tcW w:w="1232"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废气</w:t>
            </w:r>
          </w:p>
        </w:tc>
        <w:tc>
          <w:tcPr>
            <w:tcW w:w="1202"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废水</w:t>
            </w:r>
          </w:p>
        </w:tc>
        <w:tc>
          <w:tcPr>
            <w:tcW w:w="1162"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噪声</w:t>
            </w:r>
          </w:p>
        </w:tc>
        <w:tc>
          <w:tcPr>
            <w:tcW w:w="1324"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固废</w:t>
            </w:r>
          </w:p>
        </w:tc>
        <w:tc>
          <w:tcPr>
            <w:tcW w:w="1102"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4" w:type="dxa"/>
            <w:gridSpan w:val="2"/>
            <w:vMerge w:val="continue"/>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p>
        </w:tc>
        <w:tc>
          <w:tcPr>
            <w:tcW w:w="803" w:type="dxa"/>
            <w:vMerge w:val="continue"/>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p>
        </w:tc>
        <w:tc>
          <w:tcPr>
            <w:tcW w:w="1232"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无组织挥发烃类</w:t>
            </w:r>
            <w:r>
              <w:rPr>
                <w:rFonts w:hint="eastAsia"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甲烷（CH</w:t>
            </w:r>
            <w:r>
              <w:rPr>
                <w:rFonts w:ascii="Times New Roman" w:hAnsi="Times New Roman" w:eastAsia="宋体" w:cs="Times New Roman"/>
                <w:b/>
                <w:bCs/>
                <w:color w:val="000000" w:themeColor="text1"/>
                <w:szCs w:val="21"/>
                <w:vertAlign w:val="subscript"/>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w:t>
            </w:r>
            <w:r>
              <w:rPr>
                <w:rFonts w:hint="eastAsia"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二氧化碳（CO</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14:textFill>
                  <w14:solidFill>
                    <w14:schemeClr w14:val="tx1"/>
                  </w14:solidFill>
                </w14:textFill>
              </w:rPr>
              <w:t>）</w:t>
            </w:r>
          </w:p>
        </w:tc>
        <w:tc>
          <w:tcPr>
            <w:tcW w:w="1202" w:type="dxa"/>
            <w:vAlign w:val="center"/>
          </w:tcPr>
          <w:p>
            <w:pP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采出水、井下作业废水、废洗井液</w:t>
            </w:r>
          </w:p>
        </w:tc>
        <w:tc>
          <w:tcPr>
            <w:tcW w:w="1162"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站场设备等噪声</w:t>
            </w:r>
          </w:p>
        </w:tc>
        <w:tc>
          <w:tcPr>
            <w:tcW w:w="1324"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含油污泥、落地油、清管废渣、废润滑油、废弃防渗膜</w:t>
            </w:r>
          </w:p>
        </w:tc>
        <w:tc>
          <w:tcPr>
            <w:tcW w:w="1102"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石油、天然气、回注水泄漏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5"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污染影响</w:t>
            </w:r>
          </w:p>
        </w:tc>
        <w:tc>
          <w:tcPr>
            <w:tcW w:w="1229"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大气环境</w:t>
            </w:r>
          </w:p>
        </w:tc>
        <w:tc>
          <w:tcPr>
            <w:tcW w:w="80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2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2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16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2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1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5"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229"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地表水</w:t>
            </w:r>
          </w:p>
        </w:tc>
        <w:tc>
          <w:tcPr>
            <w:tcW w:w="80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2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2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16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2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1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5"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229"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地下水</w:t>
            </w:r>
          </w:p>
        </w:tc>
        <w:tc>
          <w:tcPr>
            <w:tcW w:w="80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2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2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16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2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1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5"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229"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声环境</w:t>
            </w:r>
          </w:p>
        </w:tc>
        <w:tc>
          <w:tcPr>
            <w:tcW w:w="80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2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2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16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32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1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5"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生态影响</w:t>
            </w:r>
          </w:p>
        </w:tc>
        <w:tc>
          <w:tcPr>
            <w:tcW w:w="1229"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土壤环境</w:t>
            </w:r>
          </w:p>
        </w:tc>
        <w:tc>
          <w:tcPr>
            <w:tcW w:w="80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2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2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16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2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1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5"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229"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野生植物</w:t>
            </w:r>
          </w:p>
        </w:tc>
        <w:tc>
          <w:tcPr>
            <w:tcW w:w="80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2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2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16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2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1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5"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229"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野生动物</w:t>
            </w:r>
          </w:p>
        </w:tc>
        <w:tc>
          <w:tcPr>
            <w:tcW w:w="80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2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2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16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2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c>
          <w:tcPr>
            <w:tcW w:w="11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5"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229"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生态环境自然景观</w:t>
            </w:r>
          </w:p>
        </w:tc>
        <w:tc>
          <w:tcPr>
            <w:tcW w:w="80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2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16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2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10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bl>
    <w:p>
      <w:pPr>
        <w:spacing w:line="360" w:lineRule="auto"/>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注：〇：无影响；+：短期不利影响；++：长期不利影响。</w:t>
      </w:r>
    </w:p>
    <w:p>
      <w:pPr>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表2.3-3  退役期环境影响因素识别矩阵</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526"/>
        <w:gridCol w:w="1735"/>
        <w:gridCol w:w="1378"/>
        <w:gridCol w:w="1463"/>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rPr>
        <w:tc>
          <w:tcPr>
            <w:tcW w:w="2483" w:type="dxa"/>
            <w:gridSpan w:val="2"/>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jc w:val="center"/>
              <w:rPr>
                <w:rFonts w:ascii="Times New Roman" w:hAnsi="Times New Roman" w:cs="Times New Roman"/>
                <w:b/>
                <w:bCs/>
                <w:color w:val="000000" w:themeColor="text1"/>
                <w:szCs w:val="21"/>
                <w14:textFill>
                  <w14:solidFill>
                    <w14:schemeClr w14:val="tx1"/>
                  </w14:solidFill>
                </w14:textFill>
              </w:rPr>
            </w:pPr>
          </w:p>
          <w:p>
            <w:pPr>
              <w:snapToGrid w:val="0"/>
              <w:jc w:val="center"/>
              <w:rPr>
                <w:rFonts w:ascii="Times New Roman" w:hAnsi="Times New Roman" w:cs="Times New Roman"/>
                <w:b/>
                <w:bCs/>
                <w:color w:val="000000" w:themeColor="text1"/>
                <w:szCs w:val="21"/>
                <w14:textFill>
                  <w14:solidFill>
                    <w14:schemeClr w14:val="tx1"/>
                  </w14:solidFill>
                </w14:textFill>
              </w:rPr>
            </w:pPr>
          </w:p>
          <w:p>
            <w:pPr>
              <w:snapToGrid w:val="0"/>
              <w:spacing w:line="240" w:lineRule="auto"/>
              <w:jc w:val="center"/>
              <mc:AlternateContent>
                <mc:Choice Requires="wpsCustomData">
                  <wpsCustomData:diagonalParaType/>
                </mc:Choice>
              </mc:AlternateContent>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影响</w:t>
            </w:r>
            <w:r>
              <w:rPr>
                <w:rFonts w:hint="eastAsia" w:ascii="Times New Roman" w:hAnsi="Times New Roman" w:cs="Times New Roman"/>
                <w:b/>
                <w:bCs/>
                <w:color w:val="000000" w:themeColor="text1"/>
                <w:szCs w:val="21"/>
                <w14:textFill>
                  <w14:solidFill>
                    <w14:schemeClr w14:val="tx1"/>
                  </w14:solidFill>
                </w14:textFill>
              </w:rPr>
              <w:t>因素</w:t>
            </w:r>
          </w:p>
          <w:p>
            <w:pPr>
              <w:snapToGrid w:val="0"/>
              <w:jc w:val="center"/>
              <w:rPr>
                <w:rFonts w:ascii="Times New Roman" w:hAnsi="Times New Roman" w:cs="Times New Roman"/>
                <w:b/>
                <w:bCs/>
                <w:color w:val="000000" w:themeColor="text1"/>
                <w:szCs w:val="21"/>
                <w14:textFill>
                  <w14:solidFill>
                    <w14:schemeClr w14:val="tx1"/>
                  </w14:solidFill>
                </w14:textFill>
              </w:rPr>
            </w:pPr>
          </w:p>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环境</w:t>
            </w:r>
            <w:r>
              <w:rPr>
                <w:rFonts w:hint="eastAsia" w:ascii="Times New Roman" w:hAnsi="Times New Roman" w:cs="Times New Roman"/>
                <w:b/>
                <w:bCs/>
                <w:color w:val="000000" w:themeColor="text1"/>
                <w:szCs w:val="21"/>
                <w14:textFill>
                  <w14:solidFill>
                    <w14:schemeClr w14:val="tx1"/>
                  </w14:solidFill>
                </w14:textFill>
              </w:rPr>
              <w:t>因素</w:t>
            </w:r>
          </w:p>
        </w:tc>
        <w:tc>
          <w:tcPr>
            <w:tcW w:w="1735"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废气</w:t>
            </w:r>
          </w:p>
        </w:tc>
        <w:tc>
          <w:tcPr>
            <w:tcW w:w="1378"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废水</w:t>
            </w:r>
          </w:p>
        </w:tc>
        <w:tc>
          <w:tcPr>
            <w:tcW w:w="1463"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噪声</w:t>
            </w:r>
          </w:p>
        </w:tc>
        <w:tc>
          <w:tcPr>
            <w:tcW w:w="1463"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83" w:type="dxa"/>
            <w:gridSpan w:val="2"/>
            <w:vMerge w:val="continue"/>
            <w:vAlign w:val="center"/>
          </w:tcPr>
          <w:p>
            <w:pPr>
              <w:jc w:val="center"/>
              <w:rPr>
                <w:rFonts w:ascii="Times New Roman" w:hAnsi="Times New Roman" w:cs="Times New Roman"/>
                <w:b/>
                <w:bCs/>
                <w:color w:val="000000" w:themeColor="text1"/>
                <w:szCs w:val="21"/>
                <w14:textFill>
                  <w14:solidFill>
                    <w14:schemeClr w14:val="tx1"/>
                  </w14:solidFill>
                </w14:textFill>
              </w:rPr>
            </w:pPr>
          </w:p>
        </w:tc>
        <w:tc>
          <w:tcPr>
            <w:tcW w:w="1735"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工程车辆、设备拆除施工扬尘</w:t>
            </w:r>
          </w:p>
        </w:tc>
        <w:tc>
          <w:tcPr>
            <w:tcW w:w="1378"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管道清洗</w:t>
            </w:r>
          </w:p>
        </w:tc>
        <w:tc>
          <w:tcPr>
            <w:tcW w:w="1463"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车辆、施工噪声</w:t>
            </w:r>
          </w:p>
        </w:tc>
        <w:tc>
          <w:tcPr>
            <w:tcW w:w="1463"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拆除的管道、废旧设备等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污染影响</w:t>
            </w:r>
          </w:p>
        </w:tc>
        <w:tc>
          <w:tcPr>
            <w:tcW w:w="152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大气环境</w:t>
            </w:r>
          </w:p>
        </w:tc>
        <w:tc>
          <w:tcPr>
            <w:tcW w:w="17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37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52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地表水</w:t>
            </w:r>
          </w:p>
        </w:tc>
        <w:tc>
          <w:tcPr>
            <w:tcW w:w="17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7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52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地下水</w:t>
            </w:r>
          </w:p>
        </w:tc>
        <w:tc>
          <w:tcPr>
            <w:tcW w:w="17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7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52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声环境</w:t>
            </w:r>
          </w:p>
        </w:tc>
        <w:tc>
          <w:tcPr>
            <w:tcW w:w="17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7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Merge w:val="restar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生态影响</w:t>
            </w:r>
          </w:p>
        </w:tc>
        <w:tc>
          <w:tcPr>
            <w:tcW w:w="152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土壤环境</w:t>
            </w:r>
          </w:p>
        </w:tc>
        <w:tc>
          <w:tcPr>
            <w:tcW w:w="17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7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52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野生植物</w:t>
            </w:r>
          </w:p>
        </w:tc>
        <w:tc>
          <w:tcPr>
            <w:tcW w:w="17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7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52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野生动物</w:t>
            </w:r>
          </w:p>
        </w:tc>
        <w:tc>
          <w:tcPr>
            <w:tcW w:w="17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7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152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生态环境自然景观</w:t>
            </w:r>
          </w:p>
        </w:tc>
        <w:tc>
          <w:tcPr>
            <w:tcW w:w="173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37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c>
          <w:tcPr>
            <w:tcW w:w="1463"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〇</w:t>
            </w:r>
          </w:p>
        </w:tc>
      </w:tr>
    </w:tbl>
    <w:p>
      <w:pPr>
        <w:spacing w:line="360" w:lineRule="auto"/>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注：〇：无影响；+：短期不利影响；++：长期不利影响。</w:t>
      </w:r>
    </w:p>
    <w:p>
      <w:pPr>
        <w:pStyle w:val="25"/>
        <w:rPr>
          <w:rFonts w:ascii="Times New Roman" w:hAnsi="Times New Roman" w:cs="Times New Roman"/>
          <w:color w:val="000000" w:themeColor="text1"/>
          <w:sz w:val="18"/>
          <w:szCs w:val="1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2.3.2评价因子</w:t>
      </w:r>
      <w:bookmarkEnd w:id="83"/>
      <w:bookmarkEnd w:id="84"/>
      <w:bookmarkEnd w:id="85"/>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项目各阶段的环境影响因子不同，根据工程分析和生产工艺，施工期、运营期、退役期环境影响评价因子见表2.3-</w:t>
      </w:r>
      <w:r>
        <w:rPr>
          <w:rFonts w:hint="eastAsia" w:ascii="Times New Roman" w:hAnsi="Times New Roman" w:cs="Times New Roman"/>
          <w:color w:val="000000" w:themeColor="text1"/>
          <w:sz w:val="24"/>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w:t>
      </w:r>
    </w:p>
    <w:p>
      <w:pPr>
        <w:spacing w:before="10" w:after="10" w:line="360" w:lineRule="auto"/>
        <w:jc w:val="center"/>
        <w:rPr>
          <w:rFonts w:ascii="Times New Roman" w:hAnsi="Times New Roman" w:eastAsia="宋体" w:cs="Times New Roman"/>
          <w:b/>
          <w:bCs/>
          <w:color w:val="000000" w:themeColor="text1"/>
          <w:szCs w:val="21"/>
          <w14:textFill>
            <w14:solidFill>
              <w14:schemeClr w14:val="tx1"/>
            </w14:solidFill>
          </w14:textFill>
        </w:rPr>
      </w:pPr>
      <w:bookmarkStart w:id="86" w:name="_Toc401913103"/>
      <w:bookmarkStart w:id="87" w:name="_Toc29390906"/>
      <w:bookmarkStart w:id="88" w:name="_Toc35366066"/>
      <w:bookmarkStart w:id="89" w:name="_Toc401860365"/>
      <w:bookmarkStart w:id="90" w:name="_Toc401859669"/>
      <w:bookmarkStart w:id="91" w:name="_Toc35366457"/>
      <w:bookmarkStart w:id="92" w:name="_Toc92725432"/>
      <w:r>
        <w:rPr>
          <w:rFonts w:ascii="Times New Roman" w:hAnsi="Times New Roman" w:eastAsia="宋体" w:cs="Times New Roman"/>
          <w:b/>
          <w:bCs/>
          <w:color w:val="000000" w:themeColor="text1"/>
          <w:szCs w:val="21"/>
          <w14:textFill>
            <w14:solidFill>
              <w14:schemeClr w14:val="tx1"/>
            </w14:solidFill>
          </w14:textFill>
        </w:rPr>
        <w:t>表2.3-</w:t>
      </w:r>
      <w:r>
        <w:rPr>
          <w:rFonts w:hint="eastAsia" w:ascii="Times New Roman" w:hAnsi="Times New Roman" w:eastAsia="宋体" w:cs="Times New Roman"/>
          <w:b/>
          <w:bCs/>
          <w:color w:val="000000" w:themeColor="text1"/>
          <w:szCs w:val="21"/>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 xml:space="preserve">  建设项目环境影响评价因子一览表</w:t>
      </w:r>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2"/>
        <w:gridCol w:w="1336"/>
        <w:gridCol w:w="1432"/>
        <w:gridCol w:w="2326"/>
        <w:gridCol w:w="1772"/>
        <w:gridCol w:w="1772"/>
        <w:gridCol w:w="1984"/>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992" w:type="dxa"/>
            <w:vAlign w:val="center"/>
          </w:tcPr>
          <w:p>
            <w:pPr>
              <w:pStyle w:val="25"/>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单项工程环境要素</w:t>
            </w:r>
          </w:p>
        </w:tc>
        <w:tc>
          <w:tcPr>
            <w:tcW w:w="1336" w:type="dxa"/>
            <w:vAlign w:val="center"/>
          </w:tcPr>
          <w:p>
            <w:pPr>
              <w:pStyle w:val="25"/>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时期</w:t>
            </w:r>
          </w:p>
        </w:tc>
        <w:tc>
          <w:tcPr>
            <w:tcW w:w="1432" w:type="dxa"/>
            <w:vAlign w:val="center"/>
          </w:tcPr>
          <w:p>
            <w:pPr>
              <w:pStyle w:val="25"/>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大气</w:t>
            </w:r>
          </w:p>
        </w:tc>
        <w:tc>
          <w:tcPr>
            <w:tcW w:w="2326" w:type="dxa"/>
            <w:vAlign w:val="center"/>
          </w:tcPr>
          <w:p>
            <w:pPr>
              <w:pStyle w:val="25"/>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地表水</w:t>
            </w:r>
          </w:p>
        </w:tc>
        <w:tc>
          <w:tcPr>
            <w:tcW w:w="1772" w:type="dxa"/>
            <w:vAlign w:val="center"/>
          </w:tcPr>
          <w:p>
            <w:pPr>
              <w:pStyle w:val="25"/>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地下水</w:t>
            </w:r>
          </w:p>
        </w:tc>
        <w:tc>
          <w:tcPr>
            <w:tcW w:w="1772" w:type="dxa"/>
            <w:vAlign w:val="center"/>
          </w:tcPr>
          <w:p>
            <w:pPr>
              <w:pStyle w:val="25"/>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土壤</w:t>
            </w:r>
          </w:p>
        </w:tc>
        <w:tc>
          <w:tcPr>
            <w:tcW w:w="1984" w:type="dxa"/>
            <w:vAlign w:val="center"/>
          </w:tcPr>
          <w:p>
            <w:pPr>
              <w:pStyle w:val="25"/>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生态</w:t>
            </w:r>
          </w:p>
        </w:tc>
        <w:tc>
          <w:tcPr>
            <w:tcW w:w="1560" w:type="dxa"/>
            <w:vAlign w:val="center"/>
          </w:tcPr>
          <w:p>
            <w:pPr>
              <w:pStyle w:val="25"/>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99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钻前工程</w:t>
            </w:r>
          </w:p>
        </w:tc>
        <w:tc>
          <w:tcPr>
            <w:tcW w:w="1336" w:type="dxa"/>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kern w:val="0"/>
                <w:sz w:val="21"/>
                <w:szCs w:val="21"/>
                <w:lang w:bidi="ar"/>
                <w14:textFill>
                  <w14:solidFill>
                    <w14:schemeClr w14:val="tx1"/>
                  </w14:solidFill>
                </w14:textFill>
              </w:rPr>
              <w:t>施工期</w:t>
            </w:r>
          </w:p>
        </w:tc>
        <w:tc>
          <w:tcPr>
            <w:tcW w:w="1432" w:type="dxa"/>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颗粒物</w:t>
            </w:r>
          </w:p>
        </w:tc>
        <w:tc>
          <w:tcPr>
            <w:tcW w:w="2326"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BOD</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5</w:t>
            </w:r>
            <w:r>
              <w:rPr>
                <w:rFonts w:ascii="Times New Roman" w:hAnsi="Times New Roman" w:eastAsia="宋体" w:cs="Times New Roman"/>
                <w:bCs/>
                <w:color w:val="000000" w:themeColor="text1"/>
                <w:kern w:val="0"/>
                <w:szCs w:val="21"/>
                <w:lang w:bidi="ar"/>
                <w14:textFill>
                  <w14:solidFill>
                    <w14:schemeClr w14:val="tx1"/>
                  </w14:solidFill>
                </w14:textFill>
              </w:rPr>
              <w:t>、COD、悬浮物、氨氮等</w:t>
            </w:r>
          </w:p>
        </w:tc>
        <w:tc>
          <w:tcPr>
            <w:tcW w:w="1772" w:type="dxa"/>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kern w:val="0"/>
                <w:sz w:val="21"/>
                <w:szCs w:val="21"/>
                <w:lang w:bidi="ar"/>
                <w14:textFill>
                  <w14:solidFill>
                    <w14:schemeClr w14:val="tx1"/>
                  </w14:solidFill>
                </w14:textFill>
              </w:rPr>
              <w:t>耗氧量、氨氮、石油类等</w:t>
            </w:r>
          </w:p>
        </w:tc>
        <w:tc>
          <w:tcPr>
            <w:tcW w:w="1772" w:type="dxa"/>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kern w:val="0"/>
                <w:sz w:val="21"/>
                <w:szCs w:val="21"/>
                <w:lang w:bidi="ar"/>
                <w14:textFill>
                  <w14:solidFill>
                    <w14:schemeClr w14:val="tx1"/>
                  </w14:solidFill>
                </w14:textFill>
              </w:rPr>
              <w:t>/</w:t>
            </w:r>
          </w:p>
        </w:tc>
        <w:tc>
          <w:tcPr>
            <w:tcW w:w="1984"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地表扰动面积及类型、生态系统完整性</w:t>
            </w:r>
          </w:p>
        </w:tc>
        <w:tc>
          <w:tcPr>
            <w:tcW w:w="1560" w:type="dxa"/>
            <w:vAlign w:val="center"/>
          </w:tcPr>
          <w:p>
            <w:pPr>
              <w:autoSpaceDE w:val="0"/>
              <w:autoSpaceDN w:val="0"/>
              <w:jc w:val="center"/>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99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钻井工程</w:t>
            </w:r>
          </w:p>
        </w:tc>
        <w:tc>
          <w:tcPr>
            <w:tcW w:w="1336" w:type="dxa"/>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kern w:val="0"/>
                <w:sz w:val="21"/>
                <w:szCs w:val="21"/>
                <w:lang w:bidi="ar"/>
                <w14:textFill>
                  <w14:solidFill>
                    <w14:schemeClr w14:val="tx1"/>
                  </w14:solidFill>
                </w14:textFill>
              </w:rPr>
              <w:t>施工期</w:t>
            </w:r>
          </w:p>
        </w:tc>
        <w:tc>
          <w:tcPr>
            <w:tcW w:w="143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SO</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2</w:t>
            </w:r>
            <w:r>
              <w:rPr>
                <w:rFonts w:ascii="Times New Roman" w:hAnsi="Times New Roman" w:eastAsia="宋体" w:cs="Times New Roman"/>
                <w:bCs/>
                <w:color w:val="000000" w:themeColor="text1"/>
                <w:kern w:val="0"/>
                <w:szCs w:val="21"/>
                <w:lang w:bidi="ar"/>
                <w14:textFill>
                  <w14:solidFill>
                    <w14:schemeClr w14:val="tx1"/>
                  </w14:solidFill>
                </w14:textFill>
              </w:rPr>
              <w:t>、NO</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X</w:t>
            </w:r>
            <w:r>
              <w:rPr>
                <w:rFonts w:ascii="Times New Roman" w:hAnsi="Times New Roman" w:eastAsia="宋体" w:cs="Times New Roman"/>
                <w:bCs/>
                <w:color w:val="000000" w:themeColor="text1"/>
                <w:kern w:val="0"/>
                <w:szCs w:val="21"/>
                <w:lang w:bidi="ar"/>
                <w14:textFill>
                  <w14:solidFill>
                    <w14:schemeClr w14:val="tx1"/>
                  </w14:solidFill>
                </w14:textFill>
              </w:rPr>
              <w:t>、</w:t>
            </w:r>
            <w:r>
              <w:rPr>
                <w:rFonts w:hint="eastAsia" w:ascii="Times New Roman" w:hAnsi="Times New Roman" w:eastAsia="宋体" w:cs="Times New Roman"/>
                <w:bCs/>
                <w:color w:val="000000" w:themeColor="text1"/>
                <w:kern w:val="0"/>
                <w:szCs w:val="21"/>
                <w:lang w:bidi="ar"/>
                <w14:textFill>
                  <w14:solidFill>
                    <w14:schemeClr w14:val="tx1"/>
                  </w14:solidFill>
                </w14:textFill>
              </w:rPr>
              <w:t>CO、</w:t>
            </w:r>
            <w:r>
              <w:rPr>
                <w:rFonts w:ascii="Times New Roman" w:hAnsi="Times New Roman" w:eastAsia="宋体" w:cs="Times New Roman"/>
                <w:bCs/>
                <w:color w:val="000000" w:themeColor="text1"/>
                <w:kern w:val="0"/>
                <w:szCs w:val="21"/>
                <w:lang w:bidi="ar"/>
                <w14:textFill>
                  <w14:solidFill>
                    <w14:schemeClr w14:val="tx1"/>
                  </w14:solidFill>
                </w14:textFill>
              </w:rPr>
              <w:t>非甲烷总烃</w:t>
            </w:r>
          </w:p>
        </w:tc>
        <w:tc>
          <w:tcPr>
            <w:tcW w:w="2326"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pH值、悬浮物、COD、BOD</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5</w:t>
            </w:r>
            <w:r>
              <w:rPr>
                <w:rFonts w:ascii="Times New Roman" w:hAnsi="Times New Roman" w:eastAsia="宋体" w:cs="Times New Roman"/>
                <w:bCs/>
                <w:color w:val="000000" w:themeColor="text1"/>
                <w:kern w:val="0"/>
                <w:szCs w:val="21"/>
                <w:lang w:bidi="ar"/>
                <w14:textFill>
                  <w14:solidFill>
                    <w14:schemeClr w14:val="tx1"/>
                  </w14:solidFill>
                </w14:textFill>
              </w:rPr>
              <w:t>、氨氮、总磷、石油类、挥发酚、硫化物、阴离子表面活性剂、汞、总铬、六价铬、镉、砷、镍、铅</w:t>
            </w:r>
          </w:p>
        </w:tc>
        <w:tc>
          <w:tcPr>
            <w:tcW w:w="177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pH值、挥发酚、耗氧量、氨氮、硫化物、氯化物、石油类、总硬度、溶解性总固体、钡、汞、砷、六</w:t>
            </w:r>
          </w:p>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价铬等</w:t>
            </w:r>
          </w:p>
        </w:tc>
        <w:tc>
          <w:tcPr>
            <w:tcW w:w="177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pH值、石油类、石油烃（C</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6</w:t>
            </w:r>
            <w:r>
              <w:rPr>
                <w:rFonts w:ascii="Times New Roman" w:hAnsi="Times New Roman" w:eastAsia="宋体" w:cs="Times New Roman"/>
                <w:bCs/>
                <w:color w:val="000000" w:themeColor="text1"/>
                <w:kern w:val="0"/>
                <w:szCs w:val="21"/>
                <w:lang w:bidi="ar"/>
                <w14:textFill>
                  <w14:solidFill>
                    <w14:schemeClr w14:val="tx1"/>
                  </w14:solidFill>
                </w14:textFill>
              </w:rPr>
              <w:t>~C</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9</w:t>
            </w:r>
            <w:r>
              <w:rPr>
                <w:rFonts w:ascii="Times New Roman" w:hAnsi="Times New Roman" w:eastAsia="宋体" w:cs="Times New Roman"/>
                <w:bCs/>
                <w:color w:val="000000" w:themeColor="text1"/>
                <w:kern w:val="0"/>
                <w:szCs w:val="21"/>
                <w:lang w:bidi="ar"/>
                <w14:textFill>
                  <w14:solidFill>
                    <w14:schemeClr w14:val="tx1"/>
                  </w14:solidFill>
                </w14:textFill>
              </w:rPr>
              <w:t>）、石油烃（C</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10</w:t>
            </w:r>
            <w:r>
              <w:rPr>
                <w:rFonts w:ascii="Times New Roman" w:hAnsi="Times New Roman" w:eastAsia="宋体" w:cs="Times New Roman"/>
                <w:bCs/>
                <w:color w:val="000000" w:themeColor="text1"/>
                <w:kern w:val="0"/>
                <w:szCs w:val="21"/>
                <w:lang w:bidi="ar"/>
                <w14:textFill>
                  <w14:solidFill>
                    <w14:schemeClr w14:val="tx1"/>
                  </w14:solidFill>
                </w14:textFill>
              </w:rPr>
              <w:t>~C</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40</w:t>
            </w:r>
            <w:r>
              <w:rPr>
                <w:rFonts w:ascii="Times New Roman" w:hAnsi="Times New Roman" w:eastAsia="宋体" w:cs="Times New Roman"/>
                <w:bCs/>
                <w:color w:val="000000" w:themeColor="text1"/>
                <w:kern w:val="0"/>
                <w:szCs w:val="21"/>
                <w:lang w:bidi="ar"/>
                <w14:textFill>
                  <w14:solidFill>
                    <w14:schemeClr w14:val="tx1"/>
                  </w14:solidFill>
                </w14:textFill>
              </w:rPr>
              <w:t>）、汞、砷、六价铬、土壤盐分含量等</w:t>
            </w:r>
          </w:p>
        </w:tc>
        <w:tc>
          <w:tcPr>
            <w:tcW w:w="1984" w:type="dxa"/>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kern w:val="0"/>
                <w:sz w:val="21"/>
                <w:szCs w:val="21"/>
                <w:lang w:bidi="ar"/>
                <w14:textFill>
                  <w14:solidFill>
                    <w14:schemeClr w14:val="tx1"/>
                  </w14:solidFill>
                </w14:textFill>
              </w:rPr>
              <w:t>/</w:t>
            </w:r>
          </w:p>
        </w:tc>
        <w:tc>
          <w:tcPr>
            <w:tcW w:w="1560"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昼间等效声级（</w:t>
            </w:r>
            <w:r>
              <w:rPr>
                <w:rFonts w:ascii="Times New Roman" w:hAnsi="Times New Roman" w:eastAsia="宋体" w:cs="Times New Roman"/>
                <w:bCs/>
                <w:i/>
                <w:iCs/>
                <w:color w:val="000000" w:themeColor="text1"/>
                <w:kern w:val="0"/>
                <w:szCs w:val="21"/>
                <w:lang w:bidi="ar"/>
                <w14:textFill>
                  <w14:solidFill>
                    <w14:schemeClr w14:val="tx1"/>
                  </w14:solidFill>
                </w14:textFill>
              </w:rPr>
              <w:t>L</w:t>
            </w:r>
            <w:r>
              <w:rPr>
                <w:rFonts w:ascii="Times New Roman" w:hAnsi="Times New Roman" w:eastAsia="宋体" w:cs="Times New Roman"/>
                <w:bCs/>
                <w:color w:val="000000" w:themeColor="text1"/>
                <w:kern w:val="0"/>
                <w:szCs w:val="21"/>
                <w:lang w:bidi="ar"/>
                <w14:textFill>
                  <w14:solidFill>
                    <w14:schemeClr w14:val="tx1"/>
                  </w14:solidFill>
                </w14:textFill>
              </w:rPr>
              <w:t>d）、夜间等效声级（</w:t>
            </w:r>
            <w:r>
              <w:rPr>
                <w:rFonts w:ascii="Times New Roman" w:hAnsi="Times New Roman" w:eastAsia="宋体" w:cs="Times New Roman"/>
                <w:bCs/>
                <w:i/>
                <w:iCs/>
                <w:color w:val="000000" w:themeColor="text1"/>
                <w:kern w:val="0"/>
                <w:szCs w:val="21"/>
                <w:lang w:bidi="ar"/>
                <w14:textFill>
                  <w14:solidFill>
                    <w14:schemeClr w14:val="tx1"/>
                  </w14:solidFill>
                </w14:textFill>
              </w:rPr>
              <w:t>L</w:t>
            </w:r>
            <w:r>
              <w:rPr>
                <w:rFonts w:ascii="Times New Roman" w:hAnsi="Times New Roman" w:eastAsia="宋体" w:cs="Times New Roman"/>
                <w:bCs/>
                <w:color w:val="000000" w:themeColor="text1"/>
                <w:kern w:val="0"/>
                <w:szCs w:val="21"/>
                <w:lang w:bidi="ar"/>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99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储层改造工程</w:t>
            </w:r>
          </w:p>
        </w:tc>
        <w:tc>
          <w:tcPr>
            <w:tcW w:w="1336" w:type="dxa"/>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kern w:val="0"/>
                <w:sz w:val="21"/>
                <w:szCs w:val="21"/>
                <w:lang w:bidi="ar"/>
                <w14:textFill>
                  <w14:solidFill>
                    <w14:schemeClr w14:val="tx1"/>
                  </w14:solidFill>
                </w14:textFill>
              </w:rPr>
              <w:t>施工期</w:t>
            </w:r>
          </w:p>
        </w:tc>
        <w:tc>
          <w:tcPr>
            <w:tcW w:w="143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SO</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2</w:t>
            </w:r>
            <w:r>
              <w:rPr>
                <w:rFonts w:ascii="Times New Roman" w:hAnsi="Times New Roman" w:eastAsia="宋体" w:cs="Times New Roman"/>
                <w:bCs/>
                <w:color w:val="000000" w:themeColor="text1"/>
                <w:kern w:val="0"/>
                <w:szCs w:val="21"/>
                <w:lang w:bidi="ar"/>
                <w14:textFill>
                  <w14:solidFill>
                    <w14:schemeClr w14:val="tx1"/>
                  </w14:solidFill>
                </w14:textFill>
              </w:rPr>
              <w:t>、NO</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X</w:t>
            </w:r>
            <w:r>
              <w:rPr>
                <w:rFonts w:ascii="Times New Roman" w:hAnsi="Times New Roman" w:eastAsia="宋体" w:cs="Times New Roman"/>
                <w:bCs/>
                <w:color w:val="000000" w:themeColor="text1"/>
                <w:kern w:val="0"/>
                <w:szCs w:val="21"/>
                <w:lang w:bidi="ar"/>
                <w14:textFill>
                  <w14:solidFill>
                    <w14:schemeClr w14:val="tx1"/>
                  </w14:solidFill>
                </w14:textFill>
              </w:rPr>
              <w:t>、</w:t>
            </w:r>
            <w:r>
              <w:rPr>
                <w:rFonts w:hint="eastAsia" w:ascii="Times New Roman" w:hAnsi="Times New Roman" w:eastAsia="宋体" w:cs="Times New Roman"/>
                <w:bCs/>
                <w:color w:val="000000" w:themeColor="text1"/>
                <w:kern w:val="0"/>
                <w:szCs w:val="21"/>
                <w:lang w:bidi="ar"/>
                <w14:textFill>
                  <w14:solidFill>
                    <w14:schemeClr w14:val="tx1"/>
                  </w14:solidFill>
                </w14:textFill>
              </w:rPr>
              <w:t>CO、</w:t>
            </w:r>
            <w:r>
              <w:rPr>
                <w:rFonts w:ascii="Times New Roman" w:hAnsi="Times New Roman" w:eastAsia="宋体" w:cs="Times New Roman"/>
                <w:bCs/>
                <w:color w:val="000000" w:themeColor="text1"/>
                <w:kern w:val="0"/>
                <w:szCs w:val="21"/>
                <w:lang w:bidi="ar"/>
                <w14:textFill>
                  <w14:solidFill>
                    <w14:schemeClr w14:val="tx1"/>
                  </w14:solidFill>
                </w14:textFill>
              </w:rPr>
              <w:t>非甲烷总烃</w:t>
            </w:r>
          </w:p>
        </w:tc>
        <w:tc>
          <w:tcPr>
            <w:tcW w:w="2326"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pH值、悬浮物、COD、BOD</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5</w:t>
            </w:r>
            <w:r>
              <w:rPr>
                <w:rFonts w:ascii="Times New Roman" w:hAnsi="Times New Roman" w:eastAsia="宋体" w:cs="Times New Roman"/>
                <w:bCs/>
                <w:color w:val="000000" w:themeColor="text1"/>
                <w:kern w:val="0"/>
                <w:szCs w:val="21"/>
                <w:lang w:bidi="ar"/>
                <w14:textFill>
                  <w14:solidFill>
                    <w14:schemeClr w14:val="tx1"/>
                  </w14:solidFill>
                </w14:textFill>
              </w:rPr>
              <w:t>、氨氮、总磷、石油类、挥发酚、硫化物、阴离子表面活性剂、汞、总铬、六价铬、镉、砷、镍、铅</w:t>
            </w:r>
          </w:p>
        </w:tc>
        <w:tc>
          <w:tcPr>
            <w:tcW w:w="177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pH值、挥发酚、耗氧量、氨氮、硫化物、氯化物、石油类、总硬度、溶解性总固体、钡、汞、砷、六</w:t>
            </w:r>
          </w:p>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价铬等</w:t>
            </w:r>
          </w:p>
        </w:tc>
        <w:tc>
          <w:tcPr>
            <w:tcW w:w="177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pH值、石油类、石油烃（C</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6</w:t>
            </w:r>
            <w:r>
              <w:rPr>
                <w:rFonts w:ascii="Times New Roman" w:hAnsi="Times New Roman" w:eastAsia="宋体" w:cs="Times New Roman"/>
                <w:bCs/>
                <w:color w:val="000000" w:themeColor="text1"/>
                <w:kern w:val="0"/>
                <w:szCs w:val="21"/>
                <w:lang w:bidi="ar"/>
                <w14:textFill>
                  <w14:solidFill>
                    <w14:schemeClr w14:val="tx1"/>
                  </w14:solidFill>
                </w14:textFill>
              </w:rPr>
              <w:t>~C</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9</w:t>
            </w:r>
            <w:r>
              <w:rPr>
                <w:rFonts w:ascii="Times New Roman" w:hAnsi="Times New Roman" w:eastAsia="宋体" w:cs="Times New Roman"/>
                <w:bCs/>
                <w:color w:val="000000" w:themeColor="text1"/>
                <w:kern w:val="0"/>
                <w:szCs w:val="21"/>
                <w:lang w:bidi="ar"/>
                <w14:textFill>
                  <w14:solidFill>
                    <w14:schemeClr w14:val="tx1"/>
                  </w14:solidFill>
                </w14:textFill>
              </w:rPr>
              <w:t>）、石油烃（C</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10</w:t>
            </w:r>
            <w:r>
              <w:rPr>
                <w:rFonts w:ascii="Times New Roman" w:hAnsi="Times New Roman" w:eastAsia="宋体" w:cs="Times New Roman"/>
                <w:bCs/>
                <w:color w:val="000000" w:themeColor="text1"/>
                <w:kern w:val="0"/>
                <w:szCs w:val="21"/>
                <w:lang w:bidi="ar"/>
                <w14:textFill>
                  <w14:solidFill>
                    <w14:schemeClr w14:val="tx1"/>
                  </w14:solidFill>
                </w14:textFill>
              </w:rPr>
              <w:t>~C</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40</w:t>
            </w:r>
            <w:r>
              <w:rPr>
                <w:rFonts w:ascii="Times New Roman" w:hAnsi="Times New Roman" w:eastAsia="宋体" w:cs="Times New Roman"/>
                <w:bCs/>
                <w:color w:val="000000" w:themeColor="text1"/>
                <w:kern w:val="0"/>
                <w:szCs w:val="21"/>
                <w:lang w:bidi="ar"/>
                <w14:textFill>
                  <w14:solidFill>
                    <w14:schemeClr w14:val="tx1"/>
                  </w14:solidFill>
                </w14:textFill>
              </w:rPr>
              <w:t>）、汞、砷、六价铬、土壤盐分含量等</w:t>
            </w:r>
          </w:p>
        </w:tc>
        <w:tc>
          <w:tcPr>
            <w:tcW w:w="1984" w:type="dxa"/>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kern w:val="0"/>
                <w:sz w:val="21"/>
                <w:szCs w:val="21"/>
                <w:lang w:bidi="ar"/>
                <w14:textFill>
                  <w14:solidFill>
                    <w14:schemeClr w14:val="tx1"/>
                  </w14:solidFill>
                </w14:textFill>
              </w:rPr>
              <w:t>/</w:t>
            </w:r>
          </w:p>
        </w:tc>
        <w:tc>
          <w:tcPr>
            <w:tcW w:w="1560"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昼间等效声级（</w:t>
            </w:r>
            <w:r>
              <w:rPr>
                <w:rFonts w:ascii="Times New Roman" w:hAnsi="Times New Roman" w:eastAsia="宋体" w:cs="Times New Roman"/>
                <w:bCs/>
                <w:i/>
                <w:iCs/>
                <w:color w:val="000000" w:themeColor="text1"/>
                <w:kern w:val="0"/>
                <w:szCs w:val="21"/>
                <w:lang w:bidi="ar"/>
                <w14:textFill>
                  <w14:solidFill>
                    <w14:schemeClr w14:val="tx1"/>
                  </w14:solidFill>
                </w14:textFill>
              </w:rPr>
              <w:t>L</w:t>
            </w:r>
            <w:r>
              <w:rPr>
                <w:rFonts w:ascii="Times New Roman" w:hAnsi="Times New Roman" w:eastAsia="宋体" w:cs="Times New Roman"/>
                <w:bCs/>
                <w:color w:val="000000" w:themeColor="text1"/>
                <w:kern w:val="0"/>
                <w:szCs w:val="21"/>
                <w:lang w:bidi="ar"/>
                <w14:textFill>
                  <w14:solidFill>
                    <w14:schemeClr w14:val="tx1"/>
                  </w14:solidFill>
                </w14:textFill>
              </w:rPr>
              <w:t>d）、夜间等效声级（</w:t>
            </w:r>
            <w:r>
              <w:rPr>
                <w:rFonts w:ascii="Times New Roman" w:hAnsi="Times New Roman" w:eastAsia="宋体" w:cs="Times New Roman"/>
                <w:bCs/>
                <w:i/>
                <w:iCs/>
                <w:color w:val="000000" w:themeColor="text1"/>
                <w:kern w:val="0"/>
                <w:szCs w:val="21"/>
                <w:lang w:bidi="ar"/>
                <w14:textFill>
                  <w14:solidFill>
                    <w14:schemeClr w14:val="tx1"/>
                  </w14:solidFill>
                </w14:textFill>
              </w:rPr>
              <w:t>L</w:t>
            </w:r>
            <w:r>
              <w:rPr>
                <w:rFonts w:ascii="Times New Roman" w:hAnsi="Times New Roman" w:eastAsia="宋体" w:cs="Times New Roman"/>
                <w:bCs/>
                <w:color w:val="000000" w:themeColor="text1"/>
                <w:kern w:val="0"/>
                <w:szCs w:val="21"/>
                <w:lang w:bidi="ar"/>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992" w:type="dxa"/>
            <w:vMerge w:val="restart"/>
            <w:vAlign w:val="center"/>
          </w:tcPr>
          <w:p>
            <w:pPr>
              <w:autoSpaceDE w:val="0"/>
              <w:autoSpaceDN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油气集输工程</w:t>
            </w:r>
          </w:p>
        </w:tc>
        <w:tc>
          <w:tcPr>
            <w:tcW w:w="1336" w:type="dxa"/>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kern w:val="0"/>
                <w:sz w:val="21"/>
                <w:szCs w:val="21"/>
                <w:lang w:bidi="ar"/>
                <w14:textFill>
                  <w14:solidFill>
                    <w14:schemeClr w14:val="tx1"/>
                  </w14:solidFill>
                </w14:textFill>
              </w:rPr>
              <w:t>施工期</w:t>
            </w:r>
          </w:p>
        </w:tc>
        <w:tc>
          <w:tcPr>
            <w:tcW w:w="143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颗粒物</w:t>
            </w:r>
            <w:r>
              <w:rPr>
                <w:rFonts w:hint="eastAsia" w:ascii="Times New Roman" w:hAnsi="Times New Roman" w:eastAsia="宋体" w:cs="Times New Roman"/>
                <w:bCs/>
                <w:color w:val="000000" w:themeColor="text1"/>
                <w:kern w:val="0"/>
                <w:szCs w:val="21"/>
                <w:lang w:bidi="ar"/>
                <w14:textFill>
                  <w14:solidFill>
                    <w14:schemeClr w14:val="tx1"/>
                  </w14:solidFill>
                </w14:textFill>
              </w:rPr>
              <w:t>、</w:t>
            </w:r>
            <w:r>
              <w:rPr>
                <w:rFonts w:ascii="Times New Roman" w:hAnsi="Times New Roman" w:eastAsia="宋体" w:cs="Times New Roman"/>
                <w:bCs/>
                <w:color w:val="000000" w:themeColor="text1"/>
                <w:kern w:val="0"/>
                <w:szCs w:val="21"/>
                <w:lang w:bidi="ar"/>
                <w14:textFill>
                  <w14:solidFill>
                    <w14:schemeClr w14:val="tx1"/>
                  </w14:solidFill>
                </w14:textFill>
              </w:rPr>
              <w:t>SO</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2</w:t>
            </w:r>
            <w:r>
              <w:rPr>
                <w:rFonts w:ascii="Times New Roman" w:hAnsi="Times New Roman" w:eastAsia="宋体" w:cs="Times New Roman"/>
                <w:bCs/>
                <w:color w:val="000000" w:themeColor="text1"/>
                <w:kern w:val="0"/>
                <w:szCs w:val="21"/>
                <w:lang w:bidi="ar"/>
                <w14:textFill>
                  <w14:solidFill>
                    <w14:schemeClr w14:val="tx1"/>
                  </w14:solidFill>
                </w14:textFill>
              </w:rPr>
              <w:t>、NO</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X</w:t>
            </w:r>
            <w:r>
              <w:rPr>
                <w:rFonts w:ascii="Times New Roman" w:hAnsi="Times New Roman" w:eastAsia="宋体" w:cs="Times New Roman"/>
                <w:bCs/>
                <w:color w:val="000000" w:themeColor="text1"/>
                <w:kern w:val="0"/>
                <w:szCs w:val="21"/>
                <w:lang w:bidi="ar"/>
                <w14:textFill>
                  <w14:solidFill>
                    <w14:schemeClr w14:val="tx1"/>
                  </w14:solidFill>
                </w14:textFill>
              </w:rPr>
              <w:t>、</w:t>
            </w:r>
            <w:r>
              <w:rPr>
                <w:rFonts w:hint="eastAsia" w:ascii="Times New Roman" w:hAnsi="Times New Roman" w:eastAsia="宋体" w:cs="Times New Roman"/>
                <w:bCs/>
                <w:color w:val="000000" w:themeColor="text1"/>
                <w:kern w:val="0"/>
                <w:szCs w:val="21"/>
                <w:lang w:bidi="ar"/>
                <w14:textFill>
                  <w14:solidFill>
                    <w14:schemeClr w14:val="tx1"/>
                  </w14:solidFill>
                </w14:textFill>
              </w:rPr>
              <w:t>CO</w:t>
            </w:r>
          </w:p>
        </w:tc>
        <w:tc>
          <w:tcPr>
            <w:tcW w:w="2326"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BOD</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5</w:t>
            </w:r>
            <w:r>
              <w:rPr>
                <w:rFonts w:ascii="Times New Roman" w:hAnsi="Times New Roman" w:eastAsia="宋体" w:cs="Times New Roman"/>
                <w:bCs/>
                <w:color w:val="000000" w:themeColor="text1"/>
                <w:kern w:val="0"/>
                <w:szCs w:val="21"/>
                <w:lang w:bidi="ar"/>
                <w14:textFill>
                  <w14:solidFill>
                    <w14:schemeClr w14:val="tx1"/>
                  </w14:solidFill>
                </w14:textFill>
              </w:rPr>
              <w:t>、COD、悬浮物、氨氮等</w:t>
            </w:r>
          </w:p>
        </w:tc>
        <w:tc>
          <w:tcPr>
            <w:tcW w:w="177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耗氧量、氨氮、石油类等</w:t>
            </w:r>
          </w:p>
        </w:tc>
        <w:tc>
          <w:tcPr>
            <w:tcW w:w="177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w:t>
            </w:r>
          </w:p>
        </w:tc>
        <w:tc>
          <w:tcPr>
            <w:tcW w:w="1984"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地表扰动面积及类型、植被覆盖度、生物量损失、物种多样性、生态系统完整性等</w:t>
            </w:r>
          </w:p>
        </w:tc>
        <w:tc>
          <w:tcPr>
            <w:tcW w:w="1560" w:type="dxa"/>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992" w:type="dxa"/>
            <w:vMerge w:val="continue"/>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p>
        </w:tc>
        <w:tc>
          <w:tcPr>
            <w:tcW w:w="1336"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运营期</w:t>
            </w:r>
          </w:p>
        </w:tc>
        <w:tc>
          <w:tcPr>
            <w:tcW w:w="143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硫化氢、非甲烷总烃</w:t>
            </w:r>
          </w:p>
        </w:tc>
        <w:tc>
          <w:tcPr>
            <w:tcW w:w="2326"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pH值、悬浮物、COD、BOD</w:t>
            </w:r>
            <w:r>
              <w:rPr>
                <w:rFonts w:ascii="Times New Roman" w:hAnsi="Times New Roman" w:eastAsia="宋体" w:cs="Times New Roman"/>
                <w:bCs/>
                <w:color w:val="000000" w:themeColor="text1"/>
                <w:kern w:val="0"/>
                <w:szCs w:val="21"/>
                <w:vertAlign w:val="subscript"/>
                <w:lang w:bidi="ar"/>
                <w14:textFill>
                  <w14:solidFill>
                    <w14:schemeClr w14:val="tx1"/>
                  </w14:solidFill>
                </w14:textFill>
              </w:rPr>
              <w:t>5</w:t>
            </w:r>
            <w:r>
              <w:rPr>
                <w:rFonts w:ascii="Times New Roman" w:hAnsi="Times New Roman" w:eastAsia="宋体" w:cs="Times New Roman"/>
                <w:bCs/>
                <w:color w:val="000000" w:themeColor="text1"/>
                <w:kern w:val="0"/>
                <w:szCs w:val="21"/>
                <w:lang w:bidi="ar"/>
                <w14:textFill>
                  <w14:solidFill>
                    <w14:schemeClr w14:val="tx1"/>
                  </w14:solidFill>
                </w14:textFill>
              </w:rPr>
              <w:t>、氨氮、总磷、石油类、挥发酚、硫化物、阴离子表面活性剂、汞、总铬、六价铬、镉、砷、镍、铅</w:t>
            </w:r>
          </w:p>
        </w:tc>
        <w:tc>
          <w:tcPr>
            <w:tcW w:w="1772"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耗氧量、氨氮、石油类等</w:t>
            </w:r>
          </w:p>
        </w:tc>
        <w:tc>
          <w:tcPr>
            <w:tcW w:w="1772" w:type="dxa"/>
            <w:vAlign w:val="center"/>
          </w:tcPr>
          <w:p>
            <w:pPr>
              <w:pStyle w:val="25"/>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sz w:val="21"/>
                <w:szCs w:val="21"/>
                <w14:textFill>
                  <w14:solidFill>
                    <w14:schemeClr w14:val="tx1"/>
                  </w14:solidFill>
                </w14:textFill>
              </w:rPr>
              <w:t>/</w:t>
            </w:r>
          </w:p>
        </w:tc>
        <w:tc>
          <w:tcPr>
            <w:tcW w:w="1984"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土壤肥力或林地立地条件、生物多样性、生态系统完整性等</w:t>
            </w:r>
          </w:p>
        </w:tc>
        <w:tc>
          <w:tcPr>
            <w:tcW w:w="1560" w:type="dxa"/>
            <w:vAlign w:val="center"/>
          </w:tcPr>
          <w:p>
            <w:pPr>
              <w:autoSpaceDE w:val="0"/>
              <w:autoSpaceDN w:val="0"/>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kern w:val="0"/>
                <w:szCs w:val="21"/>
                <w:lang w:bidi="ar"/>
                <w14:textFill>
                  <w14:solidFill>
                    <w14:schemeClr w14:val="tx1"/>
                  </w14:solidFill>
                </w14:textFill>
              </w:rPr>
              <w:t>昼间等效声级（</w:t>
            </w:r>
            <w:r>
              <w:rPr>
                <w:rFonts w:ascii="Times New Roman" w:hAnsi="Times New Roman" w:eastAsia="宋体" w:cs="Times New Roman"/>
                <w:bCs/>
                <w:i/>
                <w:iCs/>
                <w:color w:val="000000" w:themeColor="text1"/>
                <w:kern w:val="0"/>
                <w:szCs w:val="21"/>
                <w:lang w:bidi="ar"/>
                <w14:textFill>
                  <w14:solidFill>
                    <w14:schemeClr w14:val="tx1"/>
                  </w14:solidFill>
                </w14:textFill>
              </w:rPr>
              <w:t>L</w:t>
            </w:r>
            <w:r>
              <w:rPr>
                <w:rFonts w:ascii="Times New Roman" w:hAnsi="Times New Roman" w:eastAsia="宋体" w:cs="Times New Roman"/>
                <w:bCs/>
                <w:color w:val="000000" w:themeColor="text1"/>
                <w:kern w:val="0"/>
                <w:szCs w:val="21"/>
                <w:lang w:bidi="ar"/>
                <w14:textFill>
                  <w14:solidFill>
                    <w14:schemeClr w14:val="tx1"/>
                  </w14:solidFill>
                </w14:textFill>
              </w:rPr>
              <w:t>d）、夜间等效声级（</w:t>
            </w:r>
            <w:r>
              <w:rPr>
                <w:rFonts w:ascii="Times New Roman" w:hAnsi="Times New Roman" w:eastAsia="宋体" w:cs="Times New Roman"/>
                <w:bCs/>
                <w:i/>
                <w:iCs/>
                <w:color w:val="000000" w:themeColor="text1"/>
                <w:kern w:val="0"/>
                <w:szCs w:val="21"/>
                <w:lang w:bidi="ar"/>
                <w14:textFill>
                  <w14:solidFill>
                    <w14:schemeClr w14:val="tx1"/>
                  </w14:solidFill>
                </w14:textFill>
              </w:rPr>
              <w:t>L</w:t>
            </w:r>
            <w:r>
              <w:rPr>
                <w:rFonts w:ascii="Times New Roman" w:hAnsi="Times New Roman" w:eastAsia="宋体" w:cs="Times New Roman"/>
                <w:bCs/>
                <w:color w:val="000000" w:themeColor="text1"/>
                <w:kern w:val="0"/>
                <w:szCs w:val="21"/>
                <w:lang w:bidi="ar"/>
                <w14:textFill>
                  <w14:solidFill>
                    <w14:schemeClr w14:val="tx1"/>
                  </w14:solidFill>
                </w14:textFill>
              </w:rPr>
              <w:t>n）</w:t>
            </w:r>
          </w:p>
        </w:tc>
      </w:tr>
    </w:tbl>
    <w:p>
      <w:pPr>
        <w:widowControl/>
        <w:jc w:val="left"/>
        <w:rPr>
          <w:rFonts w:ascii="Times New Roman" w:hAnsi="Times New Roman" w:cs="Times New Roman"/>
          <w:color w:val="000000" w:themeColor="text1"/>
          <w14:textFill>
            <w14:solidFill>
              <w14:schemeClr w14:val="tx1"/>
            </w14:solidFill>
          </w14:textFill>
        </w:rPr>
      </w:pPr>
    </w:p>
    <w:p>
      <w:pPr>
        <w:pStyle w:val="25"/>
        <w:rPr>
          <w:rFonts w:ascii="Times New Roman" w:hAnsi="Times New Roman" w:cs="Times New Roman"/>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pPr>
        <w:pStyle w:val="3"/>
        <w:spacing w:before="10" w:after="10"/>
        <w:rPr>
          <w:rFonts w:ascii="Times New Roman" w:hAnsi="Times New Roman" w:cs="Times New Roman"/>
          <w:color w:val="000000" w:themeColor="text1"/>
          <w14:textFill>
            <w14:solidFill>
              <w14:schemeClr w14:val="tx1"/>
            </w14:solidFill>
          </w14:textFill>
        </w:rPr>
      </w:pPr>
      <w:bookmarkStart w:id="93" w:name="_Toc4224"/>
      <w:bookmarkStart w:id="94" w:name="_Toc25431"/>
      <w:bookmarkStart w:id="95" w:name="_Toc25604"/>
      <w:r>
        <w:rPr>
          <w:rFonts w:ascii="Times New Roman" w:hAnsi="Times New Roman" w:cs="Times New Roman"/>
          <w:color w:val="000000" w:themeColor="text1"/>
          <w14:textFill>
            <w14:solidFill>
              <w14:schemeClr w14:val="tx1"/>
            </w14:solidFill>
          </w14:textFill>
        </w:rPr>
        <w:t>2.4环境功能区划和评价标准</w:t>
      </w:r>
      <w:bookmarkEnd w:id="86"/>
      <w:bookmarkEnd w:id="87"/>
      <w:bookmarkEnd w:id="88"/>
      <w:bookmarkEnd w:id="89"/>
      <w:bookmarkEnd w:id="90"/>
      <w:bookmarkEnd w:id="91"/>
      <w:bookmarkEnd w:id="92"/>
      <w:bookmarkEnd w:id="93"/>
      <w:bookmarkEnd w:id="94"/>
      <w:bookmarkEnd w:id="95"/>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2.4.1环境功能区划</w:t>
      </w:r>
    </w:p>
    <w:p>
      <w:pPr>
        <w:spacing w:line="360" w:lineRule="auto"/>
        <w:outlineLvl w:val="3"/>
        <w:rPr>
          <w:rFonts w:ascii="Times New Roman" w:hAnsi="Times New Roman" w:cs="Times New Roman"/>
          <w:bCs/>
          <w:snapToGrid w:val="0"/>
          <w:color w:val="000000" w:themeColor="text1"/>
          <w:kern w:val="0"/>
          <w:sz w:val="28"/>
          <w:szCs w:val="28"/>
          <w14:textFill>
            <w14:solidFill>
              <w14:schemeClr w14:val="tx1"/>
            </w14:solidFill>
          </w14:textFill>
        </w:rPr>
      </w:pPr>
      <w:r>
        <w:rPr>
          <w:rFonts w:ascii="Times New Roman" w:hAnsi="Times New Roman" w:cs="Times New Roman"/>
          <w:bCs/>
          <w:snapToGrid w:val="0"/>
          <w:color w:val="000000" w:themeColor="text1"/>
          <w:kern w:val="0"/>
          <w:sz w:val="28"/>
          <w:szCs w:val="28"/>
          <w14:textFill>
            <w14:solidFill>
              <w14:schemeClr w14:val="tx1"/>
            </w14:solidFill>
          </w14:textFill>
        </w:rPr>
        <w:t>2.4.1.1环境空气</w:t>
      </w:r>
    </w:p>
    <w:p>
      <w:pPr>
        <w:spacing w:line="360" w:lineRule="auto"/>
        <w:ind w:firstLine="480" w:firstLineChars="20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本项目位于新疆塔城地区和布克赛尔蒙古自治县，按照《环境空气质量标准》（GB3095-2012）及其修改单中的规定，该区域的环境空气质量功能区划属于二类功能区。</w:t>
      </w:r>
    </w:p>
    <w:p>
      <w:pPr>
        <w:spacing w:line="360" w:lineRule="auto"/>
        <w:outlineLvl w:val="3"/>
        <w:rPr>
          <w:rFonts w:ascii="Times New Roman" w:hAnsi="Times New Roman" w:cs="Times New Roman"/>
          <w:bCs/>
          <w:snapToGrid w:val="0"/>
          <w:color w:val="000000" w:themeColor="text1"/>
          <w:kern w:val="0"/>
          <w:sz w:val="28"/>
          <w:szCs w:val="28"/>
          <w14:textFill>
            <w14:solidFill>
              <w14:schemeClr w14:val="tx1"/>
            </w14:solidFill>
          </w14:textFill>
        </w:rPr>
      </w:pPr>
      <w:r>
        <w:rPr>
          <w:rFonts w:ascii="Times New Roman" w:hAnsi="Times New Roman" w:cs="Times New Roman"/>
          <w:bCs/>
          <w:snapToGrid w:val="0"/>
          <w:color w:val="000000" w:themeColor="text1"/>
          <w:kern w:val="0"/>
          <w:sz w:val="28"/>
          <w:szCs w:val="28"/>
          <w14:textFill>
            <w14:solidFill>
              <w14:schemeClr w14:val="tx1"/>
            </w14:solidFill>
          </w14:textFill>
        </w:rPr>
        <w:t>2.4.1.2水环境</w:t>
      </w:r>
    </w:p>
    <w:p>
      <w:pPr>
        <w:spacing w:line="360" w:lineRule="auto"/>
        <w:ind w:firstLine="480" w:firstLineChars="20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（1）地表水：本项目所在区域内无地表水体。</w:t>
      </w:r>
    </w:p>
    <w:p>
      <w:pPr>
        <w:autoSpaceDE w:val="0"/>
        <w:autoSpaceDN w:val="0"/>
        <w:spacing w:line="360" w:lineRule="auto"/>
        <w:ind w:firstLine="480" w:firstLineChars="200"/>
        <w:jc w:val="left"/>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2）地下水：根据《地下水质量标准》（GB/T14848-2017）中地下水分类标准，该区域地下水划分为Ⅲ类功能区，地下水水质执行《地下水质量标准》（GB/T14848-2017）Ⅲ类标准，石油类参照《地表水环境质量标准》（GB3838-2002）中的Ⅲ类标准值。</w:t>
      </w:r>
    </w:p>
    <w:p>
      <w:pPr>
        <w:spacing w:line="360" w:lineRule="auto"/>
        <w:outlineLvl w:val="3"/>
        <w:rPr>
          <w:rFonts w:ascii="Times New Roman" w:hAnsi="Times New Roman" w:cs="Times New Roman"/>
          <w:bCs/>
          <w:snapToGrid w:val="0"/>
          <w:color w:val="000000" w:themeColor="text1"/>
          <w:kern w:val="0"/>
          <w:sz w:val="28"/>
          <w:szCs w:val="28"/>
          <w14:textFill>
            <w14:solidFill>
              <w14:schemeClr w14:val="tx1"/>
            </w14:solidFill>
          </w14:textFill>
        </w:rPr>
      </w:pPr>
      <w:r>
        <w:rPr>
          <w:rFonts w:ascii="Times New Roman" w:hAnsi="Times New Roman" w:cs="Times New Roman"/>
          <w:bCs/>
          <w:snapToGrid w:val="0"/>
          <w:color w:val="000000" w:themeColor="text1"/>
          <w:kern w:val="0"/>
          <w:sz w:val="28"/>
          <w:szCs w:val="28"/>
          <w14:textFill>
            <w14:solidFill>
              <w14:schemeClr w14:val="tx1"/>
            </w14:solidFill>
          </w14:textFill>
        </w:rPr>
        <w:t>2.4.1.3声环境</w:t>
      </w:r>
    </w:p>
    <w:p>
      <w:pPr>
        <w:spacing w:line="360" w:lineRule="auto"/>
        <w:ind w:firstLine="480" w:firstLineChars="20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本项目位于和布克赛尔蒙古自治县建成区以外，尚未进行声环境功能区划。项目位于石油气探矿区范围内，根据《声环境质量标准》（GB3096-2008）的有关要求，执行2类声环境功能区要求。</w:t>
      </w:r>
    </w:p>
    <w:p>
      <w:pPr>
        <w:spacing w:line="360" w:lineRule="auto"/>
        <w:outlineLvl w:val="3"/>
        <w:rPr>
          <w:rFonts w:ascii="Times New Roman" w:hAnsi="Times New Roman" w:cs="Times New Roman"/>
          <w:bCs/>
          <w:snapToGrid w:val="0"/>
          <w:color w:val="000000" w:themeColor="text1"/>
          <w:kern w:val="0"/>
          <w:sz w:val="28"/>
          <w:szCs w:val="28"/>
          <w14:textFill>
            <w14:solidFill>
              <w14:schemeClr w14:val="tx1"/>
            </w14:solidFill>
          </w14:textFill>
        </w:rPr>
      </w:pPr>
      <w:r>
        <w:rPr>
          <w:rFonts w:ascii="Times New Roman" w:hAnsi="Times New Roman" w:cs="Times New Roman"/>
          <w:bCs/>
          <w:snapToGrid w:val="0"/>
          <w:color w:val="000000" w:themeColor="text1"/>
          <w:kern w:val="0"/>
          <w:sz w:val="28"/>
          <w:szCs w:val="28"/>
          <w14:textFill>
            <w14:solidFill>
              <w14:schemeClr w14:val="tx1"/>
            </w14:solidFill>
          </w14:textFill>
        </w:rPr>
        <w:t>2.4.1.</w:t>
      </w:r>
      <w:r>
        <w:rPr>
          <w:rFonts w:hint="eastAsia" w:ascii="Times New Roman" w:hAnsi="Times New Roman" w:cs="Times New Roman"/>
          <w:bCs/>
          <w:snapToGrid w:val="0"/>
          <w:color w:val="000000" w:themeColor="text1"/>
          <w:kern w:val="0"/>
          <w:sz w:val="28"/>
          <w:szCs w:val="28"/>
          <w:lang w:val="en-US" w:eastAsia="zh-CN"/>
          <w14:textFill>
            <w14:solidFill>
              <w14:schemeClr w14:val="tx1"/>
            </w14:solidFill>
          </w14:textFill>
        </w:rPr>
        <w:t>4</w:t>
      </w:r>
      <w:r>
        <w:rPr>
          <w:rFonts w:ascii="Times New Roman" w:hAnsi="Times New Roman" w:cs="Times New Roman"/>
          <w:bCs/>
          <w:snapToGrid w:val="0"/>
          <w:color w:val="000000" w:themeColor="text1"/>
          <w:kern w:val="0"/>
          <w:sz w:val="28"/>
          <w:szCs w:val="28"/>
          <w14:textFill>
            <w14:solidFill>
              <w14:schemeClr w14:val="tx1"/>
            </w14:solidFill>
          </w14:textFill>
        </w:rPr>
        <w:t>生态环境</w:t>
      </w:r>
    </w:p>
    <w:p>
      <w:pPr>
        <w:spacing w:line="360" w:lineRule="auto"/>
        <w:ind w:right="-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根据《新疆生态功能区划》，本项目所在区域属于Ⅱ准噶尔盆地温性荒漠与绿洲农业生态区—Ⅱ3 准噶尔盆地中部固定、半固定沙漠生态亚区—23．古尔班通古特沙漠化敏感及植被保护生态功能区。</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根据《新疆维吾尔自治区级水土流失两区复核划分成果的通知》（新水〔2019〕4号），项目区属于</w:t>
      </w:r>
      <w:r>
        <w:rPr>
          <w:rFonts w:ascii="Times New Roman" w:hAnsi="Times New Roman" w:eastAsia="宋体" w:cs="Times New Roman"/>
          <w:color w:val="000000" w:themeColor="text1"/>
          <w:sz w:val="24"/>
          <w14:textFill>
            <w14:solidFill>
              <w14:schemeClr w14:val="tx1"/>
            </w14:solidFill>
          </w14:textFill>
        </w:rPr>
        <w:t>Ⅱ2</w:t>
      </w:r>
      <w:r>
        <w:rPr>
          <w:rFonts w:ascii="Times New Roman" w:hAnsi="Times New Roman" w:cs="Times New Roman"/>
          <w:color w:val="000000" w:themeColor="text1"/>
          <w:sz w:val="24"/>
          <w14:textFill>
            <w14:solidFill>
              <w14:schemeClr w14:val="tx1"/>
            </w14:solidFill>
          </w14:textFill>
        </w:rPr>
        <w:t>天山北坡诸小河流域重点治理区。</w:t>
      </w:r>
    </w:p>
    <w:p>
      <w:pPr>
        <w:pStyle w:val="25"/>
        <w:spacing w:line="360" w:lineRule="auto"/>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表2.4-1  本项目生态环境判断依据</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判断依据</w:t>
            </w:r>
          </w:p>
        </w:tc>
        <w:tc>
          <w:tcPr>
            <w:tcW w:w="426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《新疆生态功能区划》</w:t>
            </w:r>
          </w:p>
        </w:tc>
        <w:tc>
          <w:tcPr>
            <w:tcW w:w="42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Ⅱ 准噶尔盆地温性荒漠与绿洲农业生态区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《新疆维吾尔自治区级水土流失两区复核划分成果的通知》（新水〔2019〕4号）</w:t>
            </w:r>
          </w:p>
        </w:tc>
        <w:tc>
          <w:tcPr>
            <w:tcW w:w="426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Ⅱ2</w:t>
            </w:r>
            <w:r>
              <w:rPr>
                <w:rFonts w:ascii="Times New Roman" w:hAnsi="Times New Roman" w:cs="Times New Roman"/>
                <w:color w:val="000000" w:themeColor="text1"/>
                <w:szCs w:val="21"/>
                <w14:textFill>
                  <w14:solidFill>
                    <w14:schemeClr w14:val="tx1"/>
                  </w14:solidFill>
                </w14:textFill>
              </w:rPr>
              <w:t>天山北坡诸小河流域重点治理区</w:t>
            </w:r>
          </w:p>
        </w:tc>
      </w:tr>
    </w:tbl>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2.4.2环境质量标准</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2.4.2.1环境空气质量标准</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本项目油田区域属于大气环境二类功能区。</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环境空气质量评价中SO</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、NO</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、PM</w:t>
      </w:r>
      <w:r>
        <w:rPr>
          <w:rFonts w:ascii="Times New Roman" w:hAnsi="Times New Roman" w:cs="Times New Roman"/>
          <w:color w:val="000000" w:themeColor="text1"/>
          <w:sz w:val="24"/>
          <w:vertAlign w:val="subscript"/>
          <w14:textFill>
            <w14:solidFill>
              <w14:schemeClr w14:val="tx1"/>
            </w14:solidFill>
          </w14:textFill>
        </w:rPr>
        <w:t>10</w:t>
      </w:r>
      <w:r>
        <w:rPr>
          <w:rFonts w:ascii="Times New Roman" w:hAnsi="Times New Roman" w:cs="Times New Roman"/>
          <w:color w:val="000000" w:themeColor="text1"/>
          <w:sz w:val="24"/>
          <w14:textFill>
            <w14:solidFill>
              <w14:schemeClr w14:val="tx1"/>
            </w14:solidFill>
          </w14:textFill>
        </w:rPr>
        <w:t>、PM</w:t>
      </w:r>
      <w:r>
        <w:rPr>
          <w:rFonts w:ascii="Times New Roman" w:hAnsi="Times New Roman" w:cs="Times New Roman"/>
          <w:color w:val="000000" w:themeColor="text1"/>
          <w:sz w:val="24"/>
          <w:vertAlign w:val="subscript"/>
          <w14:textFill>
            <w14:solidFill>
              <w14:schemeClr w14:val="tx1"/>
            </w14:solidFill>
          </w14:textFill>
        </w:rPr>
        <w:t>2.5</w:t>
      </w:r>
      <w:r>
        <w:rPr>
          <w:rFonts w:ascii="Times New Roman" w:hAnsi="Times New Roman" w:cs="Times New Roman"/>
          <w:color w:val="000000" w:themeColor="text1"/>
          <w:sz w:val="24"/>
          <w14:textFill>
            <w14:solidFill>
              <w14:schemeClr w14:val="tx1"/>
            </w14:solidFill>
          </w14:textFill>
        </w:rPr>
        <w:t>、CO、O</w:t>
      </w:r>
      <w:r>
        <w:rPr>
          <w:rFonts w:ascii="Times New Roman" w:hAnsi="Times New Roman" w:cs="Times New Roman"/>
          <w:color w:val="000000" w:themeColor="text1"/>
          <w:sz w:val="24"/>
          <w:vertAlign w:val="subscript"/>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六</w:t>
      </w:r>
      <w:r>
        <w:rPr>
          <w:rFonts w:ascii="Times New Roman" w:hAnsi="Times New Roman" w:cs="Times New Roman"/>
          <w:color w:val="000000" w:themeColor="text1"/>
          <w:sz w:val="24"/>
          <w14:textFill>
            <w14:solidFill>
              <w14:schemeClr w14:val="tx1"/>
            </w14:solidFill>
          </w14:textFill>
        </w:rPr>
        <w:t>项指标执行《环境空气质量标准》（GB3095-2012）二级标准浓度限值；非甲烷总烃参照《大气污染物综合排放标准详解》中推荐值2.0mg/m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执行，H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S参考执行《环境影响评价技术导则大气环境》（HJ2.2-2018）附录D中的1h平均浓度限值10μg/m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具体标准限值见表2.4-2。</w:t>
      </w:r>
    </w:p>
    <w:p>
      <w:pPr>
        <w:pStyle w:val="32"/>
        <w:snapToGrid/>
        <w:spacing w:line="36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表2.4-2  环境空气质量评价标准</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289"/>
        <w:gridCol w:w="2164"/>
        <w:gridCol w:w="1439"/>
        <w:gridCol w:w="808"/>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779" w:type="dxa"/>
            <w:shd w:val="clear" w:color="auto" w:fill="auto"/>
            <w:vAlign w:val="center"/>
          </w:tcPr>
          <w:p>
            <w:pPr>
              <w:pStyle w:val="34"/>
              <w:adjustRightInd/>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类别</w:t>
            </w:r>
          </w:p>
        </w:tc>
        <w:tc>
          <w:tcPr>
            <w:tcW w:w="1289" w:type="dxa"/>
            <w:shd w:val="clear" w:color="auto" w:fill="auto"/>
            <w:vAlign w:val="center"/>
          </w:tcPr>
          <w:p>
            <w:pPr>
              <w:pStyle w:val="34"/>
              <w:adjustRightInd/>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污染物名称</w:t>
            </w:r>
          </w:p>
        </w:tc>
        <w:tc>
          <w:tcPr>
            <w:tcW w:w="2164" w:type="dxa"/>
            <w:shd w:val="clear" w:color="auto" w:fill="auto"/>
            <w:vAlign w:val="center"/>
          </w:tcPr>
          <w:p>
            <w:pPr>
              <w:pStyle w:val="34"/>
              <w:adjustRightInd/>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取值时间</w:t>
            </w:r>
          </w:p>
        </w:tc>
        <w:tc>
          <w:tcPr>
            <w:tcW w:w="1439" w:type="dxa"/>
            <w:shd w:val="clear" w:color="auto" w:fill="auto"/>
            <w:vAlign w:val="center"/>
          </w:tcPr>
          <w:p>
            <w:pPr>
              <w:pStyle w:val="34"/>
              <w:adjustRightInd/>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浓度限值</w:t>
            </w:r>
          </w:p>
        </w:tc>
        <w:tc>
          <w:tcPr>
            <w:tcW w:w="808" w:type="dxa"/>
            <w:shd w:val="clear" w:color="auto" w:fill="auto"/>
            <w:vAlign w:val="center"/>
          </w:tcPr>
          <w:p>
            <w:pPr>
              <w:pStyle w:val="34"/>
              <w:adjustRightInd/>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单位</w:t>
            </w:r>
          </w:p>
        </w:tc>
        <w:tc>
          <w:tcPr>
            <w:tcW w:w="2043" w:type="dxa"/>
            <w:shd w:val="clear" w:color="auto" w:fill="auto"/>
            <w:vAlign w:val="center"/>
          </w:tcPr>
          <w:p>
            <w:pPr>
              <w:pStyle w:val="34"/>
              <w:adjustRightInd/>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restart"/>
            <w:shd w:val="clear" w:color="auto" w:fill="auto"/>
            <w:vAlign w:val="center"/>
          </w:tcPr>
          <w:p>
            <w:pPr>
              <w:pStyle w:val="34"/>
              <w:adjustRightInd/>
              <w:ind w:left="0" w:firstLine="0"/>
              <w:jc w:val="both"/>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基本污染物</w:t>
            </w:r>
          </w:p>
        </w:tc>
        <w:tc>
          <w:tcPr>
            <w:tcW w:w="1289"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SO</w:t>
            </w:r>
            <w:r>
              <w:rPr>
                <w:rFonts w:ascii="Times New Roman" w:hAnsi="Times New Roman"/>
                <w:color w:val="000000" w:themeColor="text1"/>
                <w:szCs w:val="21"/>
                <w:vertAlign w:val="subscript"/>
                <w14:textFill>
                  <w14:solidFill>
                    <w14:schemeClr w14:val="tx1"/>
                  </w14:solidFill>
                </w14:textFill>
              </w:rPr>
              <w:t>2</w:t>
            </w: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年平均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60</w:t>
            </w:r>
          </w:p>
        </w:tc>
        <w:tc>
          <w:tcPr>
            <w:tcW w:w="808"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μg/m</w:t>
            </w:r>
            <w:r>
              <w:rPr>
                <w:rFonts w:ascii="Times New Roman" w:hAnsi="Times New Roman"/>
                <w:color w:val="000000" w:themeColor="text1"/>
                <w:szCs w:val="21"/>
                <w:vertAlign w:val="superscript"/>
                <w14:textFill>
                  <w14:solidFill>
                    <w14:schemeClr w14:val="tx1"/>
                  </w14:solidFill>
                </w14:textFill>
              </w:rPr>
              <w:t>3</w:t>
            </w:r>
          </w:p>
        </w:tc>
        <w:tc>
          <w:tcPr>
            <w:tcW w:w="2043"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24小时平均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150</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500</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PM</w:t>
            </w:r>
            <w:r>
              <w:rPr>
                <w:rFonts w:ascii="Times New Roman" w:hAnsi="Times New Roman"/>
                <w:color w:val="000000" w:themeColor="text1"/>
                <w:szCs w:val="21"/>
                <w:vertAlign w:val="subscript"/>
                <w14:textFill>
                  <w14:solidFill>
                    <w14:schemeClr w14:val="tx1"/>
                  </w14:solidFill>
                </w14:textFill>
              </w:rPr>
              <w:t>10</w:t>
            </w: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年平均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70</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24小时平均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150</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PM</w:t>
            </w:r>
            <w:r>
              <w:rPr>
                <w:rFonts w:ascii="Times New Roman" w:hAnsi="Times New Roman"/>
                <w:color w:val="000000" w:themeColor="text1"/>
                <w:szCs w:val="21"/>
                <w:vertAlign w:val="subscript"/>
                <w14:textFill>
                  <w14:solidFill>
                    <w14:schemeClr w14:val="tx1"/>
                  </w14:solidFill>
                </w14:textFill>
              </w:rPr>
              <w:t>2.5</w:t>
            </w: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年平均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35</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24小时平均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75</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NO</w:t>
            </w:r>
            <w:r>
              <w:rPr>
                <w:rFonts w:ascii="Times New Roman" w:hAnsi="Times New Roman"/>
                <w:color w:val="000000" w:themeColor="text1"/>
                <w:szCs w:val="21"/>
                <w:vertAlign w:val="subscript"/>
                <w14:textFill>
                  <w14:solidFill>
                    <w14:schemeClr w14:val="tx1"/>
                  </w14:solidFill>
                </w14:textFill>
              </w:rPr>
              <w:t>2</w:t>
            </w: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年平均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40</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24小时平均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80</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CO</w:t>
            </w: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24小时平均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808"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mg/m</w:t>
            </w:r>
            <w:r>
              <w:rPr>
                <w:rFonts w:ascii="Times New Roman" w:hAnsi="Times New Roman"/>
                <w:color w:val="000000" w:themeColor="text1"/>
                <w:szCs w:val="21"/>
                <w:vertAlign w:val="superscript"/>
                <w14:textFill>
                  <w14:solidFill>
                    <w14:schemeClr w14:val="tx1"/>
                  </w14:solidFill>
                </w14:textFill>
              </w:rPr>
              <w:t>3</w:t>
            </w: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O</w:t>
            </w:r>
            <w:r>
              <w:rPr>
                <w:rFonts w:ascii="Times New Roman" w:hAnsi="Times New Roman"/>
                <w:color w:val="000000" w:themeColor="text1"/>
                <w:szCs w:val="21"/>
                <w:vertAlign w:val="subscript"/>
                <w14:textFill>
                  <w14:solidFill>
                    <w14:schemeClr w14:val="tx1"/>
                  </w14:solidFill>
                </w14:textFill>
              </w:rPr>
              <w:t>3</w:t>
            </w: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日最大8小时平均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160</w:t>
            </w:r>
          </w:p>
        </w:tc>
        <w:tc>
          <w:tcPr>
            <w:tcW w:w="808"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μg/m</w:t>
            </w:r>
            <w:r>
              <w:rPr>
                <w:rFonts w:ascii="Times New Roman" w:hAnsi="Times New Roman"/>
                <w:color w:val="000000" w:themeColor="text1"/>
                <w:szCs w:val="21"/>
                <w:vertAlign w:val="superscript"/>
                <w14:textFill>
                  <w14:solidFill>
                    <w14:schemeClr w14:val="tx1"/>
                  </w14:solidFill>
                </w14:textFill>
              </w:rPr>
              <w:t>3</w:t>
            </w: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200</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restart"/>
            <w:shd w:val="clear" w:color="auto" w:fill="auto"/>
            <w:vAlign w:val="center"/>
          </w:tcPr>
          <w:p>
            <w:pPr>
              <w:pStyle w:val="34"/>
              <w:adjustRightInd/>
              <w:ind w:left="0" w:firstLine="0"/>
              <w:jc w:val="both"/>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其他污染物</w:t>
            </w:r>
          </w:p>
        </w:tc>
        <w:tc>
          <w:tcPr>
            <w:tcW w:w="1289"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NOx</w:t>
            </w: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年平均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50</w:t>
            </w:r>
          </w:p>
        </w:tc>
        <w:tc>
          <w:tcPr>
            <w:tcW w:w="808" w:type="dxa"/>
            <w:vMerge w:val="restart"/>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μg/m</w:t>
            </w:r>
            <w:r>
              <w:rPr>
                <w:rFonts w:ascii="Times New Roman" w:hAnsi="Times New Roman"/>
                <w:color w:val="000000" w:themeColor="text1"/>
                <w:szCs w:val="21"/>
                <w:vertAlign w:val="superscript"/>
                <w14:textFill>
                  <w14:solidFill>
                    <w14:schemeClr w14:val="tx1"/>
                  </w14:solidFill>
                </w14:textFill>
              </w:rPr>
              <w:t>3</w:t>
            </w: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24小时平均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100</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1289"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250</w:t>
            </w:r>
          </w:p>
        </w:tc>
        <w:tc>
          <w:tcPr>
            <w:tcW w:w="808"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c>
          <w:tcPr>
            <w:tcW w:w="2043" w:type="dxa"/>
            <w:vMerge w:val="continue"/>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restart"/>
            <w:shd w:val="clear" w:color="auto" w:fill="auto"/>
            <w:vAlign w:val="center"/>
          </w:tcPr>
          <w:p>
            <w:pPr>
              <w:pStyle w:val="34"/>
              <w:adjustRightInd/>
              <w:ind w:left="0" w:firstLine="0"/>
              <w:jc w:val="both"/>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特征污染物</w:t>
            </w:r>
          </w:p>
        </w:tc>
        <w:tc>
          <w:tcPr>
            <w:tcW w:w="128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非甲烷总烃</w:t>
            </w:r>
          </w:p>
        </w:tc>
        <w:tc>
          <w:tcPr>
            <w:tcW w:w="2164"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1小时平均</w:t>
            </w:r>
          </w:p>
        </w:tc>
        <w:tc>
          <w:tcPr>
            <w:tcW w:w="1439"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808"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mg/m</w:t>
            </w:r>
            <w:r>
              <w:rPr>
                <w:rFonts w:ascii="Times New Roman" w:hAnsi="Times New Roman"/>
                <w:color w:val="000000" w:themeColor="text1"/>
                <w:szCs w:val="21"/>
                <w:vertAlign w:val="superscript"/>
                <w14:textFill>
                  <w14:solidFill>
                    <w14:schemeClr w14:val="tx1"/>
                  </w14:solidFill>
                </w14:textFill>
              </w:rPr>
              <w:t>3</w:t>
            </w:r>
          </w:p>
        </w:tc>
        <w:tc>
          <w:tcPr>
            <w:tcW w:w="2043" w:type="dxa"/>
            <w:shd w:val="clear" w:color="auto" w:fill="auto"/>
            <w:vAlign w:val="center"/>
          </w:tcPr>
          <w:p>
            <w:pPr>
              <w:pStyle w:val="34"/>
              <w:adjustRightInd/>
              <w:rPr>
                <w:rFonts w:ascii="Times New Roman" w:hAnsi="Times New Roman"/>
                <w:color w:val="000000" w:themeColor="text1"/>
                <w:szCs w:val="21"/>
                <w14:textFill>
                  <w14:solidFill>
                    <w14:schemeClr w14:val="tx1"/>
                  </w14:solidFill>
                </w14:textFill>
              </w:rPr>
            </w:pPr>
            <w:bookmarkStart w:id="96" w:name="_Hlk24564186"/>
            <w:r>
              <w:rPr>
                <w:rFonts w:ascii="Times New Roman" w:hAnsi="Times New Roman"/>
                <w:color w:val="000000" w:themeColor="text1"/>
                <w:szCs w:val="21"/>
                <w14:textFill>
                  <w14:solidFill>
                    <w14:schemeClr w14:val="tx1"/>
                  </w14:solidFill>
                </w14:textFill>
              </w:rPr>
              <w:t>《大气污染物综合排放标准详解》</w:t>
            </w:r>
            <w:bookmarkEnd w:id="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79" w:type="dxa"/>
            <w:vMerge w:val="continue"/>
            <w:shd w:val="clear" w:color="auto" w:fill="auto"/>
            <w:vAlign w:val="center"/>
          </w:tcPr>
          <w:p>
            <w:pPr>
              <w:pStyle w:val="34"/>
              <w:adjustRightInd/>
              <w:ind w:left="0" w:firstLine="0"/>
              <w:jc w:val="both"/>
              <w:rPr>
                <w:rFonts w:ascii="Times New Roman" w:hAnsi="Times New Roman"/>
                <w:color w:val="000000" w:themeColor="text1"/>
                <w:szCs w:val="21"/>
                <w14:textFill>
                  <w14:solidFill>
                    <w14:schemeClr w14:val="tx1"/>
                  </w14:solidFill>
                </w14:textFill>
              </w:rPr>
            </w:pPr>
          </w:p>
        </w:tc>
        <w:tc>
          <w:tcPr>
            <w:tcW w:w="1289" w:type="dxa"/>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硫化氢</w:t>
            </w:r>
          </w:p>
        </w:tc>
        <w:tc>
          <w:tcPr>
            <w:tcW w:w="2164" w:type="dxa"/>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1小时平均</w:t>
            </w:r>
          </w:p>
        </w:tc>
        <w:tc>
          <w:tcPr>
            <w:tcW w:w="1439" w:type="dxa"/>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808" w:type="dxa"/>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μg/m</w:t>
            </w:r>
            <w:r>
              <w:rPr>
                <w:rFonts w:cs="Times New Roman"/>
                <w:color w:val="000000" w:themeColor="text1"/>
                <w:vertAlign w:val="superscript"/>
                <w14:textFill>
                  <w14:solidFill>
                    <w14:schemeClr w14:val="tx1"/>
                  </w14:solidFill>
                </w14:textFill>
              </w:rPr>
              <w:t>3</w:t>
            </w:r>
          </w:p>
        </w:tc>
        <w:tc>
          <w:tcPr>
            <w:tcW w:w="2043" w:type="dxa"/>
            <w:shd w:val="clear" w:color="auto" w:fill="auto"/>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《环境影响评价技术导则 大气环境》（HJ2.2-2018）</w:t>
            </w:r>
          </w:p>
        </w:tc>
      </w:tr>
    </w:tbl>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2.4.2.2地下水环境质量标准</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地下水执行《地下水质量标准》（GB/T14848-2017）Ⅲ类标准，石油类参照《地表水环境质量标准》（GB3838-2002）Ⅲ类标准，具体标准值见表2.4-3。</w:t>
      </w:r>
    </w:p>
    <w:p>
      <w:pPr>
        <w:pStyle w:val="37"/>
        <w:spacing w:line="360" w:lineRule="auto"/>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表2.4-3  地下水质量标准</w:t>
      </w:r>
    </w:p>
    <w:tbl>
      <w:tblPr>
        <w:tblStyle w:val="23"/>
        <w:tblW w:w="831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2448"/>
        <w:gridCol w:w="790"/>
        <w:gridCol w:w="1364"/>
        <w:gridCol w:w="28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tblHeader/>
          <w:jc w:val="center"/>
        </w:trPr>
        <w:tc>
          <w:tcPr>
            <w:tcW w:w="845" w:type="dxa"/>
            <w:vMerge w:val="restart"/>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w:t>
            </w:r>
          </w:p>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要素</w:t>
            </w:r>
          </w:p>
        </w:tc>
        <w:tc>
          <w:tcPr>
            <w:tcW w:w="2448" w:type="dxa"/>
            <w:vMerge w:val="restart"/>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w:t>
            </w:r>
          </w:p>
        </w:tc>
        <w:tc>
          <w:tcPr>
            <w:tcW w:w="2154" w:type="dxa"/>
            <w:gridSpan w:val="2"/>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标准值</w:t>
            </w:r>
          </w:p>
        </w:tc>
        <w:tc>
          <w:tcPr>
            <w:tcW w:w="2866"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tblHeader/>
          <w:jc w:val="center"/>
        </w:trPr>
        <w:tc>
          <w:tcPr>
            <w:tcW w:w="845" w:type="dxa"/>
            <w:vMerge w:val="continue"/>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p>
        </w:tc>
        <w:tc>
          <w:tcPr>
            <w:tcW w:w="2448" w:type="dxa"/>
            <w:vMerge w:val="continue"/>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p>
        </w:tc>
        <w:tc>
          <w:tcPr>
            <w:tcW w:w="790"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单位</w:t>
            </w:r>
          </w:p>
        </w:tc>
        <w:tc>
          <w:tcPr>
            <w:tcW w:w="1364"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数值</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地下水</w:t>
            </w: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pH</w:t>
            </w:r>
          </w:p>
        </w:tc>
        <w:tc>
          <w:tcPr>
            <w:tcW w:w="79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无量纲</w:t>
            </w: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6.5～8.5</w:t>
            </w:r>
          </w:p>
        </w:tc>
        <w:tc>
          <w:tcPr>
            <w:tcW w:w="2866"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《地下水质量标准》（GB/T14848-2017）中Ⅲ类标准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总硬度</w:t>
            </w:r>
          </w:p>
        </w:tc>
        <w:tc>
          <w:tcPr>
            <w:tcW w:w="790"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mg/L</w:t>
            </w: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450</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溶解性总固体</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1000</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氟化物</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1</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挥发酚</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0.002</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耗氧量</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3</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硝酸盐氮</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20</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亚硝酸盐氮</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1</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硫酸盐</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250</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氨氮</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0.5</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氰化物</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0.05</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氯化物</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250</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六价铬</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0.05</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砷</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0.01</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汞</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0.001</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铁</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0.3</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锰</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0.1</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铅</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0.01</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钠</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200</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镉</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0.005</w:t>
            </w:r>
          </w:p>
        </w:tc>
        <w:tc>
          <w:tcPr>
            <w:tcW w:w="2866"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312" w:hRule="atLeast"/>
          <w:jc w:val="center"/>
        </w:trPr>
        <w:tc>
          <w:tcPr>
            <w:tcW w:w="845"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44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石油类</w:t>
            </w:r>
          </w:p>
        </w:tc>
        <w:tc>
          <w:tcPr>
            <w:tcW w:w="790"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136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0.05</w:t>
            </w:r>
          </w:p>
        </w:tc>
        <w:tc>
          <w:tcPr>
            <w:tcW w:w="286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《地表水环境质量标准》（GB3838-2002）Ⅲ类标准</w:t>
            </w:r>
          </w:p>
        </w:tc>
      </w:tr>
    </w:tbl>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2.4.2.3声环境质量标准</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声环境执行《声环境质量标准》（GB3096-2008）中2类标准，即昼间60dB（A），夜间50dB（A）。</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bookmarkStart w:id="97" w:name="_Hlk29245767"/>
      <w:r>
        <w:rPr>
          <w:rFonts w:ascii="Times New Roman" w:hAnsi="Times New Roman"/>
          <w:color w:val="000000" w:themeColor="text1"/>
          <w:sz w:val="28"/>
          <w:szCs w:val="28"/>
          <w14:textFill>
            <w14:solidFill>
              <w14:schemeClr w14:val="tx1"/>
            </w14:solidFill>
          </w14:textFill>
        </w:rPr>
        <w:t>2.4.2.4土壤环境质量标准</w:t>
      </w:r>
    </w:p>
    <w:p>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占地范围内土壤环境质量执行《土壤环境质量 建设用地土壤污染风险管控标准（试行）》（GB36600-2018）中第二类用地筛选值</w:t>
      </w:r>
      <w:r>
        <w:rPr>
          <w:rFonts w:hint="eastAsia" w:ascii="Times New Roman" w:hAnsi="Times New Roman" w:eastAsia="宋体" w:cs="Times New Roman"/>
          <w:snapToGrid w:val="0"/>
          <w:color w:val="000000" w:themeColor="text1"/>
          <w:kern w:val="0"/>
          <w:sz w:val="24"/>
          <w:lang w:val="en-US" w:eastAsia="zh-CN"/>
          <w14:textFill>
            <w14:solidFill>
              <w14:schemeClr w14:val="tx1"/>
            </w14:solidFill>
          </w14:textFill>
        </w:rPr>
        <w:t>和管制值</w:t>
      </w:r>
      <w:r>
        <w:rPr>
          <w:rFonts w:ascii="Times New Roman" w:hAnsi="Times New Roman" w:eastAsia="宋体" w:cs="Times New Roman"/>
          <w:snapToGrid w:val="0"/>
          <w:color w:val="000000" w:themeColor="text1"/>
          <w:kern w:val="0"/>
          <w:sz w:val="24"/>
          <w14:textFill>
            <w14:solidFill>
              <w14:schemeClr w14:val="tx1"/>
            </w14:solidFill>
          </w14:textFill>
        </w:rPr>
        <w:t>标准</w:t>
      </w:r>
      <w:r>
        <w:rPr>
          <w:rFonts w:hint="eastAsia" w:ascii="Times New Roman" w:hAnsi="Times New Roman" w:eastAsia="宋体" w:cs="Times New Roman"/>
          <w:snapToGrid w:val="0"/>
          <w:color w:val="000000" w:themeColor="text1"/>
          <w:kern w:val="0"/>
          <w:sz w:val="24"/>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4"/>
          <w:lang w:val="en-US" w:eastAsia="zh-CN"/>
          <w14:textFill>
            <w14:solidFill>
              <w14:schemeClr w14:val="tx1"/>
            </w14:solidFill>
          </w14:textFill>
        </w:rPr>
        <w:t>项目</w:t>
      </w:r>
      <w:r>
        <w:rPr>
          <w:rFonts w:ascii="Times New Roman" w:hAnsi="Times New Roman" w:eastAsia="宋体" w:cs="Times New Roman"/>
          <w:snapToGrid w:val="0"/>
          <w:color w:val="000000" w:themeColor="text1"/>
          <w:kern w:val="0"/>
          <w:sz w:val="24"/>
          <w14:textFill>
            <w14:solidFill>
              <w14:schemeClr w14:val="tx1"/>
            </w14:solidFill>
          </w14:textFill>
        </w:rPr>
        <w:t>占地范围外</w:t>
      </w:r>
      <w:r>
        <w:rPr>
          <w:rFonts w:hint="eastAsia" w:ascii="Times New Roman" w:hAnsi="Times New Roman" w:eastAsia="宋体" w:cs="Times New Roman"/>
          <w:snapToGrid w:val="0"/>
          <w:color w:val="000000" w:themeColor="text1"/>
          <w:kern w:val="0"/>
          <w:sz w:val="24"/>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4"/>
          <w:lang w:val="en-US" w:eastAsia="zh-CN"/>
          <w14:textFill>
            <w14:solidFill>
              <w14:schemeClr w14:val="tx1"/>
            </w14:solidFill>
          </w14:textFill>
        </w:rPr>
        <w:t>本次现状调查范围内其他草地</w:t>
      </w:r>
      <w:r>
        <w:rPr>
          <w:rFonts w:ascii="Times New Roman" w:hAnsi="Times New Roman" w:eastAsia="宋体" w:cs="Times New Roman"/>
          <w:snapToGrid w:val="0"/>
          <w:color w:val="000000" w:themeColor="text1"/>
          <w:kern w:val="0"/>
          <w:sz w:val="24"/>
          <w14:textFill>
            <w14:solidFill>
              <w14:schemeClr w14:val="tx1"/>
            </w14:solidFill>
          </w14:textFill>
        </w:rPr>
        <w:t>土壤环境质量</w:t>
      </w:r>
      <w:r>
        <w:rPr>
          <w:rFonts w:hint="eastAsia" w:ascii="Times New Roman" w:hAnsi="Times New Roman" w:eastAsia="宋体" w:cs="Times New Roman"/>
          <w:snapToGrid w:val="0"/>
          <w:color w:val="000000" w:themeColor="text1"/>
          <w:kern w:val="0"/>
          <w:sz w:val="24"/>
          <w:lang w:val="en-US" w:eastAsia="zh-CN"/>
          <w14:textFill>
            <w14:solidFill>
              <w14:schemeClr w14:val="tx1"/>
            </w14:solidFill>
          </w14:textFill>
        </w:rPr>
        <w:t>参照</w:t>
      </w:r>
      <w:r>
        <w:rPr>
          <w:rFonts w:ascii="Times New Roman" w:hAnsi="Times New Roman" w:eastAsia="宋体" w:cs="Times New Roman"/>
          <w:snapToGrid w:val="0"/>
          <w:color w:val="000000" w:themeColor="text1"/>
          <w:kern w:val="0"/>
          <w:sz w:val="24"/>
          <w14:textFill>
            <w14:solidFill>
              <w14:schemeClr w14:val="tx1"/>
            </w14:solidFill>
          </w14:textFill>
        </w:rPr>
        <w:t>《土壤环境质量 农用地土壤污染风险管控标准（试行）》（GB15618-2018）</w:t>
      </w:r>
      <w:r>
        <w:rPr>
          <w:rFonts w:hint="eastAsia" w:ascii="Times New Roman" w:hAnsi="Times New Roman" w:eastAsia="宋体" w:cs="Times New Roman"/>
          <w:snapToGrid w:val="0"/>
          <w:color w:val="000000" w:themeColor="text1"/>
          <w:kern w:val="0"/>
          <w:sz w:val="24"/>
          <w:lang w:val="en-US" w:eastAsia="zh-CN"/>
          <w14:textFill>
            <w14:solidFill>
              <w14:schemeClr w14:val="tx1"/>
            </w14:solidFill>
          </w14:textFill>
        </w:rPr>
        <w:t>表1中</w:t>
      </w:r>
      <w:r>
        <w:rPr>
          <w:rFonts w:ascii="Times New Roman" w:hAnsi="Times New Roman" w:eastAsia="宋体" w:cs="Times New Roman"/>
          <w:snapToGrid w:val="0"/>
          <w:color w:val="000000" w:themeColor="text1"/>
          <w:kern w:val="0"/>
          <w:sz w:val="24"/>
          <w14:textFill>
            <w14:solidFill>
              <w14:schemeClr w14:val="tx1"/>
            </w14:solidFill>
          </w14:textFill>
        </w:rPr>
        <w:t>风险筛选值</w:t>
      </w:r>
      <w:r>
        <w:rPr>
          <w:rFonts w:hint="eastAsia" w:ascii="Times New Roman" w:hAnsi="Times New Roman" w:eastAsia="宋体" w:cs="Times New Roman"/>
          <w:snapToGrid w:val="0"/>
          <w:color w:val="000000" w:themeColor="text1"/>
          <w:kern w:val="0"/>
          <w:sz w:val="24"/>
          <w14:textFill>
            <w14:solidFill>
              <w14:schemeClr w14:val="tx1"/>
            </w14:solidFill>
          </w14:textFill>
        </w:rPr>
        <w:t>，</w:t>
      </w:r>
      <w:r>
        <w:rPr>
          <w:rFonts w:hint="eastAsia" w:ascii="Times New Roman" w:hAnsi="Times New Roman" w:eastAsia="宋体" w:cs="Times New Roman"/>
          <w:snapToGrid w:val="0"/>
          <w:color w:val="000000" w:themeColor="text1"/>
          <w:kern w:val="0"/>
          <w:sz w:val="24"/>
          <w:lang w:val="en-US" w:eastAsia="zh-CN"/>
          <w14:textFill>
            <w14:solidFill>
              <w14:schemeClr w14:val="tx1"/>
            </w14:solidFill>
          </w14:textFill>
        </w:rPr>
        <w:t>建设用地</w:t>
      </w:r>
      <w:r>
        <w:rPr>
          <w:rFonts w:ascii="Times New Roman" w:hAnsi="Times New Roman" w:eastAsia="宋体" w:cs="Times New Roman"/>
          <w:snapToGrid w:val="0"/>
          <w:color w:val="000000" w:themeColor="text1"/>
          <w:kern w:val="0"/>
          <w:sz w:val="24"/>
          <w14:textFill>
            <w14:solidFill>
              <w14:schemeClr w14:val="tx1"/>
            </w14:solidFill>
          </w14:textFill>
        </w:rPr>
        <w:t>土壤环境质量执行《土壤环境质量 建设用地土壤污染风险管控标准（试行）》（GB36600-2018）中第二类用地筛选值</w:t>
      </w:r>
      <w:r>
        <w:rPr>
          <w:rFonts w:hint="eastAsia" w:ascii="Times New Roman" w:hAnsi="Times New Roman" w:eastAsia="宋体" w:cs="Times New Roman"/>
          <w:snapToGrid w:val="0"/>
          <w:color w:val="000000" w:themeColor="text1"/>
          <w:kern w:val="0"/>
          <w:sz w:val="24"/>
          <w:lang w:val="en-US" w:eastAsia="zh-CN"/>
          <w14:textFill>
            <w14:solidFill>
              <w14:schemeClr w14:val="tx1"/>
            </w14:solidFill>
          </w14:textFill>
        </w:rPr>
        <w:t>和管制值</w:t>
      </w:r>
      <w:r>
        <w:rPr>
          <w:rFonts w:ascii="Times New Roman" w:hAnsi="Times New Roman" w:eastAsia="宋体" w:cs="Times New Roman"/>
          <w:snapToGrid w:val="0"/>
          <w:color w:val="000000" w:themeColor="text1"/>
          <w:kern w:val="0"/>
          <w:sz w:val="24"/>
          <w14:textFill>
            <w14:solidFill>
              <w14:schemeClr w14:val="tx1"/>
            </w14:solidFill>
          </w14:textFill>
        </w:rPr>
        <w:t>标准。</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具体标准值见表2.4-4</w:t>
      </w:r>
      <w:r>
        <w:rPr>
          <w:rFonts w:ascii="Times New Roman" w:hAnsi="Times New Roman" w:eastAsia="宋体" w:cs="Times New Roman"/>
          <w:color w:val="000000" w:themeColor="text1"/>
          <w:sz w:val="24"/>
          <w14:textFill>
            <w14:solidFill>
              <w14:schemeClr w14:val="tx1"/>
            </w14:solidFill>
          </w14:textFill>
        </w:rPr>
        <w:t>、表2.4-5</w:t>
      </w:r>
      <w:r>
        <w:rPr>
          <w:rFonts w:ascii="Times New Roman" w:hAnsi="Times New Roman" w:cs="Times New Roman"/>
          <w:color w:val="000000" w:themeColor="text1"/>
          <w:sz w:val="24"/>
          <w14:textFill>
            <w14:solidFill>
              <w14:schemeClr w14:val="tx1"/>
            </w14:solidFill>
          </w14:textFill>
        </w:rPr>
        <w:t>。</w:t>
      </w:r>
    </w:p>
    <w:p>
      <w:pPr>
        <w:pStyle w:val="32"/>
        <w:snapToGrid/>
        <w:spacing w:line="36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表2.4-4  建设用地土壤污染风险筛选值（单位：mg/kg）</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2130" w:type="dxa"/>
            <w:vAlign w:val="center"/>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污染物项目</w:t>
            </w:r>
          </w:p>
        </w:tc>
        <w:tc>
          <w:tcPr>
            <w:tcW w:w="2130" w:type="dxa"/>
            <w:vAlign w:val="center"/>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风险筛选值（第二类用地）</w:t>
            </w:r>
          </w:p>
        </w:tc>
        <w:tc>
          <w:tcPr>
            <w:tcW w:w="2130" w:type="dxa"/>
            <w:vAlign w:val="center"/>
          </w:tcPr>
          <w:p>
            <w:pPr>
              <w:pStyle w:val="34"/>
              <w:rPr>
                <w:rFonts w:hint="eastAsia" w:ascii="Times New Roman" w:hAnsi="Times New Roman" w:eastAsia="宋体"/>
                <w:b/>
                <w:bCs/>
                <w:color w:val="000000" w:themeColor="text1"/>
                <w:szCs w:val="21"/>
                <w:lang w:val="en-US" w:eastAsia="zh-CN"/>
                <w14:textFill>
                  <w14:solidFill>
                    <w14:schemeClr w14:val="tx1"/>
                  </w14:solidFill>
                </w14:textFill>
              </w:rPr>
            </w:pPr>
            <w:r>
              <w:rPr>
                <w:rFonts w:hint="eastAsia" w:ascii="Times New Roman" w:hAnsi="Times New Roman"/>
                <w:b/>
                <w:bCs/>
                <w:color w:val="000000" w:themeColor="text1"/>
                <w:szCs w:val="21"/>
                <w:lang w:val="en-US" w:eastAsia="zh-CN"/>
                <w14:textFill>
                  <w14:solidFill>
                    <w14:schemeClr w14:val="tx1"/>
                  </w14:solidFill>
                </w14:textFill>
              </w:rPr>
              <w:t>管制值（</w:t>
            </w:r>
            <w:r>
              <w:rPr>
                <w:rFonts w:ascii="Times New Roman" w:hAnsi="Times New Roman"/>
                <w:b/>
                <w:bCs/>
                <w:color w:val="000000" w:themeColor="text1"/>
                <w:szCs w:val="21"/>
                <w14:textFill>
                  <w14:solidFill>
                    <w14:schemeClr w14:val="tx1"/>
                  </w14:solidFill>
                </w14:textFill>
              </w:rPr>
              <w:t>第二类用地</w:t>
            </w:r>
            <w:r>
              <w:rPr>
                <w:rFonts w:hint="eastAsia" w:ascii="Times New Roman" w:hAnsi="Times New Roman"/>
                <w:b/>
                <w:bCs/>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9" w:type="dxa"/>
            <w:gridSpan w:val="4"/>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基本项目（重金属和无机物）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铬（六价）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5.7</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镉</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65</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铜</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18000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铅</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800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汞</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38</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镍</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900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9" w:type="dxa"/>
            <w:gridSpan w:val="4"/>
            <w:vAlign w:val="center"/>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基本项目（挥发性有机物）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四氯化碳</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2.8</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氯仿</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0.9</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氯甲烷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37</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1,1-二氯乙烷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9</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1,2-二氯乙烷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13</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1,1-二氯乙烯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66</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14</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顺-1,2-二氯乙烯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596</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反-1,2-二氯乙烯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54</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16</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二氯甲烷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616</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1,2-二氯丙烷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18</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1,1,1,2-四氯乙烷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19</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1,1,2,2-四氯乙烷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6.8</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四氯乙烯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53</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21</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1,1,1-三氯乙烷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840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22</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1,1,2-三氯乙烷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2.8</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23</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三氯乙烯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2.8</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24</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1,2,3-三氯丙烷</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0.5</w:t>
            </w:r>
          </w:p>
        </w:tc>
        <w:tc>
          <w:tcPr>
            <w:tcW w:w="2130" w:type="dxa"/>
            <w:vAlign w:val="center"/>
          </w:tcPr>
          <w:p>
            <w:pPr>
              <w:pStyle w:val="34"/>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25</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氯乙烯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0.43</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26</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27</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氯苯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270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28</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1,2-二氯苯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560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29</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1,4-二氯苯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30</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乙苯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28</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31</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苯乙烯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1290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32</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甲苯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1200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33</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间二甲苯+对二甲苯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570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34</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领二甲苯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640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9" w:type="dxa"/>
            <w:gridSpan w:val="4"/>
            <w:vAlign w:val="center"/>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基本项目（半挥发性有机物）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35</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硝基苯</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76</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36</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苯胺</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260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37</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2-氯酚</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2256</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38</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苯并[a]蒽</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39</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苯并[a]芘</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40</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苯并[b]荧蒽</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41</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苯并[k]荧蒽</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151</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42</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䓛</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1293</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43</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二苯并[a,h]蒽</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44</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茚并[1,2,3-cd]芘</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15</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45</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萘</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9" w:type="dxa"/>
            <w:gridSpan w:val="4"/>
            <w:vAlign w:val="center"/>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其他项目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rPr>
        <w:tc>
          <w:tcPr>
            <w:tcW w:w="2129"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46</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石油烃</w:t>
            </w:r>
          </w:p>
        </w:tc>
        <w:tc>
          <w:tcPr>
            <w:tcW w:w="2130"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4500</w:t>
            </w:r>
          </w:p>
        </w:tc>
        <w:tc>
          <w:tcPr>
            <w:tcW w:w="2130" w:type="dxa"/>
            <w:vAlign w:val="center"/>
          </w:tcPr>
          <w:p>
            <w:pPr>
              <w:pStyle w:val="34"/>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9000</w:t>
            </w:r>
          </w:p>
        </w:tc>
      </w:tr>
      <w:bookmarkEnd w:id="97"/>
    </w:tbl>
    <w:p>
      <w:pPr>
        <w:pStyle w:val="36"/>
        <w:spacing w:line="360" w:lineRule="auto"/>
        <w:rPr>
          <w:rFonts w:cs="Times New Roman"/>
          <w:bCs w:val="0"/>
          <w:color w:val="000000" w:themeColor="text1"/>
          <w14:textFill>
            <w14:solidFill>
              <w14:schemeClr w14:val="tx1"/>
            </w14:solidFill>
          </w14:textFill>
        </w:rPr>
      </w:pPr>
      <w:r>
        <w:rPr>
          <w:rFonts w:cs="Times New Roman"/>
          <w:bCs w:val="0"/>
          <w:color w:val="000000" w:themeColor="text1"/>
          <w14:textFill>
            <w14:solidFill>
              <w14:schemeClr w14:val="tx1"/>
            </w14:solidFill>
          </w14:textFill>
        </w:rPr>
        <w:t>表2.4-5  农用地土壤污染风险筛选值（单位：mg/kg）</w:t>
      </w:r>
    </w:p>
    <w:tbl>
      <w:tblPr>
        <w:tblStyle w:val="23"/>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798"/>
        <w:gridCol w:w="1036"/>
        <w:gridCol w:w="1263"/>
        <w:gridCol w:w="1619"/>
        <w:gridCol w:w="1551"/>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trPr>
        <w:tc>
          <w:tcPr>
            <w:tcW w:w="941" w:type="dxa"/>
            <w:vMerge w:val="restart"/>
            <w:vAlign w:val="center"/>
          </w:tcPr>
          <w:p>
            <w:pPr>
              <w:pStyle w:val="34"/>
              <w:spacing w:line="288" w:lineRule="auto"/>
              <w:ind w:left="420" w:hanging="420"/>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序号</w:t>
            </w:r>
          </w:p>
        </w:tc>
        <w:tc>
          <w:tcPr>
            <w:tcW w:w="1834" w:type="dxa"/>
            <w:gridSpan w:val="2"/>
            <w:vMerge w:val="restart"/>
            <w:vAlign w:val="center"/>
          </w:tcPr>
          <w:p>
            <w:pPr>
              <w:pStyle w:val="34"/>
              <w:spacing w:line="288" w:lineRule="auto"/>
              <w:ind w:left="420" w:hanging="420"/>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污染物项目</w:t>
            </w:r>
          </w:p>
        </w:tc>
        <w:tc>
          <w:tcPr>
            <w:tcW w:w="5745" w:type="dxa"/>
            <w:gridSpan w:val="4"/>
            <w:vAlign w:val="center"/>
          </w:tcPr>
          <w:p>
            <w:pPr>
              <w:pStyle w:val="34"/>
              <w:spacing w:line="288" w:lineRule="auto"/>
              <w:ind w:left="420" w:hanging="420"/>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trPr>
        <w:tc>
          <w:tcPr>
            <w:tcW w:w="941" w:type="dxa"/>
            <w:vMerge w:val="continue"/>
            <w:vAlign w:val="center"/>
          </w:tcPr>
          <w:p>
            <w:pPr>
              <w:pStyle w:val="34"/>
              <w:spacing w:line="288" w:lineRule="auto"/>
              <w:ind w:left="420" w:hanging="420"/>
              <w:rPr>
                <w:rFonts w:ascii="Times New Roman" w:hAnsi="Times New Roman"/>
                <w:b/>
                <w:color w:val="000000" w:themeColor="text1"/>
                <w:szCs w:val="21"/>
                <w14:textFill>
                  <w14:solidFill>
                    <w14:schemeClr w14:val="tx1"/>
                  </w14:solidFill>
                </w14:textFill>
              </w:rPr>
            </w:pPr>
          </w:p>
        </w:tc>
        <w:tc>
          <w:tcPr>
            <w:tcW w:w="1834" w:type="dxa"/>
            <w:gridSpan w:val="2"/>
            <w:vMerge w:val="continue"/>
            <w:vAlign w:val="center"/>
          </w:tcPr>
          <w:p>
            <w:pPr>
              <w:pStyle w:val="34"/>
              <w:spacing w:line="288" w:lineRule="auto"/>
              <w:ind w:left="420" w:hanging="420"/>
              <w:rPr>
                <w:rFonts w:ascii="Times New Roman" w:hAnsi="Times New Roman"/>
                <w:b/>
                <w:color w:val="000000" w:themeColor="text1"/>
                <w:szCs w:val="21"/>
                <w14:textFill>
                  <w14:solidFill>
                    <w14:schemeClr w14:val="tx1"/>
                  </w14:solidFill>
                </w14:textFill>
              </w:rPr>
            </w:pPr>
          </w:p>
        </w:tc>
        <w:tc>
          <w:tcPr>
            <w:tcW w:w="1263" w:type="dxa"/>
            <w:vAlign w:val="center"/>
          </w:tcPr>
          <w:p>
            <w:pPr>
              <w:pStyle w:val="34"/>
              <w:spacing w:line="288" w:lineRule="auto"/>
              <w:ind w:left="420" w:hanging="420"/>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pH≤5.5</w:t>
            </w:r>
          </w:p>
        </w:tc>
        <w:tc>
          <w:tcPr>
            <w:tcW w:w="1619" w:type="dxa"/>
            <w:vAlign w:val="center"/>
          </w:tcPr>
          <w:p>
            <w:pPr>
              <w:pStyle w:val="34"/>
              <w:spacing w:line="288" w:lineRule="auto"/>
              <w:ind w:left="420" w:hanging="420"/>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5.5＜pH≤6.5</w:t>
            </w:r>
          </w:p>
        </w:tc>
        <w:tc>
          <w:tcPr>
            <w:tcW w:w="1551" w:type="dxa"/>
            <w:vAlign w:val="center"/>
          </w:tcPr>
          <w:p>
            <w:pPr>
              <w:pStyle w:val="34"/>
              <w:spacing w:line="288" w:lineRule="auto"/>
              <w:ind w:left="420" w:hanging="420"/>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5.5＜pH≤6.5</w:t>
            </w:r>
          </w:p>
        </w:tc>
        <w:tc>
          <w:tcPr>
            <w:tcW w:w="1312" w:type="dxa"/>
            <w:vAlign w:val="center"/>
          </w:tcPr>
          <w:p>
            <w:pPr>
              <w:pStyle w:val="34"/>
              <w:spacing w:line="288" w:lineRule="auto"/>
              <w:ind w:left="420" w:hanging="420"/>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w:t>
            </w:r>
          </w:p>
        </w:tc>
        <w:tc>
          <w:tcPr>
            <w:tcW w:w="798"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镉</w:t>
            </w: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水田</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0.3</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0.4</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0.6</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798"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其他</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0.3</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0.3</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0.3</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w:t>
            </w:r>
          </w:p>
        </w:tc>
        <w:tc>
          <w:tcPr>
            <w:tcW w:w="798"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汞</w:t>
            </w: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水田</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0.5</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0.5</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0.6</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798"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其他</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1.3</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1.8</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2.4</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3</w:t>
            </w:r>
          </w:p>
        </w:tc>
        <w:tc>
          <w:tcPr>
            <w:tcW w:w="798"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砷</w:t>
            </w: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水田</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30</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30</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25</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798"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其他</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40</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40</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30</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4</w:t>
            </w:r>
          </w:p>
        </w:tc>
        <w:tc>
          <w:tcPr>
            <w:tcW w:w="798"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铅</w:t>
            </w: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水田</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80</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100</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140</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798"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其他</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70</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90</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120</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5</w:t>
            </w:r>
          </w:p>
        </w:tc>
        <w:tc>
          <w:tcPr>
            <w:tcW w:w="798"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铬</w:t>
            </w: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水田</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250</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250</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300</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798"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其他</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150</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150</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200</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6</w:t>
            </w:r>
          </w:p>
        </w:tc>
        <w:tc>
          <w:tcPr>
            <w:tcW w:w="798" w:type="dxa"/>
            <w:vMerge w:val="restart"/>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铜</w:t>
            </w: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水田</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150</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150</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200</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798" w:type="dxa"/>
            <w:vMerge w:val="continue"/>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p>
        </w:tc>
        <w:tc>
          <w:tcPr>
            <w:tcW w:w="1036"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其他</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50</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50</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100</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7</w:t>
            </w:r>
          </w:p>
        </w:tc>
        <w:tc>
          <w:tcPr>
            <w:tcW w:w="1834" w:type="dxa"/>
            <w:gridSpan w:val="2"/>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镍</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60</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70</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100</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94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8</w:t>
            </w:r>
          </w:p>
        </w:tc>
        <w:tc>
          <w:tcPr>
            <w:tcW w:w="1834" w:type="dxa"/>
            <w:gridSpan w:val="2"/>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锌</w:t>
            </w:r>
          </w:p>
        </w:tc>
        <w:tc>
          <w:tcPr>
            <w:tcW w:w="1263"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200</w:t>
            </w:r>
          </w:p>
        </w:tc>
        <w:tc>
          <w:tcPr>
            <w:tcW w:w="1619"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200</w:t>
            </w:r>
          </w:p>
        </w:tc>
        <w:tc>
          <w:tcPr>
            <w:tcW w:w="1551"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250</w:t>
            </w:r>
          </w:p>
        </w:tc>
        <w:tc>
          <w:tcPr>
            <w:tcW w:w="1312" w:type="dxa"/>
            <w:vAlign w:val="center"/>
          </w:tcPr>
          <w:p>
            <w:pPr>
              <w:pStyle w:val="34"/>
              <w:spacing w:line="288" w:lineRule="auto"/>
              <w:ind w:left="420" w:hanging="420"/>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300</w:t>
            </w:r>
          </w:p>
        </w:tc>
      </w:tr>
    </w:tbl>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2.4.3污染物排放标准</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2.4.3.1废气排放标准</w:t>
      </w:r>
    </w:p>
    <w:p>
      <w:pPr>
        <w:spacing w:line="360" w:lineRule="auto"/>
        <w:ind w:firstLine="48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（1）施工期</w:t>
      </w:r>
    </w:p>
    <w:p>
      <w:pPr>
        <w:spacing w:line="360" w:lineRule="auto"/>
        <w:ind w:firstLine="48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施工期产生的颗粒物执行《大气污染物综合排放标准》（GB16297-1996）表2无组织排放监控浓度1.0mg/m</w:t>
      </w:r>
      <w:r>
        <w:rPr>
          <w:rFonts w:ascii="Times New Roman" w:hAnsi="Times New Roman" w:cs="Times New Roman"/>
          <w:snapToGrid w:val="0"/>
          <w:color w:val="000000" w:themeColor="text1"/>
          <w:kern w:val="0"/>
          <w:sz w:val="24"/>
          <w:vertAlign w:val="superscript"/>
          <w14:textFill>
            <w14:solidFill>
              <w14:schemeClr w14:val="tx1"/>
            </w14:solidFill>
          </w14:textFill>
        </w:rPr>
        <w:t>3</w:t>
      </w:r>
      <w:r>
        <w:rPr>
          <w:rFonts w:ascii="Times New Roman" w:hAnsi="Times New Roman" w:cs="Times New Roman"/>
          <w:snapToGrid w:val="0"/>
          <w:color w:val="000000" w:themeColor="text1"/>
          <w:kern w:val="0"/>
          <w:sz w:val="24"/>
          <w14:textFill>
            <w14:solidFill>
              <w14:schemeClr w14:val="tx1"/>
            </w14:solidFill>
          </w14:textFill>
        </w:rPr>
        <w:t>限值要求。</w:t>
      </w:r>
    </w:p>
    <w:p>
      <w:pPr>
        <w:spacing w:line="360" w:lineRule="auto"/>
        <w:ind w:firstLine="48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（2）运营期</w:t>
      </w:r>
    </w:p>
    <w:p>
      <w:pPr>
        <w:spacing w:line="360" w:lineRule="auto"/>
        <w:ind w:firstLine="48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油气开采过程中井场、站场厂界无组织挥发产生的非甲烷总烃排放</w:t>
      </w:r>
      <w:r>
        <w:rPr>
          <w:rFonts w:hint="eastAsia" w:ascii="Times New Roman" w:hAnsi="Times New Roman" w:cs="Times New Roman"/>
          <w:snapToGrid w:val="0"/>
          <w:color w:val="000000" w:themeColor="text1"/>
          <w:kern w:val="0"/>
          <w:sz w:val="24"/>
          <w14:textFill>
            <w14:solidFill>
              <w14:schemeClr w14:val="tx1"/>
            </w14:solidFill>
          </w14:textFill>
        </w:rPr>
        <w:t>按</w:t>
      </w:r>
      <w:r>
        <w:rPr>
          <w:rFonts w:ascii="Times New Roman" w:hAnsi="Times New Roman" w:cs="Times New Roman"/>
          <w:snapToGrid w:val="0"/>
          <w:color w:val="000000" w:themeColor="text1"/>
          <w:kern w:val="0"/>
          <w:sz w:val="24"/>
          <w14:textFill>
            <w14:solidFill>
              <w14:schemeClr w14:val="tx1"/>
            </w14:solidFill>
          </w14:textFill>
        </w:rPr>
        <w:t>照《陆上石油天然气开采工业大气污染物排放标准》（GB39728-2020）中企业边界污染物控制要求，硫化氢执行《恶臭污染物排放标准》（GB14554-93）。具体标准限值要求见表2.4-</w:t>
      </w:r>
      <w:r>
        <w:rPr>
          <w:rFonts w:hint="eastAsia" w:ascii="Times New Roman" w:hAnsi="Times New Roman" w:cs="Times New Roman"/>
          <w:snapToGrid w:val="0"/>
          <w:color w:val="000000" w:themeColor="text1"/>
          <w:kern w:val="0"/>
          <w:sz w:val="24"/>
          <w14:textFill>
            <w14:solidFill>
              <w14:schemeClr w14:val="tx1"/>
            </w14:solidFill>
          </w14:textFill>
        </w:rPr>
        <w:t>6</w:t>
      </w:r>
      <w:r>
        <w:rPr>
          <w:rFonts w:ascii="Times New Roman" w:hAnsi="Times New Roman" w:cs="Times New Roman"/>
          <w:snapToGrid w:val="0"/>
          <w:color w:val="000000" w:themeColor="text1"/>
          <w:kern w:val="0"/>
          <w:sz w:val="24"/>
          <w14:textFill>
            <w14:solidFill>
              <w14:schemeClr w14:val="tx1"/>
            </w14:solidFill>
          </w14:textFill>
        </w:rPr>
        <w:t>。</w:t>
      </w:r>
    </w:p>
    <w:p>
      <w:pPr>
        <w:pStyle w:val="36"/>
        <w:spacing w:line="360" w:lineRule="auto"/>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表2.4-</w:t>
      </w:r>
      <w:r>
        <w:rPr>
          <w:rFonts w:hint="eastAsia" w:cs="Times New Roman"/>
          <w:color w:val="000000" w:themeColor="text1"/>
          <w:szCs w:val="21"/>
          <w14:textFill>
            <w14:solidFill>
              <w14:schemeClr w14:val="tx1"/>
            </w14:solidFill>
          </w14:textFill>
        </w:rPr>
        <w:t>6</w:t>
      </w:r>
      <w:r>
        <w:rPr>
          <w:rFonts w:cs="Times New Roman"/>
          <w:color w:val="000000" w:themeColor="text1"/>
          <w:szCs w:val="21"/>
          <w14:textFill>
            <w14:solidFill>
              <w14:schemeClr w14:val="tx1"/>
            </w14:solidFill>
          </w14:textFill>
        </w:rPr>
        <w:t xml:space="preserve">  </w:t>
      </w:r>
      <w:r>
        <w:rPr>
          <w:rFonts w:cs="Times New Roman"/>
          <w:color w:val="000000" w:themeColor="text1"/>
          <w:kern w:val="0"/>
          <w:szCs w:val="21"/>
          <w14:textFill>
            <w14:solidFill>
              <w14:schemeClr w14:val="tx1"/>
            </w14:solidFill>
          </w14:textFill>
        </w:rPr>
        <w:t>大气污染物排放标准一览表</w:t>
      </w:r>
      <w:r>
        <w:rPr>
          <w:rFonts w:cs="Times New Roman"/>
          <w:color w:val="000000" w:themeColor="text1"/>
          <w:spacing w:val="4"/>
          <w:szCs w:val="21"/>
          <w14:textFill>
            <w14:solidFill>
              <w14:schemeClr w14:val="tx1"/>
            </w14:solidFill>
          </w14:textFill>
        </w:rPr>
        <w:t xml:space="preserve">     （单位：mg/m</w:t>
      </w:r>
      <w:r>
        <w:rPr>
          <w:rFonts w:cs="Times New Roman"/>
          <w:color w:val="000000" w:themeColor="text1"/>
          <w:spacing w:val="4"/>
          <w:szCs w:val="21"/>
          <w:vertAlign w:val="superscript"/>
          <w14:textFill>
            <w14:solidFill>
              <w14:schemeClr w14:val="tx1"/>
            </w14:solidFill>
          </w14:textFill>
        </w:rPr>
        <w:t>3</w:t>
      </w:r>
      <w:r>
        <w:rPr>
          <w:rFonts w:cs="Times New Roman"/>
          <w:color w:val="000000" w:themeColor="text1"/>
          <w:spacing w:val="4"/>
          <w:szCs w:val="21"/>
          <w14:textFill>
            <w14:solidFill>
              <w14:schemeClr w14:val="tx1"/>
            </w14:solidFill>
          </w14:textFill>
        </w:rPr>
        <w:t>）</w:t>
      </w:r>
    </w:p>
    <w:tbl>
      <w:tblPr>
        <w:tblStyle w:val="23"/>
        <w:tblW w:w="83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5"/>
        <w:gridCol w:w="1154"/>
        <w:gridCol w:w="759"/>
        <w:gridCol w:w="1402"/>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blHeader/>
          <w:jc w:val="center"/>
        </w:trPr>
        <w:tc>
          <w:tcPr>
            <w:tcW w:w="605" w:type="dxa"/>
            <w:vAlign w:val="center"/>
          </w:tcPr>
          <w:p>
            <w:pPr>
              <w:pStyle w:val="35"/>
              <w:rPr>
                <w:rFonts w:cs="Times New Roman"/>
                <w:b/>
                <w:bCs/>
                <w:snapToGrid w:val="0"/>
                <w:color w:val="000000" w:themeColor="text1"/>
                <w14:textFill>
                  <w14:solidFill>
                    <w14:schemeClr w14:val="tx1"/>
                  </w14:solidFill>
                </w14:textFill>
              </w:rPr>
            </w:pPr>
            <w:r>
              <w:rPr>
                <w:rFonts w:cs="Times New Roman"/>
                <w:b/>
                <w:bCs/>
                <w:snapToGrid w:val="0"/>
                <w:color w:val="000000" w:themeColor="text1"/>
                <w14:textFill>
                  <w14:solidFill>
                    <w14:schemeClr w14:val="tx1"/>
                  </w14:solidFill>
                </w14:textFill>
              </w:rPr>
              <w:t>阶段</w:t>
            </w:r>
          </w:p>
        </w:tc>
        <w:tc>
          <w:tcPr>
            <w:tcW w:w="1913" w:type="dxa"/>
            <w:gridSpan w:val="2"/>
            <w:vAlign w:val="center"/>
          </w:tcPr>
          <w:p>
            <w:pPr>
              <w:pStyle w:val="35"/>
              <w:rPr>
                <w:rFonts w:cs="Times New Roman"/>
                <w:b/>
                <w:bCs/>
                <w:snapToGrid w:val="0"/>
                <w:color w:val="000000" w:themeColor="text1"/>
                <w14:textFill>
                  <w14:solidFill>
                    <w14:schemeClr w14:val="tx1"/>
                  </w14:solidFill>
                </w14:textFill>
              </w:rPr>
            </w:pPr>
            <w:r>
              <w:rPr>
                <w:rFonts w:cs="Times New Roman"/>
                <w:b/>
                <w:bCs/>
                <w:snapToGrid w:val="0"/>
                <w:color w:val="000000" w:themeColor="text1"/>
                <w14:textFill>
                  <w14:solidFill>
                    <w14:schemeClr w14:val="tx1"/>
                  </w14:solidFill>
                </w14:textFill>
              </w:rPr>
              <w:t>污染物</w:t>
            </w:r>
          </w:p>
        </w:tc>
        <w:tc>
          <w:tcPr>
            <w:tcW w:w="1402" w:type="dxa"/>
            <w:vAlign w:val="center"/>
          </w:tcPr>
          <w:p>
            <w:pPr>
              <w:pStyle w:val="35"/>
              <w:rPr>
                <w:rFonts w:cs="Times New Roman"/>
                <w:b/>
                <w:bCs/>
                <w:snapToGrid w:val="0"/>
                <w:color w:val="000000" w:themeColor="text1"/>
                <w14:textFill>
                  <w14:solidFill>
                    <w14:schemeClr w14:val="tx1"/>
                  </w14:solidFill>
                </w14:textFill>
              </w:rPr>
            </w:pPr>
            <w:r>
              <w:rPr>
                <w:rFonts w:cs="Times New Roman"/>
                <w:b/>
                <w:bCs/>
                <w:snapToGrid w:val="0"/>
                <w:color w:val="000000" w:themeColor="text1"/>
                <w14:textFill>
                  <w14:solidFill>
                    <w14:schemeClr w14:val="tx1"/>
                  </w14:solidFill>
                </w14:textFill>
              </w:rPr>
              <w:t>标准值</w:t>
            </w:r>
          </w:p>
        </w:tc>
        <w:tc>
          <w:tcPr>
            <w:tcW w:w="4394" w:type="dxa"/>
            <w:vAlign w:val="center"/>
          </w:tcPr>
          <w:p>
            <w:pPr>
              <w:pStyle w:val="35"/>
              <w:rPr>
                <w:rFonts w:cs="Times New Roman"/>
                <w:b/>
                <w:bCs/>
                <w:snapToGrid w:val="0"/>
                <w:color w:val="000000" w:themeColor="text1"/>
                <w14:textFill>
                  <w14:solidFill>
                    <w14:schemeClr w14:val="tx1"/>
                  </w14:solidFill>
                </w14:textFill>
              </w:rPr>
            </w:pPr>
            <w:r>
              <w:rPr>
                <w:rFonts w:cs="Times New Roman"/>
                <w:b/>
                <w:bCs/>
                <w:snapToGrid w:val="0"/>
                <w:color w:val="000000" w:themeColor="text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blHeader/>
          <w:jc w:val="center"/>
        </w:trPr>
        <w:tc>
          <w:tcPr>
            <w:tcW w:w="605"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w:t>
            </w:r>
          </w:p>
        </w:tc>
        <w:tc>
          <w:tcPr>
            <w:tcW w:w="191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颗粒物</w:t>
            </w:r>
          </w:p>
        </w:tc>
        <w:tc>
          <w:tcPr>
            <w:tcW w:w="140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1.0mg/m</w:t>
            </w:r>
            <w:r>
              <w:rPr>
                <w:rFonts w:cs="Times New Roman"/>
                <w:color w:val="000000" w:themeColor="text1"/>
                <w:vertAlign w:val="superscript"/>
                <w14:textFill>
                  <w14:solidFill>
                    <w14:schemeClr w14:val="tx1"/>
                  </w14:solidFill>
                </w14:textFill>
              </w:rPr>
              <w:t>3</w:t>
            </w:r>
          </w:p>
        </w:tc>
        <w:tc>
          <w:tcPr>
            <w:tcW w:w="43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《大气污染物综合排放标准》（GB16297-1996）表2无组织排放监控浓度限值要求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blHeader/>
          <w:jc w:val="center"/>
        </w:trPr>
        <w:tc>
          <w:tcPr>
            <w:tcW w:w="60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运</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营</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w:t>
            </w:r>
          </w:p>
        </w:tc>
        <w:tc>
          <w:tcPr>
            <w:tcW w:w="115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非甲烷总烃</w:t>
            </w:r>
          </w:p>
        </w:tc>
        <w:tc>
          <w:tcPr>
            <w:tcW w:w="759"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边界</w:t>
            </w:r>
          </w:p>
        </w:tc>
        <w:tc>
          <w:tcPr>
            <w:tcW w:w="140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4.0mg/m</w:t>
            </w:r>
            <w:r>
              <w:rPr>
                <w:rFonts w:cs="Times New Roman"/>
                <w:color w:val="000000" w:themeColor="text1"/>
                <w:vertAlign w:val="superscript"/>
                <w14:textFill>
                  <w14:solidFill>
                    <w14:schemeClr w14:val="tx1"/>
                  </w14:solidFill>
                </w14:textFill>
              </w:rPr>
              <w:t>3</w:t>
            </w:r>
          </w:p>
        </w:tc>
        <w:tc>
          <w:tcPr>
            <w:tcW w:w="43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《陆上石油天然气开采工业大气污染物排放标准》（GB39728-2020）企业边界污染物控制要求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blHeader/>
          <w:jc w:val="center"/>
        </w:trPr>
        <w:tc>
          <w:tcPr>
            <w:tcW w:w="605" w:type="dxa"/>
            <w:vMerge w:val="continue"/>
            <w:vAlign w:val="center"/>
          </w:tcPr>
          <w:p>
            <w:pPr>
              <w:pStyle w:val="35"/>
              <w:rPr>
                <w:rFonts w:cs="Times New Roman"/>
                <w:color w:val="000000" w:themeColor="text1"/>
                <w14:textFill>
                  <w14:solidFill>
                    <w14:schemeClr w14:val="tx1"/>
                  </w14:solidFill>
                </w14:textFill>
              </w:rPr>
            </w:pPr>
          </w:p>
        </w:tc>
        <w:tc>
          <w:tcPr>
            <w:tcW w:w="1154" w:type="dxa"/>
            <w:vAlign w:val="center"/>
          </w:tcPr>
          <w:p>
            <w:pPr>
              <w:pStyle w:val="35"/>
              <w:rPr>
                <w:rFonts w:cs="Times New Roman"/>
                <w:color w:val="000000" w:themeColor="text1"/>
                <w14:textFill>
                  <w14:solidFill>
                    <w14:schemeClr w14:val="tx1"/>
                  </w14:solidFill>
                </w14:textFill>
              </w:rPr>
            </w:pPr>
            <w:bookmarkStart w:id="98" w:name="_Hlk81289677"/>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w:t>
            </w:r>
            <w:bookmarkEnd w:id="98"/>
          </w:p>
        </w:tc>
        <w:tc>
          <w:tcPr>
            <w:tcW w:w="759" w:type="dxa"/>
            <w:vMerge w:val="continue"/>
            <w:vAlign w:val="center"/>
          </w:tcPr>
          <w:p>
            <w:pPr>
              <w:pStyle w:val="35"/>
              <w:rPr>
                <w:rFonts w:cs="Times New Roman"/>
                <w:color w:val="000000" w:themeColor="text1"/>
                <w14:textFill>
                  <w14:solidFill>
                    <w14:schemeClr w14:val="tx1"/>
                  </w14:solidFill>
                </w14:textFill>
              </w:rPr>
            </w:pPr>
          </w:p>
        </w:tc>
        <w:tc>
          <w:tcPr>
            <w:tcW w:w="140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0.06mg/m</w:t>
            </w:r>
            <w:r>
              <w:rPr>
                <w:rFonts w:cs="Times New Roman"/>
                <w:color w:val="000000" w:themeColor="text1"/>
                <w:vertAlign w:val="superscript"/>
                <w14:textFill>
                  <w14:solidFill>
                    <w14:schemeClr w14:val="tx1"/>
                  </w14:solidFill>
                </w14:textFill>
              </w:rPr>
              <w:t>3</w:t>
            </w:r>
          </w:p>
        </w:tc>
        <w:tc>
          <w:tcPr>
            <w:tcW w:w="43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《恶臭污染物排放标准》（GB 14554-93）表1要求</w:t>
            </w:r>
          </w:p>
        </w:tc>
      </w:tr>
    </w:tbl>
    <w:p>
      <w:pPr>
        <w:pStyle w:val="31"/>
        <w:overflowPunct w:val="0"/>
        <w:topLinePunct/>
        <w:adjustRightInd w:val="0"/>
        <w:outlineLvl w:val="3"/>
        <w:rPr>
          <w:rFonts w:ascii="Times New Roman" w:hAnsi="Times New Roman"/>
          <w:color w:val="000000" w:themeColor="text1"/>
          <w14:textFill>
            <w14:solidFill>
              <w14:schemeClr w14:val="tx1"/>
            </w14:solidFill>
          </w14:textFill>
        </w:rPr>
      </w:pPr>
      <w:r>
        <w:rPr>
          <w:rFonts w:ascii="Times New Roman" w:hAnsi="Times New Roman"/>
          <w:bCs/>
          <w:color w:val="000000" w:themeColor="text1"/>
          <w:sz w:val="28"/>
          <w:szCs w:val="28"/>
          <w14:textFill>
            <w14:solidFill>
              <w14:schemeClr w14:val="tx1"/>
            </w14:solidFill>
          </w14:textFill>
        </w:rPr>
        <w:t>2.4.3.2废水排放标准</w:t>
      </w:r>
    </w:p>
    <w:p>
      <w:pPr>
        <w:kinsoku w:val="0"/>
        <w:overflowPunct w:val="0"/>
        <w:spacing w:line="360" w:lineRule="auto"/>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（1）施工期</w:t>
      </w:r>
    </w:p>
    <w:p>
      <w:pPr>
        <w:pStyle w:val="37"/>
        <w:spacing w:line="360" w:lineRule="auto"/>
        <w:ind w:firstLine="480" w:firstLineChars="200"/>
        <w:jc w:val="left"/>
        <w:rPr>
          <w:rFonts w:ascii="Times New Roman" w:hAnsi="Times New Roman" w:cs="Times New Roman"/>
          <w:b w:val="0"/>
          <w:color w:val="000000" w:themeColor="text1"/>
          <w:sz w:val="24"/>
          <w14:textFill>
            <w14:solidFill>
              <w14:schemeClr w14:val="tx1"/>
            </w14:solidFill>
          </w14:textFill>
        </w:rPr>
      </w:pPr>
      <w:r>
        <w:rPr>
          <w:rFonts w:ascii="Times New Roman" w:hAnsi="Times New Roman" w:cs="Times New Roman"/>
          <w:b w:val="0"/>
          <w:color w:val="000000" w:themeColor="text1"/>
          <w:sz w:val="24"/>
          <w14:textFill>
            <w14:solidFill>
              <w14:schemeClr w14:val="tx1"/>
            </w14:solidFill>
          </w14:textFill>
        </w:rPr>
        <w:t>本项目施工期钻井废水采用</w:t>
      </w:r>
      <w:r>
        <w:rPr>
          <w:rFonts w:hint="eastAsia" w:ascii="Times New Roman" w:hAnsi="Times New Roman" w:cs="Times New Roman"/>
          <w:b w:val="0"/>
          <w:color w:val="000000" w:themeColor="text1"/>
          <w:sz w:val="24"/>
          <w14:textFill>
            <w14:solidFill>
              <w14:schemeClr w14:val="tx1"/>
            </w14:solidFill>
          </w14:textFill>
        </w:rPr>
        <w:t>“</w:t>
      </w:r>
      <w:r>
        <w:rPr>
          <w:rFonts w:ascii="Times New Roman" w:hAnsi="Times New Roman" w:cs="Times New Roman"/>
          <w:b w:val="0"/>
          <w:color w:val="000000" w:themeColor="text1"/>
          <w:sz w:val="24"/>
          <w14:textFill>
            <w14:solidFill>
              <w14:schemeClr w14:val="tx1"/>
            </w14:solidFill>
          </w14:textFill>
        </w:rPr>
        <w:t>钻井泥浆不落地技术</w:t>
      </w:r>
      <w:r>
        <w:rPr>
          <w:rFonts w:hint="eastAsia" w:ascii="Times New Roman" w:hAnsi="Times New Roman" w:cs="Times New Roman"/>
          <w:b w:val="0"/>
          <w:color w:val="000000" w:themeColor="text1"/>
          <w:sz w:val="24"/>
          <w14:textFill>
            <w14:solidFill>
              <w14:schemeClr w14:val="tx1"/>
            </w14:solidFill>
          </w14:textFill>
        </w:rPr>
        <w:t>”</w:t>
      </w:r>
      <w:r>
        <w:rPr>
          <w:rFonts w:ascii="Times New Roman" w:hAnsi="Times New Roman" w:cs="Times New Roman"/>
          <w:b w:val="0"/>
          <w:color w:val="000000" w:themeColor="text1"/>
          <w:sz w:val="24"/>
          <w14:textFill>
            <w14:solidFill>
              <w14:schemeClr w14:val="tx1"/>
            </w14:solidFill>
          </w14:textFill>
        </w:rPr>
        <w:t>，分离出的液相循环使用，完井后剩余泥浆由钻井队找专业公司回收利用，无钻井废水外排。管道试压废水为清水，集输管线试压水排出后进入下一段管线循环使用，试压结束后用于洒水降尘。施工期不新建生活营地，施工人员食宿依托陆梁公寓，施工现场无生活污水产生。</w:t>
      </w:r>
    </w:p>
    <w:p>
      <w:pPr>
        <w:kinsoku w:val="0"/>
        <w:overflowPunct w:val="0"/>
        <w:spacing w:line="360" w:lineRule="auto"/>
        <w:ind w:firstLine="482"/>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运营期</w:t>
      </w:r>
    </w:p>
    <w:p>
      <w:pPr>
        <w:pStyle w:val="31"/>
        <w:overflowPunct w:val="0"/>
        <w:topLinePunct/>
        <w:adjustRightInd w:val="0"/>
        <w:ind w:firstLine="480" w:firstLineChars="200"/>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本项目产生的采出水、井下作业废水等在陆梁油田集中处理站污水处理系统处理达到《碎屑岩油藏注水水质指标技术要求及分析方法》（SY/T</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5329-2022）中的相关标准后全部回注油藏，不向外环境排放</w:t>
      </w:r>
      <w:r>
        <w:rPr>
          <w:rFonts w:ascii="Times New Roman" w:hAnsi="Times New Roman"/>
          <w:snapToGrid w:val="0"/>
          <w:color w:val="000000" w:themeColor="text1"/>
          <w14:textFill>
            <w14:solidFill>
              <w14:schemeClr w14:val="tx1"/>
            </w14:solidFill>
          </w14:textFill>
        </w:rPr>
        <w:t>，标准值见表2.4</w:t>
      </w:r>
      <w:r>
        <w:rPr>
          <w:rFonts w:hint="default" w:ascii="Times New Roman" w:hAnsi="Times New Roman" w:cs="Times New Roman"/>
          <w:snapToGrid w:val="0"/>
          <w:color w:val="000000" w:themeColor="text1"/>
          <w14:textFill>
            <w14:solidFill>
              <w14:schemeClr w14:val="tx1"/>
            </w14:solidFill>
          </w14:textFill>
        </w:rPr>
        <w:t>-7</w:t>
      </w:r>
      <w:r>
        <w:rPr>
          <w:rFonts w:ascii="Times New Roman" w:hAnsi="Times New Roman"/>
          <w:snapToGrid w:val="0"/>
          <w:color w:val="000000" w:themeColor="text1"/>
          <w14:textFill>
            <w14:solidFill>
              <w14:schemeClr w14:val="tx1"/>
            </w14:solidFill>
          </w14:textFill>
        </w:rPr>
        <w:t>。</w:t>
      </w:r>
    </w:p>
    <w:p>
      <w:pPr>
        <w:spacing w:line="360" w:lineRule="auto"/>
        <w:ind w:right="-1"/>
        <w:jc w:val="center"/>
        <w:rPr>
          <w:rFonts w:ascii="Times New Roman" w:hAnsi="Times New Roman" w:eastAsia="宋体" w:cs="Times New Roman"/>
          <w:b/>
          <w:color w:val="000000" w:themeColor="text1"/>
          <w:spacing w:val="4"/>
          <w:szCs w:val="21"/>
          <w14:textFill>
            <w14:solidFill>
              <w14:schemeClr w14:val="tx1"/>
            </w14:solidFill>
          </w14:textFill>
        </w:rPr>
      </w:pPr>
      <w:r>
        <w:rPr>
          <w:rFonts w:ascii="Times New Roman" w:hAnsi="Times New Roman" w:eastAsia="宋体" w:cs="Times New Roman"/>
          <w:b/>
          <w:color w:val="000000" w:themeColor="text1"/>
          <w:spacing w:val="4"/>
          <w:szCs w:val="21"/>
          <w14:textFill>
            <w14:solidFill>
              <w14:schemeClr w14:val="tx1"/>
            </w14:solidFill>
          </w14:textFill>
        </w:rPr>
        <w:t>表2.4-</w:t>
      </w:r>
      <w:r>
        <w:rPr>
          <w:rFonts w:hint="eastAsia" w:ascii="Times New Roman" w:hAnsi="Times New Roman" w:eastAsia="宋体" w:cs="Times New Roman"/>
          <w:b/>
          <w:color w:val="000000" w:themeColor="text1"/>
          <w:spacing w:val="4"/>
          <w:szCs w:val="21"/>
          <w14:textFill>
            <w14:solidFill>
              <w14:schemeClr w14:val="tx1"/>
            </w14:solidFill>
          </w14:textFill>
        </w:rPr>
        <w:t>7</w:t>
      </w:r>
      <w:r>
        <w:rPr>
          <w:rFonts w:ascii="Times New Roman" w:hAnsi="Times New Roman" w:eastAsia="宋体" w:cs="Times New Roman"/>
          <w:b/>
          <w:color w:val="000000" w:themeColor="text1"/>
          <w:spacing w:val="4"/>
          <w:szCs w:val="21"/>
          <w14:textFill>
            <w14:solidFill>
              <w14:schemeClr w14:val="tx1"/>
            </w14:solidFill>
          </w14:textFill>
        </w:rPr>
        <w:t xml:space="preserve">  碎屑岩油藏注水水质</w:t>
      </w:r>
      <w:r>
        <w:rPr>
          <w:rFonts w:ascii="Times New Roman" w:hAnsi="Times New Roman" w:cs="Times New Roman"/>
          <w:b/>
          <w:color w:val="000000" w:themeColor="text1"/>
          <w:spacing w:val="4"/>
          <w:szCs w:val="21"/>
          <w14:textFill>
            <w14:solidFill>
              <w14:schemeClr w14:val="tx1"/>
            </w14:solidFill>
          </w14:textFill>
        </w:rPr>
        <w:t>主要控制</w:t>
      </w:r>
      <w:r>
        <w:rPr>
          <w:rFonts w:ascii="Times New Roman" w:hAnsi="Times New Roman" w:eastAsia="宋体" w:cs="Times New Roman"/>
          <w:b/>
          <w:color w:val="000000" w:themeColor="text1"/>
          <w:spacing w:val="4"/>
          <w:szCs w:val="21"/>
          <w14:textFill>
            <w14:solidFill>
              <w14:schemeClr w14:val="tx1"/>
            </w14:solidFill>
          </w14:textFill>
        </w:rPr>
        <w:t>指标</w:t>
      </w:r>
    </w:p>
    <w:tbl>
      <w:tblPr>
        <w:tblStyle w:val="23"/>
        <w:tblW w:w="8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930"/>
        <w:gridCol w:w="876"/>
        <w:gridCol w:w="1376"/>
        <w:gridCol w:w="1280"/>
        <w:gridCol w:w="1098"/>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930"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储层空气渗透率，μm</w:t>
            </w:r>
            <w:r>
              <w:rPr>
                <w:rFonts w:ascii="Times New Roman" w:hAnsi="Times New Roman" w:cs="Times New Roman"/>
                <w:color w:val="000000" w:themeColor="text1"/>
                <w:sz w:val="21"/>
                <w:vertAlign w:val="superscript"/>
                <w14:textFill>
                  <w14:solidFill>
                    <w14:schemeClr w14:val="tx1"/>
                  </w14:solidFill>
                </w14:textFill>
              </w:rPr>
              <w:t>2</w:t>
            </w:r>
          </w:p>
        </w:tc>
        <w:tc>
          <w:tcPr>
            <w:tcW w:w="876"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＜0.01</w:t>
            </w:r>
          </w:p>
        </w:tc>
        <w:tc>
          <w:tcPr>
            <w:tcW w:w="1376"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[0.01,0.05]</w:t>
            </w:r>
          </w:p>
        </w:tc>
        <w:tc>
          <w:tcPr>
            <w:tcW w:w="1280" w:type="dxa"/>
            <w:shd w:val="clear" w:color="auto" w:fill="A4A4A4" w:themeFill="background1" w:themeFillShade="A5"/>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[0.05,0.5]</w:t>
            </w:r>
          </w:p>
        </w:tc>
        <w:tc>
          <w:tcPr>
            <w:tcW w:w="1098"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[0.5,2.0]</w:t>
            </w:r>
          </w:p>
        </w:tc>
        <w:tc>
          <w:tcPr>
            <w:tcW w:w="857" w:type="dxa"/>
            <w:shd w:val="clear" w:color="auto" w:fill="auto"/>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930"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水质标准分级</w:t>
            </w:r>
          </w:p>
        </w:tc>
        <w:tc>
          <w:tcPr>
            <w:tcW w:w="876"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Ⅰ</w:t>
            </w:r>
          </w:p>
        </w:tc>
        <w:tc>
          <w:tcPr>
            <w:tcW w:w="1376"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Ⅱ</w:t>
            </w:r>
          </w:p>
        </w:tc>
        <w:tc>
          <w:tcPr>
            <w:tcW w:w="1280" w:type="dxa"/>
            <w:shd w:val="clear" w:color="auto" w:fill="A4A4A4" w:themeFill="background1" w:themeFillShade="A5"/>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Ⅲ</w:t>
            </w:r>
          </w:p>
        </w:tc>
        <w:tc>
          <w:tcPr>
            <w:tcW w:w="1098"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Ⅳ</w:t>
            </w:r>
          </w:p>
        </w:tc>
        <w:tc>
          <w:tcPr>
            <w:tcW w:w="857" w:type="dxa"/>
            <w:shd w:val="clear" w:color="auto" w:fill="auto"/>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930"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悬浮固体含量，mg/L</w:t>
            </w:r>
          </w:p>
        </w:tc>
        <w:tc>
          <w:tcPr>
            <w:tcW w:w="876"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≤8.0</w:t>
            </w:r>
          </w:p>
        </w:tc>
        <w:tc>
          <w:tcPr>
            <w:tcW w:w="1376"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≤15.0</w:t>
            </w:r>
          </w:p>
        </w:tc>
        <w:tc>
          <w:tcPr>
            <w:tcW w:w="1280" w:type="dxa"/>
            <w:shd w:val="clear" w:color="auto" w:fill="A4A4A4" w:themeFill="background1" w:themeFillShade="A5"/>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≤20.0</w:t>
            </w:r>
          </w:p>
        </w:tc>
        <w:tc>
          <w:tcPr>
            <w:tcW w:w="1098"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≤25.0</w:t>
            </w:r>
          </w:p>
        </w:tc>
        <w:tc>
          <w:tcPr>
            <w:tcW w:w="857" w:type="dxa"/>
            <w:shd w:val="clear" w:color="auto" w:fill="auto"/>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930"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悬浮物颗粒直径中值，μm</w:t>
            </w:r>
          </w:p>
        </w:tc>
        <w:tc>
          <w:tcPr>
            <w:tcW w:w="876"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≤3.0</w:t>
            </w:r>
          </w:p>
        </w:tc>
        <w:tc>
          <w:tcPr>
            <w:tcW w:w="1376"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≤5.0</w:t>
            </w:r>
          </w:p>
        </w:tc>
        <w:tc>
          <w:tcPr>
            <w:tcW w:w="1280" w:type="dxa"/>
            <w:shd w:val="clear" w:color="auto" w:fill="A4A4A4" w:themeFill="background1" w:themeFillShade="A5"/>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≤5.0</w:t>
            </w:r>
          </w:p>
        </w:tc>
        <w:tc>
          <w:tcPr>
            <w:tcW w:w="1098"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≤5.0</w:t>
            </w:r>
          </w:p>
        </w:tc>
        <w:tc>
          <w:tcPr>
            <w:tcW w:w="857" w:type="dxa"/>
            <w:shd w:val="clear" w:color="auto" w:fill="auto"/>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930"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含油量，mg/L</w:t>
            </w:r>
          </w:p>
        </w:tc>
        <w:tc>
          <w:tcPr>
            <w:tcW w:w="876"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≤5.0</w:t>
            </w:r>
          </w:p>
        </w:tc>
        <w:tc>
          <w:tcPr>
            <w:tcW w:w="1376"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≤10.0</w:t>
            </w:r>
          </w:p>
        </w:tc>
        <w:tc>
          <w:tcPr>
            <w:tcW w:w="1280" w:type="dxa"/>
            <w:shd w:val="clear" w:color="auto" w:fill="A4A4A4" w:themeFill="background1" w:themeFillShade="A5"/>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≤15.0</w:t>
            </w:r>
          </w:p>
        </w:tc>
        <w:tc>
          <w:tcPr>
            <w:tcW w:w="1098"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≤30.0</w:t>
            </w:r>
          </w:p>
        </w:tc>
        <w:tc>
          <w:tcPr>
            <w:tcW w:w="857" w:type="dxa"/>
            <w:shd w:val="clear" w:color="auto" w:fill="auto"/>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930"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平均腐蚀率，mm/a</w:t>
            </w:r>
          </w:p>
        </w:tc>
        <w:tc>
          <w:tcPr>
            <w:tcW w:w="5487" w:type="dxa"/>
            <w:gridSpan w:val="5"/>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≤0.076</w:t>
            </w:r>
          </w:p>
        </w:tc>
      </w:tr>
    </w:tbl>
    <w:p>
      <w:pPr>
        <w:pStyle w:val="31"/>
        <w:overflowPunct w:val="0"/>
        <w:topLinePunct/>
        <w:adjustRightInd w:val="0"/>
        <w:outlineLvl w:val="3"/>
        <w:rPr>
          <w:rFonts w:ascii="Times New Roman" w:hAnsi="Times New Roman"/>
          <w:color w:val="000000" w:themeColor="text1"/>
          <w14:textFill>
            <w14:solidFill>
              <w14:schemeClr w14:val="tx1"/>
            </w14:solidFill>
          </w14:textFill>
        </w:rPr>
      </w:pPr>
      <w:r>
        <w:rPr>
          <w:rFonts w:ascii="Times New Roman" w:hAnsi="Times New Roman"/>
          <w:bCs/>
          <w:color w:val="000000" w:themeColor="text1"/>
          <w:sz w:val="28"/>
          <w:szCs w:val="28"/>
          <w14:textFill>
            <w14:solidFill>
              <w14:schemeClr w14:val="tx1"/>
            </w14:solidFill>
          </w14:textFill>
        </w:rPr>
        <w:t>2.4.3.3噪声排放标准</w:t>
      </w:r>
    </w:p>
    <w:p>
      <w:pPr>
        <w:pStyle w:val="41"/>
        <w:adjustRightIn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（1）施工期：施工期场界噪声执行</w:t>
      </w:r>
      <w:r>
        <w:rPr>
          <w:rFonts w:ascii="Times New Roman" w:hAnsi="Times New Roman" w:cs="Times New Roman"/>
          <w:bCs/>
          <w:color w:val="000000" w:themeColor="text1"/>
          <w:kern w:val="44"/>
          <w14:textFill>
            <w14:solidFill>
              <w14:schemeClr w14:val="tx1"/>
            </w14:solidFill>
          </w14:textFill>
        </w:rPr>
        <w:t>《建筑施工场界环境噪声排放标准》（GB</w:t>
      </w:r>
      <w:r>
        <w:rPr>
          <w:rFonts w:hint="eastAsia" w:ascii="Times New Roman" w:hAnsi="Times New Roman" w:cs="Times New Roman"/>
          <w:bCs/>
          <w:color w:val="000000" w:themeColor="text1"/>
          <w:kern w:val="44"/>
          <w14:textFill>
            <w14:solidFill>
              <w14:schemeClr w14:val="tx1"/>
            </w14:solidFill>
          </w14:textFill>
        </w:rPr>
        <w:t xml:space="preserve"> </w:t>
      </w:r>
      <w:r>
        <w:rPr>
          <w:rFonts w:ascii="Times New Roman" w:hAnsi="Times New Roman" w:cs="Times New Roman"/>
          <w:bCs/>
          <w:color w:val="000000" w:themeColor="text1"/>
          <w:kern w:val="44"/>
          <w14:textFill>
            <w14:solidFill>
              <w14:schemeClr w14:val="tx1"/>
            </w14:solidFill>
          </w14:textFill>
        </w:rPr>
        <w:t>12523-2011）</w:t>
      </w:r>
      <w:r>
        <w:rPr>
          <w:rFonts w:ascii="Times New Roman" w:hAnsi="Times New Roman" w:cs="Times New Roman"/>
          <w:color w:val="000000" w:themeColor="text1"/>
          <w14:textFill>
            <w14:solidFill>
              <w14:schemeClr w14:val="tx1"/>
            </w14:solidFill>
          </w14:textFill>
        </w:rPr>
        <w:t>。</w:t>
      </w:r>
    </w:p>
    <w:p>
      <w:pPr>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（2）营运期：厂界噪声执行《工业企业厂界环境噪声排放标准》（GB</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12348-2008）中2类区标准，即昼间60dB（A），夜间50dB（A）。</w:t>
      </w:r>
    </w:p>
    <w:p>
      <w:pPr>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噪声标准限值见表2.4-</w:t>
      </w:r>
      <w:r>
        <w:rPr>
          <w:rFonts w:hint="eastAsia" w:ascii="Times New Roman" w:hAnsi="Times New Roman" w:cs="Times New Roman"/>
          <w:color w:val="000000" w:themeColor="text1"/>
          <w:sz w:val="24"/>
          <w14:textFill>
            <w14:solidFill>
              <w14:schemeClr w14:val="tx1"/>
            </w14:solidFill>
          </w14:textFill>
        </w:rPr>
        <w:t>8</w:t>
      </w:r>
      <w:r>
        <w:rPr>
          <w:rFonts w:ascii="Times New Roman" w:hAnsi="Times New Roman" w:cs="Times New Roman"/>
          <w:color w:val="000000" w:themeColor="text1"/>
          <w:sz w:val="24"/>
          <w14:textFill>
            <w14:solidFill>
              <w14:schemeClr w14:val="tx1"/>
            </w14:solidFill>
          </w14:textFill>
        </w:rPr>
        <w:t>。</w:t>
      </w:r>
    </w:p>
    <w:p>
      <w:pPr>
        <w:pStyle w:val="37"/>
        <w:spacing w:line="360" w:lineRule="auto"/>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表2.4-</w:t>
      </w:r>
      <w:r>
        <w:rPr>
          <w:rFonts w:hint="eastAsia" w:ascii="Times New Roman" w:hAnsi="Times New Roman" w:cs="Times New Roman"/>
          <w:bCs/>
          <w:color w:val="000000" w:themeColor="text1"/>
          <w:sz w:val="21"/>
          <w:szCs w:val="21"/>
          <w14:textFill>
            <w14:solidFill>
              <w14:schemeClr w14:val="tx1"/>
            </w14:solidFill>
          </w14:textFill>
        </w:rPr>
        <w:t>8</w:t>
      </w:r>
      <w:r>
        <w:rPr>
          <w:rFonts w:ascii="Times New Roman" w:hAnsi="Times New Roman" w:cs="Times New Roman"/>
          <w:bCs/>
          <w:color w:val="000000" w:themeColor="text1"/>
          <w:sz w:val="21"/>
          <w:szCs w:val="21"/>
          <w14:textFill>
            <w14:solidFill>
              <w14:schemeClr w14:val="tx1"/>
            </w14:solidFill>
          </w14:textFill>
        </w:rPr>
        <w:t xml:space="preserve">  环境噪声排放标准</w:t>
      </w:r>
    </w:p>
    <w:tbl>
      <w:tblPr>
        <w:tblStyle w:val="23"/>
        <w:tblW w:w="831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71"/>
        <w:gridCol w:w="913"/>
        <w:gridCol w:w="1114"/>
        <w:gridCol w:w="11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5171" w:type="dxa"/>
            <w:vMerge w:val="restart"/>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标准来源</w:t>
            </w:r>
          </w:p>
        </w:tc>
        <w:tc>
          <w:tcPr>
            <w:tcW w:w="913" w:type="dxa"/>
            <w:vMerge w:val="restart"/>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类别</w:t>
            </w:r>
          </w:p>
        </w:tc>
        <w:tc>
          <w:tcPr>
            <w:tcW w:w="2229" w:type="dxa"/>
            <w:gridSpan w:val="2"/>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噪声限值dB（A）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5171" w:type="dxa"/>
            <w:vMerge w:val="continue"/>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p>
        </w:tc>
        <w:tc>
          <w:tcPr>
            <w:tcW w:w="913" w:type="dxa"/>
            <w:vMerge w:val="continue"/>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p>
        </w:tc>
        <w:tc>
          <w:tcPr>
            <w:tcW w:w="1114"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昼间</w:t>
            </w:r>
          </w:p>
        </w:tc>
        <w:tc>
          <w:tcPr>
            <w:tcW w:w="1115"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5171"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《建筑施工场界环境噪声排放标准》（GB12523-2011）</w:t>
            </w:r>
          </w:p>
        </w:tc>
        <w:tc>
          <w:tcPr>
            <w:tcW w:w="913"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w:t>
            </w:r>
          </w:p>
        </w:tc>
        <w:tc>
          <w:tcPr>
            <w:tcW w:w="1114"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70</w:t>
            </w:r>
          </w:p>
        </w:tc>
        <w:tc>
          <w:tcPr>
            <w:tcW w:w="111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5171"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《工业企业厂界环境噪声排放标准》（GB12348-2008）</w:t>
            </w:r>
          </w:p>
        </w:tc>
        <w:tc>
          <w:tcPr>
            <w:tcW w:w="913"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2类</w:t>
            </w:r>
          </w:p>
        </w:tc>
        <w:tc>
          <w:tcPr>
            <w:tcW w:w="1114"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60</w:t>
            </w:r>
          </w:p>
        </w:tc>
        <w:tc>
          <w:tcPr>
            <w:tcW w:w="111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50</w:t>
            </w:r>
          </w:p>
        </w:tc>
      </w:tr>
    </w:tbl>
    <w:p>
      <w:pPr>
        <w:pStyle w:val="31"/>
        <w:overflowPunct w:val="0"/>
        <w:topLinePunct/>
        <w:adjustRightInd w:val="0"/>
        <w:outlineLvl w:val="3"/>
        <w:rPr>
          <w:rFonts w:ascii="Times New Roman" w:hAnsi="Times New Roman"/>
          <w:color w:val="000000" w:themeColor="text1"/>
          <w14:textFill>
            <w14:solidFill>
              <w14:schemeClr w14:val="tx1"/>
            </w14:solidFill>
          </w14:textFill>
        </w:rPr>
      </w:pPr>
      <w:r>
        <w:rPr>
          <w:rFonts w:ascii="Times New Roman" w:hAnsi="Times New Roman"/>
          <w:bCs/>
          <w:color w:val="000000" w:themeColor="text1"/>
          <w:sz w:val="28"/>
          <w:szCs w:val="28"/>
          <w14:textFill>
            <w14:solidFill>
              <w14:schemeClr w14:val="tx1"/>
            </w14:solidFill>
          </w14:textFill>
        </w:rPr>
        <w:t>2.4.3.4固体废物</w:t>
      </w:r>
    </w:p>
    <w:p>
      <w:pPr>
        <w:pStyle w:val="41"/>
        <w:adjustRightIn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根据项目产生的各种固体废物的性质和去向：</w:t>
      </w:r>
    </w:p>
    <w:p>
      <w:pPr>
        <w:pStyle w:val="41"/>
        <w:adjustRightIn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一般工业固体废物执行《一般工业固体废物贮存和填埋污染控制标准》（GB18599-2020）；</w:t>
      </w:r>
    </w:p>
    <w:p>
      <w:pPr>
        <w:pStyle w:val="41"/>
        <w:adjustRightIn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危险废物鉴别执行《危险废物鉴别标准》（GB</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5085.1～7）《危险废物排除管理清单（2021年版）》（公告2021年第66号）；</w:t>
      </w:r>
    </w:p>
    <w:p>
      <w:pPr>
        <w:pStyle w:val="31"/>
        <w:overflowPunct w:val="0"/>
        <w:topLinePunct/>
        <w:adjustRightInd w:val="0"/>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危险废物环境管理执行《危险废物贮存污染控制标准》（GB</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18597-2023）、</w:t>
      </w:r>
      <w:bookmarkStart w:id="99" w:name="_Hlk91761463"/>
      <w:r>
        <w:rPr>
          <w:rFonts w:ascii="Times New Roman" w:hAnsi="Times New Roman"/>
          <w:snapToGrid w:val="0"/>
          <w:color w:val="000000" w:themeColor="text1"/>
          <w14:textFill>
            <w14:solidFill>
              <w14:schemeClr w14:val="tx1"/>
            </w14:solidFill>
          </w14:textFill>
        </w:rPr>
        <w:t>《危险废物环境管理指南 陆上石油天然气开采》</w:t>
      </w:r>
      <w:bookmarkEnd w:id="99"/>
      <w:r>
        <w:rPr>
          <w:rFonts w:ascii="Times New Roman" w:hAnsi="Times New Roman"/>
          <w:color w:val="000000" w:themeColor="text1"/>
          <w14:textFill>
            <w14:solidFill>
              <w14:schemeClr w14:val="tx1"/>
            </w14:solidFill>
          </w14:textFill>
        </w:rPr>
        <w:t>《危险废物转移管理办法》（部令第23号）及《危险废物收集 贮存 运输技术规范》（HJ</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2025-2012）进行监督和管理；</w:t>
      </w:r>
    </w:p>
    <w:p>
      <w:pPr>
        <w:pStyle w:val="41"/>
        <w:adjustRightIn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含油污泥的处理需满足《油气田钻井固体废物综合利用污染控制要求》（DB65/T</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3997-2017）、《油气田含油污泥及钻井固体废物处理处置技术规范》（DB65/T</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3999-2017）、《陆上石油天然气开采含油污泥资源化综合利用及污染控制技术要求》（SY/T</w:t>
      </w: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301-2016）、《关于含油污泥处置有关事宜的通知》（新环办发〔2018〕20号）中的要求。</w:t>
      </w:r>
    </w:p>
    <w:p>
      <w:pPr>
        <w:pStyle w:val="3"/>
        <w:spacing w:before="10" w:after="10"/>
        <w:rPr>
          <w:rFonts w:ascii="Times New Roman" w:hAnsi="Times New Roman" w:cs="Times New Roman"/>
          <w:color w:val="000000" w:themeColor="text1"/>
          <w14:textFill>
            <w14:solidFill>
              <w14:schemeClr w14:val="tx1"/>
            </w14:solidFill>
          </w14:textFill>
        </w:rPr>
      </w:pPr>
      <w:bookmarkStart w:id="100" w:name="_Toc402631796"/>
      <w:bookmarkStart w:id="101" w:name="_Toc402632169"/>
      <w:bookmarkStart w:id="102" w:name="_Toc401860366"/>
      <w:bookmarkStart w:id="103" w:name="_Toc401913104"/>
      <w:bookmarkStart w:id="104" w:name="_Toc401859670"/>
      <w:bookmarkStart w:id="105" w:name="_Toc402631956"/>
      <w:bookmarkStart w:id="106" w:name="_Toc402632067"/>
      <w:bookmarkStart w:id="107" w:name="_Toc29390907"/>
      <w:bookmarkStart w:id="108" w:name="_Toc35366458"/>
      <w:bookmarkStart w:id="109" w:name="_Toc92725433"/>
      <w:bookmarkStart w:id="110" w:name="_Toc20202"/>
      <w:bookmarkStart w:id="111" w:name="_Toc14299"/>
      <w:bookmarkStart w:id="112" w:name="_Toc30449"/>
      <w:bookmarkStart w:id="113" w:name="_Toc35366067"/>
      <w:bookmarkStart w:id="114" w:name="_Hlk39740525"/>
      <w:r>
        <w:rPr>
          <w:rFonts w:ascii="Times New Roman" w:hAnsi="Times New Roman" w:cs="Times New Roman"/>
          <w:color w:val="000000" w:themeColor="text1"/>
          <w14:textFill>
            <w14:solidFill>
              <w14:schemeClr w14:val="tx1"/>
            </w14:solidFill>
          </w14:textFill>
        </w:rPr>
        <w:t>2.5评价工作等级</w:t>
      </w:r>
      <w:bookmarkEnd w:id="100"/>
      <w:bookmarkEnd w:id="101"/>
      <w:bookmarkEnd w:id="102"/>
      <w:bookmarkEnd w:id="103"/>
      <w:bookmarkEnd w:id="104"/>
      <w:bookmarkEnd w:id="105"/>
      <w:bookmarkEnd w:id="106"/>
      <w:r>
        <w:rPr>
          <w:rFonts w:ascii="Times New Roman" w:hAnsi="Times New Roman" w:cs="Times New Roman"/>
          <w:color w:val="000000" w:themeColor="text1"/>
          <w14:textFill>
            <w14:solidFill>
              <w14:schemeClr w14:val="tx1"/>
            </w14:solidFill>
          </w14:textFill>
        </w:rPr>
        <w:t>与评价范围</w:t>
      </w:r>
      <w:bookmarkEnd w:id="107"/>
      <w:bookmarkEnd w:id="108"/>
      <w:bookmarkEnd w:id="109"/>
      <w:bookmarkEnd w:id="110"/>
      <w:bookmarkEnd w:id="111"/>
      <w:bookmarkEnd w:id="112"/>
      <w:bookmarkEnd w:id="113"/>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2.5.1环境空气</w:t>
      </w:r>
    </w:p>
    <w:p>
      <w:pPr>
        <w:pStyle w:val="41"/>
        <w:adjustRightIn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按照《环境影响评价技术导则 大气环境》（HJ2.2-2018）规定，分别计算每一种污染物的最大地面浓度占标率Pi（第i个污染物），及第i个污染物地面浓度达标准限值10%时所对应的最远距离D</w:t>
      </w:r>
      <w:r>
        <w:rPr>
          <w:rFonts w:ascii="Times New Roman" w:hAnsi="Times New Roman" w:cs="Times New Roman"/>
          <w:color w:val="000000" w:themeColor="text1"/>
          <w:vertAlign w:val="subscript"/>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%，其中Pi定义为：</w:t>
      </w:r>
    </w:p>
    <w:p>
      <w:pPr>
        <w:pStyle w:val="42"/>
        <w:adjustRightInd w:val="0"/>
        <w:spacing w:line="360" w:lineRule="auto"/>
        <w:ind w:firstLine="0" w:firstLineChars="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P</w:t>
      </w:r>
      <w:r>
        <w:rPr>
          <w:rFonts w:ascii="Times New Roman" w:hAnsi="Times New Roman" w:cs="Times New Roman"/>
          <w:color w:val="000000" w:themeColor="text1"/>
          <w:sz w:val="24"/>
          <w:vertAlign w:val="subscript"/>
          <w14:textFill>
            <w14:solidFill>
              <w14:schemeClr w14:val="tx1"/>
            </w14:solidFill>
          </w14:textFill>
        </w:rPr>
        <w:t>i</w:t>
      </w:r>
      <w:r>
        <w:rPr>
          <w:rFonts w:ascii="Times New Roman" w:hAnsi="Times New Roman" w:cs="Times New Roman"/>
          <w:color w:val="000000" w:themeColor="text1"/>
          <w:sz w:val="24"/>
          <w14:textFill>
            <w14:solidFill>
              <w14:schemeClr w14:val="tx1"/>
            </w14:solidFill>
          </w14:textFill>
        </w:rPr>
        <w:t>=C</w:t>
      </w:r>
      <w:r>
        <w:rPr>
          <w:rFonts w:ascii="Times New Roman" w:hAnsi="Times New Roman" w:cs="Times New Roman"/>
          <w:color w:val="000000" w:themeColor="text1"/>
          <w:sz w:val="24"/>
          <w:vertAlign w:val="subscript"/>
          <w14:textFill>
            <w14:solidFill>
              <w14:schemeClr w14:val="tx1"/>
            </w14:solidFill>
          </w14:textFill>
        </w:rPr>
        <w:t>i</w:t>
      </w:r>
      <w:r>
        <w:rPr>
          <w:rFonts w:ascii="Times New Roman" w:hAnsi="Times New Roman" w:cs="Times New Roman"/>
          <w:color w:val="000000" w:themeColor="text1"/>
          <w:sz w:val="24"/>
          <w14:textFill>
            <w14:solidFill>
              <w14:schemeClr w14:val="tx1"/>
            </w14:solidFill>
          </w14:textFill>
        </w:rPr>
        <w:t>/C</w:t>
      </w:r>
      <w:r>
        <w:rPr>
          <w:rFonts w:ascii="Times New Roman" w:hAnsi="Times New Roman" w:cs="Times New Roman"/>
          <w:color w:val="000000" w:themeColor="text1"/>
          <w:sz w:val="24"/>
          <w:vertAlign w:val="subscript"/>
          <w14:textFill>
            <w14:solidFill>
              <w14:schemeClr w14:val="tx1"/>
            </w14:solidFill>
          </w14:textFill>
        </w:rPr>
        <w:t>0i</w:t>
      </w:r>
      <w:r>
        <w:rPr>
          <w:rFonts w:ascii="Times New Roman" w:hAnsi="Times New Roman" w:cs="Times New Roman"/>
          <w:color w:val="000000" w:themeColor="text1"/>
          <w:sz w:val="24"/>
          <w14:textFill>
            <w14:solidFill>
              <w14:schemeClr w14:val="tx1"/>
            </w14:solidFill>
          </w14:textFill>
        </w:rPr>
        <w:t>×100%</w:t>
      </w:r>
    </w:p>
    <w:p>
      <w:pPr>
        <w:adjustRightIn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式中：P</w:t>
      </w:r>
      <w:r>
        <w:rPr>
          <w:rFonts w:ascii="Times New Roman" w:hAnsi="Times New Roman" w:cs="Times New Roman"/>
          <w:color w:val="000000" w:themeColor="text1"/>
          <w:sz w:val="24"/>
          <w:vertAlign w:val="subscript"/>
          <w14:textFill>
            <w14:solidFill>
              <w14:schemeClr w14:val="tx1"/>
            </w14:solidFill>
          </w14:textFill>
        </w:rPr>
        <w:t>i</w:t>
      </w:r>
      <w:r>
        <w:rPr>
          <w:rFonts w:ascii="Times New Roman" w:hAnsi="Times New Roman" w:cs="Times New Roman"/>
          <w:color w:val="000000" w:themeColor="text1"/>
          <w:sz w:val="24"/>
          <w14:textFill>
            <w14:solidFill>
              <w14:schemeClr w14:val="tx1"/>
            </w14:solidFill>
          </w14:textFill>
        </w:rPr>
        <w:t>——第i个污染物的最大地面空气质量浓度占标率，%；</w:t>
      </w:r>
    </w:p>
    <w:p>
      <w:pPr>
        <w:adjustRightInd w:val="0"/>
        <w:spacing w:line="360" w:lineRule="auto"/>
        <w:ind w:firstLine="1200" w:firstLineChars="5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C</w:t>
      </w:r>
      <w:r>
        <w:rPr>
          <w:rFonts w:ascii="Times New Roman" w:hAnsi="Times New Roman" w:cs="Times New Roman"/>
          <w:color w:val="000000" w:themeColor="text1"/>
          <w:sz w:val="24"/>
          <w:vertAlign w:val="subscript"/>
          <w14:textFill>
            <w14:solidFill>
              <w14:schemeClr w14:val="tx1"/>
            </w14:solidFill>
          </w14:textFill>
        </w:rPr>
        <w:t>i</w:t>
      </w:r>
      <w:r>
        <w:rPr>
          <w:rFonts w:ascii="Times New Roman" w:hAnsi="Times New Roman" w:cs="Times New Roman"/>
          <w:color w:val="000000" w:themeColor="text1"/>
          <w:sz w:val="24"/>
          <w14:textFill>
            <w14:solidFill>
              <w14:schemeClr w14:val="tx1"/>
            </w14:solidFill>
          </w14:textFill>
        </w:rPr>
        <w:t>——采用估算模式计算出的第i个污染物的最大1小时地面空气质量浓度，</w:t>
      </w:r>
      <w:r>
        <w:rPr>
          <w:rFonts w:ascii="Times New Roman" w:hAnsi="Times New Roman" w:cs="Times New Roman"/>
          <w:color w:val="000000" w:themeColor="text1"/>
          <w14:textFill>
            <w14:solidFill>
              <w14:schemeClr w14:val="tx1"/>
            </w14:solidFill>
          </w14:textFill>
        </w:rPr>
        <w:sym w:font="Symbol" w:char="F06D"/>
      </w:r>
      <w:r>
        <w:rPr>
          <w:rFonts w:ascii="Times New Roman" w:hAnsi="Times New Roman" w:cs="Times New Roman"/>
          <w:color w:val="000000" w:themeColor="text1"/>
          <w:sz w:val="24"/>
          <w14:textFill>
            <w14:solidFill>
              <w14:schemeClr w14:val="tx1"/>
            </w14:solidFill>
          </w14:textFill>
        </w:rPr>
        <w:t>g/m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p>
    <w:p>
      <w:pPr>
        <w:adjustRightInd w:val="0"/>
        <w:spacing w:line="360" w:lineRule="auto"/>
        <w:ind w:firstLine="1200" w:firstLineChars="5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C</w:t>
      </w:r>
      <w:r>
        <w:rPr>
          <w:rFonts w:ascii="Times New Roman" w:hAnsi="Times New Roman" w:cs="Times New Roman"/>
          <w:color w:val="000000" w:themeColor="text1"/>
          <w:sz w:val="24"/>
          <w:vertAlign w:val="subscript"/>
          <w14:textFill>
            <w14:solidFill>
              <w14:schemeClr w14:val="tx1"/>
            </w14:solidFill>
          </w14:textFill>
        </w:rPr>
        <w:t>0i</w:t>
      </w:r>
      <w:r>
        <w:rPr>
          <w:rFonts w:ascii="Times New Roman" w:hAnsi="Times New Roman" w:cs="Times New Roman"/>
          <w:color w:val="000000" w:themeColor="text1"/>
          <w:sz w:val="24"/>
          <w14:textFill>
            <w14:solidFill>
              <w14:schemeClr w14:val="tx1"/>
            </w14:solidFill>
          </w14:textFill>
        </w:rPr>
        <w:t>——第i个污染物的环境空气质量浓度标准，</w:t>
      </w:r>
      <w:r>
        <w:rPr>
          <w:rFonts w:ascii="Times New Roman" w:hAnsi="Times New Roman" w:cs="Times New Roman"/>
          <w:color w:val="000000" w:themeColor="text1"/>
          <w14:textFill>
            <w14:solidFill>
              <w14:schemeClr w14:val="tx1"/>
            </w14:solidFill>
          </w14:textFill>
        </w:rPr>
        <w:sym w:font="Symbol" w:char="F06D"/>
      </w:r>
      <w:r>
        <w:rPr>
          <w:rFonts w:ascii="Times New Roman" w:hAnsi="Times New Roman" w:cs="Times New Roman"/>
          <w:color w:val="000000" w:themeColor="text1"/>
          <w:sz w:val="24"/>
          <w14:textFill>
            <w14:solidFill>
              <w14:schemeClr w14:val="tx1"/>
            </w14:solidFill>
          </w14:textFill>
        </w:rPr>
        <w:t>g/m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一般选用GB3095中1h平均质量浓度的二级浓度限值，如项目位于一类环境空气功能区，应选择相应的一级浓度限值；对仅有8h平均质量浓度限值、日平均质量浓度限值或年均质量浓度限值的，可分别按2倍、3倍、6倍折算为1h平均质量浓度限值。</w:t>
      </w:r>
    </w:p>
    <w:p>
      <w:pPr>
        <w:adjustRightIn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估算模式AERSCREEN是基于AERMOD估算模式的单源估算模型，可计算污染源包括点源、火炬源、面源和体源的最大地面浓度，能够考虑地形、熏烟和建筑物下洗的影响，可以输出1</w:t>
      </w:r>
      <w:r>
        <w:rPr>
          <w:rFonts w:hint="eastAsia" w:ascii="Times New Roman" w:hAnsi="Times New Roman" w:cs="Times New Roman"/>
          <w:color w:val="000000" w:themeColor="text1"/>
          <w:sz w:val="24"/>
          <w14:textFill>
            <w14:solidFill>
              <w14:schemeClr w14:val="tx1"/>
            </w14:solidFill>
          </w14:textFill>
        </w:rPr>
        <w:t>h</w:t>
      </w:r>
      <w:r>
        <w:rPr>
          <w:rFonts w:ascii="Times New Roman" w:hAnsi="Times New Roman" w:cs="Times New Roman"/>
          <w:color w:val="000000" w:themeColor="text1"/>
          <w:sz w:val="24"/>
          <w14:textFill>
            <w14:solidFill>
              <w14:schemeClr w14:val="tx1"/>
            </w14:solidFill>
          </w14:textFill>
        </w:rPr>
        <w:t>、8</w:t>
      </w:r>
      <w:r>
        <w:rPr>
          <w:rFonts w:hint="eastAsia" w:ascii="Times New Roman" w:hAnsi="Times New Roman" w:cs="Times New Roman"/>
          <w:color w:val="000000" w:themeColor="text1"/>
          <w:sz w:val="24"/>
          <w14:textFill>
            <w14:solidFill>
              <w14:schemeClr w14:val="tx1"/>
            </w14:solidFill>
          </w14:textFill>
        </w:rPr>
        <w:t>h</w:t>
      </w:r>
      <w:r>
        <w:rPr>
          <w:rFonts w:ascii="Times New Roman" w:hAnsi="Times New Roman" w:cs="Times New Roman"/>
          <w:color w:val="000000" w:themeColor="text1"/>
          <w:sz w:val="24"/>
          <w14:textFill>
            <w14:solidFill>
              <w14:schemeClr w14:val="tx1"/>
            </w14:solidFill>
          </w14:textFill>
        </w:rPr>
        <w:t>、24</w:t>
      </w:r>
      <w:r>
        <w:rPr>
          <w:rFonts w:hint="eastAsia" w:ascii="Times New Roman" w:hAnsi="Times New Roman" w:cs="Times New Roman"/>
          <w:color w:val="000000" w:themeColor="text1"/>
          <w:sz w:val="24"/>
          <w14:textFill>
            <w14:solidFill>
              <w14:schemeClr w14:val="tx1"/>
            </w14:solidFill>
          </w14:textFill>
        </w:rPr>
        <w:t>h</w:t>
      </w:r>
      <w:r>
        <w:rPr>
          <w:rFonts w:ascii="Times New Roman" w:hAnsi="Times New Roman" w:cs="Times New Roman"/>
          <w:color w:val="000000" w:themeColor="text1"/>
          <w:sz w:val="24"/>
          <w14:textFill>
            <w14:solidFill>
              <w14:schemeClr w14:val="tx1"/>
            </w14:solidFill>
          </w14:textFill>
        </w:rPr>
        <w:t>及年均地面浓度最大值，评价污染源对周边空气环境的影响程度和范围。本次评价将根据建设项目所在地的地貌特征及气象条件，利用《环境影响评价技术导则 大气环境》（HJ2.2-2018）公布的AERSCREEN估算模式确定大气评价等级。</w:t>
      </w:r>
    </w:p>
    <w:p>
      <w:pPr>
        <w:tabs>
          <w:tab w:val="left" w:pos="1021"/>
        </w:tabs>
        <w:spacing w:line="360" w:lineRule="auto"/>
        <w:jc w:val="center"/>
        <w:rPr>
          <w:rFonts w:ascii="Times New Roman" w:hAnsi="Times New Roman" w:cs="Times New Roman"/>
          <w:b/>
          <w:color w:val="000000" w:themeColor="text1"/>
          <w:kern w:val="24"/>
          <w:szCs w:val="21"/>
          <w14:textFill>
            <w14:solidFill>
              <w14:schemeClr w14:val="tx1"/>
            </w14:solidFill>
          </w14:textFill>
        </w:rPr>
      </w:pPr>
      <w:r>
        <w:rPr>
          <w:rFonts w:ascii="Times New Roman" w:hAnsi="Times New Roman" w:cs="Times New Roman"/>
          <w:b/>
          <w:color w:val="000000" w:themeColor="text1"/>
          <w:kern w:val="24"/>
          <w:szCs w:val="21"/>
          <w14:textFill>
            <w14:solidFill>
              <w14:schemeClr w14:val="tx1"/>
            </w14:solidFill>
          </w14:textFill>
        </w:rPr>
        <w:t>表2.5-1  大气环境评价工作等级分级判据</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6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69" w:type="dxa"/>
            <w:shd w:val="clear" w:color="auto" w:fill="auto"/>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评价工作等级</w:t>
            </w:r>
          </w:p>
        </w:tc>
        <w:tc>
          <w:tcPr>
            <w:tcW w:w="6853" w:type="dxa"/>
            <w:shd w:val="clear" w:color="auto" w:fill="auto"/>
            <w:vAlign w:val="center"/>
          </w:tcPr>
          <w:p>
            <w:pPr>
              <w:adjustRightInd w:val="0"/>
              <w:snapToGrid w:val="0"/>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评价工作等级分级判据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69"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一级</w:t>
            </w:r>
          </w:p>
        </w:tc>
        <w:tc>
          <w:tcPr>
            <w:tcW w:w="6853" w:type="dxa"/>
            <w:shd w:val="clear" w:color="auto" w:fill="auto"/>
            <w:vAlign w:val="center"/>
          </w:tcPr>
          <w:p>
            <w:pPr>
              <w:adjustRightInd w:val="0"/>
              <w:snapToGrid w:val="0"/>
              <w:ind w:firstLine="420" w:firstLineChars="20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69"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6853" w:type="dxa"/>
            <w:shd w:val="clear" w:color="auto" w:fill="auto"/>
            <w:vAlign w:val="center"/>
          </w:tcPr>
          <w:p>
            <w:pPr>
              <w:adjustRightInd w:val="0"/>
              <w:snapToGrid w:val="0"/>
              <w:ind w:firstLine="420" w:firstLineChars="20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69"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c>
          <w:tcPr>
            <w:tcW w:w="6853" w:type="dxa"/>
            <w:shd w:val="clear" w:color="auto" w:fill="auto"/>
            <w:vAlign w:val="center"/>
          </w:tcPr>
          <w:p>
            <w:pPr>
              <w:adjustRightInd w:val="0"/>
              <w:snapToGrid w:val="0"/>
              <w:ind w:firstLine="420" w:firstLineChars="20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Pmax＜1%</w:t>
            </w:r>
          </w:p>
        </w:tc>
      </w:tr>
    </w:tbl>
    <w:p>
      <w:pPr>
        <w:tabs>
          <w:tab w:val="left" w:pos="1021"/>
        </w:tabs>
        <w:spacing w:line="360" w:lineRule="auto"/>
        <w:jc w:val="center"/>
        <w:rPr>
          <w:rFonts w:ascii="Times New Roman" w:hAnsi="Times New Roman" w:cs="Times New Roman"/>
          <w:b/>
          <w:color w:val="000000" w:themeColor="text1"/>
          <w:kern w:val="24"/>
          <w:szCs w:val="21"/>
          <w14:textFill>
            <w14:solidFill>
              <w14:schemeClr w14:val="tx1"/>
            </w14:solidFill>
          </w14:textFill>
        </w:rPr>
      </w:pPr>
      <w:r>
        <w:rPr>
          <w:rFonts w:ascii="Times New Roman" w:hAnsi="Times New Roman" w:cs="Times New Roman"/>
          <w:b/>
          <w:color w:val="000000" w:themeColor="text1"/>
          <w:kern w:val="24"/>
          <w:szCs w:val="21"/>
          <w14:textFill>
            <w14:solidFill>
              <w14:schemeClr w14:val="tx1"/>
            </w14:solidFill>
          </w14:textFill>
        </w:rPr>
        <w:t>表2.5-2  估算模型参数表</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2894"/>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224" w:type="dxa"/>
            <w:gridSpan w:val="2"/>
            <w:shd w:val="clear" w:color="auto" w:fill="auto"/>
            <w:vAlign w:val="center"/>
          </w:tcPr>
          <w:p>
            <w:pPr>
              <w:widowControl/>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参数</w:t>
            </w:r>
          </w:p>
        </w:tc>
        <w:tc>
          <w:tcPr>
            <w:tcW w:w="3298" w:type="dxa"/>
            <w:shd w:val="clear" w:color="auto" w:fill="auto"/>
            <w:vAlign w:val="center"/>
          </w:tcPr>
          <w:p>
            <w:pPr>
              <w:widowControl/>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30" w:type="dxa"/>
            <w:vMerge w:val="restart"/>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城市/农村选项</w:t>
            </w:r>
          </w:p>
        </w:tc>
        <w:tc>
          <w:tcPr>
            <w:tcW w:w="2894"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城市/农村</w:t>
            </w:r>
          </w:p>
        </w:tc>
        <w:tc>
          <w:tcPr>
            <w:tcW w:w="3298"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30" w:type="dxa"/>
            <w:vMerge w:val="continue"/>
            <w:shd w:val="clear" w:color="auto" w:fill="auto"/>
            <w:vAlign w:val="center"/>
          </w:tcPr>
          <w:p>
            <w:pPr>
              <w:widowControl/>
              <w:jc w:val="left"/>
              <w:rPr>
                <w:rFonts w:ascii="Times New Roman" w:hAnsi="Times New Roman" w:cs="Times New Roman"/>
                <w:color w:val="000000" w:themeColor="text1"/>
                <w:kern w:val="0"/>
                <w:szCs w:val="21"/>
                <w14:textFill>
                  <w14:solidFill>
                    <w14:schemeClr w14:val="tx1"/>
                  </w14:solidFill>
                </w14:textFill>
              </w:rPr>
            </w:pPr>
          </w:p>
        </w:tc>
        <w:tc>
          <w:tcPr>
            <w:tcW w:w="2894"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人口数（城市选项时）</w:t>
            </w:r>
          </w:p>
        </w:tc>
        <w:tc>
          <w:tcPr>
            <w:tcW w:w="3298"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224" w:type="dxa"/>
            <w:gridSpan w:val="2"/>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最高环境温度/℃</w:t>
            </w:r>
          </w:p>
        </w:tc>
        <w:tc>
          <w:tcPr>
            <w:tcW w:w="3298"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224" w:type="dxa"/>
            <w:gridSpan w:val="2"/>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最低环境温度/℃</w:t>
            </w:r>
          </w:p>
        </w:tc>
        <w:tc>
          <w:tcPr>
            <w:tcW w:w="3298"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224" w:type="dxa"/>
            <w:gridSpan w:val="2"/>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土地利用类型</w:t>
            </w:r>
          </w:p>
        </w:tc>
        <w:tc>
          <w:tcPr>
            <w:tcW w:w="3298"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沙漠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5224" w:type="dxa"/>
            <w:gridSpan w:val="2"/>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区域湿度条件</w:t>
            </w:r>
          </w:p>
        </w:tc>
        <w:tc>
          <w:tcPr>
            <w:tcW w:w="3298"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30" w:type="dxa"/>
            <w:vMerge w:val="restart"/>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是否考虑地形</w:t>
            </w:r>
          </w:p>
        </w:tc>
        <w:tc>
          <w:tcPr>
            <w:tcW w:w="2894"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考虑地形</w:t>
            </w:r>
          </w:p>
        </w:tc>
        <w:tc>
          <w:tcPr>
            <w:tcW w:w="3298"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sym w:font="Wingdings 2" w:char="F052"/>
            </w:r>
            <w:r>
              <w:rPr>
                <w:rFonts w:ascii="Times New Roman" w:hAnsi="Times New Roman" w:cs="Times New Roman"/>
                <w:color w:val="000000" w:themeColor="text1"/>
                <w:kern w:val="0"/>
                <w:szCs w:val="21"/>
                <w14:textFill>
                  <w14:solidFill>
                    <w14:schemeClr w14:val="tx1"/>
                  </w14:solidFill>
                </w14:textFill>
              </w:rPr>
              <w:t xml:space="preserve">是  </w:t>
            </w:r>
            <w:r>
              <w:rPr>
                <w:rFonts w:ascii="Times New Roman" w:hAnsi="Times New Roman" w:cs="Times New Roman"/>
                <w:color w:val="000000" w:themeColor="text1"/>
                <w:kern w:val="0"/>
                <w:szCs w:val="21"/>
                <w14:textFill>
                  <w14:solidFill>
                    <w14:schemeClr w14:val="tx1"/>
                  </w14:solidFill>
                </w14:textFill>
              </w:rPr>
              <w:sym w:font="Symbol" w:char="F0F0"/>
            </w: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30" w:type="dxa"/>
            <w:vMerge w:val="continue"/>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p>
        </w:tc>
        <w:tc>
          <w:tcPr>
            <w:tcW w:w="2894"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地形数据分辨率/m</w:t>
            </w:r>
          </w:p>
        </w:tc>
        <w:tc>
          <w:tcPr>
            <w:tcW w:w="3298"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30" w:type="dxa"/>
            <w:vMerge w:val="restart"/>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是否考虑岸线熏烟</w:t>
            </w:r>
          </w:p>
        </w:tc>
        <w:tc>
          <w:tcPr>
            <w:tcW w:w="2894"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考虑岸线熏烟</w:t>
            </w:r>
          </w:p>
        </w:tc>
        <w:tc>
          <w:tcPr>
            <w:tcW w:w="3298"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sym w:font="Symbol" w:char="F0F0"/>
            </w:r>
            <w:r>
              <w:rPr>
                <w:rFonts w:ascii="Times New Roman" w:hAnsi="Times New Roman" w:cs="Times New Roman"/>
                <w:color w:val="000000" w:themeColor="text1"/>
                <w:kern w:val="0"/>
                <w:szCs w:val="21"/>
                <w14:textFill>
                  <w14:solidFill>
                    <w14:schemeClr w14:val="tx1"/>
                  </w14:solidFill>
                </w14:textFill>
              </w:rPr>
              <w:t xml:space="preserve">是  </w:t>
            </w:r>
            <w:r>
              <w:rPr>
                <w:rFonts w:ascii="Times New Roman" w:hAnsi="Times New Roman" w:cs="Times New Roman"/>
                <w:color w:val="000000" w:themeColor="text1"/>
                <w:kern w:val="0"/>
                <w:szCs w:val="21"/>
                <w14:textFill>
                  <w14:solidFill>
                    <w14:schemeClr w14:val="tx1"/>
                  </w14:solidFill>
                </w14:textFill>
              </w:rPr>
              <w:sym w:font="Wingdings 2" w:char="F052"/>
            </w: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30" w:type="dxa"/>
            <w:vMerge w:val="continue"/>
            <w:shd w:val="clear" w:color="auto" w:fill="auto"/>
            <w:vAlign w:val="center"/>
          </w:tcPr>
          <w:p>
            <w:pPr>
              <w:widowControl/>
              <w:jc w:val="left"/>
              <w:rPr>
                <w:rFonts w:ascii="Times New Roman" w:hAnsi="Times New Roman" w:cs="Times New Roman"/>
                <w:color w:val="000000" w:themeColor="text1"/>
                <w:kern w:val="0"/>
                <w:szCs w:val="21"/>
                <w14:textFill>
                  <w14:solidFill>
                    <w14:schemeClr w14:val="tx1"/>
                  </w14:solidFill>
                </w14:textFill>
              </w:rPr>
            </w:pPr>
          </w:p>
        </w:tc>
        <w:tc>
          <w:tcPr>
            <w:tcW w:w="2894"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海岸线距离/km</w:t>
            </w:r>
          </w:p>
        </w:tc>
        <w:tc>
          <w:tcPr>
            <w:tcW w:w="3298"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330" w:type="dxa"/>
            <w:vMerge w:val="continue"/>
            <w:shd w:val="clear" w:color="auto" w:fill="auto"/>
            <w:vAlign w:val="center"/>
          </w:tcPr>
          <w:p>
            <w:pPr>
              <w:widowControl/>
              <w:jc w:val="left"/>
              <w:rPr>
                <w:rFonts w:ascii="Times New Roman" w:hAnsi="Times New Roman" w:cs="Times New Roman"/>
                <w:color w:val="000000" w:themeColor="text1"/>
                <w:kern w:val="0"/>
                <w:szCs w:val="21"/>
                <w14:textFill>
                  <w14:solidFill>
                    <w14:schemeClr w14:val="tx1"/>
                  </w14:solidFill>
                </w14:textFill>
              </w:rPr>
            </w:pPr>
          </w:p>
        </w:tc>
        <w:tc>
          <w:tcPr>
            <w:tcW w:w="2894"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海岸线方向/°</w:t>
            </w:r>
          </w:p>
        </w:tc>
        <w:tc>
          <w:tcPr>
            <w:tcW w:w="3298" w:type="dxa"/>
            <w:shd w:val="clear" w:color="auto" w:fill="auto"/>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bl>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筛选结果见表2.5-3。</w:t>
      </w:r>
    </w:p>
    <w:p>
      <w:pPr>
        <w:pStyle w:val="36"/>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表2.5-3  主要污染物估算模型计算结果表</w:t>
      </w:r>
    </w:p>
    <w:tbl>
      <w:tblPr>
        <w:tblStyle w:val="23"/>
        <w:tblW w:w="83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00"/>
        <w:gridCol w:w="772"/>
        <w:gridCol w:w="1200"/>
        <w:gridCol w:w="1164"/>
        <w:gridCol w:w="1276"/>
        <w:gridCol w:w="1175"/>
        <w:gridCol w:w="649"/>
        <w:gridCol w:w="762"/>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680" w:hRule="atLeast"/>
          <w:jc w:val="center"/>
        </w:trPr>
        <w:tc>
          <w:tcPr>
            <w:tcW w:w="400"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类别</w:t>
            </w:r>
          </w:p>
        </w:tc>
        <w:tc>
          <w:tcPr>
            <w:tcW w:w="772"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污染源</w:t>
            </w:r>
          </w:p>
        </w:tc>
        <w:tc>
          <w:tcPr>
            <w:tcW w:w="1200"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w:t>
            </w:r>
          </w:p>
        </w:tc>
        <w:tc>
          <w:tcPr>
            <w:tcW w:w="1164"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下风向最大质量浓度/(μg/</w:t>
            </w:r>
            <w:r>
              <w:rPr>
                <w:rFonts w:cs="Times New Roman"/>
                <w:b/>
                <w:bCs/>
                <w:color w:val="000000" w:themeColor="text1"/>
                <w:kern w:val="0"/>
                <w:szCs w:val="28"/>
                <w14:textFill>
                  <w14:solidFill>
                    <w14:schemeClr w14:val="tx1"/>
                  </w14:solidFill>
                </w14:textFill>
              </w:rPr>
              <w:t>m</w:t>
            </w:r>
            <w:r>
              <w:rPr>
                <w:rFonts w:cs="Times New Roman"/>
                <w:b/>
                <w:bCs/>
                <w:color w:val="000000" w:themeColor="text1"/>
                <w:kern w:val="0"/>
                <w:szCs w:val="28"/>
                <w:vertAlign w:val="superscript"/>
                <w14:textFill>
                  <w14:solidFill>
                    <w14:schemeClr w14:val="tx1"/>
                  </w14:solidFill>
                </w14:textFill>
              </w:rPr>
              <w:t>3</w:t>
            </w:r>
            <w:r>
              <w:rPr>
                <w:rFonts w:cs="Times New Roman"/>
                <w:b/>
                <w:bCs/>
                <w:color w:val="000000" w:themeColor="text1"/>
                <w14:textFill>
                  <w14:solidFill>
                    <w14:schemeClr w14:val="tx1"/>
                  </w14:solidFill>
                </w14:textFill>
              </w:rPr>
              <w:t>)</w:t>
            </w:r>
          </w:p>
        </w:tc>
        <w:tc>
          <w:tcPr>
            <w:tcW w:w="1276"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下风向最大质量浓度占标率P</w:t>
            </w:r>
            <w:r>
              <w:rPr>
                <w:rFonts w:cs="Times New Roman"/>
                <w:b/>
                <w:bCs/>
                <w:color w:val="000000" w:themeColor="text1"/>
                <w:vertAlign w:val="subscript"/>
                <w14:textFill>
                  <w14:solidFill>
                    <w14:schemeClr w14:val="tx1"/>
                  </w14:solidFill>
                </w14:textFill>
              </w:rPr>
              <w:t>max</w:t>
            </w:r>
            <w:r>
              <w:rPr>
                <w:rFonts w:cs="Times New Roman"/>
                <w:b/>
                <w:bCs/>
                <w:color w:val="000000" w:themeColor="text1"/>
                <w14:textFill>
                  <w14:solidFill>
                    <w14:schemeClr w14:val="tx1"/>
                  </w14:solidFill>
                </w14:textFill>
              </w:rPr>
              <w:t>/%</w:t>
            </w:r>
          </w:p>
        </w:tc>
        <w:tc>
          <w:tcPr>
            <w:tcW w:w="1175"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下风向最大质量浓度出现距离/m</w:t>
            </w:r>
          </w:p>
        </w:tc>
        <w:tc>
          <w:tcPr>
            <w:tcW w:w="649"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D</w:t>
            </w:r>
            <w:r>
              <w:rPr>
                <w:rFonts w:cs="Times New Roman"/>
                <w:b/>
                <w:bCs/>
                <w:color w:val="000000" w:themeColor="text1"/>
                <w:vertAlign w:val="subscript"/>
                <w14:textFill>
                  <w14:solidFill>
                    <w14:schemeClr w14:val="tx1"/>
                  </w14:solidFill>
                </w14:textFill>
              </w:rPr>
              <w:t>10</w:t>
            </w:r>
            <w:r>
              <w:rPr>
                <w:rFonts w:cs="Times New Roman"/>
                <w:b/>
                <w:bCs/>
                <w:color w:val="000000" w:themeColor="text1"/>
                <w14:textFill>
                  <w14:solidFill>
                    <w14:schemeClr w14:val="tx1"/>
                  </w14:solidFill>
                </w14:textFill>
              </w:rPr>
              <w:t>%/m</w:t>
            </w:r>
          </w:p>
        </w:tc>
        <w:tc>
          <w:tcPr>
            <w:tcW w:w="762"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评价等级</w:t>
            </w:r>
          </w:p>
        </w:tc>
        <w:tc>
          <w:tcPr>
            <w:tcW w:w="961"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400"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无组织排放</w:t>
            </w:r>
          </w:p>
        </w:tc>
        <w:tc>
          <w:tcPr>
            <w:tcW w:w="772"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单井井场</w:t>
            </w:r>
          </w:p>
        </w:tc>
        <w:tc>
          <w:tcPr>
            <w:tcW w:w="120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非甲烷总烃</w:t>
            </w:r>
          </w:p>
        </w:tc>
        <w:tc>
          <w:tcPr>
            <w:tcW w:w="1164" w:type="dxa"/>
            <w:vAlign w:val="center"/>
          </w:tcPr>
          <w:p>
            <w:pPr>
              <w:jc w:val="center"/>
              <w:rPr>
                <w:rFonts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55.395</w:t>
            </w:r>
          </w:p>
        </w:tc>
        <w:tc>
          <w:tcPr>
            <w:tcW w:w="1276" w:type="dxa"/>
            <w:vAlign w:val="center"/>
          </w:tcPr>
          <w:p>
            <w:pPr>
              <w:jc w:val="center"/>
              <w:rPr>
                <w:rFonts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2.76975</w:t>
            </w:r>
          </w:p>
        </w:tc>
        <w:tc>
          <w:tcPr>
            <w:tcW w:w="1175"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54</w:t>
            </w:r>
          </w:p>
        </w:tc>
        <w:tc>
          <w:tcPr>
            <w:tcW w:w="649"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76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二级</w:t>
            </w:r>
          </w:p>
        </w:tc>
        <w:tc>
          <w:tcPr>
            <w:tcW w:w="961" w:type="dxa"/>
            <w:vAlign w:val="center"/>
          </w:tcPr>
          <w:p>
            <w:pPr>
              <w:pStyle w:val="3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2.5km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400" w:type="dxa"/>
            <w:vMerge w:val="continue"/>
            <w:vAlign w:val="center"/>
          </w:tcPr>
          <w:p>
            <w:pPr>
              <w:pStyle w:val="35"/>
              <w:rPr>
                <w:rFonts w:cs="Times New Roman"/>
                <w:color w:val="000000" w:themeColor="text1"/>
                <w14:textFill>
                  <w14:solidFill>
                    <w14:schemeClr w14:val="tx1"/>
                  </w14:solidFill>
                </w14:textFill>
              </w:rPr>
            </w:pPr>
          </w:p>
        </w:tc>
        <w:tc>
          <w:tcPr>
            <w:tcW w:w="772" w:type="dxa"/>
            <w:vMerge w:val="continue"/>
            <w:vAlign w:val="center"/>
          </w:tcPr>
          <w:p>
            <w:pPr>
              <w:pStyle w:val="35"/>
              <w:rPr>
                <w:rFonts w:cs="Times New Roman"/>
                <w:color w:val="000000" w:themeColor="text1"/>
                <w14:textFill>
                  <w14:solidFill>
                    <w14:schemeClr w14:val="tx1"/>
                  </w14:solidFill>
                </w14:textFill>
              </w:rPr>
            </w:pPr>
          </w:p>
        </w:tc>
        <w:tc>
          <w:tcPr>
            <w:tcW w:w="1200"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硫化氢</w:t>
            </w:r>
          </w:p>
        </w:tc>
        <w:tc>
          <w:tcPr>
            <w:tcW w:w="1164" w:type="dxa"/>
            <w:vAlign w:val="center"/>
          </w:tcPr>
          <w:p>
            <w:pPr>
              <w:jc w:val="center"/>
              <w:rPr>
                <w:rFonts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0.0199528</w:t>
            </w:r>
          </w:p>
        </w:tc>
        <w:tc>
          <w:tcPr>
            <w:tcW w:w="1276" w:type="dxa"/>
            <w:vAlign w:val="center"/>
          </w:tcPr>
          <w:p>
            <w:pPr>
              <w:jc w:val="center"/>
              <w:rPr>
                <w:rFonts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1.99528E-001</w:t>
            </w:r>
          </w:p>
        </w:tc>
        <w:tc>
          <w:tcPr>
            <w:tcW w:w="1175"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54</w:t>
            </w:r>
          </w:p>
        </w:tc>
        <w:tc>
          <w:tcPr>
            <w:tcW w:w="64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w:t>
            </w:r>
          </w:p>
        </w:tc>
        <w:tc>
          <w:tcPr>
            <w:tcW w:w="762"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三级</w:t>
            </w:r>
          </w:p>
        </w:tc>
        <w:tc>
          <w:tcPr>
            <w:tcW w:w="961" w:type="dxa"/>
            <w:vAlign w:val="center"/>
          </w:tcPr>
          <w:p>
            <w:pPr>
              <w:pStyle w:val="35"/>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不需设置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400" w:type="dxa"/>
            <w:vMerge w:val="continue"/>
            <w:vAlign w:val="center"/>
          </w:tcPr>
          <w:p>
            <w:pPr>
              <w:pStyle w:val="35"/>
              <w:rPr>
                <w:rFonts w:cs="Times New Roman"/>
                <w:color w:val="000000" w:themeColor="text1"/>
                <w14:textFill>
                  <w14:solidFill>
                    <w14:schemeClr w14:val="tx1"/>
                  </w14:solidFill>
                </w14:textFill>
              </w:rPr>
            </w:pPr>
          </w:p>
        </w:tc>
        <w:tc>
          <w:tcPr>
            <w:tcW w:w="772"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计量站</w:t>
            </w:r>
          </w:p>
        </w:tc>
        <w:tc>
          <w:tcPr>
            <w:tcW w:w="120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非甲烷总烃</w:t>
            </w:r>
          </w:p>
        </w:tc>
        <w:tc>
          <w:tcPr>
            <w:tcW w:w="1164" w:type="dxa"/>
            <w:vAlign w:val="center"/>
          </w:tcPr>
          <w:p>
            <w:pPr>
              <w:jc w:val="center"/>
              <w:rPr>
                <w:rFonts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188.81</w:t>
            </w:r>
          </w:p>
        </w:tc>
        <w:tc>
          <w:tcPr>
            <w:tcW w:w="1276" w:type="dxa"/>
            <w:vAlign w:val="center"/>
          </w:tcPr>
          <w:p>
            <w:pPr>
              <w:jc w:val="center"/>
              <w:rPr>
                <w:rFonts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9.44050</w:t>
            </w:r>
          </w:p>
        </w:tc>
        <w:tc>
          <w:tcPr>
            <w:tcW w:w="1175"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27</w:t>
            </w:r>
          </w:p>
        </w:tc>
        <w:tc>
          <w:tcPr>
            <w:tcW w:w="649" w:type="dxa"/>
            <w:vAlign w:val="center"/>
          </w:tcPr>
          <w:p>
            <w:pPr>
              <w:pStyle w:val="3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0</w:t>
            </w:r>
          </w:p>
        </w:tc>
        <w:tc>
          <w:tcPr>
            <w:tcW w:w="76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二级</w:t>
            </w:r>
          </w:p>
        </w:tc>
        <w:tc>
          <w:tcPr>
            <w:tcW w:w="961" w:type="dxa"/>
            <w:vAlign w:val="center"/>
          </w:tcPr>
          <w:p>
            <w:pPr>
              <w:pStyle w:val="3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2.5km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400" w:type="dxa"/>
            <w:vMerge w:val="continue"/>
            <w:vAlign w:val="center"/>
          </w:tcPr>
          <w:p>
            <w:pPr>
              <w:pStyle w:val="35"/>
              <w:rPr>
                <w:rFonts w:cs="Times New Roman"/>
                <w:color w:val="000000" w:themeColor="text1"/>
                <w14:textFill>
                  <w14:solidFill>
                    <w14:schemeClr w14:val="tx1"/>
                  </w14:solidFill>
                </w14:textFill>
              </w:rPr>
            </w:pPr>
          </w:p>
        </w:tc>
        <w:tc>
          <w:tcPr>
            <w:tcW w:w="772" w:type="dxa"/>
            <w:vMerge w:val="continue"/>
            <w:vAlign w:val="center"/>
          </w:tcPr>
          <w:p>
            <w:pPr>
              <w:pStyle w:val="35"/>
              <w:rPr>
                <w:rFonts w:cs="Times New Roman"/>
                <w:color w:val="000000" w:themeColor="text1"/>
                <w14:textFill>
                  <w14:solidFill>
                    <w14:schemeClr w14:val="tx1"/>
                  </w14:solidFill>
                </w14:textFill>
              </w:rPr>
            </w:pPr>
          </w:p>
        </w:tc>
        <w:tc>
          <w:tcPr>
            <w:tcW w:w="1200"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硫化氢</w:t>
            </w:r>
          </w:p>
        </w:tc>
        <w:tc>
          <w:tcPr>
            <w:tcW w:w="1164" w:type="dxa"/>
            <w:vAlign w:val="center"/>
          </w:tcPr>
          <w:p>
            <w:pPr>
              <w:jc w:val="center"/>
              <w:rPr>
                <w:rFonts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0.0678937</w:t>
            </w:r>
          </w:p>
        </w:tc>
        <w:tc>
          <w:tcPr>
            <w:tcW w:w="1276" w:type="dxa"/>
            <w:vAlign w:val="center"/>
          </w:tcPr>
          <w:p>
            <w:pPr>
              <w:jc w:val="center"/>
              <w:rPr>
                <w:rFonts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6.78937E-001</w:t>
            </w:r>
          </w:p>
        </w:tc>
        <w:tc>
          <w:tcPr>
            <w:tcW w:w="1175"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27</w:t>
            </w:r>
          </w:p>
        </w:tc>
        <w:tc>
          <w:tcPr>
            <w:tcW w:w="649" w:type="dxa"/>
            <w:vAlign w:val="center"/>
          </w:tcPr>
          <w:p>
            <w:pPr>
              <w:pStyle w:val="35"/>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0</w:t>
            </w:r>
          </w:p>
        </w:tc>
        <w:tc>
          <w:tcPr>
            <w:tcW w:w="762"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三级</w:t>
            </w:r>
          </w:p>
        </w:tc>
        <w:tc>
          <w:tcPr>
            <w:tcW w:w="961" w:type="dxa"/>
            <w:vAlign w:val="center"/>
          </w:tcPr>
          <w:p>
            <w:pPr>
              <w:pStyle w:val="35"/>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不需设置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400" w:type="dxa"/>
            <w:vMerge w:val="continue"/>
            <w:vAlign w:val="center"/>
          </w:tcPr>
          <w:p>
            <w:pPr>
              <w:pStyle w:val="35"/>
              <w:rPr>
                <w:rFonts w:cs="Times New Roman"/>
                <w:color w:val="000000" w:themeColor="text1"/>
                <w14:textFill>
                  <w14:solidFill>
                    <w14:schemeClr w14:val="tx1"/>
                  </w14:solidFill>
                </w14:textFill>
              </w:rPr>
            </w:pPr>
          </w:p>
        </w:tc>
        <w:tc>
          <w:tcPr>
            <w:tcW w:w="772"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阀池</w:t>
            </w:r>
          </w:p>
        </w:tc>
        <w:tc>
          <w:tcPr>
            <w:tcW w:w="120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非甲烷总烃</w:t>
            </w:r>
          </w:p>
        </w:tc>
        <w:tc>
          <w:tcPr>
            <w:tcW w:w="1164" w:type="dxa"/>
            <w:vAlign w:val="center"/>
          </w:tcPr>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138.71</w:t>
            </w:r>
          </w:p>
        </w:tc>
        <w:tc>
          <w:tcPr>
            <w:tcW w:w="1276" w:type="dxa"/>
            <w:vAlign w:val="center"/>
          </w:tcPr>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6.93550</w:t>
            </w:r>
          </w:p>
        </w:tc>
        <w:tc>
          <w:tcPr>
            <w:tcW w:w="1175"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11</w:t>
            </w:r>
          </w:p>
        </w:tc>
        <w:tc>
          <w:tcPr>
            <w:tcW w:w="649" w:type="dxa"/>
            <w:vAlign w:val="center"/>
          </w:tcPr>
          <w:p>
            <w:pPr>
              <w:pStyle w:val="3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0</w:t>
            </w:r>
          </w:p>
        </w:tc>
        <w:tc>
          <w:tcPr>
            <w:tcW w:w="76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二级</w:t>
            </w:r>
          </w:p>
        </w:tc>
        <w:tc>
          <w:tcPr>
            <w:tcW w:w="961" w:type="dxa"/>
            <w:vAlign w:val="center"/>
          </w:tcPr>
          <w:p>
            <w:pPr>
              <w:pStyle w:val="3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2.5km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400" w:type="dxa"/>
            <w:vMerge w:val="continue"/>
            <w:vAlign w:val="center"/>
          </w:tcPr>
          <w:p>
            <w:pPr>
              <w:pStyle w:val="35"/>
              <w:rPr>
                <w:rFonts w:cs="Times New Roman"/>
                <w:color w:val="000000" w:themeColor="text1"/>
                <w14:textFill>
                  <w14:solidFill>
                    <w14:schemeClr w14:val="tx1"/>
                  </w14:solidFill>
                </w14:textFill>
              </w:rPr>
            </w:pPr>
          </w:p>
        </w:tc>
        <w:tc>
          <w:tcPr>
            <w:tcW w:w="772" w:type="dxa"/>
            <w:vMerge w:val="continue"/>
            <w:vAlign w:val="center"/>
          </w:tcPr>
          <w:p>
            <w:pPr>
              <w:pStyle w:val="35"/>
              <w:rPr>
                <w:rFonts w:cs="Times New Roman"/>
                <w:color w:val="000000" w:themeColor="text1"/>
                <w14:textFill>
                  <w14:solidFill>
                    <w14:schemeClr w14:val="tx1"/>
                  </w14:solidFill>
                </w14:textFill>
              </w:rPr>
            </w:pPr>
          </w:p>
        </w:tc>
        <w:tc>
          <w:tcPr>
            <w:tcW w:w="1200"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硫化氢</w:t>
            </w:r>
          </w:p>
        </w:tc>
        <w:tc>
          <w:tcPr>
            <w:tcW w:w="1164" w:type="dxa"/>
            <w:vAlign w:val="center"/>
          </w:tcPr>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0.0492743</w:t>
            </w:r>
          </w:p>
        </w:tc>
        <w:tc>
          <w:tcPr>
            <w:tcW w:w="1276" w:type="dxa"/>
            <w:vAlign w:val="center"/>
          </w:tcPr>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4.92743E-001</w:t>
            </w:r>
          </w:p>
        </w:tc>
        <w:tc>
          <w:tcPr>
            <w:tcW w:w="1175"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11</w:t>
            </w:r>
          </w:p>
        </w:tc>
        <w:tc>
          <w:tcPr>
            <w:tcW w:w="649" w:type="dxa"/>
            <w:vAlign w:val="center"/>
          </w:tcPr>
          <w:p>
            <w:pPr>
              <w:pStyle w:val="35"/>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0</w:t>
            </w:r>
          </w:p>
        </w:tc>
        <w:tc>
          <w:tcPr>
            <w:tcW w:w="762"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三级</w:t>
            </w:r>
          </w:p>
        </w:tc>
        <w:tc>
          <w:tcPr>
            <w:tcW w:w="961" w:type="dxa"/>
            <w:vAlign w:val="center"/>
          </w:tcPr>
          <w:p>
            <w:pPr>
              <w:pStyle w:val="35"/>
              <w:rPr>
                <w:rFonts w:cs="Times New Roman"/>
                <w:bCs/>
                <w:color w:val="000000" w:themeColor="text1"/>
                <w14:textFill>
                  <w14:solidFill>
                    <w14:schemeClr w14:val="tx1"/>
                  </w14:solidFill>
                </w14:textFill>
              </w:rPr>
            </w:pPr>
            <w:r>
              <w:rPr>
                <w:rFonts w:hint="eastAsia" w:cs="Times New Roman"/>
                <w:bCs/>
                <w:color w:val="000000" w:themeColor="text1"/>
                <w14:textFill>
                  <w14:solidFill>
                    <w14:schemeClr w14:val="tx1"/>
                  </w14:solidFill>
                </w14:textFill>
              </w:rPr>
              <w:t>不需设置</w:t>
            </w:r>
          </w:p>
        </w:tc>
      </w:tr>
    </w:tbl>
    <w:p>
      <w:pPr>
        <w:pStyle w:val="37"/>
        <w:spacing w:line="360" w:lineRule="auto"/>
        <w:ind w:firstLine="480" w:firstLineChars="200"/>
        <w:jc w:val="left"/>
        <w:rPr>
          <w:rFonts w:ascii="Times New Roman" w:hAnsi="Times New Roman" w:cs="Times New Roman"/>
          <w:b w:val="0"/>
          <w:bCs/>
          <w:color w:val="000000" w:themeColor="text1"/>
          <w:sz w:val="24"/>
          <w14:textFill>
            <w14:solidFill>
              <w14:schemeClr w14:val="tx1"/>
            </w14:solidFill>
          </w14:textFill>
        </w:rPr>
      </w:pPr>
      <w:r>
        <w:rPr>
          <w:rFonts w:ascii="Times New Roman" w:hAnsi="Times New Roman" w:cs="Times New Roman"/>
          <w:b w:val="0"/>
          <w:color w:val="000000" w:themeColor="text1"/>
          <w:sz w:val="24"/>
          <w14:textFill>
            <w14:solidFill>
              <w14:schemeClr w14:val="tx1"/>
            </w14:solidFill>
          </w14:textFill>
        </w:rPr>
        <w:t>根据大气污染源强情况，项目排放废气最大地面浓度占标率Pmax=</w:t>
      </w:r>
      <w:r>
        <w:rPr>
          <w:rFonts w:hint="eastAsia" w:ascii="Times New Roman" w:hAnsi="Times New Roman" w:cs="Times New Roman"/>
          <w:b w:val="0"/>
          <w:color w:val="000000" w:themeColor="text1"/>
          <w:sz w:val="24"/>
          <w14:textFill>
            <w14:solidFill>
              <w14:schemeClr w14:val="tx1"/>
            </w14:solidFill>
          </w14:textFill>
        </w:rPr>
        <w:t>9.4405</w:t>
      </w:r>
      <w:r>
        <w:rPr>
          <w:rFonts w:ascii="Times New Roman" w:hAnsi="Times New Roman" w:cs="Times New Roman"/>
          <w:b w:val="0"/>
          <w:color w:val="000000" w:themeColor="text1"/>
          <w:sz w:val="24"/>
          <w14:textFill>
            <w14:solidFill>
              <w14:schemeClr w14:val="tx1"/>
            </w14:solidFill>
          </w14:textFill>
        </w:rPr>
        <w:t>%，大于1%小于10%，结合《环境影响评价技术导则 大气环境》（HJ2.2-2018）中附录B推荐的估算模型AERSCREEN估算分析，判定本项目大气环境评价等级为二级</w:t>
      </w:r>
      <w:r>
        <w:rPr>
          <w:rFonts w:hint="eastAsia" w:ascii="Times New Roman" w:hAnsi="Times New Roman" w:cs="Times New Roman"/>
          <w:b w:val="0"/>
          <w:color w:val="000000" w:themeColor="text1"/>
          <w:sz w:val="24"/>
          <w14:textFill>
            <w14:solidFill>
              <w14:schemeClr w14:val="tx1"/>
            </w14:solidFill>
          </w14:textFill>
        </w:rPr>
        <w:t>，</w:t>
      </w:r>
      <w:r>
        <w:rPr>
          <w:rFonts w:ascii="Times New Roman" w:hAnsi="Times New Roman" w:cs="Times New Roman"/>
          <w:b w:val="0"/>
          <w:bCs/>
          <w:color w:val="000000" w:themeColor="text1"/>
          <w:sz w:val="24"/>
          <w14:textFill>
            <w14:solidFill>
              <w14:schemeClr w14:val="tx1"/>
            </w14:solidFill>
          </w14:textFill>
        </w:rPr>
        <w:t>确定本次环境空气评价范围为：分别以单井井口</w:t>
      </w:r>
      <w:r>
        <w:rPr>
          <w:rFonts w:hint="eastAsia" w:ascii="Times New Roman" w:hAnsi="Times New Roman" w:cs="Times New Roman"/>
          <w:b w:val="0"/>
          <w:bCs/>
          <w:color w:val="000000" w:themeColor="text1"/>
          <w:sz w:val="24"/>
          <w:lang w:eastAsia="zh-CN"/>
          <w14:textFill>
            <w14:solidFill>
              <w14:schemeClr w14:val="tx1"/>
            </w14:solidFill>
          </w14:textFill>
        </w:rPr>
        <w:t>、</w:t>
      </w:r>
      <w:r>
        <w:rPr>
          <w:rFonts w:hint="eastAsia" w:ascii="Times New Roman" w:hAnsi="Times New Roman" w:cs="Times New Roman"/>
          <w:b w:val="0"/>
          <w:bCs/>
          <w:color w:val="000000" w:themeColor="text1"/>
          <w:sz w:val="24"/>
          <w:lang w:val="en-US" w:eastAsia="zh-CN"/>
          <w14:textFill>
            <w14:solidFill>
              <w14:schemeClr w14:val="tx1"/>
            </w14:solidFill>
          </w14:textFill>
        </w:rPr>
        <w:t>计量站、阀池</w:t>
      </w:r>
      <w:r>
        <w:rPr>
          <w:rFonts w:ascii="Times New Roman" w:hAnsi="Times New Roman" w:cs="Times New Roman"/>
          <w:b w:val="0"/>
          <w:bCs/>
          <w:color w:val="000000" w:themeColor="text1"/>
          <w:sz w:val="24"/>
          <w14:textFill>
            <w14:solidFill>
              <w14:schemeClr w14:val="tx1"/>
            </w14:solidFill>
          </w14:textFill>
        </w:rPr>
        <w:t>为中心，向</w:t>
      </w:r>
      <w:r>
        <w:rPr>
          <w:rFonts w:ascii="Times New Roman" w:hAnsi="Times New Roman" w:cs="Times New Roman"/>
          <w:b w:val="0"/>
          <w:bCs/>
          <w:color w:val="000000" w:themeColor="text1"/>
          <w:sz w:val="24"/>
          <w:lang w:bidi="ar"/>
          <w14:textFill>
            <w14:solidFill>
              <w14:schemeClr w14:val="tx1"/>
            </w14:solidFill>
          </w14:textFill>
        </w:rPr>
        <w:t>采油井</w:t>
      </w:r>
      <w:r>
        <w:rPr>
          <w:rFonts w:hint="eastAsia" w:ascii="Times New Roman" w:hAnsi="Times New Roman" w:cs="Times New Roman"/>
          <w:b w:val="0"/>
          <w:bCs/>
          <w:color w:val="000000" w:themeColor="text1"/>
          <w:sz w:val="24"/>
          <w:lang w:eastAsia="zh-CN" w:bidi="ar"/>
          <w14:textFill>
            <w14:solidFill>
              <w14:schemeClr w14:val="tx1"/>
            </w14:solidFill>
          </w14:textFill>
        </w:rPr>
        <w:t>、</w:t>
      </w:r>
      <w:r>
        <w:rPr>
          <w:rFonts w:hint="eastAsia" w:ascii="Times New Roman" w:hAnsi="Times New Roman" w:cs="Times New Roman"/>
          <w:b w:val="0"/>
          <w:bCs/>
          <w:color w:val="000000" w:themeColor="text1"/>
          <w:sz w:val="24"/>
          <w:lang w:val="en-US" w:eastAsia="zh-CN"/>
          <w14:textFill>
            <w14:solidFill>
              <w14:schemeClr w14:val="tx1"/>
            </w14:solidFill>
          </w14:textFill>
        </w:rPr>
        <w:t>计量站、阀池</w:t>
      </w:r>
      <w:r>
        <w:rPr>
          <w:rFonts w:ascii="Times New Roman" w:hAnsi="Times New Roman" w:cs="Times New Roman"/>
          <w:b w:val="0"/>
          <w:bCs/>
          <w:color w:val="000000" w:themeColor="text1"/>
          <w:sz w:val="24"/>
          <w14:textFill>
            <w14:solidFill>
              <w14:schemeClr w14:val="tx1"/>
            </w14:solidFill>
          </w14:textFill>
        </w:rPr>
        <w:t>四周各外延2.5km的矩形叠合的包络线。评价范围见图2.5-1。</w:t>
      </w:r>
      <w:bookmarkStart w:id="115" w:name="_Toc387230238"/>
      <w:bookmarkStart w:id="116" w:name="_Toc384828352"/>
      <w:bookmarkStart w:id="117" w:name="_Toc312148941"/>
      <w:bookmarkStart w:id="118" w:name="_Toc339279444"/>
      <w:bookmarkStart w:id="119" w:name="_Toc338688628"/>
      <w:bookmarkStart w:id="120" w:name="_Toc330457755"/>
      <w:bookmarkStart w:id="121" w:name="_Toc337551358"/>
      <w:bookmarkStart w:id="122" w:name="_Toc382488641"/>
      <w:bookmarkStart w:id="123" w:name="_Toc417921199"/>
      <w:bookmarkStart w:id="124" w:name="_Toc406490280"/>
      <w:bookmarkStart w:id="125" w:name="_Toc450736691"/>
      <w:bookmarkStart w:id="126" w:name="_Toc364714440"/>
      <w:bookmarkStart w:id="127" w:name="_Toc364714187"/>
      <w:bookmarkStart w:id="128" w:name="_Toc313911257"/>
      <w:bookmarkStart w:id="129" w:name="_Toc404848858"/>
    </w:p>
    <w:p>
      <w:pPr>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2.5.2水环境</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spacing w:line="360" w:lineRule="auto"/>
        <w:outlineLvl w:val="3"/>
        <w:rPr>
          <w:rFonts w:ascii="Times New Roman" w:hAnsi="Times New Roman" w:cs="Times New Roman"/>
          <w:bCs/>
          <w:snapToGrid w:val="0"/>
          <w:color w:val="000000" w:themeColor="text1"/>
          <w:kern w:val="0"/>
          <w:sz w:val="28"/>
          <w:szCs w:val="28"/>
          <w14:textFill>
            <w14:solidFill>
              <w14:schemeClr w14:val="tx1"/>
            </w14:solidFill>
          </w14:textFill>
        </w:rPr>
      </w:pPr>
      <w:r>
        <w:rPr>
          <w:rFonts w:ascii="Times New Roman" w:hAnsi="Times New Roman" w:cs="Times New Roman"/>
          <w:bCs/>
          <w:snapToGrid w:val="0"/>
          <w:color w:val="000000" w:themeColor="text1"/>
          <w:kern w:val="0"/>
          <w:sz w:val="28"/>
          <w:szCs w:val="28"/>
          <w14:textFill>
            <w14:solidFill>
              <w14:schemeClr w14:val="tx1"/>
            </w14:solidFill>
          </w14:textFill>
        </w:rPr>
        <w:t>2.5.2.1地表水</w:t>
      </w:r>
    </w:p>
    <w:p>
      <w:pPr>
        <w:spacing w:line="360" w:lineRule="auto"/>
        <w:ind w:firstLine="480" w:firstLineChars="20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按照《环境影响评价技术导则</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地表水环境》（HJ2.3-2018），项目属于水污染影响型建设项目。</w:t>
      </w:r>
      <w:r>
        <w:rPr>
          <w:rFonts w:ascii="Times New Roman" w:hAnsi="Times New Roman" w:cs="Times New Roman"/>
          <w:snapToGrid w:val="0"/>
          <w:color w:val="000000" w:themeColor="text1"/>
          <w:kern w:val="0"/>
          <w:sz w:val="24"/>
          <w14:textFill>
            <w14:solidFill>
              <w14:schemeClr w14:val="tx1"/>
            </w14:solidFill>
          </w14:textFill>
        </w:rPr>
        <w:t>项目井区位于</w:t>
      </w:r>
      <w:r>
        <w:rPr>
          <w:rFonts w:ascii="Times New Roman" w:hAnsi="Times New Roman" w:cs="Times New Roman"/>
          <w:color w:val="000000" w:themeColor="text1"/>
          <w:sz w:val="24"/>
          <w14:textFill>
            <w14:solidFill>
              <w14:schemeClr w14:val="tx1"/>
            </w14:solidFill>
          </w14:textFill>
        </w:rPr>
        <w:t>新疆塔城地区和布克赛尔蒙古自治县陆9井区</w:t>
      </w:r>
      <w:r>
        <w:rPr>
          <w:rFonts w:ascii="Times New Roman" w:hAnsi="Times New Roman" w:cs="Times New Roman"/>
          <w:snapToGrid w:val="0"/>
          <w:color w:val="000000" w:themeColor="text1"/>
          <w:kern w:val="0"/>
          <w:sz w:val="24"/>
          <w14:textFill>
            <w14:solidFill>
              <w14:schemeClr w14:val="tx1"/>
            </w14:solidFill>
          </w14:textFill>
        </w:rPr>
        <w:t>，井区内无地表水体，输油、注水管道沿线无穿越任何地表水体。在油田正常开采及集输过程中，本项目产生的含油污水不直接向外环境排放，不与周边地表水体发生水力联系，</w:t>
      </w:r>
      <w:r>
        <w:rPr>
          <w:rFonts w:ascii="Times New Roman" w:hAnsi="Times New Roman" w:cs="Times New Roman"/>
          <w:color w:val="000000" w:themeColor="text1"/>
          <w:sz w:val="24"/>
          <w14:textFill>
            <w14:solidFill>
              <w14:schemeClr w14:val="tx1"/>
            </w14:solidFill>
          </w14:textFill>
        </w:rPr>
        <w:t>项目地表水环境影响评价等级为三级B。项目运营阶段正常情况无废水排放，本次地表水环境影响评价重点论证项目废水综合利用不外排、依托处理设施的可行性和可靠性。</w:t>
      </w:r>
    </w:p>
    <w:p>
      <w:pPr>
        <w:spacing w:line="360" w:lineRule="auto"/>
        <w:outlineLvl w:val="3"/>
        <w:rPr>
          <w:rFonts w:ascii="Times New Roman" w:hAnsi="Times New Roman" w:cs="Times New Roman"/>
          <w:bCs/>
          <w:snapToGrid w:val="0"/>
          <w:color w:val="000000" w:themeColor="text1"/>
          <w:kern w:val="0"/>
          <w:sz w:val="28"/>
          <w:szCs w:val="28"/>
          <w14:textFill>
            <w14:solidFill>
              <w14:schemeClr w14:val="tx1"/>
            </w14:solidFill>
          </w14:textFill>
        </w:rPr>
      </w:pPr>
      <w:r>
        <w:rPr>
          <w:rFonts w:ascii="Times New Roman" w:hAnsi="Times New Roman" w:cs="Times New Roman"/>
          <w:bCs/>
          <w:snapToGrid w:val="0"/>
          <w:color w:val="000000" w:themeColor="text1"/>
          <w:kern w:val="0"/>
          <w:sz w:val="28"/>
          <w:szCs w:val="28"/>
          <w14:textFill>
            <w14:solidFill>
              <w14:schemeClr w14:val="tx1"/>
            </w14:solidFill>
          </w14:textFill>
        </w:rPr>
        <w:t>2.5.2.2地下水</w:t>
      </w:r>
    </w:p>
    <w:p>
      <w:pPr>
        <w:autoSpaceDE w:val="0"/>
        <w:autoSpaceDN w:val="0"/>
        <w:adjustRightInd w:val="0"/>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根据《环境影响评价技术导则 地下水环境》（HJ610-2016）附录A分级标准，本项目</w:t>
      </w:r>
      <w:r>
        <w:rPr>
          <w:rFonts w:hint="eastAsia" w:ascii="Times New Roman" w:hAnsi="Times New Roman" w:cs="Times New Roman"/>
          <w:color w:val="000000" w:themeColor="text1"/>
          <w:sz w:val="24"/>
          <w14:textFill>
            <w14:solidFill>
              <w14:schemeClr w14:val="tx1"/>
            </w14:solidFill>
          </w14:textFill>
        </w:rPr>
        <w:t>站场</w:t>
      </w:r>
      <w:r>
        <w:rPr>
          <w:rFonts w:ascii="Times New Roman" w:hAnsi="Times New Roman" w:cs="Times New Roman"/>
          <w:color w:val="000000" w:themeColor="text1"/>
          <w:sz w:val="24"/>
          <w14:textFill>
            <w14:solidFill>
              <w14:schemeClr w14:val="tx1"/>
            </w14:solidFill>
          </w14:textFill>
        </w:rPr>
        <w:t>属于F类</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石油、天然气</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中的石油开采项目，属于Ⅰ类建设项目</w:t>
      </w:r>
      <w:r>
        <w:rPr>
          <w:rFonts w:hint="eastAsia" w:ascii="Times New Roman" w:hAnsi="Times New Roman" w:cs="Times New Roman"/>
          <w:color w:val="000000" w:themeColor="text1"/>
          <w:sz w:val="24"/>
          <w14:textFill>
            <w14:solidFill>
              <w14:schemeClr w14:val="tx1"/>
            </w14:solidFill>
          </w14:textFill>
        </w:rPr>
        <w:t>。</w:t>
      </w:r>
    </w:p>
    <w:p>
      <w:pPr>
        <w:autoSpaceDE w:val="0"/>
        <w:autoSpaceDN w:val="0"/>
        <w:adjustRightInd w:val="0"/>
        <w:spacing w:line="360" w:lineRule="auto"/>
        <w:ind w:firstLine="480" w:firstLineChars="200"/>
        <w:jc w:val="left"/>
        <w:rPr>
          <w:rFonts w:hint="eastAsia" w:ascii="Times New Roman" w:hAnsi="Times New Roman" w:cs="Times New Roman" w:eastAsiaTheme="minorEastAsia"/>
          <w:color w:val="000000" w:themeColor="text1"/>
          <w:sz w:val="24"/>
          <w:lang w:eastAsia="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根据《环境影响评价技术导则 陆地石油天然气开发建设项目》（HJ349-2023），</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按照场站和内部集输管道分别判断行业类别。常规石油和页岩油、致密油等非常规石油开采井场、站场等工程，按照I类建设项目开展地下水环境影响评价。</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油类和废水等输送管道，按照Ⅱ类建设项目开展地下水环境影响评价。</w:t>
      </w:r>
      <w:r>
        <w:rPr>
          <w:rFonts w:hint="eastAsia" w:ascii="Times New Roman" w:hAnsi="Times New Roman" w:cs="Times New Roman"/>
          <w:color w:val="000000" w:themeColor="text1"/>
          <w:sz w:val="24"/>
          <w14:textFill>
            <w14:solidFill>
              <w14:schemeClr w14:val="tx1"/>
            </w14:solidFill>
          </w14:textFill>
        </w:rPr>
        <w:t>”</w:t>
      </w:r>
    </w:p>
    <w:p>
      <w:pPr>
        <w:autoSpaceDE w:val="0"/>
        <w:autoSpaceDN w:val="0"/>
        <w:adjustRightInd w:val="0"/>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因此，本项目井场属于I类建设项目，集输管线属于Ⅱ类建设项目。</w:t>
      </w:r>
    </w:p>
    <w:p>
      <w:pPr>
        <w:spacing w:line="360" w:lineRule="auto"/>
        <w:ind w:right="-1"/>
        <w:jc w:val="center"/>
        <w:rPr>
          <w:rFonts w:ascii="Times New Roman" w:hAnsi="Times New Roman" w:cs="Times New Roman"/>
          <w:b/>
          <w:color w:val="000000" w:themeColor="text1"/>
          <w:spacing w:val="4"/>
          <w:szCs w:val="21"/>
          <w14:textFill>
            <w14:solidFill>
              <w14:schemeClr w14:val="tx1"/>
            </w14:solidFill>
          </w14:textFill>
        </w:rPr>
      </w:pPr>
      <w:r>
        <w:rPr>
          <w:rFonts w:ascii="Times New Roman" w:hAnsi="Times New Roman" w:cs="Times New Roman"/>
          <w:b/>
          <w:color w:val="000000" w:themeColor="text1"/>
          <w:spacing w:val="4"/>
          <w:szCs w:val="21"/>
          <w14:textFill>
            <w14:solidFill>
              <w14:schemeClr w14:val="tx1"/>
            </w14:solidFill>
          </w14:textFill>
        </w:rPr>
        <w:t>表2.5-4  地下水环境敏感程度分级表</w:t>
      </w:r>
    </w:p>
    <w:tbl>
      <w:tblPr>
        <w:tblStyle w:val="23"/>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9"/>
        <w:gridCol w:w="1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9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敏感程度</w:t>
            </w:r>
          </w:p>
        </w:tc>
        <w:tc>
          <w:tcPr>
            <w:tcW w:w="122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9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敏感</w:t>
            </w:r>
          </w:p>
        </w:tc>
        <w:tc>
          <w:tcPr>
            <w:tcW w:w="122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9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较敏感</w:t>
            </w:r>
          </w:p>
        </w:tc>
        <w:tc>
          <w:tcPr>
            <w:tcW w:w="122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集中式饮用水水源（包括已建成的在用、备用、应急水源，在建和规划的饮用水水源）准保护区以外的补给径流区；</w:t>
            </w:r>
            <w:r>
              <w:rPr>
                <w:rFonts w:hint="eastAsia" w:ascii="Times New Roman" w:hAnsi="Times New Roman" w:cs="Times New Roman"/>
                <w:color w:val="000000" w:themeColor="text1"/>
                <w:szCs w:val="21"/>
                <w14:textFill>
                  <w14:solidFill>
                    <w14:schemeClr w14:val="tx1"/>
                  </w14:solidFill>
                </w14:textFill>
              </w:rPr>
              <w:t>未</w:t>
            </w:r>
            <w:r>
              <w:rPr>
                <w:rFonts w:ascii="Times New Roman" w:hAnsi="Times New Roman" w:cs="Times New Roman"/>
                <w:color w:val="000000" w:themeColor="text1"/>
                <w:szCs w:val="21"/>
                <w14:textFill>
                  <w14:solidFill>
                    <w14:schemeClr w14:val="tx1"/>
                  </w14:solidFill>
                </w14:textFill>
              </w:rPr>
              <w:t>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959"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不敏感</w:t>
            </w:r>
          </w:p>
        </w:tc>
        <w:tc>
          <w:tcPr>
            <w:tcW w:w="12215"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上述地区之外的其他地区。</w:t>
            </w:r>
          </w:p>
        </w:tc>
      </w:tr>
    </w:tbl>
    <w:p>
      <w:pP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注：“环境敏感区”是指《建设项目环境影响评价分类管理名录》中所界定的涉及地下水的环境敏感区。</w:t>
      </w:r>
    </w:p>
    <w:p>
      <w:pPr>
        <w:spacing w:line="360" w:lineRule="auto"/>
        <w:ind w:right="-1"/>
        <w:jc w:val="center"/>
        <w:rPr>
          <w:rFonts w:ascii="Times New Roman" w:hAnsi="Times New Roman" w:cs="Times New Roman"/>
          <w:b/>
          <w:color w:val="000000" w:themeColor="text1"/>
          <w:spacing w:val="4"/>
          <w:szCs w:val="21"/>
          <w14:textFill>
            <w14:solidFill>
              <w14:schemeClr w14:val="tx1"/>
            </w14:solidFill>
          </w14:textFill>
        </w:rPr>
      </w:pPr>
      <w:r>
        <w:rPr>
          <w:rFonts w:ascii="Times New Roman" w:hAnsi="Times New Roman" w:cs="Times New Roman"/>
          <w:b/>
          <w:color w:val="000000" w:themeColor="text1"/>
          <w:spacing w:val="4"/>
          <w:szCs w:val="21"/>
          <w14:textFill>
            <w14:solidFill>
              <w14:schemeClr w14:val="tx1"/>
            </w14:solidFill>
          </w14:textFill>
        </w:rPr>
        <w:t>表2.5-5  地下水环境影响评价工作等级分级表</w:t>
      </w:r>
    </w:p>
    <w:tbl>
      <w:tblPr>
        <w:tblStyle w:val="23"/>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4"/>
        <w:gridCol w:w="3590"/>
        <w:gridCol w:w="3590"/>
        <w:gridCol w:w="3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404" w:type="dxa"/>
            <w:tcBorders>
              <w:top w:val="single" w:color="auto" w:sz="4" w:space="0"/>
              <w:left w:val="single" w:color="auto" w:sz="4" w:space="0"/>
              <w:bottom w:val="single" w:color="auto" w:sz="4" w:space="0"/>
              <w:right w:val="single" w:color="auto" w:sz="4" w:space="0"/>
              <w:tl2br w:val="single" w:color="auto" w:sz="4" w:space="0"/>
            </w:tcBorders>
            <w:vAlign w:val="center"/>
          </w:tcPr>
          <w:p>
            <w:pPr>
              <w:adjustRightInd w:val="0"/>
              <w:snapToGrid w:val="0"/>
              <w:jc w:val="right"/>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项目类别</w:t>
            </w:r>
          </w:p>
          <w:p>
            <w:pPr>
              <w:adjustRightInd w:val="0"/>
              <w:snapToGrid w:val="0"/>
              <w:jc w:val="left"/>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环境敏感程度</w:t>
            </w:r>
          </w:p>
        </w:tc>
        <w:tc>
          <w:tcPr>
            <w:tcW w:w="35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Ⅰ类项目</w:t>
            </w:r>
          </w:p>
        </w:tc>
        <w:tc>
          <w:tcPr>
            <w:tcW w:w="35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Ⅱ类项目</w:t>
            </w:r>
          </w:p>
        </w:tc>
        <w:tc>
          <w:tcPr>
            <w:tcW w:w="35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4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敏感</w:t>
            </w:r>
          </w:p>
        </w:tc>
        <w:tc>
          <w:tcPr>
            <w:tcW w:w="35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w:t>
            </w:r>
          </w:p>
        </w:tc>
        <w:tc>
          <w:tcPr>
            <w:tcW w:w="35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w:t>
            </w:r>
          </w:p>
        </w:tc>
        <w:tc>
          <w:tcPr>
            <w:tcW w:w="35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4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较敏感</w:t>
            </w:r>
          </w:p>
        </w:tc>
        <w:tc>
          <w:tcPr>
            <w:tcW w:w="35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w:t>
            </w:r>
          </w:p>
        </w:tc>
        <w:tc>
          <w:tcPr>
            <w:tcW w:w="35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w:t>
            </w:r>
          </w:p>
        </w:tc>
        <w:tc>
          <w:tcPr>
            <w:tcW w:w="35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4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不敏感</w:t>
            </w:r>
          </w:p>
        </w:tc>
        <w:tc>
          <w:tcPr>
            <w:tcW w:w="3590" w:type="dxa"/>
            <w:tcBorders>
              <w:top w:val="single" w:color="auto" w:sz="4" w:space="0"/>
              <w:left w:val="single" w:color="auto" w:sz="4" w:space="0"/>
              <w:bottom w:val="single" w:color="auto" w:sz="4" w:space="0"/>
              <w:right w:val="single" w:color="auto" w:sz="4" w:space="0"/>
            </w:tcBorders>
            <w:shd w:val="clear" w:color="auto" w:fill="A4A4A4" w:themeFill="background1" w:themeFillShade="A5"/>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w:t>
            </w:r>
          </w:p>
        </w:tc>
        <w:tc>
          <w:tcPr>
            <w:tcW w:w="3590" w:type="dxa"/>
            <w:tcBorders>
              <w:top w:val="single" w:color="auto" w:sz="4" w:space="0"/>
              <w:left w:val="single" w:color="auto" w:sz="4" w:space="0"/>
              <w:bottom w:val="single" w:color="auto" w:sz="4" w:space="0"/>
              <w:right w:val="single" w:color="auto" w:sz="4" w:space="0"/>
            </w:tcBorders>
            <w:shd w:val="clear" w:color="auto" w:fill="A4A4A4" w:themeFill="background1" w:themeFillShade="A5"/>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w:t>
            </w:r>
          </w:p>
        </w:tc>
        <w:tc>
          <w:tcPr>
            <w:tcW w:w="35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w:t>
            </w:r>
          </w:p>
        </w:tc>
      </w:tr>
    </w:tbl>
    <w:p>
      <w:pPr>
        <w:spacing w:line="360" w:lineRule="auto"/>
        <w:ind w:firstLine="482"/>
        <w:rPr>
          <w:color w:val="000000" w:themeColor="text1"/>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根据表2.5-4、表2.5-5可知，由于项目区内无集中式饮用水水源准保护区及补给径流区，无分散式饮用水水源地，无特殊地下水资源保护区，地下水环境敏感特征为不敏感。《环境影响评价技术导则 陆地石油天然气开发建设项目》（HJ349-2023）</w:t>
      </w:r>
      <w:r>
        <w:rPr>
          <w:rFonts w:hint="eastAsia" w:ascii="Times New Roman" w:hAnsi="Times New Roman" w:cs="Times New Roman"/>
          <w:color w:val="000000" w:themeColor="text1"/>
          <w:sz w:val="24"/>
          <w:lang w:val="en-US" w:eastAsia="zh-CN"/>
          <w14:textFill>
            <w14:solidFill>
              <w14:schemeClr w14:val="tx1"/>
            </w14:solidFill>
          </w14:textFill>
        </w:rPr>
        <w:t>中提到：</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新建回注井（含开采井转回注井）的场地，地下水评价等级不低于二级</w:t>
      </w:r>
      <w:r>
        <w:rPr>
          <w:rFonts w:hint="eastAsia" w:ascii="Times New Roman" w:hAnsi="Times New Roman" w:cs="Times New Roman"/>
          <w:color w:val="000000" w:themeColor="text1"/>
          <w:sz w:val="24"/>
          <w:lang w:eastAsia="zh-CN"/>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由此判定本项目</w:t>
      </w:r>
      <w:r>
        <w:rPr>
          <w:rFonts w:hint="eastAsia" w:ascii="Times New Roman" w:hAnsi="Times New Roman" w:cs="Times New Roman"/>
          <w:color w:val="000000" w:themeColor="text1"/>
          <w:sz w:val="24"/>
          <w:lang w:val="en-US" w:eastAsia="zh-CN"/>
          <w14:textFill>
            <w14:solidFill>
              <w14:schemeClr w14:val="tx1"/>
            </w14:solidFill>
          </w14:textFill>
        </w:rPr>
        <w:t>采油井、老井转注</w:t>
      </w:r>
      <w:r>
        <w:rPr>
          <w:rFonts w:ascii="Times New Roman" w:hAnsi="Times New Roman" w:cs="Times New Roman"/>
          <w:color w:val="000000" w:themeColor="text1"/>
          <w:sz w:val="24"/>
          <w14:textFill>
            <w14:solidFill>
              <w14:schemeClr w14:val="tx1"/>
            </w14:solidFill>
          </w14:textFill>
        </w:rPr>
        <w:t>地下水评价等级为二级</w:t>
      </w:r>
      <w:r>
        <w:rPr>
          <w:rFonts w:hint="eastAsia"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集油</w:t>
      </w:r>
      <w:r>
        <w:rPr>
          <w:rFonts w:hint="eastAsia" w:ascii="Times New Roman" w:hAnsi="Times New Roman" w:cs="Times New Roman"/>
          <w:color w:val="000000" w:themeColor="text1"/>
          <w:sz w:val="24"/>
          <w14:textFill>
            <w14:solidFill>
              <w14:schemeClr w14:val="tx1"/>
            </w14:solidFill>
          </w14:textFill>
        </w:rPr>
        <w:t>管线</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注水管线</w:t>
      </w:r>
      <w:r>
        <w:rPr>
          <w:rFonts w:ascii="Times New Roman" w:hAnsi="Times New Roman" w:cs="Times New Roman"/>
          <w:color w:val="000000" w:themeColor="text1"/>
          <w:sz w:val="24"/>
          <w14:textFill>
            <w14:solidFill>
              <w14:schemeClr w14:val="tx1"/>
            </w14:solidFill>
          </w14:textFill>
        </w:rPr>
        <w:t>地下水评价等级为</w:t>
      </w:r>
      <w:r>
        <w:rPr>
          <w:rFonts w:hint="eastAsia" w:ascii="Times New Roman" w:hAnsi="Times New Roman" w:cs="Times New Roman"/>
          <w:color w:val="000000" w:themeColor="text1"/>
          <w:sz w:val="24"/>
          <w14:textFill>
            <w14:solidFill>
              <w14:schemeClr w14:val="tx1"/>
            </w14:solidFill>
          </w14:textFill>
        </w:rPr>
        <w:t>三</w:t>
      </w:r>
      <w:r>
        <w:rPr>
          <w:rFonts w:ascii="Times New Roman" w:hAnsi="Times New Roman" w:cs="Times New Roman"/>
          <w:color w:val="000000" w:themeColor="text1"/>
          <w:sz w:val="24"/>
          <w14:textFill>
            <w14:solidFill>
              <w14:schemeClr w14:val="tx1"/>
            </w14:solidFill>
          </w14:textFill>
        </w:rPr>
        <w:t>级。</w:t>
      </w:r>
    </w:p>
    <w:p>
      <w:pPr>
        <w:spacing w:line="360" w:lineRule="auto"/>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具体见表2.5-6。</w:t>
      </w:r>
    </w:p>
    <w:p>
      <w:pPr>
        <w:autoSpaceDE w:val="0"/>
        <w:autoSpaceDN w:val="0"/>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表2.5-6  地下水环境现状评价范围参照表</w:t>
      </w:r>
    </w:p>
    <w:tbl>
      <w:tblPr>
        <w:tblStyle w:val="23"/>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7"/>
        <w:gridCol w:w="3678"/>
        <w:gridCol w:w="7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1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评价等级</w:t>
            </w:r>
          </w:p>
        </w:tc>
        <w:tc>
          <w:tcPr>
            <w:tcW w:w="36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调查评价面积（km</w:t>
            </w:r>
            <w:r>
              <w:rPr>
                <w:rFonts w:ascii="Times New Roman" w:hAnsi="Times New Roman" w:cs="Times New Roman"/>
                <w:b/>
                <w:bCs/>
                <w:color w:val="000000" w:themeColor="text1"/>
                <w:szCs w:val="21"/>
                <w:vertAlign w:val="superscript"/>
                <w14:textFill>
                  <w14:solidFill>
                    <w14:schemeClr w14:val="tx1"/>
                  </w14:solidFill>
                </w14:textFill>
              </w:rPr>
              <w:t>2</w:t>
            </w:r>
            <w:r>
              <w:rPr>
                <w:rFonts w:ascii="Times New Roman" w:hAnsi="Times New Roman" w:cs="Times New Roman"/>
                <w:b/>
                <w:bCs/>
                <w:color w:val="000000" w:themeColor="text1"/>
                <w:szCs w:val="21"/>
                <w14:textFill>
                  <w14:solidFill>
                    <w14:schemeClr w14:val="tx1"/>
                  </w14:solidFill>
                </w14:textFill>
              </w:rPr>
              <w:t>）</w:t>
            </w:r>
          </w:p>
        </w:tc>
        <w:tc>
          <w:tcPr>
            <w:tcW w:w="734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1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一级</w:t>
            </w:r>
          </w:p>
        </w:tc>
        <w:tc>
          <w:tcPr>
            <w:tcW w:w="36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c>
          <w:tcPr>
            <w:tcW w:w="7349"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应包括重要的地下水保护目标，必要时适当扩大范围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14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367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bookmarkStart w:id="130" w:name="_Hlk91853011"/>
            <w:r>
              <w:rPr>
                <w:rFonts w:ascii="Times New Roman" w:hAnsi="Times New Roman" w:cs="Times New Roman"/>
                <w:color w:val="000000" w:themeColor="text1"/>
                <w:szCs w:val="21"/>
                <w14:textFill>
                  <w14:solidFill>
                    <w14:schemeClr w14:val="tx1"/>
                  </w14:solidFill>
                </w14:textFill>
              </w:rPr>
              <w:t>6-20</w:t>
            </w:r>
            <w:bookmarkEnd w:id="130"/>
          </w:p>
        </w:tc>
        <w:tc>
          <w:tcPr>
            <w:tcW w:w="73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14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c>
          <w:tcPr>
            <w:tcW w:w="36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73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r>
    </w:tbl>
    <w:p>
      <w:pPr>
        <w:rPr>
          <w:rFonts w:ascii="Times New Roman" w:hAnsi="Times New Roman" w:eastAsia="黑体" w:cs="Times New Roman"/>
          <w:b/>
          <w:color w:val="000000" w:themeColor="text1"/>
          <w:sz w:val="30"/>
          <w:szCs w:val="30"/>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r>
        <w:rPr>
          <w:rFonts w:ascii="Times New Roman" w:hAnsi="Times New Roman" w:cs="Times New Roman"/>
          <w:color w:val="000000" w:themeColor="text1"/>
          <w:sz w:val="24"/>
          <w14:textFill>
            <w14:solidFill>
              <w14:schemeClr w14:val="tx1"/>
            </w14:solidFill>
          </w14:textFill>
        </w:rPr>
        <w:t>项目地下水环境现状调查评价范围为</w:t>
      </w:r>
      <w:r>
        <w:rPr>
          <w:rFonts w:hint="eastAsia" w:ascii="Times New Roman" w:hAnsi="Times New Roman" w:cs="Times New Roman"/>
          <w:color w:val="000000" w:themeColor="text1"/>
          <w:sz w:val="24"/>
          <w14:textFill>
            <w14:solidFill>
              <w14:schemeClr w14:val="tx1"/>
            </w14:solidFill>
          </w14:textFill>
        </w:rPr>
        <w:t>：以项目区为中心，地下水流向上游3km，下游3km，两侧外扩10km的矩形区域以及管线两</w:t>
      </w:r>
      <w:bookmarkStart w:id="131" w:name="_Toc401859672"/>
      <w:bookmarkStart w:id="132" w:name="_Toc401913106"/>
      <w:bookmarkStart w:id="133" w:name="_Toc401860368"/>
      <w:r>
        <w:rPr>
          <w:color w:val="000000" w:themeColor="text1"/>
          <w14:textFill>
            <w14:solidFill>
              <w14:schemeClr w14:val="tx1"/>
            </w14:solidFill>
          </w14:textFill>
        </w:rPr>
        <w:drawing>
          <wp:anchor distT="0" distB="0" distL="114300" distR="114300" simplePos="0" relativeHeight="251704320" behindDoc="0" locked="0" layoutInCell="1" allowOverlap="1">
            <wp:simplePos x="0" y="0"/>
            <wp:positionH relativeFrom="column">
              <wp:posOffset>2858135</wp:posOffset>
            </wp:positionH>
            <wp:positionV relativeFrom="paragraph">
              <wp:posOffset>2947035</wp:posOffset>
            </wp:positionV>
            <wp:extent cx="114935" cy="115570"/>
            <wp:effectExtent l="0" t="0" r="18415" b="17780"/>
            <wp:wrapNone/>
            <wp:docPr id="273" name="图片 2" descr="噪声监测点"/>
            <wp:cNvGraphicFramePr/>
            <a:graphic xmlns:a="http://schemas.openxmlformats.org/drawingml/2006/main">
              <a:graphicData uri="http://schemas.openxmlformats.org/drawingml/2006/picture">
                <pic:pic xmlns:pic="http://schemas.openxmlformats.org/drawingml/2006/picture">
                  <pic:nvPicPr>
                    <pic:cNvPr id="273" name="图片 2" descr="噪声监测点"/>
                    <pic:cNvPicPr/>
                  </pic:nvPicPr>
                  <pic:blipFill>
                    <a:blip r:embed="rId12"/>
                    <a:srcRect l="29650" t="21429" r="32385" b="25595"/>
                    <a:stretch>
                      <a:fillRect/>
                    </a:stretch>
                  </pic:blipFill>
                  <pic:spPr>
                    <a:xfrm>
                      <a:off x="0" y="0"/>
                      <a:ext cx="114935" cy="115570"/>
                    </a:xfrm>
                    <a:prstGeom prst="ellipse">
                      <a:avLst/>
                    </a:prstGeom>
                    <a:noFill/>
                    <a:ln>
                      <a:noFill/>
                    </a:ln>
                  </pic:spPr>
                </pic:pic>
              </a:graphicData>
            </a:graphic>
          </wp:anchor>
        </w:drawing>
      </w:r>
      <w:r>
        <w:rPr>
          <w:color w:val="000000" w:themeColor="text1"/>
          <w:sz w:val="2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3779520</wp:posOffset>
                </wp:positionH>
                <wp:positionV relativeFrom="paragraph">
                  <wp:posOffset>2508250</wp:posOffset>
                </wp:positionV>
                <wp:extent cx="403225" cy="271145"/>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403225"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6pt;margin-top:197.5pt;height:21.35pt;width:31.75pt;z-index:251697152;mso-width-relative:page;mso-height-relative:page;" filled="f" stroked="f" coordsize="21600,21600" o:gfxdata="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SNqPPdAAAACwEAAA8AAAAAAAAAAQAgAAAAIgAAAGRycy9kb3ducmV2LnhtbFBLAQIUABQAAAAI&#10;AIdO4kAObR/OIQIAABsEAAAOAAAAAAAAAAEAIAAAACwBAABkcnMvZTJvRG9jLnhtbFBLBQYAAAAA&#10;BgAGAFkBAAC/BQAAAAA=&#10;">
                <v:fill on="f" focussize="0,0"/>
                <v:stroke on="f" weight="0.5pt"/>
                <v:imagedata o:title=""/>
                <o:lock v:ext="edit" aspectratio="f"/>
                <v:textbo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N9</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2661920</wp:posOffset>
                </wp:positionH>
                <wp:positionV relativeFrom="paragraph">
                  <wp:posOffset>3740150</wp:posOffset>
                </wp:positionV>
                <wp:extent cx="403225" cy="271145"/>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403225"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6pt;margin-top:294.5pt;height:21.35pt;width:31.75pt;z-index:251698176;mso-width-relative:page;mso-height-relative:page;" filled="f" stroked="f" coordsize="21600,21600" o:gfxdata="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lQahTdAAAACwEAAA8AAAAAAAAAAQAgAAAAIgAAAGRycy9kb3ducmV2LnhtbFBLAQIUABQAAAAI&#10;AIdO4kCtQ1dMIQIAABsEAAAOAAAAAAAAAAEAIAAAACwBAABkcnMvZTJvRG9jLnhtbFBLBQYAAAAA&#10;BgAGAFkBAAC/BQAAAAA=&#10;">
                <v:fill on="f" focussize="0,0"/>
                <v:stroke on="f" weight="0.5pt"/>
                <v:imagedata o:title=""/>
                <o:lock v:ext="edit" aspectratio="f"/>
                <v:textbo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N8</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4723130</wp:posOffset>
                </wp:positionH>
                <wp:positionV relativeFrom="paragraph">
                  <wp:posOffset>2680970</wp:posOffset>
                </wp:positionV>
                <wp:extent cx="403225" cy="271145"/>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403225"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11.1pt;height:21.35pt;width:31.75pt;z-index:251696128;mso-width-relative:page;mso-height-relative:page;" filled="f" stroked="f" coordsize="21600,21600" o:gfxdata="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3iGVzdAAAACwEAAA8AAAAAAAAAAQAgAAAAIgAAAGRycy9kb3ducmV2LnhtbFBLAQIUABQAAAAI&#10;AIdO4kCDYgf4IQIAABsEAAAOAAAAAAAAAAEAIAAAACwBAABkcnMvZTJvRG9jLnhtbFBLBQYAAAAA&#10;BgAGAFkBAAC/BQAAAAA=&#10;">
                <v:fill on="f" focussize="0,0"/>
                <v:stroke on="f" weight="0.5pt"/>
                <v:imagedata o:title=""/>
                <o:lock v:ext="edit" aspectratio="f"/>
                <v:textbo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N7</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5241925</wp:posOffset>
                </wp:positionH>
                <wp:positionV relativeFrom="paragraph">
                  <wp:posOffset>3145155</wp:posOffset>
                </wp:positionV>
                <wp:extent cx="403225" cy="271145"/>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403225"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75pt;margin-top:247.65pt;height:21.35pt;width:31.75pt;z-index:251693056;mso-width-relative:page;mso-height-relative:page;" filled="f" stroked="f" coordsize="21600,21600" o:gfxdata="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tTkG9wAAAALAQAADwAAAAAAAAABACAAAAAiAAAAZHJzL2Rvd25yZXYueG1sUEsBAhQAFAAAAAgA&#10;h07iQHLXQoEhAgAAGwQAAA4AAAAAAAAAAQAgAAAAKwEAAGRycy9lMm9Eb2MueG1sUEsFBgAAAAAG&#10;AAYAWQEAAL4FAAAAAA==&#10;">
                <v:fill on="f" focussize="0,0"/>
                <v:stroke on="f" weight="0.5pt"/>
                <v:imagedata o:title=""/>
                <o:lock v:ext="edit" aspectratio="f"/>
                <v:textbo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N4</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1022350</wp:posOffset>
                </wp:positionH>
                <wp:positionV relativeFrom="paragraph">
                  <wp:posOffset>2005330</wp:posOffset>
                </wp:positionV>
                <wp:extent cx="403225" cy="271145"/>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403225"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157.9pt;height:21.35pt;width:31.75pt;z-index:251689984;mso-width-relative:page;mso-height-relative:page;" filled="f" stroked="f" coordsize="21600,21600" o:gfxdata="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7&#10;IWCO2wAAAAsBAAAPAAAAAAAAAAEAIAAAACIAAABkcnMvZG93bnJldi54bWxQSwECFAAUAAAACACH&#10;TuJAy+Y6byECAAAbBAAADgAAAAAAAAABACAAAAAqAQAAZHJzL2Uyb0RvYy54bWxQSwUGAAAAAAYA&#10;BgBZAQAAvQUAAAAA&#10;">
                <v:fill on="f" focussize="0,0"/>
                <v:stroke on="f" weight="0.5pt"/>
                <v:imagedata o:title=""/>
                <o:lock v:ext="edit" aspectratio="f"/>
                <v:textbo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N1</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3284220</wp:posOffset>
                </wp:positionH>
                <wp:positionV relativeFrom="paragraph">
                  <wp:posOffset>1544955</wp:posOffset>
                </wp:positionV>
                <wp:extent cx="403225" cy="27114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403225"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6pt;margin-top:121.65pt;height:21.35pt;width:31.75pt;z-index:251695104;mso-width-relative:page;mso-height-relative:page;" filled="f" stroked="f" coordsize="21600,21600" o:gfxdata="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c5zhNsAAAALAQAADwAAAAAAAAABACAAAAAiAAAAZHJzL2Rvd25yZXYueG1sUEsBAhQAFAAAAAgA&#10;h07iQEGyw4YiAgAAGwQAAA4AAAAAAAAAAQAgAAAAKgEAAGRycy9lMm9Eb2MueG1sUEsFBgAAAAAG&#10;AAYAWQEAAL4FAAAAAA==&#10;">
                <v:fill on="f" focussize="0,0"/>
                <v:stroke on="f" weight="0.5pt"/>
                <v:imagedata o:title=""/>
                <o:lock v:ext="edit" aspectratio="f"/>
                <v:textbo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N6</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5156200</wp:posOffset>
                </wp:positionH>
                <wp:positionV relativeFrom="paragraph">
                  <wp:posOffset>2098675</wp:posOffset>
                </wp:positionV>
                <wp:extent cx="403225" cy="271145"/>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403225"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pt;margin-top:165.25pt;height:21.35pt;width:31.75pt;z-index:251694080;mso-width-relative:page;mso-height-relative:page;" filled="f" stroked="f" coordsize="21600,21600" o:gfxdata="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M/KK3AAAAAsBAAAPAAAAAAAAAAEAIAAAACIAAABkcnMvZG93bnJldi54bWxQSwECFAAUAAAACACH&#10;TuJAmX03lCACAAAbBAAADgAAAAAAAAABACAAAAArAQAAZHJzL2Uyb0RvYy54bWxQSwUGAAAAAAYA&#10;BgBZAQAAvQUAAAAA&#10;">
                <v:fill on="f" focussize="0,0"/>
                <v:stroke on="f" weight="0.5pt"/>
                <v:imagedata o:title=""/>
                <o:lock v:ext="edit" aspectratio="f"/>
                <v:textbo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N5</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3962400</wp:posOffset>
                </wp:positionH>
                <wp:positionV relativeFrom="paragraph">
                  <wp:posOffset>1929130</wp:posOffset>
                </wp:positionV>
                <wp:extent cx="403225" cy="271145"/>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403225"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pt;margin-top:151.9pt;height:21.35pt;width:31.75pt;z-index:251692032;mso-width-relative:page;mso-height-relative:page;" filled="f" stroked="f" coordsize="21600,21600" o:gfxdata="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oHr43AAAAAsBAAAPAAAAAAAAAAEAIAAAACIAAABkcnMvZG93bnJldi54bWxQSwECFAAUAAAACACH&#10;TuJAIExPeiACAAAbBAAADgAAAAAAAAABACAAAAArAQAAZHJzL2Uyb0RvYy54bWxQSwUGAAAAAAYA&#10;BgBZAQAAvQUAAAAA&#10;">
                <v:fill on="f" focussize="0,0"/>
                <v:stroke on="f" weight="0.5pt"/>
                <v:imagedata o:title=""/>
                <o:lock v:ext="edit" aspectratio="f"/>
                <v:textbo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N3</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2849245</wp:posOffset>
                </wp:positionH>
                <wp:positionV relativeFrom="paragraph">
                  <wp:posOffset>2983230</wp:posOffset>
                </wp:positionV>
                <wp:extent cx="403225" cy="27114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403225"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35pt;margin-top:234.9pt;height:21.35pt;width:31.75pt;z-index:251691008;mso-width-relative:page;mso-height-relative:page;" filled="f" stroked="f" coordsize="21600,21600" o:gfxdata="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W7fw2wAAAAsBAAAPAAAAAAAAAAEAIAAAACIAAABkcnMvZG93bnJldi54bWxQSwECFAAUAAAACACH&#10;TuJAt1xnICECAAAbBAAADgAAAAAAAAABACAAAAAqAQAAZHJzL2Uyb0RvYy54bWxQSwUGAAAAAAYA&#10;BgBZAQAAvQUAAAAA&#10;">
                <v:fill on="f" focussize="0,0"/>
                <v:stroke on="f" weight="0.5pt"/>
                <v:imagedata o:title=""/>
                <o:lock v:ext="edit" aspectratio="f"/>
                <v:textbox>
                  <w:txbxContent>
                    <w:p>
                      <w:pPr>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N2</w:t>
                      </w:r>
                    </w:p>
                  </w:txbxContent>
                </v:textbox>
              </v:shape>
            </w:pict>
          </mc:Fallback>
        </mc:AlternateContent>
      </w:r>
      <w:r>
        <w:rPr>
          <w:color w:val="000000" w:themeColor="text1"/>
          <w14:textFill>
            <w14:solidFill>
              <w14:schemeClr w14:val="tx1"/>
            </w14:solidFill>
          </w14:textFill>
        </w:rPr>
        <w:drawing>
          <wp:anchor distT="0" distB="0" distL="114300" distR="114300" simplePos="0" relativeHeight="251688960" behindDoc="0" locked="0" layoutInCell="1" allowOverlap="1">
            <wp:simplePos x="0" y="0"/>
            <wp:positionH relativeFrom="column">
              <wp:posOffset>4104640</wp:posOffset>
            </wp:positionH>
            <wp:positionV relativeFrom="paragraph">
              <wp:posOffset>2590165</wp:posOffset>
            </wp:positionV>
            <wp:extent cx="114935" cy="115570"/>
            <wp:effectExtent l="0" t="0" r="18415" b="17780"/>
            <wp:wrapNone/>
            <wp:docPr id="249" name="图片 2" descr="噪声监测点"/>
            <wp:cNvGraphicFramePr/>
            <a:graphic xmlns:a="http://schemas.openxmlformats.org/drawingml/2006/main">
              <a:graphicData uri="http://schemas.openxmlformats.org/drawingml/2006/picture">
                <pic:pic xmlns:pic="http://schemas.openxmlformats.org/drawingml/2006/picture">
                  <pic:nvPicPr>
                    <pic:cNvPr id="249" name="图片 2" descr="噪声监测点"/>
                    <pic:cNvPicPr/>
                  </pic:nvPicPr>
                  <pic:blipFill>
                    <a:blip r:embed="rId12"/>
                    <a:srcRect l="29650" t="21429" r="32385" b="25595"/>
                    <a:stretch>
                      <a:fillRect/>
                    </a:stretch>
                  </pic:blipFill>
                  <pic:spPr>
                    <a:xfrm>
                      <a:off x="0" y="0"/>
                      <a:ext cx="114935" cy="115570"/>
                    </a:xfrm>
                    <a:prstGeom prst="ellipse">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6912" behindDoc="0" locked="0" layoutInCell="1" allowOverlap="1">
            <wp:simplePos x="0" y="0"/>
            <wp:positionH relativeFrom="column">
              <wp:posOffset>2689860</wp:posOffset>
            </wp:positionH>
            <wp:positionV relativeFrom="paragraph">
              <wp:posOffset>3691890</wp:posOffset>
            </wp:positionV>
            <wp:extent cx="114935" cy="115570"/>
            <wp:effectExtent l="0" t="0" r="18415" b="17780"/>
            <wp:wrapNone/>
            <wp:docPr id="253" name="图片 2" descr="噪声监测点"/>
            <wp:cNvGraphicFramePr/>
            <a:graphic xmlns:a="http://schemas.openxmlformats.org/drawingml/2006/main">
              <a:graphicData uri="http://schemas.openxmlformats.org/drawingml/2006/picture">
                <pic:pic xmlns:pic="http://schemas.openxmlformats.org/drawingml/2006/picture">
                  <pic:nvPicPr>
                    <pic:cNvPr id="253" name="图片 2" descr="噪声监测点"/>
                    <pic:cNvPicPr/>
                  </pic:nvPicPr>
                  <pic:blipFill>
                    <a:blip r:embed="rId12"/>
                    <a:srcRect l="29650" t="21429" r="32385" b="25595"/>
                    <a:stretch>
                      <a:fillRect/>
                    </a:stretch>
                  </pic:blipFill>
                  <pic:spPr>
                    <a:xfrm>
                      <a:off x="0" y="0"/>
                      <a:ext cx="114935" cy="115570"/>
                    </a:xfrm>
                    <a:prstGeom prst="ellipse">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7936" behindDoc="0" locked="0" layoutInCell="1" allowOverlap="1">
            <wp:simplePos x="0" y="0"/>
            <wp:positionH relativeFrom="column">
              <wp:posOffset>4683760</wp:posOffset>
            </wp:positionH>
            <wp:positionV relativeFrom="paragraph">
              <wp:posOffset>2741295</wp:posOffset>
            </wp:positionV>
            <wp:extent cx="114935" cy="115570"/>
            <wp:effectExtent l="0" t="0" r="18415" b="17780"/>
            <wp:wrapNone/>
            <wp:docPr id="255" name="图片 2" descr="噪声监测点"/>
            <wp:cNvGraphicFramePr/>
            <a:graphic xmlns:a="http://schemas.openxmlformats.org/drawingml/2006/main">
              <a:graphicData uri="http://schemas.openxmlformats.org/drawingml/2006/picture">
                <pic:pic xmlns:pic="http://schemas.openxmlformats.org/drawingml/2006/picture">
                  <pic:nvPicPr>
                    <pic:cNvPr id="255" name="图片 2" descr="噪声监测点"/>
                    <pic:cNvPicPr/>
                  </pic:nvPicPr>
                  <pic:blipFill>
                    <a:blip r:embed="rId12"/>
                    <a:srcRect l="29650" t="21429" r="32385" b="25595"/>
                    <a:stretch>
                      <a:fillRect/>
                    </a:stretch>
                  </pic:blipFill>
                  <pic:spPr>
                    <a:xfrm>
                      <a:off x="0" y="0"/>
                      <a:ext cx="114935" cy="115570"/>
                    </a:xfrm>
                    <a:prstGeom prst="ellipse">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2816" behindDoc="0" locked="0" layoutInCell="1" allowOverlap="1">
            <wp:simplePos x="0" y="0"/>
            <wp:positionH relativeFrom="column">
              <wp:posOffset>3364230</wp:posOffset>
            </wp:positionH>
            <wp:positionV relativeFrom="paragraph">
              <wp:posOffset>1469390</wp:posOffset>
            </wp:positionV>
            <wp:extent cx="114935" cy="115570"/>
            <wp:effectExtent l="0" t="0" r="18415" b="17780"/>
            <wp:wrapNone/>
            <wp:docPr id="256" name="图片 2" descr="噪声监测点"/>
            <wp:cNvGraphicFramePr/>
            <a:graphic xmlns:a="http://schemas.openxmlformats.org/drawingml/2006/main">
              <a:graphicData uri="http://schemas.openxmlformats.org/drawingml/2006/picture">
                <pic:pic xmlns:pic="http://schemas.openxmlformats.org/drawingml/2006/picture">
                  <pic:nvPicPr>
                    <pic:cNvPr id="256" name="图片 2" descr="噪声监测点"/>
                    <pic:cNvPicPr/>
                  </pic:nvPicPr>
                  <pic:blipFill>
                    <a:blip r:embed="rId12"/>
                    <a:srcRect l="29650" t="21429" r="32385" b="25595"/>
                    <a:stretch>
                      <a:fillRect/>
                    </a:stretch>
                  </pic:blipFill>
                  <pic:spPr>
                    <a:xfrm>
                      <a:off x="0" y="0"/>
                      <a:ext cx="114935" cy="115570"/>
                    </a:xfrm>
                    <a:prstGeom prst="ellipse">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3840" behindDoc="0" locked="0" layoutInCell="1" allowOverlap="1">
            <wp:simplePos x="0" y="0"/>
            <wp:positionH relativeFrom="column">
              <wp:posOffset>5238750</wp:posOffset>
            </wp:positionH>
            <wp:positionV relativeFrom="paragraph">
              <wp:posOffset>1995170</wp:posOffset>
            </wp:positionV>
            <wp:extent cx="114935" cy="115570"/>
            <wp:effectExtent l="0" t="0" r="18415" b="17780"/>
            <wp:wrapNone/>
            <wp:docPr id="261" name="图片 2" descr="噪声监测点"/>
            <wp:cNvGraphicFramePr/>
            <a:graphic xmlns:a="http://schemas.openxmlformats.org/drawingml/2006/main">
              <a:graphicData uri="http://schemas.openxmlformats.org/drawingml/2006/picture">
                <pic:pic xmlns:pic="http://schemas.openxmlformats.org/drawingml/2006/picture">
                  <pic:nvPicPr>
                    <pic:cNvPr id="261" name="图片 2" descr="噪声监测点"/>
                    <pic:cNvPicPr/>
                  </pic:nvPicPr>
                  <pic:blipFill>
                    <a:blip r:embed="rId12"/>
                    <a:srcRect l="29650" t="21429" r="32385" b="25595"/>
                    <a:stretch>
                      <a:fillRect/>
                    </a:stretch>
                  </pic:blipFill>
                  <pic:spPr>
                    <a:xfrm>
                      <a:off x="0" y="0"/>
                      <a:ext cx="114935" cy="115570"/>
                    </a:xfrm>
                    <a:prstGeom prst="ellipse">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4864" behindDoc="0" locked="0" layoutInCell="1" allowOverlap="1">
            <wp:simplePos x="0" y="0"/>
            <wp:positionH relativeFrom="column">
              <wp:posOffset>5184775</wp:posOffset>
            </wp:positionH>
            <wp:positionV relativeFrom="paragraph">
              <wp:posOffset>3211195</wp:posOffset>
            </wp:positionV>
            <wp:extent cx="114935" cy="115570"/>
            <wp:effectExtent l="0" t="0" r="18415" b="17780"/>
            <wp:wrapNone/>
            <wp:docPr id="262" name="图片 2" descr="噪声监测点"/>
            <wp:cNvGraphicFramePr/>
            <a:graphic xmlns:a="http://schemas.openxmlformats.org/drawingml/2006/main">
              <a:graphicData uri="http://schemas.openxmlformats.org/drawingml/2006/picture">
                <pic:pic xmlns:pic="http://schemas.openxmlformats.org/drawingml/2006/picture">
                  <pic:nvPicPr>
                    <pic:cNvPr id="262" name="图片 2" descr="噪声监测点"/>
                    <pic:cNvPicPr/>
                  </pic:nvPicPr>
                  <pic:blipFill>
                    <a:blip r:embed="rId12"/>
                    <a:srcRect l="29650" t="21429" r="32385" b="25595"/>
                    <a:stretch>
                      <a:fillRect/>
                    </a:stretch>
                  </pic:blipFill>
                  <pic:spPr>
                    <a:xfrm>
                      <a:off x="0" y="0"/>
                      <a:ext cx="114935" cy="115570"/>
                    </a:xfrm>
                    <a:prstGeom prst="ellipse">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5888" behindDoc="0" locked="0" layoutInCell="1" allowOverlap="1">
            <wp:simplePos x="0" y="0"/>
            <wp:positionH relativeFrom="column">
              <wp:posOffset>3900805</wp:posOffset>
            </wp:positionH>
            <wp:positionV relativeFrom="paragraph">
              <wp:posOffset>2030095</wp:posOffset>
            </wp:positionV>
            <wp:extent cx="114935" cy="115570"/>
            <wp:effectExtent l="0" t="0" r="18415" b="17780"/>
            <wp:wrapNone/>
            <wp:docPr id="264" name="图片 2" descr="噪声监测点"/>
            <wp:cNvGraphicFramePr/>
            <a:graphic xmlns:a="http://schemas.openxmlformats.org/drawingml/2006/main">
              <a:graphicData uri="http://schemas.openxmlformats.org/drawingml/2006/picture">
                <pic:pic xmlns:pic="http://schemas.openxmlformats.org/drawingml/2006/picture">
                  <pic:nvPicPr>
                    <pic:cNvPr id="264" name="图片 2" descr="噪声监测点"/>
                    <pic:cNvPicPr/>
                  </pic:nvPicPr>
                  <pic:blipFill>
                    <a:blip r:embed="rId12"/>
                    <a:srcRect l="29650" t="21429" r="32385" b="25595"/>
                    <a:stretch>
                      <a:fillRect/>
                    </a:stretch>
                  </pic:blipFill>
                  <pic:spPr>
                    <a:xfrm>
                      <a:off x="0" y="0"/>
                      <a:ext cx="114935" cy="115570"/>
                    </a:xfrm>
                    <a:prstGeom prst="ellipse">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2816" behindDoc="0" locked="0" layoutInCell="1" allowOverlap="1">
            <wp:simplePos x="0" y="0"/>
            <wp:positionH relativeFrom="column">
              <wp:posOffset>1338580</wp:posOffset>
            </wp:positionH>
            <wp:positionV relativeFrom="paragraph">
              <wp:posOffset>2047240</wp:posOffset>
            </wp:positionV>
            <wp:extent cx="114935" cy="115570"/>
            <wp:effectExtent l="0" t="0" r="18415" b="17780"/>
            <wp:wrapNone/>
            <wp:docPr id="267" name="图片 2" descr="噪声监测点"/>
            <wp:cNvGraphicFramePr/>
            <a:graphic xmlns:a="http://schemas.openxmlformats.org/drawingml/2006/main">
              <a:graphicData uri="http://schemas.openxmlformats.org/drawingml/2006/picture">
                <pic:pic xmlns:pic="http://schemas.openxmlformats.org/drawingml/2006/picture">
                  <pic:nvPicPr>
                    <pic:cNvPr id="267" name="图片 2" descr="噪声监测点"/>
                    <pic:cNvPicPr/>
                  </pic:nvPicPr>
                  <pic:blipFill>
                    <a:blip r:embed="rId12"/>
                    <a:srcRect l="29650" t="21429" r="32385" b="25595"/>
                    <a:stretch>
                      <a:fillRect/>
                    </a:stretch>
                  </pic:blipFill>
                  <pic:spPr>
                    <a:xfrm>
                      <a:off x="0" y="0"/>
                      <a:ext cx="114935" cy="115570"/>
                    </a:xfrm>
                    <a:prstGeom prst="ellipse">
                      <a:avLst/>
                    </a:prstGeom>
                    <a:noFill/>
                    <a:ln>
                      <a:noFill/>
                    </a:ln>
                  </pic:spPr>
                </pic:pic>
              </a:graphicData>
            </a:graphic>
          </wp:anchor>
        </w:drawing>
      </w:r>
      <w:r>
        <w:rPr>
          <w:color w:val="000000" w:themeColor="text1"/>
          <w:sz w:val="2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-255270</wp:posOffset>
                </wp:positionH>
                <wp:positionV relativeFrom="paragraph">
                  <wp:posOffset>5322570</wp:posOffset>
                </wp:positionV>
                <wp:extent cx="9405620" cy="313055"/>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9405620" cy="313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w:t>
                            </w:r>
                            <w:r>
                              <w:rPr>
                                <w:rFonts w:hint="eastAsia" w:ascii="Times New Roman" w:hAnsi="Times New Roman" w:eastAsia="宋体" w:cs="Times New Roman"/>
                                <w:b/>
                                <w:bCs/>
                                <w:sz w:val="21"/>
                                <w:szCs w:val="21"/>
                                <w:lang w:val="en-US" w:eastAsia="zh-CN"/>
                              </w:rPr>
                              <w:t>2.5-3</w:t>
                            </w:r>
                            <w:r>
                              <w:rPr>
                                <w:rFonts w:hint="default" w:ascii="Times New Roman" w:hAnsi="Times New Roman" w:eastAsia="宋体" w:cs="Times New Roman"/>
                                <w:b/>
                                <w:bCs/>
                                <w:sz w:val="21"/>
                                <w:szCs w:val="21"/>
                                <w:lang w:val="en-US" w:eastAsia="zh-CN"/>
                              </w:rPr>
                              <w:t xml:space="preserve">  </w:t>
                            </w:r>
                            <w:r>
                              <w:rPr>
                                <w:rFonts w:hint="eastAsia" w:ascii="Times New Roman" w:hAnsi="Times New Roman" w:eastAsia="宋体" w:cs="Times New Roman"/>
                                <w:b/>
                                <w:bCs/>
                                <w:sz w:val="21"/>
                                <w:szCs w:val="21"/>
                                <w:lang w:val="en-US" w:eastAsia="zh-CN"/>
                              </w:rPr>
                              <w:t>声环境评价范围图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pt;margin-top:419.1pt;height:24.65pt;width:740.6pt;z-index:251681792;mso-width-relative:page;mso-height-relative:page;" filled="f" stroked="f" coordsize="21600,21600" o:gfxdata="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J&#10;7ffg3AAAAAwBAAAPAAAAAAAAAAEAIAAAACIAAABkcnMvZG93bnJldi54bWxQSwECFAAUAAAACACH&#10;TuJAt1aixyACAAAcBAAADgAAAAAAAAABACAAAAArAQAAZHJzL2Uyb0RvYy54bWxQSwUGAAAAAAYA&#10;BgBZAQAAvQU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w:t>
                      </w:r>
                      <w:r>
                        <w:rPr>
                          <w:rFonts w:hint="eastAsia" w:ascii="Times New Roman" w:hAnsi="Times New Roman" w:eastAsia="宋体" w:cs="Times New Roman"/>
                          <w:b/>
                          <w:bCs/>
                          <w:sz w:val="21"/>
                          <w:szCs w:val="21"/>
                          <w:lang w:val="en-US" w:eastAsia="zh-CN"/>
                        </w:rPr>
                        <w:t>2.5-3</w:t>
                      </w:r>
                      <w:r>
                        <w:rPr>
                          <w:rFonts w:hint="default" w:ascii="Times New Roman" w:hAnsi="Times New Roman" w:eastAsia="宋体" w:cs="Times New Roman"/>
                          <w:b/>
                          <w:bCs/>
                          <w:sz w:val="21"/>
                          <w:szCs w:val="21"/>
                          <w:lang w:val="en-US" w:eastAsia="zh-CN"/>
                        </w:rPr>
                        <w:t xml:space="preserve">  </w:t>
                      </w:r>
                      <w:r>
                        <w:rPr>
                          <w:rFonts w:hint="eastAsia" w:ascii="Times New Roman" w:hAnsi="Times New Roman" w:eastAsia="宋体" w:cs="Times New Roman"/>
                          <w:b/>
                          <w:bCs/>
                          <w:sz w:val="21"/>
                          <w:szCs w:val="21"/>
                          <w:lang w:val="en-US" w:eastAsia="zh-CN"/>
                        </w:rPr>
                        <w:t>声环境评价范围图</w:t>
                      </w:r>
                    </w:p>
                  </w:txbxContent>
                </v:textbox>
              </v:shape>
            </w:pict>
          </mc:Fallback>
        </mc:AlternateContent>
      </w:r>
      <w:r>
        <w:rPr>
          <w:color w:val="000000" w:themeColor="text1"/>
          <w:sz w:val="21"/>
          <w14:textFill>
            <w14:solidFill>
              <w14:schemeClr w14:val="tx1"/>
            </w14:solidFill>
          </w14:textFill>
        </w:rPr>
        <mc:AlternateContent>
          <mc:Choice Requires="wpg">
            <w:drawing>
              <wp:anchor distT="0" distB="0" distL="114300" distR="114300" simplePos="0" relativeHeight="251680768" behindDoc="0" locked="0" layoutInCell="1" allowOverlap="1">
                <wp:simplePos x="0" y="0"/>
                <wp:positionH relativeFrom="column">
                  <wp:posOffset>7726045</wp:posOffset>
                </wp:positionH>
                <wp:positionV relativeFrom="paragraph">
                  <wp:posOffset>3196590</wp:posOffset>
                </wp:positionV>
                <wp:extent cx="1407795" cy="2123440"/>
                <wp:effectExtent l="4445" t="4445" r="16510" b="5715"/>
                <wp:wrapNone/>
                <wp:docPr id="271" name="组合 271"/>
                <wp:cNvGraphicFramePr/>
                <a:graphic xmlns:a="http://schemas.openxmlformats.org/drawingml/2006/main">
                  <a:graphicData uri="http://schemas.microsoft.com/office/word/2010/wordprocessingGroup">
                    <wpg:wgp>
                      <wpg:cNvGrpSpPr/>
                      <wpg:grpSpPr>
                        <a:xfrm>
                          <a:off x="0" y="0"/>
                          <a:ext cx="1407795" cy="2123440"/>
                          <a:chOff x="15524" y="36606"/>
                          <a:chExt cx="2217" cy="3344"/>
                        </a:xfrm>
                      </wpg:grpSpPr>
                      <wps:wsp>
                        <wps:cNvPr id="293" name="文本框 116"/>
                        <wps:cNvSpPr txBox="1"/>
                        <wps:spPr>
                          <a:xfrm>
                            <a:off x="15524" y="36606"/>
                            <a:ext cx="2217" cy="334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b/>
                                  <w:bCs/>
                                  <w:sz w:val="21"/>
                                  <w:szCs w:val="21"/>
                                  <w:lang w:val="en-US" w:eastAsia="zh-CN"/>
                                </w:rPr>
                              </w:pPr>
                              <w:r>
                                <w:rPr>
                                  <w:rFonts w:hint="eastAsia"/>
                                  <w:b/>
                                  <w:bCs/>
                                  <w:sz w:val="21"/>
                                  <w:szCs w:val="21"/>
                                  <w:lang w:val="en-US" w:eastAsia="zh-CN"/>
                                </w:rPr>
                                <w:t>图 例</w:t>
                              </w:r>
                            </w:p>
                            <w:p>
                              <w:pPr>
                                <w:spacing w:line="360" w:lineRule="auto"/>
                                <w:rPr>
                                  <w:rFonts w:hint="eastAsia"/>
                                  <w:sz w:val="21"/>
                                  <w:szCs w:val="21"/>
                                  <w:lang w:val="en-US" w:eastAsia="zh-CN"/>
                                </w:rPr>
                              </w:pPr>
                              <w:r>
                                <w:rPr>
                                  <w:rFonts w:hint="eastAsia"/>
                                  <w:sz w:val="21"/>
                                  <w:szCs w:val="21"/>
                                  <w:lang w:val="en-US" w:eastAsia="zh-CN"/>
                                </w:rPr>
                                <w:drawing>
                                  <wp:inline distT="0" distB="0" distL="114300" distR="114300">
                                    <wp:extent cx="130175" cy="144145"/>
                                    <wp:effectExtent l="0" t="0" r="3175" b="8255"/>
                                    <wp:docPr id="274" name="图片 274" descr="173139812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1731398120621"/>
                                            <pic:cNvPicPr>
                                              <a:picLocks noChangeAspect="1"/>
                                            </pic:cNvPicPr>
                                          </pic:nvPicPr>
                                          <pic:blipFill>
                                            <a:blip r:embed="rId13"/>
                                            <a:stretch>
                                              <a:fillRect/>
                                            </a:stretch>
                                          </pic:blipFill>
                                          <pic:spPr>
                                            <a:xfrm>
                                              <a:off x="0" y="0"/>
                                              <a:ext cx="130175" cy="144145"/>
                                            </a:xfrm>
                                            <a:prstGeom prst="rect">
                                              <a:avLst/>
                                            </a:prstGeom>
                                          </pic:spPr>
                                        </pic:pic>
                                      </a:graphicData>
                                    </a:graphic>
                                  </wp:inline>
                                </w:drawing>
                              </w:r>
                              <w:r>
                                <w:rPr>
                                  <w:rFonts w:hint="eastAsia"/>
                                  <w:sz w:val="21"/>
                                  <w:szCs w:val="21"/>
                                  <w:lang w:val="en-US" w:eastAsia="zh-CN"/>
                                </w:rPr>
                                <w:t>拟部署采油井</w:t>
                              </w:r>
                            </w:p>
                            <w:p>
                              <w:pPr>
                                <w:spacing w:line="360" w:lineRule="auto"/>
                                <w:rPr>
                                  <w:rFonts w:hint="eastAsia"/>
                                  <w:sz w:val="21"/>
                                  <w:szCs w:val="21"/>
                                  <w:lang w:val="en-US" w:eastAsia="zh-CN"/>
                                </w:rPr>
                              </w:pPr>
                              <w:r>
                                <w:rPr>
                                  <w:rFonts w:hint="eastAsia"/>
                                  <w:sz w:val="21"/>
                                  <w:szCs w:val="21"/>
                                  <w:lang w:val="en-US" w:eastAsia="zh-CN"/>
                                </w:rPr>
                                <w:drawing>
                                  <wp:inline distT="0" distB="0" distL="114300" distR="114300">
                                    <wp:extent cx="137795" cy="137795"/>
                                    <wp:effectExtent l="0" t="0" r="14605" b="14605"/>
                                    <wp:docPr id="146" name="图片 146" descr="1731398156859"/>
                                    <wp:cNvGraphicFramePr/>
                                    <a:graphic xmlns:a="http://schemas.openxmlformats.org/drawingml/2006/main">
                                      <a:graphicData uri="http://schemas.openxmlformats.org/drawingml/2006/picture">
                                        <pic:pic xmlns:pic="http://schemas.openxmlformats.org/drawingml/2006/picture">
                                          <pic:nvPicPr>
                                            <pic:cNvPr id="146" name="图片 146" descr="1731398156859"/>
                                            <pic:cNvPicPr/>
                                          </pic:nvPicPr>
                                          <pic:blipFill>
                                            <a:blip r:embed="rId14"/>
                                            <a:stretch>
                                              <a:fillRect/>
                                            </a:stretch>
                                          </pic:blipFill>
                                          <pic:spPr>
                                            <a:xfrm>
                                              <a:off x="0" y="0"/>
                                              <a:ext cx="137795" cy="137795"/>
                                            </a:xfrm>
                                            <a:prstGeom prst="rect">
                                              <a:avLst/>
                                            </a:prstGeom>
                                          </pic:spPr>
                                        </pic:pic>
                                      </a:graphicData>
                                    </a:graphic>
                                  </wp:inline>
                                </w:drawing>
                              </w:r>
                              <w:r>
                                <w:rPr>
                                  <w:rFonts w:hint="eastAsia"/>
                                  <w:sz w:val="21"/>
                                  <w:szCs w:val="21"/>
                                  <w:lang w:val="en-US" w:eastAsia="zh-CN"/>
                                </w:rPr>
                                <w:t>老井转注</w:t>
                              </w:r>
                            </w:p>
                            <w:p>
                              <w:pPr>
                                <w:spacing w:line="360" w:lineRule="auto"/>
                                <w:rPr>
                                  <w:rFonts w:hint="default"/>
                                  <w:sz w:val="21"/>
                                  <w:szCs w:val="21"/>
                                  <w:lang w:val="en-US" w:eastAsia="zh-CN"/>
                                </w:rPr>
                              </w:pPr>
                              <w:r>
                                <w:rPr>
                                  <w:rFonts w:hint="eastAsia"/>
                                  <w:sz w:val="21"/>
                                  <w:szCs w:val="21"/>
                                  <w:lang w:val="en-US" w:eastAsia="zh-CN"/>
                                </w:rPr>
                                <w:drawing>
                                  <wp:inline distT="0" distB="0" distL="114300" distR="114300">
                                    <wp:extent cx="136525" cy="136525"/>
                                    <wp:effectExtent l="0" t="0" r="15875" b="15875"/>
                                    <wp:docPr id="275" name="图片 275" descr="1731398194102"/>
                                    <wp:cNvGraphicFramePr/>
                                    <a:graphic xmlns:a="http://schemas.openxmlformats.org/drawingml/2006/main">
                                      <a:graphicData uri="http://schemas.openxmlformats.org/drawingml/2006/picture">
                                        <pic:pic xmlns:pic="http://schemas.openxmlformats.org/drawingml/2006/picture">
                                          <pic:nvPicPr>
                                            <pic:cNvPr id="275" name="图片 275" descr="1731398194102"/>
                                            <pic:cNvPicPr/>
                                          </pic:nvPicPr>
                                          <pic:blipFill>
                                            <a:blip r:embed="rId15"/>
                                            <a:stretch>
                                              <a:fillRect/>
                                            </a:stretch>
                                          </pic:blipFill>
                                          <pic:spPr>
                                            <a:xfrm>
                                              <a:off x="0" y="0"/>
                                              <a:ext cx="136525" cy="136525"/>
                                            </a:xfrm>
                                            <a:prstGeom prst="rect">
                                              <a:avLst/>
                                            </a:prstGeom>
                                          </pic:spPr>
                                        </pic:pic>
                                      </a:graphicData>
                                    </a:graphic>
                                  </wp:inline>
                                </w:drawing>
                              </w:r>
                              <w:r>
                                <w:rPr>
                                  <w:rFonts w:hint="eastAsia"/>
                                  <w:sz w:val="21"/>
                                  <w:szCs w:val="21"/>
                                  <w:lang w:val="en-US" w:eastAsia="zh-CN"/>
                                </w:rPr>
                                <w:t>新建计量站</w:t>
                              </w:r>
                            </w:p>
                            <w:p>
                              <w:pPr>
                                <w:spacing w:line="360" w:lineRule="auto"/>
                                <w:rPr>
                                  <w:rFonts w:hint="default"/>
                                  <w:sz w:val="21"/>
                                  <w:szCs w:val="21"/>
                                  <w:lang w:val="en-US" w:eastAsia="zh-CN"/>
                                </w:rPr>
                              </w:pPr>
                              <w:r>
                                <w:rPr>
                                  <w:rFonts w:hint="eastAsia"/>
                                  <w:sz w:val="21"/>
                                  <w:szCs w:val="21"/>
                                  <w:lang w:val="en-US" w:eastAsia="zh-CN"/>
                                </w:rPr>
                                <w:drawing>
                                  <wp:inline distT="0" distB="0" distL="114300" distR="114300">
                                    <wp:extent cx="136525" cy="136525"/>
                                    <wp:effectExtent l="0" t="0" r="15875" b="15875"/>
                                    <wp:docPr id="276" name="图片 276" descr="1731398697095"/>
                                    <wp:cNvGraphicFramePr/>
                                    <a:graphic xmlns:a="http://schemas.openxmlformats.org/drawingml/2006/main">
                                      <a:graphicData uri="http://schemas.openxmlformats.org/drawingml/2006/picture">
                                        <pic:pic xmlns:pic="http://schemas.openxmlformats.org/drawingml/2006/picture">
                                          <pic:nvPicPr>
                                            <pic:cNvPr id="276" name="图片 276" descr="1731398697095"/>
                                            <pic:cNvPicPr/>
                                          </pic:nvPicPr>
                                          <pic:blipFill>
                                            <a:blip r:embed="rId16"/>
                                            <a:stretch>
                                              <a:fillRect/>
                                            </a:stretch>
                                          </pic:blipFill>
                                          <pic:spPr>
                                            <a:xfrm>
                                              <a:off x="0" y="0"/>
                                              <a:ext cx="136525" cy="136525"/>
                                            </a:xfrm>
                                            <a:prstGeom prst="rect">
                                              <a:avLst/>
                                            </a:prstGeom>
                                          </pic:spPr>
                                        </pic:pic>
                                      </a:graphicData>
                                    </a:graphic>
                                  </wp:inline>
                                </w:drawing>
                              </w:r>
                              <w:r>
                                <w:rPr>
                                  <w:rFonts w:hint="eastAsia"/>
                                  <w:sz w:val="21"/>
                                  <w:szCs w:val="21"/>
                                  <w:lang w:val="en-US" w:eastAsia="zh-CN"/>
                                </w:rPr>
                                <w:t>新建配水撬</w:t>
                              </w:r>
                            </w:p>
                            <w:p>
                              <w:pPr>
                                <w:spacing w:line="360" w:lineRule="auto"/>
                                <w:rPr>
                                  <w:rFonts w:hint="eastAsia" w:ascii="Times New Roman" w:hAnsi="Times New Roman" w:cs="Times New Roman"/>
                                  <w:lang w:val="en-US" w:eastAsia="zh-CN"/>
                                </w:rPr>
                              </w:pPr>
                              <w:r>
                                <w:drawing>
                                  <wp:inline distT="0" distB="0" distL="114300" distR="114300">
                                    <wp:extent cx="114935" cy="115570"/>
                                    <wp:effectExtent l="0" t="0" r="18415" b="17780"/>
                                    <wp:docPr id="280" name="图片 2" descr="噪声监测点"/>
                                    <wp:cNvGraphicFramePr/>
                                    <a:graphic xmlns:a="http://schemas.openxmlformats.org/drawingml/2006/main">
                                      <a:graphicData uri="http://schemas.openxmlformats.org/drawingml/2006/picture">
                                        <pic:pic xmlns:pic="http://schemas.openxmlformats.org/drawingml/2006/picture">
                                          <pic:nvPicPr>
                                            <pic:cNvPr id="280" name="图片 2" descr="噪声监测点"/>
                                            <pic:cNvPicPr/>
                                          </pic:nvPicPr>
                                          <pic:blipFill>
                                            <a:blip r:embed="rId12"/>
                                            <a:srcRect l="29650" t="21429" r="32385" b="25595"/>
                                            <a:stretch>
                                              <a:fillRect/>
                                            </a:stretch>
                                          </pic:blipFill>
                                          <pic:spPr>
                                            <a:xfrm>
                                              <a:off x="0" y="0"/>
                                              <a:ext cx="114935" cy="115570"/>
                                            </a:xfrm>
                                            <a:prstGeom prst="ellipse">
                                              <a:avLst/>
                                            </a:prstGeom>
                                            <a:noFill/>
                                            <a:ln>
                                              <a:noFill/>
                                            </a:ln>
                                          </pic:spPr>
                                        </pic:pic>
                                      </a:graphicData>
                                    </a:graphic>
                                  </wp:inline>
                                </w:drawing>
                              </w:r>
                              <w:r>
                                <w:rPr>
                                  <w:rFonts w:hint="eastAsia" w:ascii="Times New Roman" w:hAnsi="Times New Roman" w:cs="Times New Roman"/>
                                  <w:lang w:val="en-US" w:eastAsia="zh-CN"/>
                                </w:rPr>
                                <w:t>噪声监测点</w:t>
                              </w:r>
                            </w:p>
                            <w:p>
                              <w:pPr>
                                <w:spacing w:line="360" w:lineRule="auto"/>
                                <w:ind w:firstLine="420" w:firstLineChars="200"/>
                                <w:rPr>
                                  <w:rFonts w:hint="default" w:ascii="Times New Roman" w:hAnsi="Times New Roman" w:cs="Times New Roman"/>
                                  <w:lang w:val="en-US" w:eastAsia="zh-CN"/>
                                </w:rPr>
                              </w:pPr>
                              <w:r>
                                <w:rPr>
                                  <w:rFonts w:hint="eastAsia" w:ascii="Times New Roman" w:hAnsi="Times New Roman" w:cs="Times New Roman"/>
                                  <w:lang w:val="en-US" w:eastAsia="zh-CN"/>
                                </w:rPr>
                                <w:t>声环境评价范围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4" name="矩形 138"/>
                        <wps:cNvSpPr/>
                        <wps:spPr>
                          <a:xfrm>
                            <a:off x="15654" y="39589"/>
                            <a:ext cx="337" cy="212"/>
                          </a:xfrm>
                          <a:prstGeom prst="rect">
                            <a:avLst/>
                          </a:prstGeom>
                          <a:noFill/>
                          <a:ln>
                            <a:solidFill>
                              <a:srgbClr val="1419EC"/>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08.35pt;margin-top:251.7pt;height:167.2pt;width:110.85pt;z-index:251680768;mso-width-relative:page;mso-height-relative:page;" coordorigin="15524,36606" coordsize="2217,3344" o:gfxdata="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WdImg9wAAAANAQAADwAAAAAAAAABACAAAAAiAAAAZHJzL2Rvd25yZXYueG1sUEsBAhQA&#10;FAAAAAgAh07iQLS4aLlEAwAAmQgAAA4AAAAAAAAAAQAgAAAAKwEAAGRycy9lMm9Eb2MueG1sUEsF&#10;BgAAAAAGAAYAWQEAAOEGAAAAAA==&#10;">
                <o:lock v:ext="edit" aspectratio="f"/>
                <v:shape id="文本框 116" o:spid="_x0000_s1026" o:spt="202" type="#_x0000_t202" style="position:absolute;left:15524;top:36606;height:3344;width:2217;" fillcolor="#FFFFFF [3201]" filled="t" stroked="t" coordsize="21600,21600" o:gfxdata="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WXy6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360" w:lineRule="auto"/>
                          <w:jc w:val="center"/>
                          <w:rPr>
                            <w:rFonts w:hint="eastAsia"/>
                            <w:b/>
                            <w:bCs/>
                            <w:sz w:val="21"/>
                            <w:szCs w:val="21"/>
                            <w:lang w:val="en-US" w:eastAsia="zh-CN"/>
                          </w:rPr>
                        </w:pPr>
                        <w:r>
                          <w:rPr>
                            <w:rFonts w:hint="eastAsia"/>
                            <w:b/>
                            <w:bCs/>
                            <w:sz w:val="21"/>
                            <w:szCs w:val="21"/>
                            <w:lang w:val="en-US" w:eastAsia="zh-CN"/>
                          </w:rPr>
                          <w:t>图 例</w:t>
                        </w:r>
                      </w:p>
                      <w:p>
                        <w:pPr>
                          <w:spacing w:line="360" w:lineRule="auto"/>
                          <w:rPr>
                            <w:rFonts w:hint="eastAsia"/>
                            <w:sz w:val="21"/>
                            <w:szCs w:val="21"/>
                            <w:lang w:val="en-US" w:eastAsia="zh-CN"/>
                          </w:rPr>
                        </w:pPr>
                        <w:r>
                          <w:rPr>
                            <w:rFonts w:hint="eastAsia"/>
                            <w:sz w:val="21"/>
                            <w:szCs w:val="21"/>
                            <w:lang w:val="en-US" w:eastAsia="zh-CN"/>
                          </w:rPr>
                          <w:drawing>
                            <wp:inline distT="0" distB="0" distL="114300" distR="114300">
                              <wp:extent cx="130175" cy="144145"/>
                              <wp:effectExtent l="0" t="0" r="3175" b="8255"/>
                              <wp:docPr id="274" name="图片 274" descr="173139812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1731398120621"/>
                                      <pic:cNvPicPr>
                                        <a:picLocks noChangeAspect="1"/>
                                      </pic:cNvPicPr>
                                    </pic:nvPicPr>
                                    <pic:blipFill>
                                      <a:blip r:embed="rId13"/>
                                      <a:stretch>
                                        <a:fillRect/>
                                      </a:stretch>
                                    </pic:blipFill>
                                    <pic:spPr>
                                      <a:xfrm>
                                        <a:off x="0" y="0"/>
                                        <a:ext cx="130175" cy="144145"/>
                                      </a:xfrm>
                                      <a:prstGeom prst="rect">
                                        <a:avLst/>
                                      </a:prstGeom>
                                    </pic:spPr>
                                  </pic:pic>
                                </a:graphicData>
                              </a:graphic>
                            </wp:inline>
                          </w:drawing>
                        </w:r>
                        <w:r>
                          <w:rPr>
                            <w:rFonts w:hint="eastAsia"/>
                            <w:sz w:val="21"/>
                            <w:szCs w:val="21"/>
                            <w:lang w:val="en-US" w:eastAsia="zh-CN"/>
                          </w:rPr>
                          <w:t>拟部署采油井</w:t>
                        </w:r>
                      </w:p>
                      <w:p>
                        <w:pPr>
                          <w:spacing w:line="360" w:lineRule="auto"/>
                          <w:rPr>
                            <w:rFonts w:hint="eastAsia"/>
                            <w:sz w:val="21"/>
                            <w:szCs w:val="21"/>
                            <w:lang w:val="en-US" w:eastAsia="zh-CN"/>
                          </w:rPr>
                        </w:pPr>
                        <w:r>
                          <w:rPr>
                            <w:rFonts w:hint="eastAsia"/>
                            <w:sz w:val="21"/>
                            <w:szCs w:val="21"/>
                            <w:lang w:val="en-US" w:eastAsia="zh-CN"/>
                          </w:rPr>
                          <w:drawing>
                            <wp:inline distT="0" distB="0" distL="114300" distR="114300">
                              <wp:extent cx="137795" cy="137795"/>
                              <wp:effectExtent l="0" t="0" r="14605" b="14605"/>
                              <wp:docPr id="146" name="图片 146" descr="1731398156859"/>
                              <wp:cNvGraphicFramePr/>
                              <a:graphic xmlns:a="http://schemas.openxmlformats.org/drawingml/2006/main">
                                <a:graphicData uri="http://schemas.openxmlformats.org/drawingml/2006/picture">
                                  <pic:pic xmlns:pic="http://schemas.openxmlformats.org/drawingml/2006/picture">
                                    <pic:nvPicPr>
                                      <pic:cNvPr id="146" name="图片 146" descr="1731398156859"/>
                                      <pic:cNvPicPr/>
                                    </pic:nvPicPr>
                                    <pic:blipFill>
                                      <a:blip r:embed="rId14"/>
                                      <a:stretch>
                                        <a:fillRect/>
                                      </a:stretch>
                                    </pic:blipFill>
                                    <pic:spPr>
                                      <a:xfrm>
                                        <a:off x="0" y="0"/>
                                        <a:ext cx="137795" cy="137795"/>
                                      </a:xfrm>
                                      <a:prstGeom prst="rect">
                                        <a:avLst/>
                                      </a:prstGeom>
                                    </pic:spPr>
                                  </pic:pic>
                                </a:graphicData>
                              </a:graphic>
                            </wp:inline>
                          </w:drawing>
                        </w:r>
                        <w:r>
                          <w:rPr>
                            <w:rFonts w:hint="eastAsia"/>
                            <w:sz w:val="21"/>
                            <w:szCs w:val="21"/>
                            <w:lang w:val="en-US" w:eastAsia="zh-CN"/>
                          </w:rPr>
                          <w:t>老井转注</w:t>
                        </w:r>
                      </w:p>
                      <w:p>
                        <w:pPr>
                          <w:spacing w:line="360" w:lineRule="auto"/>
                          <w:rPr>
                            <w:rFonts w:hint="default"/>
                            <w:sz w:val="21"/>
                            <w:szCs w:val="21"/>
                            <w:lang w:val="en-US" w:eastAsia="zh-CN"/>
                          </w:rPr>
                        </w:pPr>
                        <w:r>
                          <w:rPr>
                            <w:rFonts w:hint="eastAsia"/>
                            <w:sz w:val="21"/>
                            <w:szCs w:val="21"/>
                            <w:lang w:val="en-US" w:eastAsia="zh-CN"/>
                          </w:rPr>
                          <w:drawing>
                            <wp:inline distT="0" distB="0" distL="114300" distR="114300">
                              <wp:extent cx="136525" cy="136525"/>
                              <wp:effectExtent l="0" t="0" r="15875" b="15875"/>
                              <wp:docPr id="275" name="图片 275" descr="1731398194102"/>
                              <wp:cNvGraphicFramePr/>
                              <a:graphic xmlns:a="http://schemas.openxmlformats.org/drawingml/2006/main">
                                <a:graphicData uri="http://schemas.openxmlformats.org/drawingml/2006/picture">
                                  <pic:pic xmlns:pic="http://schemas.openxmlformats.org/drawingml/2006/picture">
                                    <pic:nvPicPr>
                                      <pic:cNvPr id="275" name="图片 275" descr="1731398194102"/>
                                      <pic:cNvPicPr/>
                                    </pic:nvPicPr>
                                    <pic:blipFill>
                                      <a:blip r:embed="rId15"/>
                                      <a:stretch>
                                        <a:fillRect/>
                                      </a:stretch>
                                    </pic:blipFill>
                                    <pic:spPr>
                                      <a:xfrm>
                                        <a:off x="0" y="0"/>
                                        <a:ext cx="136525" cy="136525"/>
                                      </a:xfrm>
                                      <a:prstGeom prst="rect">
                                        <a:avLst/>
                                      </a:prstGeom>
                                    </pic:spPr>
                                  </pic:pic>
                                </a:graphicData>
                              </a:graphic>
                            </wp:inline>
                          </w:drawing>
                        </w:r>
                        <w:r>
                          <w:rPr>
                            <w:rFonts w:hint="eastAsia"/>
                            <w:sz w:val="21"/>
                            <w:szCs w:val="21"/>
                            <w:lang w:val="en-US" w:eastAsia="zh-CN"/>
                          </w:rPr>
                          <w:t>新建计量站</w:t>
                        </w:r>
                      </w:p>
                      <w:p>
                        <w:pPr>
                          <w:spacing w:line="360" w:lineRule="auto"/>
                          <w:rPr>
                            <w:rFonts w:hint="default"/>
                            <w:sz w:val="21"/>
                            <w:szCs w:val="21"/>
                            <w:lang w:val="en-US" w:eastAsia="zh-CN"/>
                          </w:rPr>
                        </w:pPr>
                        <w:r>
                          <w:rPr>
                            <w:rFonts w:hint="eastAsia"/>
                            <w:sz w:val="21"/>
                            <w:szCs w:val="21"/>
                            <w:lang w:val="en-US" w:eastAsia="zh-CN"/>
                          </w:rPr>
                          <w:drawing>
                            <wp:inline distT="0" distB="0" distL="114300" distR="114300">
                              <wp:extent cx="136525" cy="136525"/>
                              <wp:effectExtent l="0" t="0" r="15875" b="15875"/>
                              <wp:docPr id="276" name="图片 276" descr="1731398697095"/>
                              <wp:cNvGraphicFramePr/>
                              <a:graphic xmlns:a="http://schemas.openxmlformats.org/drawingml/2006/main">
                                <a:graphicData uri="http://schemas.openxmlformats.org/drawingml/2006/picture">
                                  <pic:pic xmlns:pic="http://schemas.openxmlformats.org/drawingml/2006/picture">
                                    <pic:nvPicPr>
                                      <pic:cNvPr id="276" name="图片 276" descr="1731398697095"/>
                                      <pic:cNvPicPr/>
                                    </pic:nvPicPr>
                                    <pic:blipFill>
                                      <a:blip r:embed="rId16"/>
                                      <a:stretch>
                                        <a:fillRect/>
                                      </a:stretch>
                                    </pic:blipFill>
                                    <pic:spPr>
                                      <a:xfrm>
                                        <a:off x="0" y="0"/>
                                        <a:ext cx="136525" cy="136525"/>
                                      </a:xfrm>
                                      <a:prstGeom prst="rect">
                                        <a:avLst/>
                                      </a:prstGeom>
                                    </pic:spPr>
                                  </pic:pic>
                                </a:graphicData>
                              </a:graphic>
                            </wp:inline>
                          </w:drawing>
                        </w:r>
                        <w:r>
                          <w:rPr>
                            <w:rFonts w:hint="eastAsia"/>
                            <w:sz w:val="21"/>
                            <w:szCs w:val="21"/>
                            <w:lang w:val="en-US" w:eastAsia="zh-CN"/>
                          </w:rPr>
                          <w:t>新建配水撬</w:t>
                        </w:r>
                      </w:p>
                      <w:p>
                        <w:pPr>
                          <w:spacing w:line="360" w:lineRule="auto"/>
                          <w:rPr>
                            <w:rFonts w:hint="eastAsia" w:ascii="Times New Roman" w:hAnsi="Times New Roman" w:cs="Times New Roman"/>
                            <w:lang w:val="en-US" w:eastAsia="zh-CN"/>
                          </w:rPr>
                        </w:pPr>
                        <w:r>
                          <w:drawing>
                            <wp:inline distT="0" distB="0" distL="114300" distR="114300">
                              <wp:extent cx="114935" cy="115570"/>
                              <wp:effectExtent l="0" t="0" r="18415" b="17780"/>
                              <wp:docPr id="280" name="图片 2" descr="噪声监测点"/>
                              <wp:cNvGraphicFramePr/>
                              <a:graphic xmlns:a="http://schemas.openxmlformats.org/drawingml/2006/main">
                                <a:graphicData uri="http://schemas.openxmlformats.org/drawingml/2006/picture">
                                  <pic:pic xmlns:pic="http://schemas.openxmlformats.org/drawingml/2006/picture">
                                    <pic:nvPicPr>
                                      <pic:cNvPr id="280" name="图片 2" descr="噪声监测点"/>
                                      <pic:cNvPicPr/>
                                    </pic:nvPicPr>
                                    <pic:blipFill>
                                      <a:blip r:embed="rId12"/>
                                      <a:srcRect l="29650" t="21429" r="32385" b="25595"/>
                                      <a:stretch>
                                        <a:fillRect/>
                                      </a:stretch>
                                    </pic:blipFill>
                                    <pic:spPr>
                                      <a:xfrm>
                                        <a:off x="0" y="0"/>
                                        <a:ext cx="114935" cy="115570"/>
                                      </a:xfrm>
                                      <a:prstGeom prst="ellipse">
                                        <a:avLst/>
                                      </a:prstGeom>
                                      <a:noFill/>
                                      <a:ln>
                                        <a:noFill/>
                                      </a:ln>
                                    </pic:spPr>
                                  </pic:pic>
                                </a:graphicData>
                              </a:graphic>
                            </wp:inline>
                          </w:drawing>
                        </w:r>
                        <w:r>
                          <w:rPr>
                            <w:rFonts w:hint="eastAsia" w:ascii="Times New Roman" w:hAnsi="Times New Roman" w:cs="Times New Roman"/>
                            <w:lang w:val="en-US" w:eastAsia="zh-CN"/>
                          </w:rPr>
                          <w:t>噪声监测点</w:t>
                        </w:r>
                      </w:p>
                      <w:p>
                        <w:pPr>
                          <w:spacing w:line="360" w:lineRule="auto"/>
                          <w:ind w:firstLine="420" w:firstLineChars="200"/>
                          <w:rPr>
                            <w:rFonts w:hint="default" w:ascii="Times New Roman" w:hAnsi="Times New Roman" w:cs="Times New Roman"/>
                            <w:lang w:val="en-US" w:eastAsia="zh-CN"/>
                          </w:rPr>
                        </w:pPr>
                        <w:r>
                          <w:rPr>
                            <w:rFonts w:hint="eastAsia" w:ascii="Times New Roman" w:hAnsi="Times New Roman" w:cs="Times New Roman"/>
                            <w:lang w:val="en-US" w:eastAsia="zh-CN"/>
                          </w:rPr>
                          <w:t>声环境评价范围</w:t>
                        </w:r>
                      </w:p>
                    </w:txbxContent>
                  </v:textbox>
                </v:shape>
                <v:rect id="矩形 138" o:spid="_x0000_s1026" o:spt="1" style="position:absolute;left:15654;top:39589;height:212;width:337;v-text-anchor:middle;" filled="f" stroked="t" coordsize="21600,21600" o:gfxdata="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phBG/&#10;AAAA3AAAAA8AAAAAAAAAAQAgAAAAIgAAAGRycy9kb3ducmV2LnhtbFBLAQIUABQAAAAIAIdO4kAz&#10;LwWeOwAAADkAAAAQAAAAAAAAAAEAIAAAAA4BAABkcnMvc2hhcGV4bWwueG1sUEsFBgAAAAAGAAYA&#10;WwEAALgDAAAAAA==&#10;">
                  <v:fill on="f" focussize="0,0"/>
                  <v:stroke weight="1pt" color="#1419EC [2404]" miterlimit="8" joinstyle="miter"/>
                  <v:imagedata o:title=""/>
                  <o:lock v:ext="edit" aspectratio="f"/>
                </v:rect>
              </v:group>
            </w:pict>
          </mc:Fallback>
        </mc:AlternateContent>
      </w:r>
      <w:r>
        <w:rPr>
          <w:color w:val="000000" w:themeColor="text1"/>
          <w14:textFill>
            <w14:solidFill>
              <w14:schemeClr w14:val="tx1"/>
            </w14:solidFill>
          </w14:textFill>
        </w:rPr>
        <w:drawing>
          <wp:anchor distT="0" distB="0" distL="114300" distR="114300" simplePos="0" relativeHeight="251679744" behindDoc="0" locked="0" layoutInCell="1" allowOverlap="1">
            <wp:simplePos x="0" y="0"/>
            <wp:positionH relativeFrom="column">
              <wp:posOffset>8428990</wp:posOffset>
            </wp:positionH>
            <wp:positionV relativeFrom="paragraph">
              <wp:posOffset>-298450</wp:posOffset>
            </wp:positionV>
            <wp:extent cx="696595" cy="765175"/>
            <wp:effectExtent l="0" t="0" r="8255" b="15875"/>
            <wp:wrapNone/>
            <wp:docPr id="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
                    <pic:cNvPicPr>
                      <a:picLocks noChangeAspect="1"/>
                    </pic:cNvPicPr>
                  </pic:nvPicPr>
                  <pic:blipFill>
                    <a:blip r:embed="rId17"/>
                    <a:stretch>
                      <a:fillRect/>
                    </a:stretch>
                  </pic:blipFill>
                  <pic:spPr>
                    <a:xfrm>
                      <a:off x="0" y="0"/>
                      <a:ext cx="696595" cy="765175"/>
                    </a:xfrm>
                    <a:prstGeom prst="rect">
                      <a:avLst/>
                    </a:prstGeom>
                    <a:noFill/>
                    <a:ln>
                      <a:noFill/>
                    </a:ln>
                  </pic:spPr>
                </pic:pic>
              </a:graphicData>
            </a:graphic>
          </wp:anchor>
        </w:drawing>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2.5.4土壤环境</w:t>
      </w:r>
    </w:p>
    <w:p>
      <w:pPr>
        <w:spacing w:line="360" w:lineRule="auto"/>
        <w:ind w:firstLine="480" w:firstLineChars="200"/>
        <w:rPr>
          <w:rFonts w:ascii="Times New Roman" w:hAnsi="Times New Roman" w:eastAsia="宋体" w:cs="Times New Roman"/>
          <w:snapToGrid w:val="0"/>
          <w:color w:val="000000" w:themeColor="text1"/>
          <w:kern w:val="0"/>
          <w:sz w:val="24"/>
          <w14:textFill>
            <w14:solidFill>
              <w14:schemeClr w14:val="tx1"/>
            </w14:solidFill>
          </w14:textFill>
        </w:rPr>
      </w:pPr>
      <w:r>
        <w:rPr>
          <w:rFonts w:hint="eastAsia" w:ascii="Times New Roman" w:hAnsi="Times New Roman" w:eastAsia="宋体" w:cs="Times New Roman"/>
          <w:snapToGrid w:val="0"/>
          <w:color w:val="000000" w:themeColor="text1"/>
          <w:kern w:val="0"/>
          <w:sz w:val="24"/>
          <w14:textFill>
            <w14:solidFill>
              <w14:schemeClr w14:val="tx1"/>
            </w14:solidFill>
          </w14:textFill>
        </w:rPr>
        <w:t>根据《环境影响评价技术导则 土壤环境（试行）》（HJ964-2018）和《环境影响评价技术导则 陆地石油天然气开发建设项目》（</w:t>
      </w:r>
      <w:r>
        <w:rPr>
          <w:rFonts w:ascii="Times New Roman" w:hAnsi="Times New Roman" w:eastAsia="宋体" w:cs="Times New Roman"/>
          <w:snapToGrid w:val="0"/>
          <w:color w:val="000000" w:themeColor="text1"/>
          <w:kern w:val="0"/>
          <w:sz w:val="24"/>
          <w14:textFill>
            <w14:solidFill>
              <w14:schemeClr w14:val="tx1"/>
            </w14:solidFill>
          </w14:textFill>
        </w:rPr>
        <w:t>HJ349-20</w:t>
      </w:r>
      <w:r>
        <w:rPr>
          <w:rFonts w:hint="eastAsia" w:ascii="Times New Roman" w:hAnsi="Times New Roman" w:eastAsia="宋体" w:cs="Times New Roman"/>
          <w:snapToGrid w:val="0"/>
          <w:color w:val="000000" w:themeColor="text1"/>
          <w:kern w:val="0"/>
          <w:sz w:val="24"/>
          <w14:textFill>
            <w14:solidFill>
              <w14:schemeClr w14:val="tx1"/>
            </w14:solidFill>
          </w14:textFill>
        </w:rPr>
        <w:t>23）以及区域土壤监测数据，</w:t>
      </w:r>
      <w:r>
        <w:rPr>
          <w:rFonts w:ascii="Times New Roman" w:hAnsi="Times New Roman" w:cs="Times New Roman"/>
          <w:snapToGrid w:val="0"/>
          <w:color w:val="000000" w:themeColor="text1"/>
          <w:kern w:val="0"/>
          <w:sz w:val="24"/>
          <w14:textFill>
            <w14:solidFill>
              <w14:schemeClr w14:val="tx1"/>
            </w14:solidFill>
          </w14:textFill>
        </w:rPr>
        <w:t>本项目土壤盐分含量介于</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1.4</w:t>
      </w:r>
      <w:r>
        <w:rPr>
          <w:rFonts w:hint="eastAsia" w:ascii="Times New Roman" w:hAnsi="Times New Roman" w:cs="Times New Roman"/>
          <w:snapToGrid w:val="0"/>
          <w:color w:val="000000" w:themeColor="text1"/>
          <w:kern w:val="0"/>
          <w:sz w:val="24"/>
          <w14:textFill>
            <w14:solidFill>
              <w14:schemeClr w14:val="tx1"/>
            </w14:solidFill>
          </w14:textFill>
        </w:rPr>
        <w:t>g/kg</w:t>
      </w:r>
      <w:r>
        <w:rPr>
          <w:rFonts w:ascii="Times New Roman" w:hAnsi="Times New Roman" w:cs="Times New Roman"/>
          <w:snapToGrid w:val="0"/>
          <w:color w:val="000000" w:themeColor="text1"/>
          <w:kern w:val="0"/>
          <w:sz w:val="24"/>
          <w14:textFill>
            <w14:solidFill>
              <w14:schemeClr w14:val="tx1"/>
            </w14:solidFill>
          </w14:textFill>
        </w:rPr>
        <w:t>～</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4.2</w:t>
      </w:r>
      <w:r>
        <w:rPr>
          <w:rFonts w:ascii="Times New Roman" w:hAnsi="Times New Roman" w:cs="Times New Roman"/>
          <w:snapToGrid w:val="0"/>
          <w:color w:val="000000" w:themeColor="text1"/>
          <w:kern w:val="0"/>
          <w:sz w:val="24"/>
          <w14:textFill>
            <w14:solidFill>
              <w14:schemeClr w14:val="tx1"/>
            </w14:solidFill>
          </w14:textFill>
        </w:rPr>
        <w:t>g/kg，</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属于附录D.1土壤盐化分级标准中的“干旱、半荒漠和荒漠地区”，属于中度盐化（3</w:t>
      </w:r>
      <w:r>
        <w:rPr>
          <w:rFonts w:hint="eastAsia" w:ascii="Times New Roman" w:hAnsi="Times New Roman" w:cs="Times New Roman"/>
          <w:snapToGrid w:val="0"/>
          <w:color w:val="000000" w:themeColor="text1"/>
          <w:kern w:val="0"/>
          <w:sz w:val="24"/>
          <w14:textFill>
            <w14:solidFill>
              <w14:schemeClr w14:val="tx1"/>
            </w14:solidFill>
          </w14:textFill>
        </w:rPr>
        <w:t>g/kg</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≤土壤盐含量＜5</w:t>
      </w:r>
      <w:r>
        <w:rPr>
          <w:rFonts w:hint="eastAsia" w:ascii="Times New Roman" w:hAnsi="Times New Roman" w:cs="Times New Roman"/>
          <w:snapToGrid w:val="0"/>
          <w:color w:val="000000" w:themeColor="text1"/>
          <w:kern w:val="0"/>
          <w:sz w:val="24"/>
          <w14:textFill>
            <w14:solidFill>
              <w14:schemeClr w14:val="tx1"/>
            </w14:solidFill>
          </w14:textFill>
        </w:rPr>
        <w:t>g/kg</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w:t>
      </w:r>
      <w:r>
        <w:rPr>
          <w:rFonts w:hint="eastAsia" w:ascii="Times New Roman" w:hAnsi="Times New Roman" w:cs="Times New Roman"/>
          <w:snapToGrid w:val="0"/>
          <w:color w:val="000000" w:themeColor="text1"/>
          <w:kern w:val="0"/>
          <w:sz w:val="24"/>
          <w:lang w:eastAsia="zh-CN"/>
          <w14:textFill>
            <w14:solidFill>
              <w14:schemeClr w14:val="tx1"/>
            </w14:solidFill>
          </w14:textFill>
        </w:rPr>
        <w:t>；</w:t>
      </w:r>
      <w:r>
        <w:rPr>
          <w:rFonts w:ascii="Times New Roman" w:hAnsi="Times New Roman" w:cs="Times New Roman"/>
          <w:snapToGrid w:val="0"/>
          <w:color w:val="000000" w:themeColor="text1"/>
          <w:kern w:val="0"/>
          <w:sz w:val="24"/>
          <w14:textFill>
            <w14:solidFill>
              <w14:schemeClr w14:val="tx1"/>
            </w14:solidFill>
          </w14:textFill>
        </w:rPr>
        <w:t>pH值介于</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8.20</w:t>
      </w:r>
      <w:r>
        <w:rPr>
          <w:rFonts w:ascii="Times New Roman" w:hAnsi="Times New Roman" w:cs="Times New Roman"/>
          <w:snapToGrid w:val="0"/>
          <w:color w:val="000000" w:themeColor="text1"/>
          <w:kern w:val="0"/>
          <w:sz w:val="24"/>
          <w14:textFill>
            <w14:solidFill>
              <w14:schemeClr w14:val="tx1"/>
            </w14:solidFill>
          </w14:textFill>
        </w:rPr>
        <w:t>~8.</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91</w:t>
      </w:r>
      <w:r>
        <w:rPr>
          <w:rFonts w:ascii="Times New Roman" w:hAnsi="Times New Roman" w:cs="Times New Roman"/>
          <w:snapToGrid w:val="0"/>
          <w:color w:val="000000" w:themeColor="text1"/>
          <w:kern w:val="0"/>
          <w:sz w:val="24"/>
          <w14:textFill>
            <w14:solidFill>
              <w14:schemeClr w14:val="tx1"/>
            </w14:solidFill>
          </w14:textFill>
        </w:rPr>
        <w:t>，属于</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附录D.2土壤酸化、碱化分级标准中的</w:t>
      </w:r>
      <w:r>
        <w:rPr>
          <w:rFonts w:ascii="Times New Roman" w:hAnsi="Times New Roman" w:cs="Times New Roman"/>
          <w:snapToGrid w:val="0"/>
          <w:color w:val="000000" w:themeColor="text1"/>
          <w:kern w:val="0"/>
          <w:sz w:val="24"/>
          <w14:textFill>
            <w14:solidFill>
              <w14:schemeClr w14:val="tx1"/>
            </w14:solidFill>
          </w14:textFill>
        </w:rPr>
        <w:t>表D.2中</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的“轻度碱化（8.5</w:t>
      </w:r>
      <w:r>
        <w:rPr>
          <w:rFonts w:ascii="Times New Roman" w:hAnsi="Times New Roman" w:cs="Times New Roman"/>
          <w:snapToGrid w:val="0"/>
          <w:color w:val="000000" w:themeColor="text1"/>
          <w:kern w:val="0"/>
          <w:sz w:val="24"/>
          <w14:textFill>
            <w14:solidFill>
              <w14:schemeClr w14:val="tx1"/>
            </w14:solidFill>
          </w14:textFill>
        </w:rPr>
        <w:t>≤pH＜</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9）”</w:t>
      </w:r>
      <w:r>
        <w:rPr>
          <w:rFonts w:ascii="Times New Roman" w:hAnsi="Times New Roman" w:cs="Times New Roman"/>
          <w:snapToGrid w:val="0"/>
          <w:color w:val="000000" w:themeColor="text1"/>
          <w:kern w:val="0"/>
          <w:sz w:val="24"/>
          <w14:textFill>
            <w14:solidFill>
              <w14:schemeClr w14:val="tx1"/>
            </w14:solidFill>
          </w14:textFill>
        </w:rPr>
        <w:t>，</w:t>
      </w:r>
      <w:r>
        <w:rPr>
          <w:rFonts w:hint="eastAsia" w:ascii="Times New Roman" w:hAnsi="Times New Roman" w:cs="Times New Roman"/>
          <w:snapToGrid w:val="0"/>
          <w:color w:val="000000" w:themeColor="text1"/>
          <w:kern w:val="0"/>
          <w:sz w:val="24"/>
          <w14:textFill>
            <w14:solidFill>
              <w14:schemeClr w14:val="tx1"/>
            </w14:solidFill>
          </w14:textFill>
        </w:rPr>
        <w:t>综上，</w:t>
      </w:r>
      <w:r>
        <w:rPr>
          <w:rFonts w:hint="eastAsia" w:ascii="Times New Roman" w:hAnsi="Times New Roman" w:eastAsia="宋体" w:cs="Times New Roman"/>
          <w:snapToGrid w:val="0"/>
          <w:color w:val="000000" w:themeColor="text1"/>
          <w:kern w:val="0"/>
          <w:sz w:val="24"/>
          <w14:textFill>
            <w14:solidFill>
              <w14:schemeClr w14:val="tx1"/>
            </w14:solidFill>
          </w14:textFill>
        </w:rPr>
        <w:t>拟建工程类别同时按照生态影响型项目和污染影响型项目考虑，并根据不同项目类型类别分别判定评价等级。</w:t>
      </w:r>
    </w:p>
    <w:p>
      <w:pPr>
        <w:spacing w:line="360" w:lineRule="auto"/>
        <w:ind w:firstLine="480" w:firstLineChars="200"/>
        <w:rPr>
          <w:rFonts w:ascii="Times New Roman" w:hAnsi="Times New Roman" w:eastAsia="宋体" w:cs="Times New Roman"/>
          <w:snapToGrid w:val="0"/>
          <w:color w:val="000000" w:themeColor="text1"/>
          <w:kern w:val="0"/>
          <w:sz w:val="24"/>
          <w14:textFill>
            <w14:solidFill>
              <w14:schemeClr w14:val="tx1"/>
            </w14:solidFill>
          </w14:textFill>
        </w:rPr>
      </w:pPr>
      <w:r>
        <w:rPr>
          <w:rFonts w:ascii="Times New Roman" w:hAnsi="Times New Roman" w:eastAsia="宋体" w:cs="Times New Roman"/>
          <w:snapToGrid w:val="0"/>
          <w:color w:val="000000" w:themeColor="text1"/>
          <w:kern w:val="0"/>
          <w:sz w:val="24"/>
          <w14:textFill>
            <w14:solidFill>
              <w14:schemeClr w14:val="tx1"/>
            </w14:solidFill>
          </w14:textFill>
        </w:rPr>
        <w:t>（1）土壤污染影响型评价工作等级</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①项目类别</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依据《环境影响评价技术导则 土壤环境（试行</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》（HJ964-2018）附录A土壤环境影响评价项目类别表，本项目涉及的</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石油开采（井场）</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集</w:t>
      </w:r>
      <w:r>
        <w:rPr>
          <w:rFonts w:hint="eastAsia" w:ascii="Times New Roman" w:hAnsi="Times New Roman" w:eastAsia="宋体" w:cs="Times New Roman"/>
          <w:color w:val="000000" w:themeColor="text1"/>
          <w:kern w:val="0"/>
          <w:sz w:val="24"/>
          <w:lang w:bidi="ar"/>
          <w14:textFill>
            <w14:solidFill>
              <w14:schemeClr w14:val="tx1"/>
            </w14:solidFill>
          </w14:textFill>
        </w:rPr>
        <w:t>输</w:t>
      </w:r>
      <w:r>
        <w:rPr>
          <w:rFonts w:ascii="Times New Roman" w:hAnsi="Times New Roman" w:eastAsia="宋体" w:cs="Times New Roman"/>
          <w:color w:val="000000" w:themeColor="text1"/>
          <w:kern w:val="0"/>
          <w:sz w:val="24"/>
          <w:lang w:bidi="ar"/>
          <w14:textFill>
            <w14:solidFill>
              <w14:schemeClr w14:val="tx1"/>
            </w14:solidFill>
          </w14:textFill>
        </w:rPr>
        <w:t>管线</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分别属于</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采矿业—金属矿、石油、页岩油开采</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交通运输仓储邮政业—石油及成品油的输送管线</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，对应项目类别分别为Ⅰ类、Ⅱ类。</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②占地规模</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污染影响型建设项目所在地周边的土壤环境敏感程度分为敏感、较敏感、不敏感，将建设项目占地规模分为大型（≥50hm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）、中型（5-50hm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）、小型（≤5hm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）。本项目永久占地面积为</w:t>
      </w:r>
      <w:r>
        <w:rPr>
          <w:rFonts w:hint="eastAsia" w:ascii="Times New Roman" w:hAnsi="Times New Roman" w:eastAsia="宋体" w:cs="Times New Roman"/>
          <w:color w:val="000000" w:themeColor="text1"/>
          <w:kern w:val="0"/>
          <w:sz w:val="24"/>
          <w:lang w:bidi="ar"/>
          <w14:textFill>
            <w14:solidFill>
              <w14:schemeClr w14:val="tx1"/>
            </w14:solidFill>
          </w14:textFill>
        </w:rPr>
        <w:t>2.</w:t>
      </w:r>
      <w:r>
        <w:rPr>
          <w:rFonts w:hint="eastAsia" w:ascii="Times New Roman" w:hAnsi="Times New Roman" w:eastAsia="宋体" w:cs="Times New Roman"/>
          <w:color w:val="000000" w:themeColor="text1"/>
          <w:kern w:val="0"/>
          <w:sz w:val="24"/>
          <w:lang w:val="en-US" w:eastAsia="zh-CN" w:bidi="ar"/>
          <w14:textFill>
            <w14:solidFill>
              <w14:schemeClr w14:val="tx1"/>
            </w14:solidFill>
          </w14:textFill>
        </w:rPr>
        <w:t>13</w:t>
      </w:r>
      <w:r>
        <w:rPr>
          <w:rFonts w:ascii="Times New Roman" w:hAnsi="Times New Roman" w:eastAsia="宋体" w:cs="Times New Roman"/>
          <w:color w:val="000000" w:themeColor="text1"/>
          <w:kern w:val="0"/>
          <w:sz w:val="24"/>
          <w:lang w:bidi="ar"/>
          <w14:textFill>
            <w14:solidFill>
              <w14:schemeClr w14:val="tx1"/>
            </w14:solidFill>
          </w14:textFill>
        </w:rPr>
        <w:t>hm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，占地规模为</w:t>
      </w:r>
      <w:r>
        <w:rPr>
          <w:rFonts w:hint="eastAsia" w:ascii="Times New Roman" w:hAnsi="Times New Roman" w:eastAsia="宋体" w:cs="Times New Roman"/>
          <w:color w:val="000000" w:themeColor="text1"/>
          <w:kern w:val="0"/>
          <w:sz w:val="24"/>
          <w:lang w:bidi="ar"/>
          <w14:textFill>
            <w14:solidFill>
              <w14:schemeClr w14:val="tx1"/>
            </w14:solidFill>
          </w14:textFill>
        </w:rPr>
        <w:t>小</w:t>
      </w:r>
      <w:r>
        <w:rPr>
          <w:rFonts w:ascii="Times New Roman" w:hAnsi="Times New Roman" w:eastAsia="宋体" w:cs="Times New Roman"/>
          <w:color w:val="000000" w:themeColor="text1"/>
          <w:kern w:val="0"/>
          <w:sz w:val="24"/>
          <w:lang w:bidi="ar"/>
          <w14:textFill>
            <w14:solidFill>
              <w14:schemeClr w14:val="tx1"/>
            </w14:solidFill>
          </w14:textFill>
        </w:rPr>
        <w:t>型。</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③环境敏感程度</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建设项目所在地周边的土壤环境敏感程度分为敏感、较敏和不敏感，判别依据见表2.5-7。根据现场调查，项目占地</w:t>
      </w:r>
      <w:r>
        <w:rPr>
          <w:rFonts w:hint="eastAsia" w:ascii="Times New Roman" w:hAnsi="Times New Roman" w:eastAsia="宋体" w:cs="Times New Roman"/>
          <w:color w:val="000000" w:themeColor="text1"/>
          <w:kern w:val="0"/>
          <w:sz w:val="24"/>
          <w:lang w:bidi="ar"/>
          <w14:textFill>
            <w14:solidFill>
              <w14:schemeClr w14:val="tx1"/>
            </w14:solidFill>
          </w14:textFill>
        </w:rPr>
        <w:t>类型</w:t>
      </w:r>
      <w:r>
        <w:rPr>
          <w:rFonts w:ascii="Times New Roman" w:hAnsi="Times New Roman" w:eastAsia="宋体" w:cs="Times New Roman"/>
          <w:color w:val="000000" w:themeColor="text1"/>
          <w:kern w:val="0"/>
          <w:sz w:val="24"/>
          <w:lang w:bidi="ar"/>
          <w14:textFill>
            <w14:solidFill>
              <w14:schemeClr w14:val="tx1"/>
            </w14:solidFill>
          </w14:textFill>
        </w:rPr>
        <w:t>主要为</w:t>
      </w:r>
      <w:r>
        <w:rPr>
          <w:rFonts w:hint="eastAsia" w:ascii="Times New Roman" w:hAnsi="Times New Roman" w:eastAsia="宋体" w:cs="Times New Roman"/>
          <w:color w:val="000000" w:themeColor="text1"/>
          <w:kern w:val="0"/>
          <w:sz w:val="24"/>
          <w:lang w:bidi="ar"/>
          <w14:textFill>
            <w14:solidFill>
              <w14:schemeClr w14:val="tx1"/>
            </w14:solidFill>
          </w14:textFill>
        </w:rPr>
        <w:t>采矿用地、其他草地（低覆盖草地），</w:t>
      </w:r>
      <w:r>
        <w:rPr>
          <w:rFonts w:ascii="Times New Roman" w:hAnsi="Times New Roman" w:eastAsia="宋体" w:cs="Times New Roman"/>
          <w:color w:val="000000" w:themeColor="text1"/>
          <w:kern w:val="0"/>
          <w:sz w:val="24"/>
          <w:lang w:bidi="ar"/>
          <w14:textFill>
            <w14:solidFill>
              <w14:schemeClr w14:val="tx1"/>
            </w14:solidFill>
          </w14:textFill>
        </w:rPr>
        <w:t>因此，判定土壤环境敏感程度为</w:t>
      </w:r>
      <w:r>
        <w:rPr>
          <w:rFonts w:hint="eastAsia" w:ascii="Times New Roman" w:hAnsi="Times New Roman" w:eastAsia="宋体" w:cs="Times New Roman"/>
          <w:color w:val="000000" w:themeColor="text1"/>
          <w:kern w:val="0"/>
          <w:sz w:val="24"/>
          <w:lang w:bidi="ar"/>
          <w14:textFill>
            <w14:solidFill>
              <w14:schemeClr w14:val="tx1"/>
            </w14:solidFill>
          </w14:textFill>
        </w:rPr>
        <w:t>“较</w:t>
      </w:r>
      <w:r>
        <w:rPr>
          <w:rFonts w:ascii="Times New Roman" w:hAnsi="Times New Roman" w:eastAsia="宋体" w:cs="Times New Roman"/>
          <w:color w:val="000000" w:themeColor="text1"/>
          <w:kern w:val="0"/>
          <w:sz w:val="24"/>
          <w:lang w:bidi="ar"/>
          <w14:textFill>
            <w14:solidFill>
              <w14:schemeClr w14:val="tx1"/>
            </w14:solidFill>
          </w14:textFill>
        </w:rPr>
        <w:t>敏感</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w:t>
      </w:r>
    </w:p>
    <w:p>
      <w:pPr>
        <w:autoSpaceDE w:val="0"/>
        <w:autoSpaceDN w:val="0"/>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表2.5-7  污染影响型敏感程度分级表</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6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tblHeader/>
          <w:jc w:val="center"/>
        </w:trPr>
        <w:tc>
          <w:tcPr>
            <w:tcW w:w="1553" w:type="dxa"/>
            <w:tcBorders>
              <w:bottom w:val="single" w:color="auto" w:sz="4" w:space="0"/>
            </w:tcBorders>
            <w:shd w:val="clear" w:color="auto" w:fill="auto"/>
            <w:vAlign w:val="center"/>
          </w:tcPr>
          <w:p>
            <w:pPr>
              <w:adjustRightInd w:val="0"/>
              <w:snapToGrid w:val="0"/>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敏感程度</w:t>
            </w:r>
          </w:p>
        </w:tc>
        <w:tc>
          <w:tcPr>
            <w:tcW w:w="6969" w:type="dxa"/>
            <w:tcBorders>
              <w:bottom w:val="single" w:color="auto" w:sz="4" w:space="0"/>
            </w:tcBorders>
            <w:shd w:val="clear" w:color="auto" w:fill="auto"/>
            <w:vAlign w:val="center"/>
          </w:tcPr>
          <w:p>
            <w:pPr>
              <w:adjustRightInd w:val="0"/>
              <w:snapToGrid w:val="0"/>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jc w:val="center"/>
        </w:trPr>
        <w:tc>
          <w:tcPr>
            <w:tcW w:w="1553" w:type="dxa"/>
            <w:shd w:val="clear" w:color="auto" w:fill="auto"/>
            <w:vAlign w:val="center"/>
          </w:tcPr>
          <w:p>
            <w:pPr>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敏感</w:t>
            </w:r>
          </w:p>
        </w:tc>
        <w:tc>
          <w:tcPr>
            <w:tcW w:w="6969" w:type="dxa"/>
            <w:shd w:val="clear" w:color="auto" w:fill="auto"/>
            <w:vAlign w:val="center"/>
          </w:tcPr>
          <w:p>
            <w:pPr>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建设项目周边存在耕地、园地、牧草地、饮用水水源地或居民区、学校、疗养院、养老院等土壤环境敏感目标的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53" w:type="dxa"/>
            <w:shd w:val="clear" w:color="auto" w:fill="A4A4A4" w:themeFill="background1" w:themeFillShade="A5"/>
            <w:vAlign w:val="center"/>
          </w:tcPr>
          <w:p>
            <w:pPr>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较敏感</w:t>
            </w:r>
          </w:p>
        </w:tc>
        <w:tc>
          <w:tcPr>
            <w:tcW w:w="6969" w:type="dxa"/>
            <w:shd w:val="clear" w:color="auto" w:fill="A4A4A4" w:themeFill="background1" w:themeFillShade="A5"/>
            <w:vAlign w:val="center"/>
          </w:tcPr>
          <w:p>
            <w:pPr>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53" w:type="dxa"/>
            <w:shd w:val="clear" w:color="auto" w:fill="auto"/>
            <w:vAlign w:val="center"/>
          </w:tcPr>
          <w:p>
            <w:pPr>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不敏感</w:t>
            </w:r>
          </w:p>
        </w:tc>
        <w:tc>
          <w:tcPr>
            <w:tcW w:w="6969" w:type="dxa"/>
            <w:shd w:val="clear" w:color="auto" w:fill="auto"/>
            <w:vAlign w:val="center"/>
          </w:tcPr>
          <w:p>
            <w:pPr>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其他情况</w:t>
            </w:r>
          </w:p>
        </w:tc>
      </w:tr>
    </w:tbl>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依据污染影响型评价工作等级划分表（见表2.5-8），并结合项目占地规模和环境敏感程度判定，本项目土壤环境评价工作等级确定为井场</w:t>
      </w:r>
      <w:r>
        <w:rPr>
          <w:rFonts w:hint="eastAsia" w:ascii="Times New Roman" w:hAnsi="Times New Roman" w:eastAsia="宋体" w:cs="Times New Roman"/>
          <w:color w:val="000000" w:themeColor="text1"/>
          <w:kern w:val="0"/>
          <w:sz w:val="24"/>
          <w:lang w:bidi="ar"/>
          <w14:textFill>
            <w14:solidFill>
              <w14:schemeClr w14:val="tx1"/>
            </w14:solidFill>
          </w14:textFill>
        </w:rPr>
        <w:t>二</w:t>
      </w:r>
      <w:r>
        <w:rPr>
          <w:rFonts w:ascii="Times New Roman" w:hAnsi="Times New Roman" w:eastAsia="宋体" w:cs="Times New Roman"/>
          <w:color w:val="000000" w:themeColor="text1"/>
          <w:kern w:val="0"/>
          <w:sz w:val="24"/>
          <w:lang w:bidi="ar"/>
          <w14:textFill>
            <w14:solidFill>
              <w14:schemeClr w14:val="tx1"/>
            </w14:solidFill>
          </w14:textFill>
        </w:rPr>
        <w:t>级</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集</w:t>
      </w:r>
      <w:r>
        <w:rPr>
          <w:rFonts w:hint="eastAsia" w:ascii="Times New Roman" w:hAnsi="Times New Roman" w:eastAsia="宋体" w:cs="Times New Roman"/>
          <w:color w:val="000000" w:themeColor="text1"/>
          <w:kern w:val="0"/>
          <w:sz w:val="24"/>
          <w:lang w:bidi="ar"/>
          <w14:textFill>
            <w14:solidFill>
              <w14:schemeClr w14:val="tx1"/>
            </w14:solidFill>
          </w14:textFill>
        </w:rPr>
        <w:t>输</w:t>
      </w:r>
      <w:r>
        <w:rPr>
          <w:rFonts w:ascii="Times New Roman" w:hAnsi="Times New Roman" w:eastAsia="宋体" w:cs="Times New Roman"/>
          <w:color w:val="000000" w:themeColor="text1"/>
          <w:kern w:val="0"/>
          <w:sz w:val="24"/>
          <w:lang w:bidi="ar"/>
          <w14:textFill>
            <w14:solidFill>
              <w14:schemeClr w14:val="tx1"/>
            </w14:solidFill>
          </w14:textFill>
        </w:rPr>
        <w:t>管线</w:t>
      </w:r>
      <w:r>
        <w:rPr>
          <w:rFonts w:hint="eastAsia" w:ascii="Times New Roman" w:hAnsi="Times New Roman" w:eastAsia="宋体" w:cs="Times New Roman"/>
          <w:color w:val="000000" w:themeColor="text1"/>
          <w:kern w:val="0"/>
          <w:sz w:val="24"/>
          <w:lang w:bidi="ar"/>
          <w14:textFill>
            <w14:solidFill>
              <w14:schemeClr w14:val="tx1"/>
            </w14:solidFill>
          </w14:textFill>
        </w:rPr>
        <w:t>三</w:t>
      </w:r>
      <w:r>
        <w:rPr>
          <w:rFonts w:ascii="Times New Roman" w:hAnsi="Times New Roman" w:eastAsia="宋体" w:cs="Times New Roman"/>
          <w:color w:val="000000" w:themeColor="text1"/>
          <w:kern w:val="0"/>
          <w:sz w:val="24"/>
          <w:lang w:bidi="ar"/>
          <w14:textFill>
            <w14:solidFill>
              <w14:schemeClr w14:val="tx1"/>
            </w14:solidFill>
          </w14:textFill>
        </w:rPr>
        <w:t>级，见表2.5-9。</w:t>
      </w:r>
    </w:p>
    <w:p>
      <w:pPr>
        <w:autoSpaceDE w:val="0"/>
        <w:autoSpaceDN w:val="0"/>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表2.5-8  污染影响型评价工作等级划分表</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687"/>
        <w:gridCol w:w="849"/>
        <w:gridCol w:w="852"/>
        <w:gridCol w:w="849"/>
        <w:gridCol w:w="849"/>
        <w:gridCol w:w="857"/>
        <w:gridCol w:w="849"/>
        <w:gridCol w:w="850"/>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011" w:type="dxa"/>
            <w:vMerge w:val="restart"/>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评价工作等级</w:t>
            </w:r>
          </w:p>
        </w:tc>
        <w:tc>
          <w:tcPr>
            <w:tcW w:w="2388" w:type="dxa"/>
            <w:gridSpan w:val="3"/>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Ⅰ类</w:t>
            </w:r>
          </w:p>
        </w:tc>
        <w:tc>
          <w:tcPr>
            <w:tcW w:w="2555" w:type="dxa"/>
            <w:gridSpan w:val="3"/>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Ⅱ类</w:t>
            </w:r>
          </w:p>
        </w:tc>
        <w:tc>
          <w:tcPr>
            <w:tcW w:w="2568" w:type="dxa"/>
            <w:gridSpan w:val="3"/>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011" w:type="dxa"/>
            <w:vMerge w:val="continue"/>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p>
        </w:tc>
        <w:tc>
          <w:tcPr>
            <w:tcW w:w="687"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大</w:t>
            </w:r>
          </w:p>
        </w:tc>
        <w:tc>
          <w:tcPr>
            <w:tcW w:w="849" w:type="dxa"/>
            <w:tcBorders>
              <w:bottom w:val="single" w:color="auto" w:sz="4" w:space="0"/>
            </w:tcBorders>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中</w:t>
            </w:r>
          </w:p>
        </w:tc>
        <w:tc>
          <w:tcPr>
            <w:tcW w:w="852" w:type="dxa"/>
            <w:tcBorders>
              <w:bottom w:val="single" w:color="auto" w:sz="4" w:space="0"/>
            </w:tcBorders>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小</w:t>
            </w:r>
          </w:p>
        </w:tc>
        <w:tc>
          <w:tcPr>
            <w:tcW w:w="849"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大</w:t>
            </w:r>
          </w:p>
        </w:tc>
        <w:tc>
          <w:tcPr>
            <w:tcW w:w="849"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中</w:t>
            </w:r>
          </w:p>
        </w:tc>
        <w:tc>
          <w:tcPr>
            <w:tcW w:w="857"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小</w:t>
            </w:r>
          </w:p>
        </w:tc>
        <w:tc>
          <w:tcPr>
            <w:tcW w:w="849"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大</w:t>
            </w:r>
          </w:p>
        </w:tc>
        <w:tc>
          <w:tcPr>
            <w:tcW w:w="850"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中</w:t>
            </w:r>
          </w:p>
        </w:tc>
        <w:tc>
          <w:tcPr>
            <w:tcW w:w="869"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1"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敏感</w:t>
            </w:r>
          </w:p>
        </w:tc>
        <w:tc>
          <w:tcPr>
            <w:tcW w:w="687"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一级</w:t>
            </w:r>
          </w:p>
        </w:tc>
        <w:tc>
          <w:tcPr>
            <w:tcW w:w="852"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857"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c>
          <w:tcPr>
            <w:tcW w:w="850"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c>
          <w:tcPr>
            <w:tcW w:w="86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1"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较敏感</w:t>
            </w:r>
          </w:p>
        </w:tc>
        <w:tc>
          <w:tcPr>
            <w:tcW w:w="687"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一级</w:t>
            </w:r>
          </w:p>
        </w:tc>
        <w:tc>
          <w:tcPr>
            <w:tcW w:w="852" w:type="dxa"/>
            <w:shd w:val="clear" w:color="auto" w:fill="A4A4A4" w:themeFill="background1" w:themeFillShade="A5"/>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857" w:type="dxa"/>
            <w:shd w:val="clear" w:color="auto" w:fill="A4A4A4" w:themeFill="background1" w:themeFillShade="A5"/>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c>
          <w:tcPr>
            <w:tcW w:w="850"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c>
          <w:tcPr>
            <w:tcW w:w="86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11"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不敏感</w:t>
            </w:r>
          </w:p>
        </w:tc>
        <w:tc>
          <w:tcPr>
            <w:tcW w:w="687"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852"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c>
          <w:tcPr>
            <w:tcW w:w="857"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c>
          <w:tcPr>
            <w:tcW w:w="84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c>
          <w:tcPr>
            <w:tcW w:w="850"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69"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522" w:type="dxa"/>
            <w:gridSpan w:val="10"/>
            <w:shd w:val="clear" w:color="auto" w:fill="auto"/>
            <w:vAlign w:val="center"/>
          </w:tcPr>
          <w:p>
            <w:pPr>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注：“－”表示可不开展土壤环境影响评价工作</w:t>
            </w:r>
          </w:p>
        </w:tc>
      </w:tr>
    </w:tbl>
    <w:p>
      <w:pPr>
        <w:autoSpaceDE w:val="0"/>
        <w:autoSpaceDN w:val="0"/>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表2.5-9  项目土壤环境影响评价工作等级判定表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cs="Times New Roman"/>
                <w:b/>
                <w:bCs/>
                <w:snapToGrid w:val="0"/>
                <w:color w:val="000000" w:themeColor="text1"/>
                <w:kern w:val="0"/>
                <w:szCs w:val="21"/>
                <w14:textFill>
                  <w14:solidFill>
                    <w14:schemeClr w14:val="tx1"/>
                  </w14:solidFill>
                </w14:textFill>
              </w:rPr>
            </w:pPr>
            <w:r>
              <w:rPr>
                <w:rFonts w:ascii="Times New Roman" w:hAnsi="Times New Roman" w:cs="Times New Roman"/>
                <w:b/>
                <w:bCs/>
                <w:snapToGrid w:val="0"/>
                <w:color w:val="000000" w:themeColor="text1"/>
                <w:kern w:val="0"/>
                <w:szCs w:val="21"/>
                <w14:textFill>
                  <w14:solidFill>
                    <w14:schemeClr w14:val="tx1"/>
                  </w14:solidFill>
                </w14:textFill>
              </w:rPr>
              <w:t>工程类型</w:t>
            </w:r>
          </w:p>
        </w:tc>
        <w:tc>
          <w:tcPr>
            <w:tcW w:w="4261" w:type="dxa"/>
            <w:vAlign w:val="center"/>
          </w:tcPr>
          <w:p>
            <w:pPr>
              <w:jc w:val="center"/>
              <w:rPr>
                <w:rFonts w:ascii="Times New Roman" w:hAnsi="Times New Roman" w:cs="Times New Roman"/>
                <w:b/>
                <w:bCs/>
                <w:snapToGrid w:val="0"/>
                <w:color w:val="000000" w:themeColor="text1"/>
                <w:kern w:val="0"/>
                <w:szCs w:val="21"/>
                <w14:textFill>
                  <w14:solidFill>
                    <w14:schemeClr w14:val="tx1"/>
                  </w14:solidFill>
                </w14:textFill>
              </w:rPr>
            </w:pPr>
            <w:r>
              <w:rPr>
                <w:rFonts w:ascii="Times New Roman" w:hAnsi="Times New Roman" w:cs="Times New Roman"/>
                <w:b/>
                <w:bCs/>
                <w:snapToGrid w:val="0"/>
                <w:color w:val="000000" w:themeColor="text1"/>
                <w:kern w:val="0"/>
                <w:szCs w:val="21"/>
                <w14:textFill>
                  <w14:solidFill>
                    <w14:schemeClr w14:val="tx1"/>
                  </w14:solidFill>
                </w14:textFill>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cs="Times New Roman"/>
                <w:snapToGrid w:val="0"/>
                <w:color w:val="000000" w:themeColor="text1"/>
                <w:kern w:val="0"/>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石油开采（井场）</w:t>
            </w:r>
          </w:p>
        </w:tc>
        <w:tc>
          <w:tcPr>
            <w:tcW w:w="4261" w:type="dxa"/>
            <w:vAlign w:val="center"/>
          </w:tcPr>
          <w:p>
            <w:pPr>
              <w:jc w:val="center"/>
              <w:rPr>
                <w:rFonts w:ascii="Times New Roman" w:hAnsi="Times New Roman" w:cs="Times New Roman"/>
                <w:snapToGrid w:val="0"/>
                <w:color w:val="000000" w:themeColor="text1"/>
                <w:kern w:val="0"/>
                <w:szCs w:val="21"/>
                <w14:textFill>
                  <w14:solidFill>
                    <w14:schemeClr w14:val="tx1"/>
                  </w14:solidFill>
                </w14:textFill>
              </w:rPr>
            </w:pPr>
            <w:r>
              <w:rPr>
                <w:rFonts w:hint="eastAsia" w:ascii="Times New Roman" w:hAnsi="Times New Roman" w:cs="Times New Roman"/>
                <w:snapToGrid w:val="0"/>
                <w:color w:val="000000" w:themeColor="text1"/>
                <w:kern w:val="0"/>
                <w:szCs w:val="21"/>
                <w14:textFill>
                  <w14:solidFill>
                    <w14:schemeClr w14:val="tx1"/>
                  </w14:solidFill>
                </w14:textFill>
              </w:rPr>
              <w:t>二</w:t>
            </w:r>
            <w:r>
              <w:rPr>
                <w:rFonts w:ascii="Times New Roman" w:hAnsi="Times New Roman" w:cs="Times New Roman"/>
                <w:snapToGrid w:val="0"/>
                <w:color w:val="000000" w:themeColor="text1"/>
                <w:kern w:val="0"/>
                <w:szCs w:val="21"/>
                <w14:textFill>
                  <w14:solidFill>
                    <w14:schemeClr w14:val="tx1"/>
                  </w14:solidFill>
                </w14:textFill>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cs="Times New Roman"/>
                <w:snapToGrid w:val="0"/>
                <w:color w:val="000000" w:themeColor="text1"/>
                <w:kern w:val="0"/>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集</w:t>
            </w:r>
            <w:r>
              <w:rPr>
                <w:rFonts w:hint="eastAsia" w:ascii="Times New Roman" w:hAnsi="Times New Roman" w:cs="Times New Roman"/>
                <w:snapToGrid w:val="0"/>
                <w:color w:val="000000" w:themeColor="text1"/>
                <w:kern w:val="0"/>
                <w:szCs w:val="21"/>
                <w14:textFill>
                  <w14:solidFill>
                    <w14:schemeClr w14:val="tx1"/>
                  </w14:solidFill>
                </w14:textFill>
              </w:rPr>
              <w:t>输</w:t>
            </w:r>
            <w:r>
              <w:rPr>
                <w:rFonts w:ascii="Times New Roman" w:hAnsi="Times New Roman" w:cs="Times New Roman"/>
                <w:snapToGrid w:val="0"/>
                <w:color w:val="000000" w:themeColor="text1"/>
                <w:kern w:val="0"/>
                <w:szCs w:val="21"/>
                <w14:textFill>
                  <w14:solidFill>
                    <w14:schemeClr w14:val="tx1"/>
                  </w14:solidFill>
                </w14:textFill>
              </w:rPr>
              <w:t>管线</w:t>
            </w:r>
          </w:p>
        </w:tc>
        <w:tc>
          <w:tcPr>
            <w:tcW w:w="4261" w:type="dxa"/>
            <w:vAlign w:val="center"/>
          </w:tcPr>
          <w:p>
            <w:pPr>
              <w:jc w:val="center"/>
              <w:rPr>
                <w:rFonts w:ascii="Times New Roman" w:hAnsi="Times New Roman" w:cs="Times New Roman"/>
                <w:snapToGrid w:val="0"/>
                <w:color w:val="000000" w:themeColor="text1"/>
                <w:kern w:val="0"/>
                <w:szCs w:val="21"/>
                <w14:textFill>
                  <w14:solidFill>
                    <w14:schemeClr w14:val="tx1"/>
                  </w14:solidFill>
                </w14:textFill>
              </w:rPr>
            </w:pPr>
            <w:r>
              <w:rPr>
                <w:rFonts w:hint="eastAsia" w:ascii="Times New Roman" w:hAnsi="Times New Roman" w:cs="Times New Roman"/>
                <w:snapToGrid w:val="0"/>
                <w:color w:val="000000" w:themeColor="text1"/>
                <w:kern w:val="0"/>
                <w:szCs w:val="21"/>
                <w14:textFill>
                  <w14:solidFill>
                    <w14:schemeClr w14:val="tx1"/>
                  </w14:solidFill>
                </w14:textFill>
              </w:rPr>
              <w:t>三</w:t>
            </w:r>
            <w:r>
              <w:rPr>
                <w:rFonts w:ascii="Times New Roman" w:hAnsi="Times New Roman" w:cs="Times New Roman"/>
                <w:snapToGrid w:val="0"/>
                <w:color w:val="000000" w:themeColor="text1"/>
                <w:kern w:val="0"/>
                <w:szCs w:val="21"/>
                <w14:textFill>
                  <w14:solidFill>
                    <w14:schemeClr w14:val="tx1"/>
                  </w14:solidFill>
                </w14:textFill>
              </w:rPr>
              <w:t>级</w:t>
            </w:r>
          </w:p>
        </w:tc>
      </w:tr>
    </w:tbl>
    <w:p>
      <w:pPr>
        <w:spacing w:line="360" w:lineRule="auto"/>
        <w:ind w:firstLine="480" w:firstLineChars="20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（2）</w:t>
      </w:r>
      <w:r>
        <w:rPr>
          <w:rFonts w:ascii="Times New Roman" w:hAnsi="Times New Roman" w:eastAsia="宋体" w:cs="Times New Roman"/>
          <w:snapToGrid w:val="0"/>
          <w:color w:val="000000" w:themeColor="text1"/>
          <w:kern w:val="0"/>
          <w:sz w:val="24"/>
          <w14:textFill>
            <w14:solidFill>
              <w14:schemeClr w14:val="tx1"/>
            </w14:solidFill>
          </w14:textFill>
        </w:rPr>
        <w:t>土壤生态影响型评价工作等级</w:t>
      </w:r>
    </w:p>
    <w:p>
      <w:pPr>
        <w:spacing w:line="360" w:lineRule="auto"/>
        <w:ind w:firstLine="480" w:firstLineChars="20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①环境敏感程度</w:t>
      </w:r>
    </w:p>
    <w:p>
      <w:pPr>
        <w:spacing w:line="360" w:lineRule="auto"/>
        <w:ind w:firstLine="480" w:firstLineChars="20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建设项目所在地周边的环境影响敏感程度分为敏感、较敏感、不敏感，判别依据详见表2.5-10。</w:t>
      </w:r>
    </w:p>
    <w:p>
      <w:pPr>
        <w:autoSpaceDE w:val="0"/>
        <w:autoSpaceDN w:val="0"/>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表2.5-10  生态影响型敏感程度分级表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3695"/>
        <w:gridCol w:w="1732"/>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9" w:type="dxa"/>
            <w:vMerge w:val="restart"/>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敏感程度</w:t>
            </w:r>
          </w:p>
        </w:tc>
        <w:tc>
          <w:tcPr>
            <w:tcW w:w="7153" w:type="dxa"/>
            <w:gridSpan w:val="3"/>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9" w:type="dxa"/>
            <w:vMerge w:val="continue"/>
            <w:vAlign w:val="center"/>
          </w:tcPr>
          <w:p>
            <w:pPr>
              <w:autoSpaceDE w:val="0"/>
              <w:autoSpaceDN w:val="0"/>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p>
        </w:tc>
        <w:tc>
          <w:tcPr>
            <w:tcW w:w="3695"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盐化</w:t>
            </w:r>
          </w:p>
        </w:tc>
        <w:tc>
          <w:tcPr>
            <w:tcW w:w="1732"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酸化</w:t>
            </w:r>
          </w:p>
        </w:tc>
        <w:tc>
          <w:tcPr>
            <w:tcW w:w="1726"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9"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敏感</w:t>
            </w:r>
          </w:p>
        </w:tc>
        <w:tc>
          <w:tcPr>
            <w:tcW w:w="3695" w:type="dxa"/>
            <w:shd w:val="clear" w:color="auto" w:fill="BEBEBE" w:themeFill="background1" w:themeFillShade="BF"/>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建设项目所在地干燥度＞2.5且常年地下水位平均埋深＜1.5m的地势平坦区域；或土壤含盐量＞4g/kg的区域</w:t>
            </w:r>
          </w:p>
        </w:tc>
        <w:tc>
          <w:tcPr>
            <w:tcW w:w="1732"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pH≤4.5</w:t>
            </w:r>
          </w:p>
        </w:tc>
        <w:tc>
          <w:tcPr>
            <w:tcW w:w="1726" w:type="dxa"/>
            <w:shd w:val="clear" w:color="auto" w:fill="auto"/>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9"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较敏感</w:t>
            </w:r>
          </w:p>
        </w:tc>
        <w:tc>
          <w:tcPr>
            <w:tcW w:w="3695" w:type="dxa"/>
            <w:shd w:val="clear" w:color="auto" w:fill="auto"/>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建设项目所在地干燥度＞2.5且常年地下水位平均埋深≥1.5m的，或1.8＜干燥度≤2.5且常年地下水位平均埋深＜1.8m的地势平坦区域；建设项目所在地干燥度＞2.5或常年地下水位平均埋深＜1.5m的平原区；或2g/kg＜土壤含盐量≤4g/kg的区域</w:t>
            </w:r>
          </w:p>
        </w:tc>
        <w:tc>
          <w:tcPr>
            <w:tcW w:w="1732"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4.5＜pH≤5.5</w:t>
            </w:r>
          </w:p>
        </w:tc>
        <w:tc>
          <w:tcPr>
            <w:tcW w:w="1726" w:type="dxa"/>
            <w:shd w:val="clear" w:color="auto" w:fill="BEBEBE" w:themeFill="background1" w:themeFillShade="BF"/>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8.5≤pH＜9.0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9"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不敏感</w:t>
            </w:r>
          </w:p>
        </w:tc>
        <w:tc>
          <w:tcPr>
            <w:tcW w:w="3695"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其他</w:t>
            </w:r>
          </w:p>
        </w:tc>
        <w:tc>
          <w:tcPr>
            <w:tcW w:w="3458" w:type="dxa"/>
            <w:gridSpan w:val="2"/>
            <w:shd w:val="clear" w:color="auto" w:fill="auto"/>
            <w:vAlign w:val="center"/>
          </w:tcPr>
          <w:p>
            <w:pPr>
              <w:autoSpaceDE w:val="0"/>
              <w:autoSpaceDN w:val="0"/>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5.5＜pH＜8.5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widowControl/>
              <w:jc w:val="left"/>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a 是指采用E601观测的多年平均水面蒸发量与降水量的比值，即蒸降比值。</w:t>
            </w:r>
          </w:p>
        </w:tc>
      </w:tr>
    </w:tbl>
    <w:p>
      <w:pPr>
        <w:autoSpaceDE w:val="0"/>
        <w:autoSpaceDN w:val="0"/>
        <w:adjustRightInd w:val="0"/>
        <w:snapToGrid w:val="0"/>
        <w:spacing w:line="360" w:lineRule="auto"/>
        <w:ind w:firstLine="480" w:firstLineChars="200"/>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根据检测报告，本项目土壤盐分含量介于</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1.4</w:t>
      </w:r>
      <w:r>
        <w:rPr>
          <w:rFonts w:hint="eastAsia" w:ascii="Times New Roman" w:hAnsi="Times New Roman" w:cs="Times New Roman"/>
          <w:snapToGrid w:val="0"/>
          <w:color w:val="000000" w:themeColor="text1"/>
          <w:kern w:val="0"/>
          <w:sz w:val="24"/>
          <w14:textFill>
            <w14:solidFill>
              <w14:schemeClr w14:val="tx1"/>
            </w14:solidFill>
          </w14:textFill>
        </w:rPr>
        <w:t>g/kg</w:t>
      </w:r>
      <w:r>
        <w:rPr>
          <w:rFonts w:ascii="Times New Roman" w:hAnsi="Times New Roman" w:cs="Times New Roman"/>
          <w:snapToGrid w:val="0"/>
          <w:color w:val="000000" w:themeColor="text1"/>
          <w:kern w:val="0"/>
          <w:sz w:val="24"/>
          <w14:textFill>
            <w14:solidFill>
              <w14:schemeClr w14:val="tx1"/>
            </w14:solidFill>
          </w14:textFill>
        </w:rPr>
        <w:t>～</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4.2</w:t>
      </w:r>
      <w:r>
        <w:rPr>
          <w:rFonts w:ascii="Times New Roman" w:hAnsi="Times New Roman" w:cs="Times New Roman"/>
          <w:snapToGrid w:val="0"/>
          <w:color w:val="000000" w:themeColor="text1"/>
          <w:kern w:val="0"/>
          <w:sz w:val="24"/>
          <w14:textFill>
            <w14:solidFill>
              <w14:schemeClr w14:val="tx1"/>
            </w14:solidFill>
          </w14:textFill>
        </w:rPr>
        <w:t>g/kg之间，介于2g/kg~3g/kg之间，属于</w:t>
      </w: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中</w:t>
      </w:r>
      <w:r>
        <w:rPr>
          <w:rFonts w:ascii="Times New Roman" w:hAnsi="Times New Roman" w:cs="Times New Roman"/>
          <w:snapToGrid w:val="0"/>
          <w:color w:val="000000" w:themeColor="text1"/>
          <w:kern w:val="0"/>
          <w:sz w:val="24"/>
          <w14:textFill>
            <w14:solidFill>
              <w14:schemeClr w14:val="tx1"/>
            </w14:solidFill>
          </w14:textFill>
        </w:rPr>
        <w:t>度盐化，</w:t>
      </w:r>
      <w:r>
        <w:rPr>
          <w:rFonts w:ascii="Times New Roman" w:hAnsi="Times New Roman" w:eastAsia="宋体" w:cs="Times New Roman"/>
          <w:color w:val="000000" w:themeColor="text1"/>
          <w:kern w:val="0"/>
          <w:sz w:val="24"/>
          <w:lang w:bidi="ar"/>
          <w14:textFill>
            <w14:solidFill>
              <w14:schemeClr w14:val="tx1"/>
            </w14:solidFill>
          </w14:textFill>
        </w:rPr>
        <w:t>判定本项目敏感程度为</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敏感</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。根据表2.5-11，判定本项目土壤生态影响型环境评价工作等级确定为井场</w:t>
      </w:r>
      <w:r>
        <w:rPr>
          <w:rFonts w:hint="eastAsia" w:ascii="Times New Roman" w:hAnsi="Times New Roman" w:eastAsia="宋体" w:cs="Times New Roman"/>
          <w:color w:val="000000" w:themeColor="text1"/>
          <w:kern w:val="0"/>
          <w:sz w:val="24"/>
          <w:lang w:bidi="ar"/>
          <w14:textFill>
            <w14:solidFill>
              <w14:schemeClr w14:val="tx1"/>
            </w14:solidFill>
          </w14:textFill>
        </w:rPr>
        <w:t>二</w:t>
      </w:r>
      <w:r>
        <w:rPr>
          <w:rFonts w:ascii="Times New Roman" w:hAnsi="Times New Roman" w:eastAsia="宋体" w:cs="Times New Roman"/>
          <w:color w:val="000000" w:themeColor="text1"/>
          <w:kern w:val="0"/>
          <w:sz w:val="24"/>
          <w:lang w:bidi="ar"/>
          <w14:textFill>
            <w14:solidFill>
              <w14:schemeClr w14:val="tx1"/>
            </w14:solidFill>
          </w14:textFill>
        </w:rPr>
        <w:t>级</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集</w:t>
      </w:r>
      <w:r>
        <w:rPr>
          <w:rFonts w:hint="eastAsia" w:ascii="Times New Roman" w:hAnsi="Times New Roman" w:eastAsia="宋体" w:cs="Times New Roman"/>
          <w:color w:val="000000" w:themeColor="text1"/>
          <w:kern w:val="0"/>
          <w:sz w:val="24"/>
          <w:lang w:bidi="ar"/>
          <w14:textFill>
            <w14:solidFill>
              <w14:schemeClr w14:val="tx1"/>
            </w14:solidFill>
          </w14:textFill>
        </w:rPr>
        <w:t>输</w:t>
      </w:r>
      <w:r>
        <w:rPr>
          <w:rFonts w:ascii="Times New Roman" w:hAnsi="Times New Roman" w:eastAsia="宋体" w:cs="Times New Roman"/>
          <w:color w:val="000000" w:themeColor="text1"/>
          <w:kern w:val="0"/>
          <w:sz w:val="24"/>
          <w:lang w:bidi="ar"/>
          <w14:textFill>
            <w14:solidFill>
              <w14:schemeClr w14:val="tx1"/>
            </w14:solidFill>
          </w14:textFill>
        </w:rPr>
        <w:t>管线</w:t>
      </w:r>
      <w:r>
        <w:rPr>
          <w:rFonts w:hint="eastAsia" w:ascii="Times New Roman" w:hAnsi="Times New Roman" w:eastAsia="宋体" w:cs="Times New Roman"/>
          <w:color w:val="000000" w:themeColor="text1"/>
          <w:kern w:val="0"/>
          <w:sz w:val="24"/>
          <w:lang w:bidi="ar"/>
          <w14:textFill>
            <w14:solidFill>
              <w14:schemeClr w14:val="tx1"/>
            </w14:solidFill>
          </w14:textFill>
        </w:rPr>
        <w:t>二</w:t>
      </w:r>
      <w:r>
        <w:rPr>
          <w:rFonts w:ascii="Times New Roman" w:hAnsi="Times New Roman" w:eastAsia="宋体" w:cs="Times New Roman"/>
          <w:color w:val="000000" w:themeColor="text1"/>
          <w:kern w:val="0"/>
          <w:sz w:val="24"/>
          <w:lang w:bidi="ar"/>
          <w14:textFill>
            <w14:solidFill>
              <w14:schemeClr w14:val="tx1"/>
            </w14:solidFill>
          </w14:textFill>
        </w:rPr>
        <w:t>级</w:t>
      </w:r>
      <w:r>
        <w:rPr>
          <w:rFonts w:hint="eastAsia" w:ascii="Times New Roman" w:hAnsi="Times New Roman" w:eastAsia="宋体" w:cs="Times New Roman"/>
          <w:color w:val="000000" w:themeColor="text1"/>
          <w:kern w:val="0"/>
          <w:sz w:val="24"/>
          <w:lang w:bidi="ar"/>
          <w14:textFill>
            <w14:solidFill>
              <w14:schemeClr w14:val="tx1"/>
            </w14:solidFill>
          </w14:textFill>
        </w:rPr>
        <w:t>。</w:t>
      </w:r>
    </w:p>
    <w:p>
      <w:pPr>
        <w:autoSpaceDE w:val="0"/>
        <w:autoSpaceDN w:val="0"/>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表2.5-11  生态影响型评价工作等级划分表</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2509"/>
        <w:gridCol w:w="2482"/>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395"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评价工作等级</w:t>
            </w:r>
          </w:p>
        </w:tc>
        <w:tc>
          <w:tcPr>
            <w:tcW w:w="2509"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Ⅰ类</w:t>
            </w:r>
          </w:p>
        </w:tc>
        <w:tc>
          <w:tcPr>
            <w:tcW w:w="2482"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Ⅱ类</w:t>
            </w:r>
          </w:p>
        </w:tc>
        <w:tc>
          <w:tcPr>
            <w:tcW w:w="2136"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395"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敏感</w:t>
            </w:r>
          </w:p>
        </w:tc>
        <w:tc>
          <w:tcPr>
            <w:tcW w:w="2509" w:type="dxa"/>
            <w:shd w:val="clear" w:color="auto" w:fill="BEBEBE" w:themeFill="background1" w:themeFillShade="BF"/>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一级</w:t>
            </w:r>
          </w:p>
        </w:tc>
        <w:tc>
          <w:tcPr>
            <w:tcW w:w="2482" w:type="dxa"/>
            <w:shd w:val="clear" w:color="auto" w:fill="BEBEBE" w:themeFill="background1" w:themeFillShade="BF"/>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2136"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395"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较敏感</w:t>
            </w:r>
          </w:p>
        </w:tc>
        <w:tc>
          <w:tcPr>
            <w:tcW w:w="2509"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2482"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2136"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1395" w:type="dxa"/>
            <w:shd w:val="clear" w:color="auto" w:fill="auto"/>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不敏感</w:t>
            </w:r>
          </w:p>
        </w:tc>
        <w:tc>
          <w:tcPr>
            <w:tcW w:w="2509"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二级</w:t>
            </w:r>
          </w:p>
        </w:tc>
        <w:tc>
          <w:tcPr>
            <w:tcW w:w="2482"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三级</w:t>
            </w:r>
          </w:p>
        </w:tc>
        <w:tc>
          <w:tcPr>
            <w:tcW w:w="2136" w:type="dxa"/>
            <w:shd w:val="clear" w:color="auto" w:fill="auto"/>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522" w:type="dxa"/>
            <w:gridSpan w:val="4"/>
            <w:shd w:val="clear" w:color="auto" w:fill="auto"/>
            <w:vAlign w:val="center"/>
          </w:tcPr>
          <w:p>
            <w:pPr>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注：“－”表示可不开展土壤环境影响评价工作</w:t>
            </w:r>
          </w:p>
        </w:tc>
      </w:tr>
    </w:tbl>
    <w:p>
      <w:pPr>
        <w:autoSpaceDE w:val="0"/>
        <w:autoSpaceDN w:val="0"/>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表2.5-12  项目土壤环境影响评价工作等级判定表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cs="Times New Roman"/>
                <w:b/>
                <w:bCs/>
                <w:snapToGrid w:val="0"/>
                <w:color w:val="000000" w:themeColor="text1"/>
                <w:kern w:val="0"/>
                <w:szCs w:val="21"/>
                <w14:textFill>
                  <w14:solidFill>
                    <w14:schemeClr w14:val="tx1"/>
                  </w14:solidFill>
                </w14:textFill>
              </w:rPr>
            </w:pPr>
            <w:r>
              <w:rPr>
                <w:rFonts w:ascii="Times New Roman" w:hAnsi="Times New Roman" w:cs="Times New Roman"/>
                <w:b/>
                <w:bCs/>
                <w:snapToGrid w:val="0"/>
                <w:color w:val="000000" w:themeColor="text1"/>
                <w:kern w:val="0"/>
                <w:szCs w:val="21"/>
                <w14:textFill>
                  <w14:solidFill>
                    <w14:schemeClr w14:val="tx1"/>
                  </w14:solidFill>
                </w14:textFill>
              </w:rPr>
              <w:t>工程类型</w:t>
            </w:r>
          </w:p>
        </w:tc>
        <w:tc>
          <w:tcPr>
            <w:tcW w:w="4261" w:type="dxa"/>
            <w:vAlign w:val="center"/>
          </w:tcPr>
          <w:p>
            <w:pPr>
              <w:jc w:val="center"/>
              <w:rPr>
                <w:rFonts w:ascii="Times New Roman" w:hAnsi="Times New Roman" w:cs="Times New Roman"/>
                <w:b/>
                <w:bCs/>
                <w:snapToGrid w:val="0"/>
                <w:color w:val="000000" w:themeColor="text1"/>
                <w:kern w:val="0"/>
                <w:szCs w:val="21"/>
                <w14:textFill>
                  <w14:solidFill>
                    <w14:schemeClr w14:val="tx1"/>
                  </w14:solidFill>
                </w14:textFill>
              </w:rPr>
            </w:pPr>
            <w:r>
              <w:rPr>
                <w:rFonts w:hint="eastAsia" w:ascii="Times New Roman" w:hAnsi="Times New Roman" w:cs="Times New Roman"/>
                <w:b/>
                <w:bCs/>
                <w:snapToGrid w:val="0"/>
                <w:color w:val="000000" w:themeColor="text1"/>
                <w:kern w:val="0"/>
                <w:szCs w:val="21"/>
                <w14:textFill>
                  <w14:solidFill>
                    <w14:schemeClr w14:val="tx1"/>
                  </w14:solidFill>
                </w14:textFill>
              </w:rPr>
              <w:t>生态</w:t>
            </w:r>
            <w:r>
              <w:rPr>
                <w:rFonts w:ascii="Times New Roman" w:hAnsi="Times New Roman" w:cs="Times New Roman"/>
                <w:b/>
                <w:bCs/>
                <w:snapToGrid w:val="0"/>
                <w:color w:val="000000" w:themeColor="text1"/>
                <w:kern w:val="0"/>
                <w:szCs w:val="21"/>
                <w14:textFill>
                  <w14:solidFill>
                    <w14:schemeClr w14:val="tx1"/>
                  </w14:solidFill>
                </w14:textFill>
              </w:rPr>
              <w:t>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cs="Times New Roman"/>
                <w:snapToGrid w:val="0"/>
                <w:color w:val="000000" w:themeColor="text1"/>
                <w:kern w:val="0"/>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石油开采（井场）</w:t>
            </w:r>
          </w:p>
        </w:tc>
        <w:tc>
          <w:tcPr>
            <w:tcW w:w="4261" w:type="dxa"/>
            <w:vAlign w:val="center"/>
          </w:tcPr>
          <w:p>
            <w:pPr>
              <w:jc w:val="center"/>
              <w:rPr>
                <w:rFonts w:ascii="Times New Roman" w:hAnsi="Times New Roman" w:cs="Times New Roman"/>
                <w:snapToGrid w:val="0"/>
                <w:color w:val="000000" w:themeColor="text1"/>
                <w:kern w:val="0"/>
                <w:szCs w:val="21"/>
                <w14:textFill>
                  <w14:solidFill>
                    <w14:schemeClr w14:val="tx1"/>
                  </w14:solidFill>
                </w14:textFill>
              </w:rPr>
            </w:pPr>
            <w:r>
              <w:rPr>
                <w:rFonts w:hint="eastAsia" w:ascii="Times New Roman" w:hAnsi="Times New Roman" w:cs="Times New Roman"/>
                <w:snapToGrid w:val="0"/>
                <w:color w:val="000000" w:themeColor="text1"/>
                <w:kern w:val="0"/>
                <w:szCs w:val="21"/>
                <w:lang w:val="en-US" w:eastAsia="zh-CN"/>
                <w14:textFill>
                  <w14:solidFill>
                    <w14:schemeClr w14:val="tx1"/>
                  </w14:solidFill>
                </w14:textFill>
              </w:rPr>
              <w:t>一</w:t>
            </w:r>
            <w:r>
              <w:rPr>
                <w:rFonts w:ascii="Times New Roman" w:hAnsi="Times New Roman" w:cs="Times New Roman"/>
                <w:snapToGrid w:val="0"/>
                <w:color w:val="000000" w:themeColor="text1"/>
                <w:kern w:val="0"/>
                <w:szCs w:val="21"/>
                <w14:textFill>
                  <w14:solidFill>
                    <w14:schemeClr w14:val="tx1"/>
                  </w14:solidFill>
                </w14:textFill>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jc w:val="center"/>
              <w:rPr>
                <w:rFonts w:ascii="Times New Roman" w:hAnsi="Times New Roman" w:cs="Times New Roman"/>
                <w:snapToGrid w:val="0"/>
                <w:color w:val="000000" w:themeColor="text1"/>
                <w:kern w:val="0"/>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集</w:t>
            </w:r>
            <w:r>
              <w:rPr>
                <w:rFonts w:hint="eastAsia" w:ascii="Times New Roman" w:hAnsi="Times New Roman" w:cs="Times New Roman"/>
                <w:snapToGrid w:val="0"/>
                <w:color w:val="000000" w:themeColor="text1"/>
                <w:kern w:val="0"/>
                <w:szCs w:val="21"/>
                <w14:textFill>
                  <w14:solidFill>
                    <w14:schemeClr w14:val="tx1"/>
                  </w14:solidFill>
                </w14:textFill>
              </w:rPr>
              <w:t>输</w:t>
            </w:r>
            <w:r>
              <w:rPr>
                <w:rFonts w:ascii="Times New Roman" w:hAnsi="Times New Roman" w:cs="Times New Roman"/>
                <w:snapToGrid w:val="0"/>
                <w:color w:val="000000" w:themeColor="text1"/>
                <w:kern w:val="0"/>
                <w:szCs w:val="21"/>
                <w14:textFill>
                  <w14:solidFill>
                    <w14:schemeClr w14:val="tx1"/>
                  </w14:solidFill>
                </w14:textFill>
              </w:rPr>
              <w:t>管线</w:t>
            </w:r>
          </w:p>
        </w:tc>
        <w:tc>
          <w:tcPr>
            <w:tcW w:w="4261" w:type="dxa"/>
            <w:vAlign w:val="center"/>
          </w:tcPr>
          <w:p>
            <w:pPr>
              <w:jc w:val="center"/>
              <w:rPr>
                <w:rFonts w:ascii="Times New Roman" w:hAnsi="Times New Roman" w:cs="Times New Roman"/>
                <w:snapToGrid w:val="0"/>
                <w:color w:val="000000" w:themeColor="text1"/>
                <w:kern w:val="0"/>
                <w:szCs w:val="21"/>
                <w14:textFill>
                  <w14:solidFill>
                    <w14:schemeClr w14:val="tx1"/>
                  </w14:solidFill>
                </w14:textFill>
              </w:rPr>
            </w:pPr>
            <w:r>
              <w:rPr>
                <w:rFonts w:hint="eastAsia" w:ascii="Times New Roman" w:hAnsi="Times New Roman" w:cs="Times New Roman"/>
                <w:snapToGrid w:val="0"/>
                <w:color w:val="000000" w:themeColor="text1"/>
                <w:kern w:val="0"/>
                <w:szCs w:val="21"/>
                <w14:textFill>
                  <w14:solidFill>
                    <w14:schemeClr w14:val="tx1"/>
                  </w14:solidFill>
                </w14:textFill>
              </w:rPr>
              <w:t>二</w:t>
            </w:r>
            <w:r>
              <w:rPr>
                <w:rFonts w:ascii="Times New Roman" w:hAnsi="Times New Roman" w:cs="Times New Roman"/>
                <w:snapToGrid w:val="0"/>
                <w:color w:val="000000" w:themeColor="text1"/>
                <w:kern w:val="0"/>
                <w:szCs w:val="21"/>
                <w14:textFill>
                  <w14:solidFill>
                    <w14:schemeClr w14:val="tx1"/>
                  </w14:solidFill>
                </w14:textFill>
              </w:rPr>
              <w:t>级</w:t>
            </w:r>
          </w:p>
        </w:tc>
      </w:tr>
    </w:tbl>
    <w:p>
      <w:pPr>
        <w:autoSpaceDE w:val="0"/>
        <w:autoSpaceDN w:val="0"/>
        <w:adjustRightInd w:val="0"/>
        <w:snapToGrid w:val="0"/>
        <w:spacing w:line="360" w:lineRule="auto"/>
        <w:ind w:firstLine="422" w:firstLineChars="20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表2.5-13  现状调查范围</w:t>
      </w:r>
    </w:p>
    <w:tbl>
      <w:tblPr>
        <w:tblStyle w:val="2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488"/>
        <w:gridCol w:w="2839"/>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07" w:type="dxa"/>
            <w:vMerge w:val="restart"/>
            <w:vAlign w:val="center"/>
          </w:tcPr>
          <w:p>
            <w:pPr>
              <w:pStyle w:val="40"/>
              <w:spacing w:line="240" w:lineRule="auto"/>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评价工作等级</w:t>
            </w:r>
          </w:p>
        </w:tc>
        <w:tc>
          <w:tcPr>
            <w:tcW w:w="1488" w:type="dxa"/>
            <w:vMerge w:val="restart"/>
            <w:vAlign w:val="center"/>
          </w:tcPr>
          <w:p>
            <w:pPr>
              <w:pStyle w:val="40"/>
              <w:spacing w:line="240" w:lineRule="auto"/>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影响类型</w:t>
            </w:r>
          </w:p>
        </w:tc>
        <w:tc>
          <w:tcPr>
            <w:tcW w:w="5724" w:type="dxa"/>
            <w:gridSpan w:val="2"/>
            <w:vAlign w:val="center"/>
          </w:tcPr>
          <w:p>
            <w:pPr>
              <w:pStyle w:val="40"/>
              <w:spacing w:line="240" w:lineRule="auto"/>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调查范围①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07" w:type="dxa"/>
            <w:vMerge w:val="continue"/>
            <w:vAlign w:val="center"/>
          </w:tcPr>
          <w:p>
            <w:pPr>
              <w:pStyle w:val="40"/>
              <w:spacing w:line="240" w:lineRule="auto"/>
              <w:rPr>
                <w:rFonts w:ascii="Times New Roman" w:hAnsi="Times New Roman" w:cs="Times New Roman"/>
                <w:b/>
                <w:bCs/>
                <w:color w:val="000000" w:themeColor="text1"/>
                <w:sz w:val="21"/>
                <w14:textFill>
                  <w14:solidFill>
                    <w14:schemeClr w14:val="tx1"/>
                  </w14:solidFill>
                </w14:textFill>
              </w:rPr>
            </w:pPr>
          </w:p>
        </w:tc>
        <w:tc>
          <w:tcPr>
            <w:tcW w:w="1488" w:type="dxa"/>
            <w:vMerge w:val="continue"/>
            <w:vAlign w:val="center"/>
          </w:tcPr>
          <w:p>
            <w:pPr>
              <w:pStyle w:val="40"/>
              <w:spacing w:line="240" w:lineRule="auto"/>
              <w:rPr>
                <w:rFonts w:ascii="Times New Roman" w:hAnsi="Times New Roman" w:cs="Times New Roman"/>
                <w:b/>
                <w:bCs/>
                <w:color w:val="000000" w:themeColor="text1"/>
                <w:sz w:val="21"/>
                <w14:textFill>
                  <w14:solidFill>
                    <w14:schemeClr w14:val="tx1"/>
                  </w14:solidFill>
                </w14:textFill>
              </w:rPr>
            </w:pPr>
          </w:p>
        </w:tc>
        <w:tc>
          <w:tcPr>
            <w:tcW w:w="2839" w:type="dxa"/>
            <w:vAlign w:val="center"/>
          </w:tcPr>
          <w:p>
            <w:pPr>
              <w:pStyle w:val="40"/>
              <w:spacing w:line="240" w:lineRule="auto"/>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占地范围内②</w:t>
            </w:r>
          </w:p>
        </w:tc>
        <w:tc>
          <w:tcPr>
            <w:tcW w:w="2885" w:type="dxa"/>
            <w:vAlign w:val="center"/>
          </w:tcPr>
          <w:p>
            <w:pPr>
              <w:pStyle w:val="40"/>
              <w:spacing w:line="240" w:lineRule="auto"/>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占地范围外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07" w:type="dxa"/>
            <w:vMerge w:val="restart"/>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一级</w:t>
            </w:r>
          </w:p>
        </w:tc>
        <w:tc>
          <w:tcPr>
            <w:tcW w:w="1488"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生态影响型</w:t>
            </w:r>
          </w:p>
        </w:tc>
        <w:tc>
          <w:tcPr>
            <w:tcW w:w="2839" w:type="dxa"/>
            <w:vMerge w:val="restart"/>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全部</w:t>
            </w:r>
          </w:p>
        </w:tc>
        <w:tc>
          <w:tcPr>
            <w:tcW w:w="2885"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07" w:type="dxa"/>
            <w:vMerge w:val="continue"/>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p>
        </w:tc>
        <w:tc>
          <w:tcPr>
            <w:tcW w:w="1488"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污染影响型</w:t>
            </w:r>
          </w:p>
        </w:tc>
        <w:tc>
          <w:tcPr>
            <w:tcW w:w="2839" w:type="dxa"/>
            <w:vMerge w:val="continue"/>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p>
        </w:tc>
        <w:tc>
          <w:tcPr>
            <w:tcW w:w="2885"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07" w:type="dxa"/>
            <w:vMerge w:val="restart"/>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二级</w:t>
            </w:r>
          </w:p>
        </w:tc>
        <w:tc>
          <w:tcPr>
            <w:tcW w:w="1488"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生态影响型</w:t>
            </w:r>
          </w:p>
        </w:tc>
        <w:tc>
          <w:tcPr>
            <w:tcW w:w="2839" w:type="dxa"/>
            <w:vMerge w:val="continue"/>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p>
        </w:tc>
        <w:tc>
          <w:tcPr>
            <w:tcW w:w="2885"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07" w:type="dxa"/>
            <w:vMerge w:val="continue"/>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p>
        </w:tc>
        <w:tc>
          <w:tcPr>
            <w:tcW w:w="1488"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污染影响型</w:t>
            </w:r>
          </w:p>
        </w:tc>
        <w:tc>
          <w:tcPr>
            <w:tcW w:w="2839" w:type="dxa"/>
            <w:vMerge w:val="continue"/>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p>
        </w:tc>
        <w:tc>
          <w:tcPr>
            <w:tcW w:w="2885"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0.2km范围内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07" w:type="dxa"/>
            <w:vMerge w:val="restart"/>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三级</w:t>
            </w:r>
          </w:p>
        </w:tc>
        <w:tc>
          <w:tcPr>
            <w:tcW w:w="1488"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生态影响型</w:t>
            </w:r>
          </w:p>
        </w:tc>
        <w:tc>
          <w:tcPr>
            <w:tcW w:w="2839" w:type="dxa"/>
            <w:vMerge w:val="continue"/>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p>
        </w:tc>
        <w:tc>
          <w:tcPr>
            <w:tcW w:w="2885"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07" w:type="dxa"/>
            <w:vMerge w:val="continue"/>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p>
        </w:tc>
        <w:tc>
          <w:tcPr>
            <w:tcW w:w="1488"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污染影响型</w:t>
            </w:r>
          </w:p>
        </w:tc>
        <w:tc>
          <w:tcPr>
            <w:tcW w:w="2839" w:type="dxa"/>
            <w:vMerge w:val="continue"/>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p>
        </w:tc>
        <w:tc>
          <w:tcPr>
            <w:tcW w:w="2885" w:type="dxa"/>
            <w:shd w:val="clear" w:color="auto" w:fill="auto"/>
            <w:vAlign w:val="center"/>
          </w:tcPr>
          <w:p>
            <w:pPr>
              <w:pStyle w:val="40"/>
              <w:spacing w:line="240" w:lineRule="auto"/>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0.05km范围内</w:t>
            </w:r>
          </w:p>
        </w:tc>
      </w:tr>
    </w:tbl>
    <w:p>
      <w:pPr>
        <w:pStyle w:val="40"/>
        <w:spacing w:line="240" w:lineRule="auto"/>
        <w:ind w:firstLine="360" w:firstLineChars="200"/>
        <w:jc w:val="both"/>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①涉及大气沉降途径影响的，可根据主导风向下风向的最大落地浓度点适当调整。</w:t>
      </w:r>
    </w:p>
    <w:p>
      <w:pPr>
        <w:spacing w:line="360" w:lineRule="auto"/>
        <w:ind w:firstLine="360" w:firstLineChars="200"/>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②矿山类项目</w:t>
      </w:r>
      <w:r>
        <w:rPr>
          <w:rFonts w:ascii="Times New Roman" w:hAnsi="Times New Roman" w:cs="Times New Roman"/>
          <w:color w:val="000000" w:themeColor="text1"/>
          <w:sz w:val="18"/>
          <w:szCs w:val="18"/>
          <w14:textFill>
            <w14:solidFill>
              <w14:schemeClr w14:val="tx1"/>
            </w14:solidFill>
          </w14:textFill>
        </w:rPr>
        <w:t>指</w:t>
      </w:r>
      <w:r>
        <w:rPr>
          <w:rFonts w:ascii="Times New Roman" w:hAnsi="Times New Roman" w:eastAsia="宋体" w:cs="Times New Roman"/>
          <w:color w:val="000000" w:themeColor="text1"/>
          <w:sz w:val="18"/>
          <w:szCs w:val="18"/>
          <w14:textFill>
            <w14:solidFill>
              <w14:schemeClr w14:val="tx1"/>
            </w14:solidFill>
          </w14:textFill>
        </w:rPr>
        <w:t>开采区与各场地的占地；改、扩建的指现有工程与拟建工程的占地。</w:t>
      </w:r>
    </w:p>
    <w:p>
      <w:pPr>
        <w:spacing w:line="360" w:lineRule="auto"/>
        <w:ind w:firstLine="480" w:firstLineChars="20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（3）评价范围</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①土壤污染影响型评价范围</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根据《环境影响评价技术导则 土壤环境</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试行</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》（HJ964-2018），本项目土壤污染影响型</w:t>
      </w:r>
      <w:r>
        <w:rPr>
          <w:rFonts w:hint="eastAsia" w:ascii="Times New Roman" w:hAnsi="Times New Roman" w:cs="Times New Roman"/>
          <w:color w:val="000000" w:themeColor="text1"/>
          <w:sz w:val="24"/>
          <w14:textFill>
            <w14:solidFill>
              <w14:schemeClr w14:val="tx1"/>
            </w14:solidFill>
          </w14:textFill>
        </w:rPr>
        <w:t>调查</w:t>
      </w:r>
      <w:r>
        <w:rPr>
          <w:rFonts w:ascii="Times New Roman" w:hAnsi="Times New Roman" w:cs="Times New Roman"/>
          <w:color w:val="000000" w:themeColor="text1"/>
          <w:sz w:val="24"/>
          <w14:textFill>
            <w14:solidFill>
              <w14:schemeClr w14:val="tx1"/>
            </w14:solidFill>
          </w14:textFill>
        </w:rPr>
        <w:t>评价范围为：井场取占地范围内及占地范围外</w:t>
      </w:r>
      <w:r>
        <w:rPr>
          <w:rFonts w:hint="eastAsia" w:ascii="Times New Roman" w:hAnsi="Times New Roman" w:cs="Times New Roman"/>
          <w:color w:val="000000" w:themeColor="text1"/>
          <w:sz w:val="24"/>
          <w14:textFill>
            <w14:solidFill>
              <w14:schemeClr w14:val="tx1"/>
            </w14:solidFill>
          </w14:textFill>
        </w:rPr>
        <w:t>0.2</w:t>
      </w:r>
      <w:r>
        <w:rPr>
          <w:rFonts w:ascii="Times New Roman" w:hAnsi="Times New Roman" w:cs="Times New Roman"/>
          <w:color w:val="000000" w:themeColor="text1"/>
          <w:sz w:val="24"/>
          <w14:textFill>
            <w14:solidFill>
              <w14:schemeClr w14:val="tx1"/>
            </w14:solidFill>
          </w14:textFill>
        </w:rPr>
        <w:t>km范围，管线边界两侧0.</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km范围内。</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②土壤生态影响型评价范围</w:t>
      </w:r>
    </w:p>
    <w:p>
      <w:pPr>
        <w:spacing w:line="360" w:lineRule="auto"/>
        <w:ind w:firstLine="480" w:firstLineChars="200"/>
        <w:rPr>
          <w:rFonts w:ascii="Times New Roman" w:hAnsi="Times New Roman" w:eastAsia="黑体" w:cs="Times New Roman"/>
          <w:b/>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cs="Times New Roman"/>
          <w:color w:val="000000" w:themeColor="text1"/>
          <w:sz w:val="24"/>
          <w14:textFill>
            <w14:solidFill>
              <w14:schemeClr w14:val="tx1"/>
            </w14:solidFill>
          </w14:textFill>
        </w:rPr>
        <w:t>根据《环境影响评价技术导则 土壤环境</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试行</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》（HJ964-2018），本项目土壤环境生态影响型</w:t>
      </w:r>
      <w:r>
        <w:rPr>
          <w:rFonts w:hint="eastAsia" w:ascii="Times New Roman" w:hAnsi="Times New Roman" w:cs="Times New Roman"/>
          <w:color w:val="000000" w:themeColor="text1"/>
          <w:sz w:val="24"/>
          <w14:textFill>
            <w14:solidFill>
              <w14:schemeClr w14:val="tx1"/>
            </w14:solidFill>
          </w14:textFill>
        </w:rPr>
        <w:t>调查</w:t>
      </w:r>
      <w:r>
        <w:rPr>
          <w:rFonts w:ascii="Times New Roman" w:hAnsi="Times New Roman" w:cs="Times New Roman"/>
          <w:color w:val="000000" w:themeColor="text1"/>
          <w:sz w:val="24"/>
          <w14:textFill>
            <w14:solidFill>
              <w14:schemeClr w14:val="tx1"/>
            </w14:solidFill>
          </w14:textFill>
        </w:rPr>
        <w:t>评价范围为：井场取占地范围内及占地范围外</w:t>
      </w:r>
      <w:r>
        <w:rPr>
          <w:rFonts w:hint="eastAsia" w:ascii="Times New Roman" w:hAnsi="Times New Roman" w:cs="Times New Roman"/>
          <w:color w:val="000000" w:themeColor="text1"/>
          <w:sz w:val="24"/>
          <w:lang w:val="en-US" w:eastAsia="zh-CN"/>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km范围，管线边界两侧0.2km范围内。</w:t>
      </w:r>
      <w:bookmarkStart w:id="134" w:name="_Hlk29245876"/>
      <w:r>
        <w:rPr>
          <w:rFonts w:ascii="Times New Roman" w:hAnsi="Times New Roman" w:cs="Times New Roman"/>
          <w:snapToGrid w:val="0"/>
          <w:color w:val="000000" w:themeColor="text1"/>
          <w:kern w:val="0"/>
          <w:sz w:val="24"/>
          <w14:textFill>
            <w14:solidFill>
              <w14:schemeClr w14:val="tx1"/>
            </w14:solidFill>
          </w14:textFill>
        </w:rPr>
        <w:t>土壤</w:t>
      </w:r>
      <w:r>
        <w:rPr>
          <w:rFonts w:ascii="Times New Roman" w:hAnsi="Times New Roman" w:cs="Times New Roman"/>
          <w:color w:val="000000" w:themeColor="text1"/>
          <w:sz w:val="24"/>
          <w14:textFill>
            <w14:solidFill>
              <w14:schemeClr w14:val="tx1"/>
            </w14:solidFill>
          </w14:textFill>
        </w:rPr>
        <w:t>评价范围见图2.5-4。</w:t>
      </w:r>
      <w:bookmarkEnd w:id="134"/>
      <w:bookmarkStart w:id="135" w:name="_Hlk24641373"/>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2.5.5生态环境</w:t>
      </w:r>
    </w:p>
    <w:bookmarkEnd w:id="135"/>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依据《环境影响评价技术导则 生态影响》</w:t>
      </w:r>
      <w:r>
        <w:rPr>
          <w:rFonts w:ascii="Times New Roman" w:hAnsi="Times New Roman" w:eastAsia="宋体" w:cs="Times New Roman"/>
          <w:snapToGrid w:val="0"/>
          <w:color w:val="000000" w:themeColor="text1"/>
          <w:kern w:val="0"/>
          <w:sz w:val="24"/>
          <w14:textFill>
            <w14:solidFill>
              <w14:schemeClr w14:val="tx1"/>
            </w14:solidFill>
          </w14:textFill>
        </w:rPr>
        <w:t>（HJ19</w:t>
      </w:r>
      <w:r>
        <w:rPr>
          <w:rFonts w:ascii="Times New Roman" w:hAnsi="Times New Roman" w:cs="Times New Roman"/>
          <w:snapToGrid w:val="0"/>
          <w:color w:val="000000" w:themeColor="text1"/>
          <w:kern w:val="0"/>
          <w:sz w:val="24"/>
          <w14:textFill>
            <w14:solidFill>
              <w14:schemeClr w14:val="tx1"/>
            </w14:solidFill>
          </w14:textFill>
        </w:rPr>
        <w:t>-</w:t>
      </w:r>
      <w:r>
        <w:rPr>
          <w:rFonts w:ascii="Times New Roman" w:hAnsi="Times New Roman" w:eastAsia="宋体" w:cs="Times New Roman"/>
          <w:snapToGrid w:val="0"/>
          <w:color w:val="000000" w:themeColor="text1"/>
          <w:kern w:val="0"/>
          <w:sz w:val="24"/>
          <w14:textFill>
            <w14:solidFill>
              <w14:schemeClr w14:val="tx1"/>
            </w14:solidFill>
          </w14:textFill>
        </w:rPr>
        <w:t>20</w:t>
      </w:r>
      <w:r>
        <w:rPr>
          <w:rFonts w:ascii="Times New Roman" w:hAnsi="Times New Roman" w:cs="Times New Roman"/>
          <w:snapToGrid w:val="0"/>
          <w:color w:val="000000" w:themeColor="text1"/>
          <w:kern w:val="0"/>
          <w:sz w:val="24"/>
          <w14:textFill>
            <w14:solidFill>
              <w14:schemeClr w14:val="tx1"/>
            </w14:solidFill>
          </w14:textFill>
        </w:rPr>
        <w:t>22</w:t>
      </w:r>
      <w:r>
        <w:rPr>
          <w:rFonts w:ascii="Times New Roman" w:hAnsi="Times New Roman" w:eastAsia="宋体" w:cs="Times New Roman"/>
          <w:snapToGrid w:val="0"/>
          <w:color w:val="000000" w:themeColor="text1"/>
          <w:kern w:val="0"/>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生态敏感性和影响程度，将生态影响评价等级划分为一级、二级和三级，经判定本项目生态环境影响评价等级为</w:t>
      </w:r>
      <w:r>
        <w:rPr>
          <w:rFonts w:hint="eastAsia" w:ascii="Times New Roman" w:hAnsi="Times New Roman" w:cs="Times New Roman"/>
          <w:color w:val="000000" w:themeColor="text1"/>
          <w:sz w:val="24"/>
          <w14:textFill>
            <w14:solidFill>
              <w14:schemeClr w14:val="tx1"/>
            </w14:solidFill>
          </w14:textFill>
        </w:rPr>
        <w:t>三</w:t>
      </w:r>
      <w:r>
        <w:rPr>
          <w:rFonts w:ascii="Times New Roman" w:hAnsi="Times New Roman" w:cs="Times New Roman"/>
          <w:color w:val="000000" w:themeColor="text1"/>
          <w:sz w:val="24"/>
          <w14:textFill>
            <w14:solidFill>
              <w14:schemeClr w14:val="tx1"/>
            </w14:solidFill>
          </w14:textFill>
        </w:rPr>
        <w:t>级，判定依据及结果见表2.5-14。</w:t>
      </w:r>
    </w:p>
    <w:p>
      <w:pPr>
        <w:pStyle w:val="43"/>
        <w:spacing w:line="360" w:lineRule="auto"/>
        <w:rPr>
          <w:color w:val="000000" w:themeColor="text1"/>
          <w14:textFill>
            <w14:solidFill>
              <w14:schemeClr w14:val="tx1"/>
            </w14:solidFill>
          </w14:textFill>
        </w:rPr>
      </w:pPr>
      <w:bookmarkStart w:id="136" w:name="_Hlk24641488"/>
      <w:r>
        <w:rPr>
          <w:color w:val="000000" w:themeColor="text1"/>
          <w14:textFill>
            <w14:solidFill>
              <w14:schemeClr w14:val="tx1"/>
            </w14:solidFill>
          </w14:textFill>
        </w:rPr>
        <w:t>表2.5-14  生态环境影响评价工程等级划分</w:t>
      </w:r>
    </w:p>
    <w:bookmarkEnd w:id="136"/>
    <w:tbl>
      <w:tblPr>
        <w:tblStyle w:val="2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0"/>
        <w:gridCol w:w="1080"/>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850"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评价等级判定依据</w:t>
            </w:r>
          </w:p>
        </w:tc>
        <w:tc>
          <w:tcPr>
            <w:tcW w:w="1080"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评价等级</w:t>
            </w:r>
          </w:p>
        </w:tc>
        <w:tc>
          <w:tcPr>
            <w:tcW w:w="2589"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85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a）涉及国家公园、自然保护区、世界自然遗产地，重要生境时，等级为一级</w:t>
            </w:r>
          </w:p>
        </w:tc>
        <w:tc>
          <w:tcPr>
            <w:tcW w:w="108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一级</w:t>
            </w:r>
          </w:p>
        </w:tc>
        <w:tc>
          <w:tcPr>
            <w:tcW w:w="2589"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85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b）涉及自然公园时，评价等级为二级</w:t>
            </w:r>
          </w:p>
        </w:tc>
        <w:tc>
          <w:tcPr>
            <w:tcW w:w="1080" w:type="dxa"/>
            <w:vMerge w:val="restart"/>
            <w:shd w:val="clear" w:color="auto" w:fill="auto"/>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二级</w:t>
            </w:r>
          </w:p>
        </w:tc>
        <w:tc>
          <w:tcPr>
            <w:tcW w:w="2589"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85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c）涉及生态保护红线时，评价等级不低于二级</w:t>
            </w:r>
          </w:p>
        </w:tc>
        <w:tc>
          <w:tcPr>
            <w:tcW w:w="1080" w:type="dxa"/>
            <w:vMerge w:val="continue"/>
            <w:shd w:val="clear" w:color="auto" w:fill="auto"/>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589"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85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d）根据HJ2.3判断属于水文要素影响型且地表水评价等级不低于二级的建设项目，生态环境影响评价等级不低于二级</w:t>
            </w:r>
          </w:p>
        </w:tc>
        <w:tc>
          <w:tcPr>
            <w:tcW w:w="1080" w:type="dxa"/>
            <w:vMerge w:val="continue"/>
            <w:shd w:val="clear" w:color="auto" w:fill="auto"/>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589"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不属于水文要素影响型项目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850" w:type="dxa"/>
            <w:shd w:val="clear" w:color="auto" w:fill="auto"/>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e）根据HJ610、HJ964判断地下水水位或土壤影响范围内分布有天然林、公益林、湿地等生态保护目标的建设项目，生态影响评价等级不低于二级</w:t>
            </w:r>
          </w:p>
        </w:tc>
        <w:tc>
          <w:tcPr>
            <w:tcW w:w="1080" w:type="dxa"/>
            <w:vMerge w:val="continue"/>
            <w:shd w:val="clear" w:color="auto" w:fill="auto"/>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589" w:type="dxa"/>
            <w:shd w:val="clear" w:color="auto" w:fill="auto"/>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2"/>
                <w:sz w:val="21"/>
                <w:lang w:val="en-US"/>
                <w14:textFill>
                  <w14:solidFill>
                    <w14:schemeClr w14:val="tx1"/>
                  </w14:solidFill>
                </w14:textFill>
              </w:rPr>
              <w:t>工程实施不影响地下水水位，土壤影响范围内无天然林、公益林、湿地等生态保护目标分布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850" w:type="dxa"/>
            <w:vAlign w:val="center"/>
          </w:tcPr>
          <w:p>
            <w:pPr>
              <w:pStyle w:val="39"/>
              <w:jc w:val="center"/>
              <w:rPr>
                <w:rFonts w:ascii="Times New Roman" w:hAnsi="Times New Roman"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lang w:val="en-US"/>
                <w14:textFill>
                  <w14:solidFill>
                    <w14:schemeClr w14:val="tx1"/>
                  </w14:solidFill>
                </w14:textFill>
              </w:rPr>
              <w:t>f）当工程占地规模大于20km</w:t>
            </w:r>
            <w:r>
              <w:rPr>
                <w:rFonts w:ascii="Times New Roman" w:hAnsi="Times New Roman" w:cs="Times New Roman"/>
                <w:b w:val="0"/>
                <w:bCs/>
                <w:color w:val="000000" w:themeColor="text1"/>
                <w:sz w:val="21"/>
                <w:szCs w:val="21"/>
                <w:vertAlign w:val="superscript"/>
                <w:lang w:val="en-US"/>
                <w14:textFill>
                  <w14:solidFill>
                    <w14:schemeClr w14:val="tx1"/>
                  </w14:solidFill>
                </w14:textFill>
              </w:rPr>
              <w:t>2</w:t>
            </w:r>
            <w:r>
              <w:rPr>
                <w:rFonts w:ascii="Times New Roman" w:hAnsi="Times New Roman" w:cs="Times New Roman"/>
                <w:b w:val="0"/>
                <w:bCs/>
                <w:color w:val="000000" w:themeColor="text1"/>
                <w:sz w:val="21"/>
                <w:szCs w:val="21"/>
                <w:lang w:val="en-US"/>
                <w14:textFill>
                  <w14:solidFill>
                    <w14:schemeClr w14:val="tx1"/>
                  </w14:solidFill>
                </w14:textFill>
              </w:rPr>
              <w:t>时（包括永久和临时占用），评价等级不低于二级；改扩建项目的占地范围以新增占地（包括陆域和水域）确定</w:t>
            </w:r>
          </w:p>
        </w:tc>
        <w:tc>
          <w:tcPr>
            <w:tcW w:w="1080" w:type="dxa"/>
            <w:vMerge w:val="continue"/>
            <w:shd w:val="clear" w:color="auto" w:fill="auto"/>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2589" w:type="dxa"/>
            <w:vAlign w:val="center"/>
          </w:tcPr>
          <w:p>
            <w:pPr>
              <w:pStyle w:val="39"/>
              <w:jc w:val="center"/>
              <w:rPr>
                <w:rFonts w:ascii="Times New Roman" w:hAnsi="Times New Roman"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lang w:val="en-US"/>
                <w14:textFill>
                  <w14:solidFill>
                    <w14:schemeClr w14:val="tx1"/>
                  </w14:solidFill>
                </w14:textFill>
              </w:rPr>
              <w:t>本项目占地面积为</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449525.7</w:t>
            </w:r>
            <w:r>
              <w:rPr>
                <w:rFonts w:ascii="Times New Roman" w:hAnsi="Times New Roman" w:cs="Times New Roman"/>
                <w:b w:val="0"/>
                <w:bCs/>
                <w:color w:val="000000" w:themeColor="text1"/>
                <w:sz w:val="21"/>
                <w:szCs w:val="21"/>
                <w:lang w:val="en-US"/>
                <w14:textFill>
                  <w14:solidFill>
                    <w14:schemeClr w14:val="tx1"/>
                  </w14:solidFill>
                </w14:textFill>
              </w:rPr>
              <w:t>m</w:t>
            </w:r>
            <w:r>
              <w:rPr>
                <w:rFonts w:ascii="Times New Roman" w:hAnsi="Times New Roman" w:cs="Times New Roman"/>
                <w:b w:val="0"/>
                <w:bCs/>
                <w:color w:val="000000" w:themeColor="text1"/>
                <w:sz w:val="21"/>
                <w:szCs w:val="21"/>
                <w:vertAlign w:val="superscript"/>
                <w:lang w:val="en-US"/>
                <w14:textFill>
                  <w14:solidFill>
                    <w14:schemeClr w14:val="tx1"/>
                  </w14:solidFill>
                </w14:textFill>
              </w:rPr>
              <w:t>2</w:t>
            </w:r>
            <w:r>
              <w:rPr>
                <w:rFonts w:ascii="Times New Roman" w:hAnsi="Times New Roman" w:cs="Times New Roman"/>
                <w:b w:val="0"/>
                <w:bCs/>
                <w:color w:val="000000" w:themeColor="text1"/>
                <w:sz w:val="21"/>
                <w:szCs w:val="21"/>
                <w:lang w:val="en-US"/>
                <w14:textFill>
                  <w14:solidFill>
                    <w14:schemeClr w14:val="tx1"/>
                  </w14:solidFill>
                </w14:textFill>
              </w:rPr>
              <w:t>＜20km</w:t>
            </w:r>
            <w:r>
              <w:rPr>
                <w:rFonts w:ascii="Times New Roman" w:hAnsi="Times New Roman" w:cs="Times New Roman"/>
                <w:b w:val="0"/>
                <w:bCs/>
                <w:color w:val="000000" w:themeColor="text1"/>
                <w:sz w:val="21"/>
                <w:szCs w:val="21"/>
                <w:vertAlign w:val="superscript"/>
                <w:lang w:val="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850" w:type="dxa"/>
            <w:shd w:val="clear" w:color="auto" w:fill="A4A4A4" w:themeFill="background1" w:themeFillShade="A5"/>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除a）、b）、c）、d）、e）、f）以外的情况，评价等级为三级</w:t>
            </w:r>
          </w:p>
        </w:tc>
        <w:tc>
          <w:tcPr>
            <w:tcW w:w="1080" w:type="dxa"/>
            <w:shd w:val="clear" w:color="auto" w:fill="A4A4A4" w:themeFill="background1" w:themeFillShade="A5"/>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三级</w:t>
            </w:r>
          </w:p>
        </w:tc>
        <w:tc>
          <w:tcPr>
            <w:tcW w:w="2589" w:type="dxa"/>
            <w:shd w:val="clear" w:color="auto" w:fill="A4A4A4" w:themeFill="background1" w:themeFillShade="A5"/>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kern w:val="2"/>
                <w:sz w:val="21"/>
                <w:lang w:val="en-US"/>
                <w14:textFill>
                  <w14:solidFill>
                    <w14:schemeClr w14:val="tx1"/>
                  </w14:solidFill>
                </w14:textFill>
              </w:rPr>
              <w:t>不涉及前述条款，评价等级确定为三级</w:t>
            </w:r>
          </w:p>
        </w:tc>
      </w:tr>
    </w:tbl>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结合《环境影响评价技术导则 陆地石油天然气开发建设项目》（HJ</w:t>
      </w:r>
      <w:r>
        <w:rPr>
          <w:rFonts w:hint="eastAsia" w:ascii="Times New Roman" w:hAnsi="Times New Roman" w:cs="Times New Roman"/>
          <w:color w:val="000000" w:themeColor="text1"/>
          <w:sz w:val="24"/>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349-2023）中的相关规定</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井场、站场（含净化厂）等工程以场界周围50米范围、集输管道等线性工程两侧外延300米为评价范围。通过大气、地表水、噪声等环境要素间接影响生态保护目标的项目，其评价范围应涵盖污染物排放产生的间接生态影响区域。</w:t>
      </w:r>
      <w:r>
        <w:rPr>
          <w:rFonts w:hint="eastAsia" w:ascii="Times New Roman" w:hAnsi="Times New Roman"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本项目生态评价范围为各井场边界向外延伸50m，管线工程两侧各300m。生态评价范围见图2.5-5。</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2.5.6环境风险</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本项目危险物质影响环境的途径主要为大气环境和地下水环境，根据《建设项目环境风险评价技术导则》（HJ169-2018）附录B和附录C，本项目Q值&lt;1，环境风险潜势综合等级为Ⅰ级，风险评价等级为简单分析</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评价等级为简单分析的项目未设环境风险评价范围。</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2.5.7评价工作等级及评价范围汇总</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拟建项目各评价专题的环境影响评价范围汇总情况见表2.5-15。</w:t>
      </w:r>
    </w:p>
    <w:p>
      <w:pPr>
        <w:autoSpaceDE w:val="0"/>
        <w:autoSpaceDN w:val="0"/>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bookmarkStart w:id="137" w:name="_Ref361307229"/>
      <w:r>
        <w:rPr>
          <w:rFonts w:ascii="Times New Roman" w:hAnsi="Times New Roman" w:cs="Times New Roman"/>
          <w:b/>
          <w:bCs/>
          <w:color w:val="000000" w:themeColor="text1"/>
          <w:szCs w:val="21"/>
          <w14:textFill>
            <w14:solidFill>
              <w14:schemeClr w14:val="tx1"/>
            </w14:solidFill>
          </w14:textFill>
        </w:rPr>
        <w:t>表</w:t>
      </w:r>
      <w:bookmarkEnd w:id="137"/>
      <w:r>
        <w:rPr>
          <w:rFonts w:ascii="Times New Roman" w:hAnsi="Times New Roman" w:cs="Times New Roman"/>
          <w:b/>
          <w:bCs/>
          <w:color w:val="000000" w:themeColor="text1"/>
          <w:szCs w:val="21"/>
          <w14:textFill>
            <w14:solidFill>
              <w14:schemeClr w14:val="tx1"/>
            </w14:solidFill>
          </w14:textFill>
        </w:rPr>
        <w:t>2.5-15  评价工作等级及评价范围一览表</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953"/>
        <w:gridCol w:w="689"/>
        <w:gridCol w:w="834"/>
        <w:gridCol w:w="638"/>
        <w:gridCol w:w="4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jc w:val="center"/>
        </w:trPr>
        <w:tc>
          <w:tcPr>
            <w:tcW w:w="583" w:type="dxa"/>
            <w:vAlign w:val="center"/>
          </w:tcPr>
          <w:p>
            <w:pPr>
              <w:adjustRightInd w:val="0"/>
              <w:snapToGrid w:val="0"/>
              <w:jc w:val="center"/>
              <w:textAlignment w:val="baseline"/>
              <w:rPr>
                <w:rFonts w:ascii="Times New Roman" w:hAnsi="Times New Roman" w:cs="Times New Roman"/>
                <w:b/>
                <w:color w:val="000000" w:themeColor="text1"/>
                <w:kern w:val="0"/>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序号</w:t>
            </w:r>
          </w:p>
        </w:tc>
        <w:tc>
          <w:tcPr>
            <w:tcW w:w="953" w:type="dxa"/>
            <w:vAlign w:val="center"/>
          </w:tcPr>
          <w:p>
            <w:pPr>
              <w:adjustRightInd w:val="0"/>
              <w:snapToGrid w:val="0"/>
              <w:jc w:val="center"/>
              <w:textAlignment w:val="baseline"/>
              <w:rPr>
                <w:rFonts w:ascii="Times New Roman" w:hAnsi="Times New Roman" w:cs="Times New Roman"/>
                <w:b/>
                <w:color w:val="000000" w:themeColor="text1"/>
                <w:kern w:val="0"/>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项目</w:t>
            </w:r>
          </w:p>
        </w:tc>
        <w:tc>
          <w:tcPr>
            <w:tcW w:w="2161" w:type="dxa"/>
            <w:gridSpan w:val="3"/>
            <w:vAlign w:val="center"/>
          </w:tcPr>
          <w:p>
            <w:pPr>
              <w:adjustRightInd w:val="0"/>
              <w:snapToGrid w:val="0"/>
              <w:jc w:val="center"/>
              <w:textAlignment w:val="baseline"/>
              <w:rPr>
                <w:rFonts w:ascii="Times New Roman" w:hAnsi="Times New Roman" w:cs="Times New Roman"/>
                <w:b/>
                <w:color w:val="000000" w:themeColor="text1"/>
                <w:kern w:val="0"/>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评价等级</w:t>
            </w:r>
          </w:p>
        </w:tc>
        <w:tc>
          <w:tcPr>
            <w:tcW w:w="4825" w:type="dxa"/>
            <w:vAlign w:val="center"/>
          </w:tcPr>
          <w:p>
            <w:pPr>
              <w:adjustRightInd w:val="0"/>
              <w:snapToGrid w:val="0"/>
              <w:jc w:val="center"/>
              <w:textAlignment w:val="baseline"/>
              <w:rPr>
                <w:rFonts w:ascii="Times New Roman" w:hAnsi="Times New Roman" w:cs="Times New Roman"/>
                <w:b/>
                <w:color w:val="000000" w:themeColor="text1"/>
                <w:kern w:val="0"/>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58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p>
        </w:tc>
        <w:tc>
          <w:tcPr>
            <w:tcW w:w="95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环境空气</w:t>
            </w:r>
          </w:p>
        </w:tc>
        <w:tc>
          <w:tcPr>
            <w:tcW w:w="2161" w:type="dxa"/>
            <w:gridSpan w:val="3"/>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二级</w:t>
            </w:r>
          </w:p>
        </w:tc>
        <w:tc>
          <w:tcPr>
            <w:tcW w:w="4825"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分别以单井井口</w:t>
            </w:r>
            <w:r>
              <w:rPr>
                <w:rFonts w:hint="eastAsia" w:ascii="Times New Roman" w:hAnsi="Times New Roman" w:cs="Times New Roman"/>
                <w:color w:val="000000" w:themeColor="text1"/>
                <w:kern w:val="0"/>
                <w:szCs w:val="21"/>
                <w14:textFill>
                  <w14:solidFill>
                    <w14:schemeClr w14:val="tx1"/>
                  </w14:solidFill>
                </w14:textFill>
              </w:rPr>
              <w:t>、计量站</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eastAsia" w:ascii="Times New Roman" w:hAnsi="Times New Roman" w:cs="Times New Roman"/>
                <w:color w:val="000000" w:themeColor="text1"/>
                <w:kern w:val="0"/>
                <w:szCs w:val="21"/>
                <w:lang w:val="en-US" w:eastAsia="zh-CN"/>
                <w14:textFill>
                  <w14:solidFill>
                    <w14:schemeClr w14:val="tx1"/>
                  </w14:solidFill>
                </w14:textFill>
              </w:rPr>
              <w:t>阀池</w:t>
            </w:r>
            <w:r>
              <w:rPr>
                <w:rFonts w:ascii="Times New Roman" w:hAnsi="Times New Roman" w:cs="Times New Roman"/>
                <w:color w:val="000000" w:themeColor="text1"/>
                <w:kern w:val="0"/>
                <w:szCs w:val="21"/>
                <w14:textFill>
                  <w14:solidFill>
                    <w14:schemeClr w14:val="tx1"/>
                  </w14:solidFill>
                </w14:textFill>
              </w:rPr>
              <w:t>为中心，向</w:t>
            </w:r>
            <w:r>
              <w:rPr>
                <w:rFonts w:ascii="Times New Roman" w:hAnsi="Times New Roman" w:cs="Times New Roman"/>
                <w:color w:val="000000" w:themeColor="text1"/>
                <w:szCs w:val="21"/>
                <w:lang w:bidi="ar"/>
                <w14:textFill>
                  <w14:solidFill>
                    <w14:schemeClr w14:val="tx1"/>
                  </w14:solidFill>
                </w14:textFill>
              </w:rPr>
              <w:t>采油井</w:t>
            </w:r>
            <w:r>
              <w:rPr>
                <w:rFonts w:ascii="Times New Roman" w:hAnsi="Times New Roman" w:cs="Times New Roman"/>
                <w:color w:val="000000" w:themeColor="text1"/>
                <w:kern w:val="0"/>
                <w:szCs w:val="21"/>
                <w14:textFill>
                  <w14:solidFill>
                    <w14:schemeClr w14:val="tx1"/>
                  </w14:solidFill>
                </w14:textFill>
              </w:rPr>
              <w:t>四周各外延2.5km的矩形叠合的包络线，见图2.5-1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58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w:t>
            </w:r>
          </w:p>
        </w:tc>
        <w:tc>
          <w:tcPr>
            <w:tcW w:w="95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地表水</w:t>
            </w:r>
          </w:p>
        </w:tc>
        <w:tc>
          <w:tcPr>
            <w:tcW w:w="2161" w:type="dxa"/>
            <w:gridSpan w:val="3"/>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三级B</w:t>
            </w:r>
          </w:p>
        </w:tc>
        <w:tc>
          <w:tcPr>
            <w:tcW w:w="4825"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58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w:t>
            </w:r>
          </w:p>
        </w:tc>
        <w:tc>
          <w:tcPr>
            <w:tcW w:w="95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地下水</w:t>
            </w:r>
          </w:p>
        </w:tc>
        <w:tc>
          <w:tcPr>
            <w:tcW w:w="2161" w:type="dxa"/>
            <w:gridSpan w:val="3"/>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二级</w:t>
            </w:r>
          </w:p>
        </w:tc>
        <w:tc>
          <w:tcPr>
            <w:tcW w:w="4825"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以项目区地下水流向上游3km，下游3km，两侧外扩10km的矩形区域以及管线两侧向外延伸200m的范围，</w:t>
            </w:r>
            <w:r>
              <w:rPr>
                <w:rFonts w:ascii="Times New Roman" w:hAnsi="Times New Roman" w:cs="Times New Roman"/>
                <w:color w:val="000000" w:themeColor="text1"/>
                <w:kern w:val="0"/>
                <w:szCs w:val="21"/>
                <w14:textFill>
                  <w14:solidFill>
                    <w14:schemeClr w14:val="tx1"/>
                  </w14:solidFill>
                </w14:textFill>
              </w:rPr>
              <w:t>见图2.5-2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58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w:t>
            </w:r>
          </w:p>
        </w:tc>
        <w:tc>
          <w:tcPr>
            <w:tcW w:w="95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噪声</w:t>
            </w:r>
          </w:p>
        </w:tc>
        <w:tc>
          <w:tcPr>
            <w:tcW w:w="2161" w:type="dxa"/>
            <w:gridSpan w:val="3"/>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二级</w:t>
            </w:r>
          </w:p>
        </w:tc>
        <w:tc>
          <w:tcPr>
            <w:tcW w:w="4825"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以</w:t>
            </w:r>
            <w:r>
              <w:rPr>
                <w:rFonts w:ascii="Times New Roman" w:hAnsi="Times New Roman" w:cs="Times New Roman"/>
                <w:color w:val="000000" w:themeColor="text1"/>
                <w:szCs w:val="21"/>
                <w:lang w:bidi="ar"/>
                <w14:textFill>
                  <w14:solidFill>
                    <w14:schemeClr w14:val="tx1"/>
                  </w14:solidFill>
                </w14:textFill>
              </w:rPr>
              <w:t>采油井</w:t>
            </w:r>
            <w:r>
              <w:rPr>
                <w:rFonts w:ascii="Times New Roman" w:hAnsi="Times New Roman" w:cs="Times New Roman"/>
                <w:color w:val="000000" w:themeColor="text1"/>
                <w:kern w:val="0"/>
                <w:szCs w:val="21"/>
                <w14:textFill>
                  <w14:solidFill>
                    <w14:schemeClr w14:val="tx1"/>
                  </w14:solidFill>
                </w14:textFill>
              </w:rPr>
              <w:t>边界向外200m，见图2.5-3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583" w:type="dxa"/>
            <w:vMerge w:val="restart"/>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w:t>
            </w:r>
          </w:p>
        </w:tc>
        <w:tc>
          <w:tcPr>
            <w:tcW w:w="953" w:type="dxa"/>
            <w:vMerge w:val="restart"/>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土壤</w:t>
            </w:r>
          </w:p>
        </w:tc>
        <w:tc>
          <w:tcPr>
            <w:tcW w:w="689" w:type="dxa"/>
            <w:vMerge w:val="restart"/>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污染影响型</w:t>
            </w:r>
          </w:p>
        </w:tc>
        <w:tc>
          <w:tcPr>
            <w:tcW w:w="834"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石油开采工程</w:t>
            </w:r>
          </w:p>
        </w:tc>
        <w:tc>
          <w:tcPr>
            <w:tcW w:w="638"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二</w:t>
            </w:r>
            <w:r>
              <w:rPr>
                <w:rFonts w:ascii="Times New Roman" w:hAnsi="Times New Roman" w:cs="Times New Roman"/>
                <w:color w:val="000000" w:themeColor="text1"/>
                <w:kern w:val="0"/>
                <w:szCs w:val="21"/>
                <w14:textFill>
                  <w14:solidFill>
                    <w14:schemeClr w14:val="tx1"/>
                  </w14:solidFill>
                </w14:textFill>
              </w:rPr>
              <w:t>级</w:t>
            </w:r>
          </w:p>
        </w:tc>
        <w:tc>
          <w:tcPr>
            <w:tcW w:w="4825"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井场取占地范围内及占地范围外</w:t>
            </w:r>
            <w:r>
              <w:rPr>
                <w:rFonts w:hint="eastAsia" w:ascii="Times New Roman" w:hAnsi="Times New Roman" w:cs="Times New Roman"/>
                <w:color w:val="000000" w:themeColor="text1"/>
                <w:kern w:val="0"/>
                <w:szCs w:val="21"/>
                <w14:textFill>
                  <w14:solidFill>
                    <w14:schemeClr w14:val="tx1"/>
                  </w14:solidFill>
                </w14:textFill>
              </w:rPr>
              <w:t>0.2</w:t>
            </w:r>
            <w:r>
              <w:rPr>
                <w:rFonts w:ascii="Times New Roman" w:hAnsi="Times New Roman" w:cs="Times New Roman"/>
                <w:color w:val="000000" w:themeColor="text1"/>
                <w:kern w:val="0"/>
                <w:szCs w:val="21"/>
                <w14:textFill>
                  <w14:solidFill>
                    <w14:schemeClr w14:val="tx1"/>
                  </w14:solidFill>
                </w14:textFill>
              </w:rPr>
              <w:t>km范围，</w:t>
            </w:r>
          </w:p>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见图2.5-4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583" w:type="dxa"/>
            <w:vMerge w:val="continue"/>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p>
        </w:tc>
        <w:tc>
          <w:tcPr>
            <w:tcW w:w="953" w:type="dxa"/>
            <w:vMerge w:val="continue"/>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p>
        </w:tc>
        <w:tc>
          <w:tcPr>
            <w:tcW w:w="689" w:type="dxa"/>
            <w:vMerge w:val="continue"/>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p>
        </w:tc>
        <w:tc>
          <w:tcPr>
            <w:tcW w:w="834"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管线工程</w:t>
            </w:r>
          </w:p>
        </w:tc>
        <w:tc>
          <w:tcPr>
            <w:tcW w:w="638"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三</w:t>
            </w:r>
            <w:r>
              <w:rPr>
                <w:rFonts w:ascii="Times New Roman" w:hAnsi="Times New Roman" w:cs="Times New Roman"/>
                <w:color w:val="000000" w:themeColor="text1"/>
                <w:kern w:val="0"/>
                <w:szCs w:val="21"/>
                <w14:textFill>
                  <w14:solidFill>
                    <w14:schemeClr w14:val="tx1"/>
                  </w14:solidFill>
                </w14:textFill>
              </w:rPr>
              <w:t>级</w:t>
            </w:r>
          </w:p>
        </w:tc>
        <w:tc>
          <w:tcPr>
            <w:tcW w:w="4825"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管线边界两侧0.2km范围内，见图2.5-4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583" w:type="dxa"/>
            <w:vMerge w:val="continue"/>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p>
        </w:tc>
        <w:tc>
          <w:tcPr>
            <w:tcW w:w="953" w:type="dxa"/>
            <w:vMerge w:val="continue"/>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p>
        </w:tc>
        <w:tc>
          <w:tcPr>
            <w:tcW w:w="689" w:type="dxa"/>
            <w:vMerge w:val="restart"/>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生态影响型</w:t>
            </w:r>
          </w:p>
        </w:tc>
        <w:tc>
          <w:tcPr>
            <w:tcW w:w="834"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石油开采工程</w:t>
            </w:r>
          </w:p>
        </w:tc>
        <w:tc>
          <w:tcPr>
            <w:tcW w:w="638"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二</w:t>
            </w:r>
            <w:r>
              <w:rPr>
                <w:rFonts w:ascii="Times New Roman" w:hAnsi="Times New Roman" w:cs="Times New Roman"/>
                <w:color w:val="000000" w:themeColor="text1"/>
                <w:kern w:val="0"/>
                <w:szCs w:val="21"/>
                <w14:textFill>
                  <w14:solidFill>
                    <w14:schemeClr w14:val="tx1"/>
                  </w14:solidFill>
                </w14:textFill>
              </w:rPr>
              <w:t>级</w:t>
            </w:r>
          </w:p>
        </w:tc>
        <w:tc>
          <w:tcPr>
            <w:tcW w:w="4825"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井场取占地范围内及占地范围外</w:t>
            </w:r>
            <w:r>
              <w:rPr>
                <w:rFonts w:hint="eastAsia" w:ascii="Times New Roman" w:hAnsi="Times New Roman" w:cs="Times New Roman"/>
                <w:color w:val="000000" w:themeColor="text1"/>
                <w:kern w:val="0"/>
                <w:szCs w:val="21"/>
                <w:lang w:val="en-US" w:eastAsia="zh-CN"/>
                <w14:textFill>
                  <w14:solidFill>
                    <w14:schemeClr w14:val="tx1"/>
                  </w14:solidFill>
                </w14:textFill>
              </w:rPr>
              <w:t>5</w:t>
            </w:r>
            <w:r>
              <w:rPr>
                <w:rFonts w:ascii="Times New Roman" w:hAnsi="Times New Roman" w:cs="Times New Roman"/>
                <w:color w:val="000000" w:themeColor="text1"/>
                <w:kern w:val="0"/>
                <w:szCs w:val="21"/>
                <w14:textFill>
                  <w14:solidFill>
                    <w14:schemeClr w14:val="tx1"/>
                  </w14:solidFill>
                </w14:textFill>
              </w:rPr>
              <w:t>km范围，见图2.5-4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583" w:type="dxa"/>
            <w:vMerge w:val="continue"/>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p>
        </w:tc>
        <w:tc>
          <w:tcPr>
            <w:tcW w:w="953" w:type="dxa"/>
            <w:vMerge w:val="continue"/>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p>
        </w:tc>
        <w:tc>
          <w:tcPr>
            <w:tcW w:w="689" w:type="dxa"/>
            <w:vMerge w:val="continue"/>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p>
        </w:tc>
        <w:tc>
          <w:tcPr>
            <w:tcW w:w="834"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管线工程</w:t>
            </w:r>
          </w:p>
        </w:tc>
        <w:tc>
          <w:tcPr>
            <w:tcW w:w="638"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二</w:t>
            </w:r>
            <w:r>
              <w:rPr>
                <w:rFonts w:ascii="Times New Roman" w:hAnsi="Times New Roman" w:cs="Times New Roman"/>
                <w:color w:val="000000" w:themeColor="text1"/>
                <w:kern w:val="0"/>
                <w:szCs w:val="21"/>
                <w14:textFill>
                  <w14:solidFill>
                    <w14:schemeClr w14:val="tx1"/>
                  </w14:solidFill>
                </w14:textFill>
              </w:rPr>
              <w:t>级</w:t>
            </w:r>
          </w:p>
        </w:tc>
        <w:tc>
          <w:tcPr>
            <w:tcW w:w="4825"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管线边界两侧0.2km范围内，见图2.5-4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58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6</w:t>
            </w:r>
          </w:p>
        </w:tc>
        <w:tc>
          <w:tcPr>
            <w:tcW w:w="95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生态</w:t>
            </w:r>
          </w:p>
        </w:tc>
        <w:tc>
          <w:tcPr>
            <w:tcW w:w="2161" w:type="dxa"/>
            <w:gridSpan w:val="3"/>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三</w:t>
            </w:r>
            <w:r>
              <w:rPr>
                <w:rFonts w:ascii="Times New Roman" w:hAnsi="Times New Roman" w:cs="Times New Roman"/>
                <w:color w:val="000000" w:themeColor="text1"/>
                <w:szCs w:val="21"/>
                <w14:textFill>
                  <w14:solidFill>
                    <w14:schemeClr w14:val="tx1"/>
                  </w14:solidFill>
                </w14:textFill>
              </w:rPr>
              <w:t>级</w:t>
            </w:r>
          </w:p>
        </w:tc>
        <w:tc>
          <w:tcPr>
            <w:tcW w:w="4825"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井场周边50m范围内，管线两侧各300m带状区域，见图2.5-5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58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w:t>
            </w:r>
          </w:p>
        </w:tc>
        <w:tc>
          <w:tcPr>
            <w:tcW w:w="953"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环境风险</w:t>
            </w:r>
          </w:p>
        </w:tc>
        <w:tc>
          <w:tcPr>
            <w:tcW w:w="2161" w:type="dxa"/>
            <w:gridSpan w:val="3"/>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简单分析</w:t>
            </w:r>
          </w:p>
        </w:tc>
        <w:tc>
          <w:tcPr>
            <w:tcW w:w="4825" w:type="dxa"/>
            <w:vAlign w:val="center"/>
          </w:tcPr>
          <w:p>
            <w:pPr>
              <w:adjustRightInd w:val="0"/>
              <w:snapToGrid w:val="0"/>
              <w:jc w:val="center"/>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bookmarkEnd w:id="114"/>
      <w:bookmarkEnd w:id="131"/>
      <w:bookmarkEnd w:id="132"/>
      <w:bookmarkEnd w:id="133"/>
    </w:tbl>
    <w:p>
      <w:pPr>
        <w:pStyle w:val="3"/>
        <w:spacing w:before="10" w:after="10"/>
        <w:rPr>
          <w:rFonts w:ascii="Times New Roman" w:hAnsi="Times New Roman" w:cs="Times New Roman"/>
          <w:color w:val="000000" w:themeColor="text1"/>
          <w14:textFill>
            <w14:solidFill>
              <w14:schemeClr w14:val="tx1"/>
            </w14:solidFill>
          </w14:textFill>
        </w:rPr>
      </w:pPr>
      <w:bookmarkStart w:id="138" w:name="_Toc92725434"/>
      <w:bookmarkStart w:id="139" w:name="_Toc35366068"/>
      <w:bookmarkStart w:id="140" w:name="_Toc27515"/>
      <w:bookmarkStart w:id="141" w:name="_Toc35366459"/>
      <w:bookmarkStart w:id="142" w:name="_Toc29390908"/>
      <w:bookmarkStart w:id="143" w:name="_Toc25399"/>
      <w:bookmarkStart w:id="144" w:name="_Toc7933"/>
      <w:bookmarkStart w:id="145" w:name="_Toc402631957"/>
      <w:bookmarkStart w:id="146" w:name="_Toc401859673"/>
      <w:bookmarkStart w:id="147" w:name="_Toc401913107"/>
      <w:bookmarkStart w:id="148" w:name="_Toc401860369"/>
      <w:bookmarkStart w:id="149" w:name="_Toc402632068"/>
      <w:bookmarkStart w:id="150" w:name="_Toc402632170"/>
      <w:bookmarkStart w:id="151" w:name="_Toc402631797"/>
      <w:r>
        <w:rPr>
          <w:rFonts w:ascii="Times New Roman" w:hAnsi="Times New Roman" w:cs="Times New Roman"/>
          <w:color w:val="000000" w:themeColor="text1"/>
          <w14:textFill>
            <w14:solidFill>
              <w14:schemeClr w14:val="tx1"/>
            </w14:solidFill>
          </w14:textFill>
        </w:rPr>
        <w:t>2.6评价重点</w:t>
      </w:r>
      <w:bookmarkEnd w:id="138"/>
      <w:bookmarkEnd w:id="139"/>
      <w:bookmarkEnd w:id="140"/>
      <w:bookmarkEnd w:id="141"/>
      <w:bookmarkEnd w:id="142"/>
      <w:bookmarkEnd w:id="143"/>
      <w:bookmarkEnd w:id="144"/>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根据工程特点及评价因子筛选的结果，结合项目区域环境状况，确定本次环境影响评价工作的重点为：</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（1）建设项目工程分析；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（2）生态环境影响评价；</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（3）大气、地下水、固体废物环境影响评价；</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（4）环境风险影响评价及风险管理；</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（5）环境保护措施技术经济及可行性论证。</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2.6.</w:t>
      </w:r>
      <w:r>
        <w:rPr>
          <w:rFonts w:hint="eastAsia" w:ascii="Times New Roman" w:hAnsi="Times New Roman" w:eastAsia="黑体" w:cs="Times New Roman"/>
          <w:b/>
          <w:color w:val="000000" w:themeColor="text1"/>
          <w:sz w:val="30"/>
          <w:szCs w:val="30"/>
          <w14:textFill>
            <w14:solidFill>
              <w14:schemeClr w14:val="tx1"/>
            </w14:solidFill>
          </w14:textFill>
        </w:rPr>
        <w:t>1</w:t>
      </w:r>
      <w:r>
        <w:rPr>
          <w:rFonts w:ascii="Times New Roman" w:hAnsi="Times New Roman" w:eastAsia="黑体" w:cs="Times New Roman"/>
          <w:b/>
          <w:color w:val="000000" w:themeColor="text1"/>
          <w:sz w:val="30"/>
          <w:szCs w:val="30"/>
          <w14:textFill>
            <w14:solidFill>
              <w14:schemeClr w14:val="tx1"/>
            </w14:solidFill>
          </w14:textFill>
        </w:rPr>
        <w:t>评价时段</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根据本项目实施的不同阶段和环境影响特点，评价时段包括建设期、运营期和退役期三个时段，以建设期和运营期两个时段为评价重点。</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2.6.</w:t>
      </w:r>
      <w:r>
        <w:rPr>
          <w:rFonts w:hint="eastAsia" w:ascii="Times New Roman" w:hAnsi="Times New Roman" w:eastAsia="黑体" w:cs="Times New Roman"/>
          <w:b/>
          <w:color w:val="000000" w:themeColor="text1"/>
          <w:sz w:val="30"/>
          <w:szCs w:val="30"/>
          <w14:textFill>
            <w14:solidFill>
              <w14:schemeClr w14:val="tx1"/>
            </w14:solidFill>
          </w14:textFill>
        </w:rPr>
        <w:t>2</w:t>
      </w:r>
      <w:r>
        <w:rPr>
          <w:rFonts w:ascii="Times New Roman" w:hAnsi="Times New Roman" w:eastAsia="黑体" w:cs="Times New Roman"/>
          <w:b/>
          <w:color w:val="000000" w:themeColor="text1"/>
          <w:sz w:val="30"/>
          <w:szCs w:val="30"/>
          <w14:textFill>
            <w14:solidFill>
              <w14:schemeClr w14:val="tx1"/>
            </w14:solidFill>
          </w14:textFill>
        </w:rPr>
        <w:t>评价对象</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snapToGrid w:val="0"/>
          <w:color w:val="000000" w:themeColor="text1"/>
          <w:kern w:val="0"/>
          <w:sz w:val="24"/>
          <w14:textFill>
            <w14:solidFill>
              <w14:schemeClr w14:val="tx1"/>
            </w14:solidFill>
          </w14:textFill>
        </w:rPr>
        <w:t>根据工程内容和环境现状调查，本次评价的对象包括本项目开发建设所涉及的井区、站场、采油管线、注水管线。</w:t>
      </w:r>
    </w:p>
    <w:bookmarkEnd w:id="145"/>
    <w:bookmarkEnd w:id="146"/>
    <w:bookmarkEnd w:id="147"/>
    <w:bookmarkEnd w:id="148"/>
    <w:bookmarkEnd w:id="149"/>
    <w:bookmarkEnd w:id="150"/>
    <w:bookmarkEnd w:id="151"/>
    <w:p>
      <w:pPr>
        <w:pStyle w:val="3"/>
        <w:spacing w:before="10" w:after="10"/>
        <w:rPr>
          <w:rFonts w:ascii="Times New Roman" w:hAnsi="Times New Roman" w:cs="Times New Roman"/>
          <w:color w:val="000000" w:themeColor="text1"/>
          <w14:textFill>
            <w14:solidFill>
              <w14:schemeClr w14:val="tx1"/>
            </w14:solidFill>
          </w14:textFill>
        </w:rPr>
      </w:pPr>
      <w:bookmarkStart w:id="152" w:name="_Toc227650571"/>
      <w:bookmarkStart w:id="153" w:name="_Toc149456024"/>
      <w:bookmarkStart w:id="154" w:name="_Toc271907489"/>
      <w:bookmarkStart w:id="155" w:name="_Toc255293765"/>
      <w:bookmarkStart w:id="156" w:name="_Toc146540981"/>
      <w:bookmarkStart w:id="157" w:name="_Toc161551980"/>
      <w:bookmarkStart w:id="158" w:name="_Toc20956"/>
      <w:bookmarkStart w:id="159" w:name="_Toc14225"/>
      <w:bookmarkStart w:id="160" w:name="_Toc6437"/>
      <w:bookmarkStart w:id="161" w:name="_Toc16578"/>
      <w:bookmarkStart w:id="162" w:name="_Toc382488651"/>
      <w:bookmarkStart w:id="163" w:name="_Toc338688638"/>
      <w:bookmarkStart w:id="164" w:name="_Toc330457987"/>
      <w:bookmarkStart w:id="165" w:name="_Toc387230248"/>
      <w:bookmarkStart w:id="166" w:name="_Toc299957559"/>
      <w:bookmarkStart w:id="167" w:name="_Toc384828362"/>
      <w:bookmarkStart w:id="168" w:name="_Toc14651"/>
      <w:bookmarkStart w:id="169" w:name="_Toc330457765"/>
      <w:bookmarkStart w:id="170" w:name="_Toc364714197"/>
      <w:bookmarkStart w:id="171" w:name="_Toc364714450"/>
      <w:bookmarkStart w:id="172" w:name="_Toc450736697"/>
      <w:bookmarkStart w:id="173" w:name="_Toc339279454"/>
      <w:bookmarkStart w:id="174" w:name="_Toc332291170"/>
      <w:bookmarkStart w:id="175" w:name="_Toc312148951"/>
      <w:bookmarkStart w:id="176" w:name="_Toc313911267"/>
      <w:bookmarkStart w:id="177" w:name="_Toc337551368"/>
      <w:bookmarkStart w:id="178" w:name="_Toc29390909"/>
      <w:bookmarkStart w:id="179" w:name="_Toc35366069"/>
      <w:bookmarkStart w:id="180" w:name="_Toc35366460"/>
      <w:bookmarkStart w:id="181" w:name="_Toc92725435"/>
      <w:r>
        <w:rPr>
          <w:rFonts w:ascii="Times New Roman" w:hAnsi="Times New Roman" w:cs="Times New Roman"/>
          <w:color w:val="000000" w:themeColor="text1"/>
          <w14:textFill>
            <w14:solidFill>
              <w14:schemeClr w14:val="tx1"/>
            </w14:solidFill>
          </w14:textFill>
        </w:rPr>
        <w:t>2.</w:t>
      </w:r>
      <w:bookmarkEnd w:id="152"/>
      <w:bookmarkEnd w:id="153"/>
      <w:bookmarkEnd w:id="154"/>
      <w:bookmarkEnd w:id="155"/>
      <w:bookmarkEnd w:id="156"/>
      <w:bookmarkEnd w:id="157"/>
      <w:r>
        <w:rPr>
          <w:rFonts w:ascii="Times New Roman" w:hAnsi="Times New Roman" w:cs="Times New Roman"/>
          <w:color w:val="000000" w:themeColor="text1"/>
          <w14:textFill>
            <w14:solidFill>
              <w14:schemeClr w14:val="tx1"/>
            </w14:solidFill>
          </w14:textFill>
        </w:rPr>
        <w:t>7环境保护目标</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pPr>
        <w:spacing w:line="360" w:lineRule="auto"/>
        <w:ind w:firstLine="480" w:firstLineChars="200"/>
        <w:rPr>
          <w:rFonts w:ascii="Times New Roman" w:hAnsi="Times New Roman" w:cs="Times New Roman"/>
          <w:snapToGrid w:val="0"/>
          <w:color w:val="000000" w:themeColor="text1"/>
          <w:kern w:val="0"/>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根据现场调查，本项目占地类型为</w:t>
      </w:r>
      <w:r>
        <w:rPr>
          <w:rFonts w:hint="eastAsia" w:ascii="Times New Roman" w:hAnsi="Times New Roman" w:cs="Times New Roman"/>
          <w:color w:val="000000" w:themeColor="text1"/>
          <w:sz w:val="24"/>
          <w14:textFill>
            <w14:solidFill>
              <w14:schemeClr w14:val="tx1"/>
            </w14:solidFill>
          </w14:textFill>
        </w:rPr>
        <w:t>采矿用地、</w:t>
      </w:r>
      <w:r>
        <w:rPr>
          <w:rFonts w:hint="eastAsia" w:ascii="Times New Roman" w:hAnsi="Times New Roman" w:eastAsia="宋体" w:cs="Times New Roman"/>
          <w:color w:val="000000" w:themeColor="text1"/>
          <w:kern w:val="0"/>
          <w:sz w:val="24"/>
          <w:lang w:bidi="ar"/>
          <w14:textFill>
            <w14:solidFill>
              <w14:schemeClr w14:val="tx1"/>
            </w14:solidFill>
          </w14:textFill>
        </w:rPr>
        <w:t>其他草地（低覆盖草地）</w:t>
      </w:r>
      <w:r>
        <w:rPr>
          <w:rFonts w:ascii="Times New Roman" w:hAnsi="Times New Roman" w:cs="Times New Roman"/>
          <w:color w:val="000000" w:themeColor="text1"/>
          <w:sz w:val="24"/>
          <w14:textFill>
            <w14:solidFill>
              <w14:schemeClr w14:val="tx1"/>
            </w14:solidFill>
          </w14:textFill>
        </w:rPr>
        <w:t>，井场周边只有稀疏的植被。根据资料收集和现场调查，本项目不涉及依法划定的国家公园、自然保护区、世界自然遗产、重要生境、自然公园、生态保护红线等生态保护区。评价范围内主要保护目标为水土流失重点治理区</w:t>
      </w:r>
      <w:r>
        <w:rPr>
          <w:rFonts w:hint="eastAsia" w:ascii="Times New Roman" w:hAnsi="Times New Roman" w:cs="Times New Roman"/>
          <w:color w:val="000000" w:themeColor="text1"/>
          <w:sz w:val="24"/>
          <w14:textFill>
            <w14:solidFill>
              <w14:schemeClr w14:val="tx1"/>
            </w14:solidFill>
          </w14:textFill>
        </w:rPr>
        <w:t>和野生动植物</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kern w:val="0"/>
          <w:sz w:val="24"/>
          <w14:textFill>
            <w14:solidFill>
              <w14:schemeClr w14:val="tx1"/>
            </w14:solidFill>
          </w14:textFill>
        </w:rPr>
        <w:t>本项目环境保护目标具体情况见表2.7-1</w:t>
      </w:r>
      <w:bookmarkEnd w:id="178"/>
      <w:bookmarkEnd w:id="179"/>
      <w:bookmarkEnd w:id="180"/>
      <w:bookmarkEnd w:id="181"/>
      <w:bookmarkStart w:id="182" w:name="_Hlk92140791"/>
      <w:r>
        <w:rPr>
          <w:rFonts w:ascii="Times New Roman" w:hAnsi="Times New Roman" w:cs="Times New Roman"/>
          <w:color w:val="000000" w:themeColor="text1"/>
          <w:sz w:val="24"/>
          <w14:textFill>
            <w14:solidFill>
              <w14:schemeClr w14:val="tx1"/>
            </w14:solidFill>
          </w14:textFill>
        </w:rPr>
        <w:t>。</w:t>
      </w:r>
      <w:bookmarkEnd w:id="182"/>
      <w:r>
        <w:rPr>
          <w:rFonts w:ascii="Times New Roman" w:hAnsi="Times New Roman" w:cs="Times New Roman"/>
          <w:color w:val="000000" w:themeColor="text1"/>
          <w:sz w:val="24"/>
          <w14:textFill>
            <w14:solidFill>
              <w14:schemeClr w14:val="tx1"/>
            </w14:solidFill>
          </w14:textFill>
        </w:rPr>
        <w:t>环境保护目标详见图2</w:t>
      </w:r>
      <w:r>
        <w:rPr>
          <w:rFonts w:hint="eastAsia" w:ascii="Times New Roman" w:hAnsi="Times New Roman" w:cs="Times New Roman"/>
          <w:color w:val="000000" w:themeColor="text1"/>
          <w:sz w:val="24"/>
          <w14:textFill>
            <w14:solidFill>
              <w14:schemeClr w14:val="tx1"/>
            </w14:solidFill>
          </w14:textFill>
        </w:rPr>
        <w:t>.7</w:t>
      </w:r>
      <w:r>
        <w:rPr>
          <w:rFonts w:ascii="Times New Roman" w:hAnsi="Times New Roman" w:cs="Times New Roman"/>
          <w:color w:val="000000" w:themeColor="text1"/>
          <w:sz w:val="24"/>
          <w14:textFill>
            <w14:solidFill>
              <w14:schemeClr w14:val="tx1"/>
            </w14:solidFill>
          </w14:textFill>
        </w:rPr>
        <w:t>-1。</w:t>
      </w:r>
    </w:p>
    <w:p>
      <w:pPr>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color w:val="000000" w:themeColor="text1"/>
          <w:spacing w:val="4"/>
          <w:szCs w:val="21"/>
          <w14:textFill>
            <w14:solidFill>
              <w14:schemeClr w14:val="tx1"/>
            </w14:solidFill>
          </w14:textFill>
        </w:rPr>
        <w:t xml:space="preserve">表2.7-1  </w:t>
      </w:r>
      <w:r>
        <w:rPr>
          <w:rFonts w:ascii="Times New Roman" w:hAnsi="Times New Roman" w:cs="Times New Roman"/>
          <w:b/>
          <w:bCs/>
          <w:color w:val="000000" w:themeColor="text1"/>
          <w:szCs w:val="21"/>
          <w14:textFill>
            <w14:solidFill>
              <w14:schemeClr w14:val="tx1"/>
            </w14:solidFill>
          </w14:textFill>
        </w:rPr>
        <w:t>环境敏感目标一览表</w:t>
      </w:r>
    </w:p>
    <w:tbl>
      <w:tblPr>
        <w:tblStyle w:val="23"/>
        <w:tblW w:w="83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32"/>
        <w:gridCol w:w="2172"/>
        <w:gridCol w:w="1534"/>
        <w:gridCol w:w="679"/>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tblHeader/>
          <w:jc w:val="center"/>
        </w:trPr>
        <w:tc>
          <w:tcPr>
            <w:tcW w:w="10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环境要素</w:t>
            </w:r>
          </w:p>
        </w:tc>
        <w:tc>
          <w:tcPr>
            <w:tcW w:w="21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环境敏感目标</w:t>
            </w:r>
          </w:p>
        </w:tc>
        <w:tc>
          <w:tcPr>
            <w:tcW w:w="15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与项目相对位置</w:t>
            </w:r>
          </w:p>
          <w:p>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（方位，距离）</w:t>
            </w:r>
          </w:p>
        </w:tc>
        <w:tc>
          <w:tcPr>
            <w:tcW w:w="6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规模</w:t>
            </w:r>
          </w:p>
        </w:tc>
        <w:tc>
          <w:tcPr>
            <w:tcW w:w="29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tblHeader/>
          <w:jc w:val="center"/>
        </w:trPr>
        <w:tc>
          <w:tcPr>
            <w:tcW w:w="103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环境空气</w:t>
            </w:r>
          </w:p>
        </w:tc>
        <w:tc>
          <w:tcPr>
            <w:tcW w:w="21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ascii="Times New Roman"/>
                <w:bCs/>
                <w:color w:val="000000" w:themeColor="text1"/>
                <w:sz w:val="21"/>
                <w14:textFill>
                  <w14:solidFill>
                    <w14:schemeClr w14:val="tx1"/>
                  </w14:solidFill>
                </w14:textFill>
              </w:rPr>
              <w:t>项目区大气环境</w:t>
            </w:r>
          </w:p>
        </w:tc>
        <w:tc>
          <w:tcPr>
            <w:tcW w:w="15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6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2945"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满足《环境空气质量标准》（GB3095-2012）二级标准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tblHeader/>
          <w:jc w:val="center"/>
        </w:trPr>
        <w:tc>
          <w:tcPr>
            <w:tcW w:w="1032" w:type="dxa"/>
            <w:tcBorders>
              <w:left w:val="single" w:color="auto" w:sz="4" w:space="0"/>
              <w:bottom w:val="single" w:color="auto" w:sz="4" w:space="0"/>
              <w:right w:val="single" w:color="auto" w:sz="4" w:space="0"/>
            </w:tcBorders>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声环境</w:t>
            </w:r>
          </w:p>
        </w:tc>
        <w:tc>
          <w:tcPr>
            <w:tcW w:w="2172" w:type="dxa"/>
            <w:tcBorders>
              <w:top w:val="single" w:color="auto" w:sz="4" w:space="0"/>
              <w:left w:val="single" w:color="auto" w:sz="4" w:space="0"/>
              <w:bottom w:val="single" w:color="auto" w:sz="4" w:space="0"/>
              <w:right w:val="single" w:color="auto" w:sz="4" w:space="0"/>
            </w:tcBorders>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油区工作人员</w:t>
            </w:r>
          </w:p>
        </w:tc>
        <w:tc>
          <w:tcPr>
            <w:tcW w:w="1534" w:type="dxa"/>
            <w:tcBorders>
              <w:top w:val="single" w:color="auto" w:sz="4" w:space="0"/>
              <w:left w:val="single" w:color="auto" w:sz="4" w:space="0"/>
              <w:bottom w:val="single" w:color="auto" w:sz="4" w:space="0"/>
              <w:right w:val="single" w:color="auto" w:sz="4" w:space="0"/>
            </w:tcBorders>
            <w:vAlign w:val="center"/>
          </w:tcPr>
          <w:p>
            <w:pPr>
              <w:pStyle w:val="17"/>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679" w:type="dxa"/>
            <w:tcBorders>
              <w:top w:val="single" w:color="auto" w:sz="4" w:space="0"/>
              <w:left w:val="single" w:color="auto" w:sz="4" w:space="0"/>
              <w:bottom w:val="single" w:color="auto" w:sz="4" w:space="0"/>
              <w:right w:val="single" w:color="auto" w:sz="4" w:space="0"/>
            </w:tcBorders>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2945" w:type="dxa"/>
            <w:tcBorders>
              <w:left w:val="single" w:color="auto" w:sz="4" w:space="0"/>
              <w:bottom w:val="single" w:color="auto" w:sz="4" w:space="0"/>
              <w:right w:val="single" w:color="auto" w:sz="4" w:space="0"/>
            </w:tcBorders>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tblHeader/>
          <w:jc w:val="center"/>
        </w:trPr>
        <w:tc>
          <w:tcPr>
            <w:tcW w:w="1032" w:type="dxa"/>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地下水环境</w:t>
            </w:r>
          </w:p>
        </w:tc>
        <w:tc>
          <w:tcPr>
            <w:tcW w:w="370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区域地下水水质不受项目建设影响</w:t>
            </w:r>
          </w:p>
        </w:tc>
        <w:tc>
          <w:tcPr>
            <w:tcW w:w="6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c>
          <w:tcPr>
            <w:tcW w:w="2945" w:type="dxa"/>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满足《地下水质量标准》（GB/T14848-2017）中Ⅲ类标准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tblHeader/>
          <w:jc w:val="center"/>
        </w:trPr>
        <w:tc>
          <w:tcPr>
            <w:tcW w:w="1032" w:type="dxa"/>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土壤环境</w:t>
            </w:r>
          </w:p>
        </w:tc>
        <w:tc>
          <w:tcPr>
            <w:tcW w:w="3706" w:type="dxa"/>
            <w:gridSpan w:val="2"/>
            <w:tcBorders>
              <w:top w:val="single" w:color="auto" w:sz="4" w:space="0"/>
              <w:left w:val="single" w:color="auto" w:sz="4" w:space="0"/>
              <w:bottom w:val="single" w:color="auto" w:sz="4" w:space="0"/>
              <w:right w:val="single" w:color="auto" w:sz="4" w:space="0"/>
            </w:tcBorders>
            <w:vAlign w:val="center"/>
          </w:tcPr>
          <w:p>
            <w:pPr>
              <w:pStyle w:val="17"/>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调查范围</w:t>
            </w:r>
            <w:r>
              <w:rPr>
                <w:rFonts w:hint="eastAsia" w:ascii="Times New Roman" w:hAnsi="Times New Roman" w:eastAsia="宋体" w:cs="Times New Roman"/>
                <w:color w:val="000000" w:themeColor="text1"/>
                <w:lang w:val="en-US" w:eastAsia="zh-CN"/>
                <w14:textFill>
                  <w14:solidFill>
                    <w14:schemeClr w14:val="tx1"/>
                  </w14:solidFill>
                </w14:textFill>
              </w:rPr>
              <w:t>内其他草地</w:t>
            </w:r>
          </w:p>
        </w:tc>
        <w:tc>
          <w:tcPr>
            <w:tcW w:w="67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2945" w:type="dxa"/>
            <w:tcBorders>
              <w:left w:val="single" w:color="auto" w:sz="4" w:space="0"/>
              <w:bottom w:val="single" w:color="auto" w:sz="4" w:space="0"/>
              <w:right w:val="single" w:color="auto" w:sz="4" w:space="0"/>
            </w:tcBorders>
            <w:vAlign w:val="center"/>
          </w:tcPr>
          <w:p>
            <w:pPr>
              <w:pStyle w:val="17"/>
              <w:rPr>
                <w:rFonts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土壤环境质量执行《土壤环境质量 农用地土壤污染风险管控标准（试行）》（GB15618-2018）风险筛选值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tblHeader/>
          <w:jc w:val="center"/>
        </w:trPr>
        <w:tc>
          <w:tcPr>
            <w:tcW w:w="1032"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生态环境</w:t>
            </w:r>
          </w:p>
        </w:tc>
        <w:tc>
          <w:tcPr>
            <w:tcW w:w="21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水土流失重点治理区</w:t>
            </w:r>
          </w:p>
        </w:tc>
        <w:tc>
          <w:tcPr>
            <w:tcW w:w="15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项目区</w:t>
            </w:r>
          </w:p>
        </w:tc>
        <w:tc>
          <w:tcPr>
            <w:tcW w:w="6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29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保护项目区域荒漠生态系统完整性和稳定性，保护土壤环境质量，做好植被恢复与水土保持工作，使项目区现有生态环境不因本项目的建设受到破坏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41" w:hRule="atLeast"/>
          <w:tblHeader/>
          <w:jc w:val="center"/>
        </w:trPr>
        <w:tc>
          <w:tcPr>
            <w:tcW w:w="1032"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p>
        </w:tc>
        <w:tc>
          <w:tcPr>
            <w:tcW w:w="2172" w:type="dxa"/>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植被</w:t>
            </w:r>
          </w:p>
        </w:tc>
        <w:tc>
          <w:tcPr>
            <w:tcW w:w="1534"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评价区域内</w:t>
            </w:r>
          </w:p>
        </w:tc>
        <w:tc>
          <w:tcPr>
            <w:tcW w:w="679" w:type="dxa"/>
            <w:vMerge w:val="restart"/>
            <w:tcBorders>
              <w:top w:val="single" w:color="auto" w:sz="4" w:space="0"/>
              <w:left w:val="single" w:color="auto" w:sz="4" w:space="0"/>
              <w:right w:val="single" w:color="auto" w:sz="4" w:space="0"/>
            </w:tcBorders>
            <w:vAlign w:val="center"/>
          </w:tcPr>
          <w:p>
            <w:pPr>
              <w:adjustRightInd w:val="0"/>
              <w:snapToGrid w:val="0"/>
              <w:jc w:val="center"/>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p>
        </w:tc>
        <w:tc>
          <w:tcPr>
            <w:tcW w:w="294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落实工程占地以及管道沿线周边生态环境保护措施，临时占地可</w:t>
            </w:r>
            <w:r>
              <w:rPr>
                <w:rFonts w:hint="eastAsia" w:ascii="Times New Roman" w:hAnsi="Times New Roman" w:cs="Times New Roman"/>
                <w:color w:val="000000" w:themeColor="text1"/>
                <w14:textFill>
                  <w14:solidFill>
                    <w14:schemeClr w14:val="tx1"/>
                  </w14:solidFill>
                </w14:textFill>
              </w:rPr>
              <w:t>逐渐</w:t>
            </w:r>
            <w:r>
              <w:rPr>
                <w:rFonts w:ascii="Times New Roman" w:hAnsi="Times New Roman" w:cs="Times New Roman"/>
                <w:color w:val="000000" w:themeColor="text1"/>
                <w14:textFill>
                  <w14:solidFill>
                    <w14:schemeClr w14:val="tx1"/>
                  </w14:solidFill>
                </w14:textFill>
              </w:rPr>
              <w:t>恢复到自然状态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998" w:hRule="atLeast"/>
          <w:tblHeader/>
          <w:jc w:val="center"/>
        </w:trPr>
        <w:tc>
          <w:tcPr>
            <w:tcW w:w="1032"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p>
        </w:tc>
        <w:tc>
          <w:tcPr>
            <w:tcW w:w="21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国家Ⅱ级重点保护野生动物</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沙狐</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狼</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草原斑猫</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兔狲</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鹅喉羚</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雀鹰</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草原鹞</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红隼</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云雀</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东方沙蟒</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黑腹沙鸡</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棕尾鵟</w:t>
            </w:r>
          </w:p>
        </w:tc>
        <w:tc>
          <w:tcPr>
            <w:tcW w:w="1534"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p>
        </w:tc>
        <w:tc>
          <w:tcPr>
            <w:tcW w:w="679"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p>
        </w:tc>
        <w:tc>
          <w:tcPr>
            <w:tcW w:w="2945"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禁止破坏野生动植物的生境及捕杀野生动物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tblHeader/>
          <w:jc w:val="center"/>
        </w:trPr>
        <w:tc>
          <w:tcPr>
            <w:tcW w:w="1032" w:type="dxa"/>
            <w:vMerge w:val="continue"/>
            <w:tcBorders>
              <w:left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bookmarkStart w:id="183" w:name="_Toc14993"/>
          </w:p>
        </w:tc>
        <w:tc>
          <w:tcPr>
            <w:tcW w:w="2172"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自治区Ⅰ级重点保护野生动物</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虎鼬</w:t>
            </w:r>
          </w:p>
        </w:tc>
        <w:tc>
          <w:tcPr>
            <w:tcW w:w="1534"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p>
        </w:tc>
        <w:tc>
          <w:tcPr>
            <w:tcW w:w="679"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p>
        </w:tc>
        <w:tc>
          <w:tcPr>
            <w:tcW w:w="2945"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bl>
    <w:p>
      <w:pPr>
        <w:tabs>
          <w:tab w:val="left" w:pos="3465"/>
        </w:tabs>
        <w:spacing w:line="360" w:lineRule="auto"/>
        <w:outlineLvl w:val="1"/>
        <w:rPr>
          <w:rFonts w:hint="eastAsia" w:ascii="Times New Roman" w:hAnsi="Times New Roman" w:eastAsia="黑体" w:cs="Times New Roman"/>
          <w:b/>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tabs>
          <w:tab w:val="left" w:pos="3465"/>
        </w:tabs>
        <w:spacing w:line="360" w:lineRule="auto"/>
        <w:outlineLvl w:val="1"/>
        <w:rPr>
          <w:rFonts w:ascii="Times New Roman" w:hAnsi="Times New Roman" w:eastAsia="黑体" w:cs="Times New Roman"/>
          <w:b/>
          <w:color w:val="000000" w:themeColor="text1"/>
          <w:sz w:val="30"/>
          <w:szCs w:val="30"/>
          <w14:textFill>
            <w14:solidFill>
              <w14:schemeClr w14:val="tx1"/>
            </w14:solidFill>
          </w14:textFill>
        </w:rPr>
      </w:pPr>
      <w:r>
        <w:rPr>
          <w:rFonts w:hint="eastAsia" w:ascii="Times New Roman" w:hAnsi="Times New Roman" w:eastAsia="黑体" w:cs="Times New Roman"/>
          <w:b/>
          <w:color w:val="000000" w:themeColor="text1"/>
          <w:sz w:val="30"/>
          <w:szCs w:val="30"/>
          <w14:textFill>
            <w14:solidFill>
              <w14:schemeClr w14:val="tx1"/>
            </w14:solidFill>
          </w14:textFill>
        </w:rPr>
        <w:t>2.8</w:t>
      </w:r>
      <w:r>
        <w:rPr>
          <w:rFonts w:ascii="Times New Roman" w:hAnsi="Times New Roman" w:eastAsia="黑体" w:cs="Times New Roman"/>
          <w:b/>
          <w:color w:val="000000" w:themeColor="text1"/>
          <w:sz w:val="30"/>
          <w:szCs w:val="30"/>
          <w14:textFill>
            <w14:solidFill>
              <w14:schemeClr w14:val="tx1"/>
            </w14:solidFill>
          </w14:textFill>
        </w:rPr>
        <w:t>相关</w:t>
      </w:r>
      <w:r>
        <w:rPr>
          <w:rFonts w:hint="eastAsia" w:ascii="Times New Roman" w:hAnsi="Times New Roman" w:eastAsia="黑体" w:cs="Times New Roman"/>
          <w:b/>
          <w:color w:val="000000" w:themeColor="text1"/>
          <w:sz w:val="30"/>
          <w:szCs w:val="30"/>
          <w14:textFill>
            <w14:solidFill>
              <w14:schemeClr w14:val="tx1"/>
            </w14:solidFill>
          </w14:textFill>
        </w:rPr>
        <w:t>规划、</w:t>
      </w:r>
      <w:r>
        <w:rPr>
          <w:rFonts w:ascii="Times New Roman" w:hAnsi="Times New Roman" w:eastAsia="黑体" w:cs="Times New Roman"/>
          <w:b/>
          <w:color w:val="000000" w:themeColor="text1"/>
          <w:sz w:val="30"/>
          <w:szCs w:val="30"/>
          <w14:textFill>
            <w14:solidFill>
              <w14:schemeClr w14:val="tx1"/>
            </w14:solidFill>
          </w14:textFill>
        </w:rPr>
        <w:t>政策法规</w:t>
      </w:r>
      <w:r>
        <w:rPr>
          <w:rFonts w:hint="eastAsia" w:ascii="Times New Roman" w:hAnsi="Times New Roman" w:eastAsia="黑体" w:cs="Times New Roman"/>
          <w:b/>
          <w:color w:val="000000" w:themeColor="text1"/>
          <w:sz w:val="30"/>
          <w:szCs w:val="30"/>
          <w14:textFill>
            <w14:solidFill>
              <w14:schemeClr w14:val="tx1"/>
            </w14:solidFill>
          </w14:textFill>
        </w:rPr>
        <w:t>等符合</w:t>
      </w:r>
      <w:r>
        <w:rPr>
          <w:rFonts w:ascii="Times New Roman" w:hAnsi="Times New Roman" w:eastAsia="黑体" w:cs="Times New Roman"/>
          <w:b/>
          <w:color w:val="000000" w:themeColor="text1"/>
          <w:sz w:val="30"/>
          <w:szCs w:val="30"/>
          <w14:textFill>
            <w14:solidFill>
              <w14:schemeClr w14:val="tx1"/>
            </w14:solidFill>
          </w14:textFill>
        </w:rPr>
        <w:t>性分析</w:t>
      </w:r>
      <w:bookmarkEnd w:id="183"/>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hint="eastAsia" w:ascii="Times New Roman" w:hAnsi="Times New Roman" w:eastAsia="黑体" w:cs="Times New Roman"/>
          <w:b/>
          <w:color w:val="000000" w:themeColor="text1"/>
          <w:sz w:val="30"/>
          <w:szCs w:val="30"/>
          <w14:textFill>
            <w14:solidFill>
              <w14:schemeClr w14:val="tx1"/>
            </w14:solidFill>
          </w14:textFill>
        </w:rPr>
        <w:t>2.8.1</w:t>
      </w:r>
      <w:r>
        <w:rPr>
          <w:rFonts w:ascii="Times New Roman" w:hAnsi="Times New Roman" w:eastAsia="黑体" w:cs="Times New Roman"/>
          <w:b/>
          <w:color w:val="000000" w:themeColor="text1"/>
          <w:sz w:val="30"/>
          <w:szCs w:val="30"/>
          <w14:textFill>
            <w14:solidFill>
              <w14:schemeClr w14:val="tx1"/>
            </w14:solidFill>
          </w14:textFill>
        </w:rPr>
        <w:t>与国家产业政策</w:t>
      </w:r>
      <w:r>
        <w:rPr>
          <w:rFonts w:hint="eastAsia" w:ascii="Times New Roman" w:hAnsi="Times New Roman" w:eastAsia="黑体" w:cs="Times New Roman"/>
          <w:b/>
          <w:color w:val="000000" w:themeColor="text1"/>
          <w:sz w:val="30"/>
          <w:szCs w:val="30"/>
          <w14:textFill>
            <w14:solidFill>
              <w14:schemeClr w14:val="tx1"/>
            </w14:solidFill>
          </w14:textFill>
        </w:rPr>
        <w:t>相符性</w:t>
      </w:r>
      <w:r>
        <w:rPr>
          <w:rFonts w:ascii="Times New Roman" w:hAnsi="Times New Roman" w:eastAsia="黑体" w:cs="Times New Roman"/>
          <w:b/>
          <w:color w:val="000000" w:themeColor="text1"/>
          <w:sz w:val="30"/>
          <w:szCs w:val="30"/>
          <w14:textFill>
            <w14:solidFill>
              <w14:schemeClr w14:val="tx1"/>
            </w14:solidFill>
          </w14:textFill>
        </w:rPr>
        <w:t>分析</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石油天然气开采业是当前国民经济的重要基础产业和支柱产业，根据《产业结构调整指导目录》（</w:t>
      </w:r>
      <w:r>
        <w:rPr>
          <w:rFonts w:hint="eastAsia" w:ascii="Times New Roman" w:hAnsi="Times New Roman" w:cs="Times New Roman"/>
          <w:color w:val="000000" w:themeColor="text1"/>
          <w:sz w:val="24"/>
          <w14:textFill>
            <w14:solidFill>
              <w14:schemeClr w14:val="tx1"/>
            </w14:solidFill>
          </w14:textFill>
        </w:rPr>
        <w:t>2024</w:t>
      </w:r>
      <w:r>
        <w:rPr>
          <w:rFonts w:ascii="Times New Roman" w:hAnsi="Times New Roman" w:cs="Times New Roman"/>
          <w:color w:val="000000" w:themeColor="text1"/>
          <w:sz w:val="24"/>
          <w14:textFill>
            <w14:solidFill>
              <w14:schemeClr w14:val="tx1"/>
            </w14:solidFill>
          </w14:textFill>
        </w:rPr>
        <w:t>年本），</w:t>
      </w:r>
      <w:r>
        <w:rPr>
          <w:rFonts w:hint="eastAsia" w:ascii="宋体" w:hAnsi="宋体" w:eastAsia="宋体" w:cs="宋体"/>
          <w:color w:val="000000" w:themeColor="text1"/>
          <w:sz w:val="24"/>
          <w14:textFill>
            <w14:solidFill>
              <w14:schemeClr w14:val="tx1"/>
            </w14:solidFill>
          </w14:textFill>
        </w:rPr>
        <w:t>“石油、天然气勘探及开采”属于“鼓励类”</w:t>
      </w:r>
      <w:r>
        <w:rPr>
          <w:rFonts w:ascii="Times New Roman" w:hAnsi="Times New Roman" w:cs="Times New Roman"/>
          <w:color w:val="000000" w:themeColor="text1"/>
          <w:sz w:val="24"/>
          <w14:textFill>
            <w14:solidFill>
              <w14:schemeClr w14:val="tx1"/>
            </w14:solidFill>
          </w14:textFill>
        </w:rPr>
        <w:t>项目，本工程建设符合国家产业政策。本工程的实施，对于保障国家能源安全，促进国民经济健康快速发展具有极其重要的战略意义。</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hint="eastAsia" w:ascii="Times New Roman" w:hAnsi="Times New Roman" w:eastAsia="黑体" w:cs="Times New Roman"/>
          <w:b/>
          <w:color w:val="000000" w:themeColor="text1"/>
          <w:sz w:val="30"/>
          <w:szCs w:val="30"/>
          <w14:textFill>
            <w14:solidFill>
              <w14:schemeClr w14:val="tx1"/>
            </w14:solidFill>
          </w14:textFill>
        </w:rPr>
        <w:t>2.8.2与相关政策、法规等符合性分析</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2.8.2.</w:t>
      </w:r>
      <w:r>
        <w:rPr>
          <w:rFonts w:hint="eastAsia" w:ascii="Times New Roman" w:hAnsi="Times New Roman"/>
          <w:color w:val="000000" w:themeColor="text1"/>
          <w:sz w:val="28"/>
          <w:szCs w:val="28"/>
          <w:lang w:val="en-US" w:eastAsia="zh-CN"/>
          <w14:textFill>
            <w14:solidFill>
              <w14:schemeClr w14:val="tx1"/>
            </w14:solidFill>
          </w14:textFill>
        </w:rPr>
        <w:t>1</w:t>
      </w:r>
      <w:r>
        <w:rPr>
          <w:rFonts w:ascii="Times New Roman" w:hAnsi="Times New Roman"/>
          <w:color w:val="000000" w:themeColor="text1"/>
          <w:sz w:val="28"/>
          <w:szCs w:val="28"/>
          <w14:textFill>
            <w14:solidFill>
              <w14:schemeClr w14:val="tx1"/>
            </w14:solidFill>
          </w14:textFill>
        </w:rPr>
        <w:t>与《石油天然气开采业污染防治技术政策》（公告2012年</w:t>
      </w:r>
      <w:r>
        <w:rPr>
          <w:rFonts w:hint="eastAsia" w:ascii="Times New Roman" w:hAnsi="Times New Roman"/>
          <w:color w:val="000000" w:themeColor="text1"/>
          <w:sz w:val="28"/>
          <w:szCs w:val="28"/>
          <w:lang w:val="en-US" w:eastAsia="zh-CN"/>
          <w14:textFill>
            <w14:solidFill>
              <w14:schemeClr w14:val="tx1"/>
            </w14:solidFill>
          </w14:textFill>
        </w:rPr>
        <w:t xml:space="preserve"> </w:t>
      </w:r>
      <w:r>
        <w:rPr>
          <w:rFonts w:ascii="Times New Roman" w:hAnsi="Times New Roman"/>
          <w:color w:val="000000" w:themeColor="text1"/>
          <w:sz w:val="28"/>
          <w:szCs w:val="28"/>
          <w14:textFill>
            <w14:solidFill>
              <w14:schemeClr w14:val="tx1"/>
            </w14:solidFill>
          </w14:textFill>
        </w:rPr>
        <w:t>第18号）相符性</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本项目与《石油天然气开采业污染防治技术政策》（公告2012年</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第18号）的相关要求相符性如下：</w:t>
      </w:r>
    </w:p>
    <w:p>
      <w:pPr>
        <w:pStyle w:val="43"/>
        <w:spacing w:line="360" w:lineRule="auto"/>
        <w:rPr>
          <w:color w:val="000000" w:themeColor="text1"/>
          <w:lang w:val="zh-CN"/>
          <w14:textFill>
            <w14:solidFill>
              <w14:schemeClr w14:val="tx1"/>
            </w14:solidFill>
          </w14:textFill>
        </w:rPr>
      </w:pPr>
      <w:r>
        <w:rPr>
          <w:color w:val="000000" w:themeColor="text1"/>
          <w:lang w:val="zh-CN"/>
          <w14:textFill>
            <w14:solidFill>
              <w14:schemeClr w14:val="tx1"/>
            </w14:solidFill>
          </w14:textFill>
        </w:rPr>
        <w:t>表</w:t>
      </w:r>
      <w:r>
        <w:rPr>
          <w:rFonts w:hint="eastAsia"/>
          <w:color w:val="000000" w:themeColor="text1"/>
          <w14:textFill>
            <w14:solidFill>
              <w14:schemeClr w14:val="tx1"/>
            </w14:solidFill>
          </w14:textFill>
        </w:rPr>
        <w:t>2.8</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 xml:space="preserve">  </w:t>
      </w:r>
      <w:r>
        <w:rPr>
          <w:color w:val="000000" w:themeColor="text1"/>
          <w:lang w:val="zh-CN"/>
          <w14:textFill>
            <w14:solidFill>
              <w14:schemeClr w14:val="tx1"/>
            </w14:solidFill>
          </w14:textFill>
        </w:rPr>
        <w:t>与《石油天然气开采业污染防治技术政策》相符性分析一览表</w:t>
      </w:r>
    </w:p>
    <w:tbl>
      <w:tblPr>
        <w:tblStyle w:val="23"/>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3368"/>
        <w:gridCol w:w="3752"/>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0"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序号</w:t>
            </w:r>
          </w:p>
        </w:tc>
        <w:tc>
          <w:tcPr>
            <w:tcW w:w="3368"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要求</w:t>
            </w:r>
          </w:p>
        </w:tc>
        <w:tc>
          <w:tcPr>
            <w:tcW w:w="3752"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本项目</w:t>
            </w:r>
          </w:p>
        </w:tc>
        <w:tc>
          <w:tcPr>
            <w:tcW w:w="730"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1</w:t>
            </w:r>
          </w:p>
        </w:tc>
        <w:tc>
          <w:tcPr>
            <w:tcW w:w="336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375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项目钻井废水循环利用，井下作业废水拉运至陆梁集中处理站处理</w:t>
            </w:r>
            <w:r>
              <w:rPr>
                <w:rFonts w:ascii="Times New Roman" w:hAnsi="Times New Roman" w:cs="Times New Roman"/>
                <w:b w:val="0"/>
                <w:color w:val="000000" w:themeColor="text1"/>
                <w:sz w:val="21"/>
                <w:szCs w:val="21"/>
                <w:lang w:val="en-US"/>
                <w14:textFill>
                  <w14:solidFill>
                    <w14:schemeClr w14:val="tx1"/>
                  </w14:solidFill>
                </w14:textFill>
              </w:rPr>
              <w:t>达标</w:t>
            </w:r>
            <w:r>
              <w:rPr>
                <w:rFonts w:ascii="Times New Roman" w:hAnsi="Times New Roman" w:cs="Times New Roman"/>
                <w:b w:val="0"/>
                <w:color w:val="000000" w:themeColor="text1"/>
                <w:sz w:val="21"/>
                <w:szCs w:val="21"/>
                <w14:textFill>
                  <w14:solidFill>
                    <w14:schemeClr w14:val="tx1"/>
                  </w14:solidFill>
                </w14:textFill>
              </w:rPr>
              <w:t>后</w:t>
            </w:r>
            <w:r>
              <w:rPr>
                <w:rFonts w:ascii="Times New Roman" w:hAnsi="Times New Roman" w:cs="Times New Roman"/>
                <w:b w:val="0"/>
                <w:color w:val="000000" w:themeColor="text1"/>
                <w:sz w:val="21"/>
                <w:szCs w:val="21"/>
                <w:lang w:val="en-US"/>
                <w14:textFill>
                  <w14:solidFill>
                    <w14:schemeClr w14:val="tx1"/>
                  </w14:solidFill>
                </w14:textFill>
              </w:rPr>
              <w:t>回注油藏</w:t>
            </w:r>
            <w:r>
              <w:rPr>
                <w:rFonts w:ascii="Times New Roman" w:hAnsi="Times New Roman" w:cs="Times New Roman"/>
                <w:b w:val="0"/>
                <w:color w:val="000000" w:themeColor="text1"/>
                <w:sz w:val="21"/>
                <w:szCs w:val="21"/>
                <w14:textFill>
                  <w14:solidFill>
                    <w14:schemeClr w14:val="tx1"/>
                  </w14:solidFill>
                </w14:textFill>
              </w:rPr>
              <w:t>，工业废水回用率大于90%；钻井泥浆经</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钻井泥浆不落地技术</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处理后随钻井队用于后续钻井使用，落地油100%回收。本环评对项目可能产生的环境风险进行了分析，并提出了相应的风险防范措施和应急预案。</w:t>
            </w:r>
          </w:p>
        </w:tc>
        <w:tc>
          <w:tcPr>
            <w:tcW w:w="73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2</w:t>
            </w:r>
          </w:p>
        </w:tc>
        <w:tc>
          <w:tcPr>
            <w:tcW w:w="336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油气田开发不得使用含有国际公约禁用化学物质的油气田化学剂，逐步淘汰微毒及以上油气田化学剂，鼓励使用无毒油气田化学剂。</w:t>
            </w:r>
          </w:p>
        </w:tc>
        <w:tc>
          <w:tcPr>
            <w:tcW w:w="375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本项目使用水基钻井液，采用泥浆不落地工艺，泥浆随钻井队用于后续钻井使用；岩屑收集于水基岩屑储罐，由</w:t>
            </w:r>
            <w:r>
              <w:rPr>
                <w:rFonts w:hint="eastAsia" w:ascii="Times New Roman" w:hAnsi="Times New Roman" w:cs="Times New Roman"/>
                <w:b w:val="0"/>
                <w:color w:val="000000" w:themeColor="text1"/>
                <w:sz w:val="21"/>
                <w:szCs w:val="21"/>
                <w:lang w:val="en-US"/>
                <w14:textFill>
                  <w14:solidFill>
                    <w14:schemeClr w14:val="tx1"/>
                  </w14:solidFill>
                </w14:textFill>
              </w:rPr>
              <w:t>岩屑处置单位</w:t>
            </w:r>
            <w:r>
              <w:rPr>
                <w:rFonts w:ascii="Times New Roman" w:hAnsi="Times New Roman" w:cs="Times New Roman"/>
                <w:b w:val="0"/>
                <w:color w:val="000000" w:themeColor="text1"/>
                <w:sz w:val="21"/>
                <w:szCs w:val="21"/>
                <w14:textFill>
                  <w14:solidFill>
                    <w14:schemeClr w14:val="tx1"/>
                  </w14:solidFill>
                </w14:textFill>
              </w:rPr>
              <w:t>合规处置；钻井作业产生的落地原油100%回收处理。</w:t>
            </w:r>
          </w:p>
        </w:tc>
        <w:tc>
          <w:tcPr>
            <w:tcW w:w="73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3</w:t>
            </w:r>
          </w:p>
        </w:tc>
        <w:tc>
          <w:tcPr>
            <w:tcW w:w="336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在勘探开发过程中，应防止产生落地原油。其中井下作业过程中应配备泄油器、刮油器等。落地原油应及时回收，落地原油回收率应达到100%。</w:t>
            </w:r>
          </w:p>
        </w:tc>
        <w:tc>
          <w:tcPr>
            <w:tcW w:w="375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井下作业过程中配备了泄油器、刮油器等设备井下作业时带罐，落地油100%回收。</w:t>
            </w:r>
          </w:p>
        </w:tc>
        <w:tc>
          <w:tcPr>
            <w:tcW w:w="73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4</w:t>
            </w:r>
          </w:p>
        </w:tc>
        <w:tc>
          <w:tcPr>
            <w:tcW w:w="336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在钻井过程中，鼓励采用环境友好的钻井液体系；配备完善的固控设备，钻井液循环率达到95%以上；钻井过程产生的废水应回用。</w:t>
            </w:r>
          </w:p>
        </w:tc>
        <w:tc>
          <w:tcPr>
            <w:tcW w:w="375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本项目使用水基钻井液，采用泥浆不落地工艺，泥浆随钻井队用于后续钻井使用；岩屑收集于岩屑储罐，由</w:t>
            </w:r>
            <w:r>
              <w:rPr>
                <w:rFonts w:hint="eastAsia" w:ascii="Times New Roman" w:hAnsi="Times New Roman" w:cs="Times New Roman"/>
                <w:b w:val="0"/>
                <w:color w:val="000000" w:themeColor="text1"/>
                <w:sz w:val="21"/>
                <w:szCs w:val="21"/>
                <w:lang w:val="en-US"/>
                <w14:textFill>
                  <w14:solidFill>
                    <w14:schemeClr w14:val="tx1"/>
                  </w14:solidFill>
                </w14:textFill>
              </w:rPr>
              <w:t>岩屑处置单位</w:t>
            </w:r>
            <w:r>
              <w:rPr>
                <w:rFonts w:ascii="Times New Roman" w:hAnsi="Times New Roman" w:cs="Times New Roman"/>
                <w:b w:val="0"/>
                <w:color w:val="000000" w:themeColor="text1"/>
                <w:sz w:val="21"/>
                <w:szCs w:val="21"/>
                <w14:textFill>
                  <w14:solidFill>
                    <w14:schemeClr w14:val="tx1"/>
                  </w14:solidFill>
                </w14:textFill>
              </w:rPr>
              <w:t>合规处置；钻井作业产生的落地原油100%回收处理。</w:t>
            </w:r>
          </w:p>
        </w:tc>
        <w:tc>
          <w:tcPr>
            <w:tcW w:w="73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5</w:t>
            </w:r>
          </w:p>
        </w:tc>
        <w:tc>
          <w:tcPr>
            <w:tcW w:w="336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在井下作业过程中，酸化液和压裂液宜集中配制，酸化残液、压裂残液和返排液应回收利用或进行无害化处置，压裂放喷返排入罐率应达到100%。</w:t>
            </w:r>
          </w:p>
        </w:tc>
        <w:tc>
          <w:tcPr>
            <w:tcW w:w="375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本项目</w:t>
            </w:r>
            <w:r>
              <w:rPr>
                <w:rFonts w:hint="eastAsia" w:ascii="Times New Roman" w:hAnsi="Times New Roman" w:cs="Times New Roman"/>
                <w:b w:val="0"/>
                <w:color w:val="000000" w:themeColor="text1"/>
                <w:sz w:val="21"/>
                <w:szCs w:val="21"/>
                <w:lang w:val="en-US" w:eastAsia="zh-CN"/>
                <w14:textFill>
                  <w14:solidFill>
                    <w14:schemeClr w14:val="tx1"/>
                  </w14:solidFill>
                </w14:textFill>
              </w:rPr>
              <w:t>不涉及酸化和压裂</w:t>
            </w:r>
            <w:r>
              <w:rPr>
                <w:rFonts w:ascii="Times New Roman" w:hAnsi="Times New Roman" w:cs="Times New Roman"/>
                <w:b w:val="0"/>
                <w:color w:val="000000" w:themeColor="text1"/>
                <w:sz w:val="21"/>
                <w:szCs w:val="21"/>
                <w14:textFill>
                  <w14:solidFill>
                    <w14:schemeClr w14:val="tx1"/>
                  </w14:solidFill>
                </w14:textFill>
              </w:rPr>
              <w:t>。</w:t>
            </w:r>
          </w:p>
        </w:tc>
        <w:tc>
          <w:tcPr>
            <w:tcW w:w="73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6</w:t>
            </w:r>
          </w:p>
        </w:tc>
        <w:tc>
          <w:tcPr>
            <w:tcW w:w="336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在钻井和井下作业过程中，鼓励污油、污水进入生产流程循环利用。</w:t>
            </w:r>
          </w:p>
        </w:tc>
        <w:tc>
          <w:tcPr>
            <w:tcW w:w="375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本项目采用钻井泥浆不落地技术，无钻井废水排放；井下作业废水经陆梁集中处理站处理达标后回注油藏，不外排；落地油100%回收，交由有相应危险废物处理资质的单位处置。</w:t>
            </w:r>
          </w:p>
        </w:tc>
        <w:tc>
          <w:tcPr>
            <w:tcW w:w="73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7</w:t>
            </w:r>
          </w:p>
        </w:tc>
        <w:tc>
          <w:tcPr>
            <w:tcW w:w="336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应回收落地原油，以及原油处理、废水处理产生的含油污泥等中的油类物质，含油污泥资源化利用率应达到90%以上，残余固体废物应按照《国家危险废物名录》和危险废物鉴别标准识别，根据识别结果资源化利用或无害化处置。</w:t>
            </w:r>
          </w:p>
        </w:tc>
        <w:tc>
          <w:tcPr>
            <w:tcW w:w="375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井下作业必须带罐（车）操作，将落地油100%进行回收，定期交由有相应危险废物处理资质的单位处置。</w:t>
            </w:r>
          </w:p>
        </w:tc>
        <w:tc>
          <w:tcPr>
            <w:tcW w:w="73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8</w:t>
            </w:r>
          </w:p>
        </w:tc>
        <w:tc>
          <w:tcPr>
            <w:tcW w:w="336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油气田企业应制定环境保护管理规定，建立并运行健康、安全与环境管理体系。</w:t>
            </w:r>
          </w:p>
        </w:tc>
        <w:tc>
          <w:tcPr>
            <w:tcW w:w="375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中国石油新疆油田分公司开发公司在环境管理上已建立健康、安全与环境管理体系（HSE管理体系）。</w:t>
            </w:r>
          </w:p>
        </w:tc>
        <w:tc>
          <w:tcPr>
            <w:tcW w:w="73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7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9</w:t>
            </w:r>
          </w:p>
        </w:tc>
        <w:tc>
          <w:tcPr>
            <w:tcW w:w="336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加强油气田建设、勘探开发过程的环境监督管理。油气田建设过程应开展工程环境监理。</w:t>
            </w:r>
          </w:p>
        </w:tc>
        <w:tc>
          <w:tcPr>
            <w:tcW w:w="375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环评要求项目开展工程监理，并拟定了开发期环境监理计划。</w:t>
            </w:r>
          </w:p>
        </w:tc>
        <w:tc>
          <w:tcPr>
            <w:tcW w:w="730"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bl>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综上所述，本项目符合《石油天然气开采业污染防治技术政策》（公告2012年 第18号）的相关要求。</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2.8.2.</w:t>
      </w:r>
      <w:r>
        <w:rPr>
          <w:rFonts w:hint="eastAsia" w:ascii="Times New Roman" w:hAnsi="Times New Roman"/>
          <w:color w:val="000000" w:themeColor="text1"/>
          <w:sz w:val="28"/>
          <w:szCs w:val="28"/>
          <w:lang w:val="en-US" w:eastAsia="zh-CN"/>
          <w14:textFill>
            <w14:solidFill>
              <w14:schemeClr w14:val="tx1"/>
            </w14:solidFill>
          </w14:textFill>
        </w:rPr>
        <w:t>2</w:t>
      </w:r>
      <w:r>
        <w:rPr>
          <w:rFonts w:ascii="Times New Roman" w:hAnsi="Times New Roman"/>
          <w:color w:val="000000" w:themeColor="text1"/>
          <w:sz w:val="28"/>
          <w:szCs w:val="28"/>
          <w14:textFill>
            <w14:solidFill>
              <w14:schemeClr w14:val="tx1"/>
            </w14:solidFill>
          </w14:textFill>
        </w:rPr>
        <w:t>与《关于进一步加强石油天然气行业环境影响评价管理的通知》（环办环评函〔2019〕910号）的符合性分析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本项目与《关于进一步加强石油天然气行业环境影响评价管理的通知》（环办环评函〔2019〕910号）相符性见表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p>
    <w:p>
      <w:pPr>
        <w:pStyle w:val="43"/>
        <w:spacing w:line="360" w:lineRule="auto"/>
        <w:rPr>
          <w:color w:val="000000" w:themeColor="text1"/>
          <w:lang w:val="zh-CN"/>
          <w14:textFill>
            <w14:solidFill>
              <w14:schemeClr w14:val="tx1"/>
            </w14:solidFill>
          </w14:textFill>
        </w:rPr>
      </w:pPr>
      <w:r>
        <w:rPr>
          <w:color w:val="000000" w:themeColor="text1"/>
          <w:lang w:val="zh-CN"/>
          <w14:textFill>
            <w14:solidFill>
              <w14:schemeClr w14:val="tx1"/>
            </w14:solidFill>
          </w14:textFill>
        </w:rPr>
        <w:t>表</w:t>
      </w:r>
      <w:r>
        <w:rPr>
          <w:rFonts w:hint="eastAsia"/>
          <w:color w:val="000000" w:themeColor="text1"/>
          <w14:textFill>
            <w14:solidFill>
              <w14:schemeClr w14:val="tx1"/>
            </w14:solidFill>
          </w14:textFill>
        </w:rPr>
        <w:t>2.8</w:t>
      </w:r>
      <w:r>
        <w:rPr>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color w:val="000000" w:themeColor="text1"/>
          <w:lang w:val="zh-CN"/>
          <w14:textFill>
            <w14:solidFill>
              <w14:schemeClr w14:val="tx1"/>
            </w14:solidFill>
          </w14:textFill>
        </w:rPr>
        <w:t xml:space="preserve">  与</w:t>
      </w:r>
      <w:r>
        <w:rPr>
          <w:color w:val="000000" w:themeColor="text1"/>
          <w14:textFill>
            <w14:solidFill>
              <w14:schemeClr w14:val="tx1"/>
            </w14:solidFill>
          </w14:textFill>
        </w:rPr>
        <w:t>环办环评函〔2019〕910号</w:t>
      </w:r>
      <w:r>
        <w:rPr>
          <w:color w:val="000000" w:themeColor="text1"/>
          <w:lang w:val="zh-CN"/>
          <w14:textFill>
            <w14:solidFill>
              <w14:schemeClr w14:val="tx1"/>
            </w14:solidFill>
          </w14:textFill>
        </w:rPr>
        <w:t>相符性分析一览表</w:t>
      </w:r>
    </w:p>
    <w:tbl>
      <w:tblPr>
        <w:tblStyle w:val="2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689"/>
        <w:gridCol w:w="3278"/>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5"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序号</w:t>
            </w:r>
          </w:p>
        </w:tc>
        <w:tc>
          <w:tcPr>
            <w:tcW w:w="3689"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要求</w:t>
            </w:r>
          </w:p>
        </w:tc>
        <w:tc>
          <w:tcPr>
            <w:tcW w:w="3278"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本项目</w:t>
            </w:r>
          </w:p>
        </w:tc>
        <w:tc>
          <w:tcPr>
            <w:tcW w:w="877"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1</w:t>
            </w:r>
          </w:p>
        </w:tc>
        <w:tc>
          <w:tcPr>
            <w:tcW w:w="3689"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油气开采项目（含新开发和滚动开发项目）原则上应当以区块为单位开展环评（以下简称区块环评），一般包括区块内拟建的新井、加密井、调整井、站场、设备、管道和电缆及其更换工程、弃置工程及配套工程等。</w:t>
            </w:r>
          </w:p>
        </w:tc>
        <w:tc>
          <w:tcPr>
            <w:tcW w:w="327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本项目为油气开采项目（滚动开发项目），本次以陆9井区为单位进行评价，包括拟建的新井及配套集输管线、供配电等地面工程。</w:t>
            </w:r>
          </w:p>
        </w:tc>
        <w:tc>
          <w:tcPr>
            <w:tcW w:w="87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2</w:t>
            </w:r>
          </w:p>
        </w:tc>
        <w:tc>
          <w:tcPr>
            <w:tcW w:w="3689"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项目环评应当深入评价项目建设、运营带来的环境影响和环境风险，提出有效的生态环境保护和环境风险防范措施。</w:t>
            </w:r>
          </w:p>
        </w:tc>
        <w:tc>
          <w:tcPr>
            <w:tcW w:w="327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项目环境影响及风险评价详见后文</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环境影响分析</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章节与环境风险评价。</w:t>
            </w:r>
          </w:p>
        </w:tc>
        <w:tc>
          <w:tcPr>
            <w:tcW w:w="87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3</w:t>
            </w:r>
          </w:p>
        </w:tc>
        <w:tc>
          <w:tcPr>
            <w:tcW w:w="3689"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依托其他防治设施的或者委托第三方处置的，应当论证其可行性和有效性。</w:t>
            </w:r>
          </w:p>
        </w:tc>
        <w:tc>
          <w:tcPr>
            <w:tcW w:w="327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本报告分析了依托工程及其可行性分析详见后文</w:t>
            </w:r>
          </w:p>
        </w:tc>
        <w:tc>
          <w:tcPr>
            <w:tcW w:w="87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4</w:t>
            </w:r>
          </w:p>
        </w:tc>
        <w:tc>
          <w:tcPr>
            <w:tcW w:w="3689"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涉及废水回注的，应当论证回注的环境可行性，采取切实可行的地下水污染防治和监控措施，不得回注与油气开采无关的废水，严禁造成地下水污染。</w:t>
            </w:r>
          </w:p>
        </w:tc>
        <w:tc>
          <w:tcPr>
            <w:tcW w:w="327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本项目</w:t>
            </w:r>
            <w:r>
              <w:rPr>
                <w:rFonts w:ascii="Times New Roman" w:hAnsi="Times New Roman" w:cs="Times New Roman"/>
                <w:b w:val="0"/>
                <w:color w:val="000000" w:themeColor="text1"/>
                <w:sz w:val="21"/>
                <w:szCs w:val="21"/>
                <w:lang w:val="en-US"/>
                <w14:textFill>
                  <w14:solidFill>
                    <w14:schemeClr w14:val="tx1"/>
                  </w14:solidFill>
                </w14:textFill>
              </w:rPr>
              <w:t>运营期</w:t>
            </w:r>
            <w:r>
              <w:rPr>
                <w:rFonts w:ascii="Times New Roman" w:hAnsi="Times New Roman" w:cs="Times New Roman"/>
                <w:b w:val="0"/>
                <w:color w:val="000000" w:themeColor="text1"/>
                <w:sz w:val="21"/>
                <w:szCs w:val="21"/>
                <w14:textFill>
                  <w14:solidFill>
                    <w14:schemeClr w14:val="tx1"/>
                  </w14:solidFill>
                </w14:textFill>
              </w:rPr>
              <w:t>井下作业废水经陆梁集中处理站处理达标后回注油藏，不外排，本项目采取了地下水污染防治和监控措施，防止造成地下水污染，详见报告第</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6</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章环保措施章节。</w:t>
            </w:r>
          </w:p>
        </w:tc>
        <w:tc>
          <w:tcPr>
            <w:tcW w:w="87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5</w:t>
            </w:r>
          </w:p>
        </w:tc>
        <w:tc>
          <w:tcPr>
            <w:tcW w:w="3689"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油气开采产生的废弃油基泥浆、含油钻屑及其他固体废物，应当遵循减量化、资源化、无害化原则，按照国家和地方有关固体废物的管理规定进行处置。</w:t>
            </w:r>
          </w:p>
        </w:tc>
        <w:tc>
          <w:tcPr>
            <w:tcW w:w="327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本项目钻井期使用的泥浆为环保水基泥浆，为环境友好的钻井液，泥浆随钻井队用于后续钻井使用；岩屑收集于岩屑储罐，由</w:t>
            </w:r>
            <w:r>
              <w:rPr>
                <w:rFonts w:hint="eastAsia" w:ascii="Times New Roman" w:hAnsi="Times New Roman" w:cs="Times New Roman"/>
                <w:b w:val="0"/>
                <w:color w:val="000000" w:themeColor="text1"/>
                <w:sz w:val="21"/>
                <w:szCs w:val="21"/>
                <w:lang w:val="en-US"/>
                <w14:textFill>
                  <w14:solidFill>
                    <w14:schemeClr w14:val="tx1"/>
                  </w14:solidFill>
                </w14:textFill>
              </w:rPr>
              <w:t>岩屑处置单位</w:t>
            </w:r>
            <w:r>
              <w:rPr>
                <w:rFonts w:ascii="Times New Roman" w:hAnsi="Times New Roman" w:cs="Times New Roman"/>
                <w:b w:val="0"/>
                <w:color w:val="000000" w:themeColor="text1"/>
                <w:sz w:val="21"/>
                <w:szCs w:val="21"/>
                <w14:textFill>
                  <w14:solidFill>
                    <w14:schemeClr w14:val="tx1"/>
                  </w14:solidFill>
                </w14:textFill>
              </w:rPr>
              <w:t>合规处置。</w:t>
            </w:r>
          </w:p>
        </w:tc>
        <w:tc>
          <w:tcPr>
            <w:tcW w:w="87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6</w:t>
            </w:r>
          </w:p>
        </w:tc>
        <w:tc>
          <w:tcPr>
            <w:tcW w:w="3689"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施工期应当尽量减少施工占地、缩短施工时间、选择合理施工方式、落实环境敏感区管控要求以及其他生态环境保护措施，降低生态环境影响。</w:t>
            </w:r>
          </w:p>
        </w:tc>
        <w:tc>
          <w:tcPr>
            <w:tcW w:w="327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施工期严格控制占地面积，施工单位在占地范围内施工，严格控制和管理运输车辆及重型机械施工作业范围。具体详见环境保护措施章节。</w:t>
            </w:r>
          </w:p>
        </w:tc>
        <w:tc>
          <w:tcPr>
            <w:tcW w:w="87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7</w:t>
            </w:r>
          </w:p>
        </w:tc>
        <w:tc>
          <w:tcPr>
            <w:tcW w:w="3689"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油气企业应当切实落实生态环境保护主体责任，进一步健全生态环境保护管理体系和制度，充分发挥企业内部生态环境保护部门作用，健全健康、安全与环境（HSE）管理体系，加强督促检查，推动所属油气田落实规划、建设、运营、退役等环节生态环境保护措施。</w:t>
            </w:r>
          </w:p>
        </w:tc>
        <w:tc>
          <w:tcPr>
            <w:tcW w:w="3278"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建设单位设置安全环保科室及人员，建有HSE管理体系，监督落实建设、运营及退役期各项生态环境保护措施。</w:t>
            </w:r>
          </w:p>
        </w:tc>
        <w:tc>
          <w:tcPr>
            <w:tcW w:w="87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bl>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综上所述，本项目符合《关于进一步加强石油天然气行业环境影响评价管理的通知》（环办环评函〔2019〕910号）的相关要求。</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2.8.2.</w:t>
      </w:r>
      <w:r>
        <w:rPr>
          <w:rFonts w:hint="eastAsia" w:ascii="Times New Roman" w:hAnsi="Times New Roman"/>
          <w:color w:val="000000" w:themeColor="text1"/>
          <w:sz w:val="28"/>
          <w:szCs w:val="28"/>
          <w:lang w:val="en-US" w:eastAsia="zh-CN"/>
          <w14:textFill>
            <w14:solidFill>
              <w14:schemeClr w14:val="tx1"/>
            </w14:solidFill>
          </w14:textFill>
        </w:rPr>
        <w:t>3</w:t>
      </w:r>
      <w:r>
        <w:rPr>
          <w:rFonts w:ascii="Times New Roman" w:hAnsi="Times New Roman"/>
          <w:color w:val="000000" w:themeColor="text1"/>
          <w:sz w:val="28"/>
          <w:szCs w:val="28"/>
          <w14:textFill>
            <w14:solidFill>
              <w14:schemeClr w14:val="tx1"/>
            </w14:solidFill>
          </w14:textFill>
        </w:rPr>
        <w:t>与《陆上石油天然气开采业绿色矿山建设规范》（DZ/T 0317-2018）相符性分析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本工程与《陆上石油天然气开采业绿色矿山建设规范》（DZ/T 0317-2018）相符性分析详见表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p>
    <w:p>
      <w:pPr>
        <w:pStyle w:val="43"/>
        <w:spacing w:line="36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2.8</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与《陆上石油天然气开采业绿色矿山建设规范》相符性分析一览表</w:t>
      </w:r>
    </w:p>
    <w:tbl>
      <w:tblPr>
        <w:tblStyle w:val="23"/>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712"/>
        <w:gridCol w:w="3747"/>
        <w:gridCol w:w="2516"/>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序号</w:t>
            </w:r>
          </w:p>
        </w:tc>
        <w:tc>
          <w:tcPr>
            <w:tcW w:w="4459" w:type="dxa"/>
            <w:gridSpan w:val="2"/>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规范内容</w:t>
            </w:r>
          </w:p>
        </w:tc>
        <w:tc>
          <w:tcPr>
            <w:tcW w:w="2516"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本工程</w:t>
            </w:r>
          </w:p>
        </w:tc>
        <w:tc>
          <w:tcPr>
            <w:tcW w:w="806"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1</w:t>
            </w:r>
          </w:p>
        </w:tc>
        <w:tc>
          <w:tcPr>
            <w:tcW w:w="712"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总则</w:t>
            </w: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矿山企业应遵守国家法律法规和相关产业政策，依法办矿</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本工程符合国家产业政策，依法办理相关勘探开采手续。</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2</w:t>
            </w:r>
          </w:p>
        </w:tc>
        <w:tc>
          <w:tcPr>
            <w:tcW w:w="712"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基本要求</w:t>
            </w: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矿区功能分区布局合理，生产、运输和储存等管理规范有序</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功能分区清晰、合理，各分区均按照HSE要求规范管理。</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3</w:t>
            </w:r>
          </w:p>
        </w:tc>
        <w:tc>
          <w:tcPr>
            <w:tcW w:w="712"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矿容矿貌</w:t>
            </w: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矿区按生产区、管理区、生活区等功能区，应运行有序，管理规范</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各分区运行有序，按照HSE要求规范管理。</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712"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矿区地面道路、供水、供电、卫生、环保等基础配套设施完善，道路平整规范，标识清晰、标牌统一。</w:t>
            </w:r>
          </w:p>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在生产区设置操作提示牌、说明牌、线路示意图等标识牌</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项目区各项供水、供电、依托环保基础设施较为完善；生产区均设置有各类操作提示牌、说明牌、警示牌等。</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4</w:t>
            </w:r>
          </w:p>
        </w:tc>
        <w:tc>
          <w:tcPr>
            <w:tcW w:w="712"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资源开发方式</w:t>
            </w: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因矿制宜选择开采工艺和装备，符合清洁生产要求</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根据矿区油藏地质情况，选用适宜的开采工艺及装备，符合清洁生产要求，清洁生产分析详见</w:t>
            </w:r>
            <w:r>
              <w:rPr>
                <w:rFonts w:hint="eastAsia"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lang w:val="en-US"/>
                <w14:textFill>
                  <w14:solidFill>
                    <w14:schemeClr w14:val="tx1"/>
                  </w14:solidFill>
                </w14:textFill>
              </w:rPr>
              <w:t>3.</w:t>
            </w:r>
            <w:r>
              <w:rPr>
                <w:rFonts w:hint="eastAsia" w:ascii="Times New Roman" w:hAnsi="Times New Roman" w:cs="Times New Roman"/>
                <w:b w:val="0"/>
                <w:bCs/>
                <w:color w:val="000000" w:themeColor="text1"/>
                <w:sz w:val="21"/>
                <w:szCs w:val="21"/>
                <w:lang w:val="en-US"/>
                <w14:textFill>
                  <w14:solidFill>
                    <w14:schemeClr w14:val="tx1"/>
                  </w14:solidFill>
                </w14:textFill>
              </w:rPr>
              <w:t>8</w:t>
            </w:r>
            <w:r>
              <w:rPr>
                <w:rFonts w:hint="eastAsia"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14:textFill>
                  <w14:solidFill>
                    <w14:schemeClr w14:val="tx1"/>
                  </w14:solidFill>
                </w14:textFill>
              </w:rPr>
              <w:t>小节。</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712"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贯彻“边开采、边治理、边恢复”的原则，及时治理恢复矿区地质环境</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边开采，边治理，施工期临时用地及时平整、恢复。</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5</w:t>
            </w:r>
          </w:p>
        </w:tc>
        <w:tc>
          <w:tcPr>
            <w:tcW w:w="712"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绿色开发</w:t>
            </w: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应遵循油气资源赋存状况，生态环境特征等条件，科学合理地确定开发方案，选择与油气藏类型相适应的先进开采技术和工艺，推广使用成熟、先进的技术装备，严禁使用国家明文规定的限制和淘汰的技术工艺及装备</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根据油藏勘探情况及地质特征，合理制定区块开发方案，选用先进的开采工艺和技术，未使用淘汰的技术工艺及装备。</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712"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合理确定场址、站址、管网、路网建设占地规模</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根据油藏分布及环境情况合理布置各采油井、采油管线的分布，合理确定占地规模，不扰动占地范围外土地。</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712"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实施绿色钻井技术体系，科学选择钻井方式、环境友好型钻井液及井控措施，配套完善的固控系统，及时妥善处置钻井泥浆</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本项目钻井期使用的泥浆为</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水基泥浆</w:t>
            </w:r>
            <w:r>
              <w:rPr>
                <w:rFonts w:ascii="Times New Roman" w:hAnsi="Times New Roman" w:cs="Times New Roman"/>
                <w:b w:val="0"/>
                <w:bCs/>
                <w:color w:val="000000" w:themeColor="text1"/>
                <w:sz w:val="21"/>
                <w:szCs w:val="21"/>
                <w14:textFill>
                  <w14:solidFill>
                    <w14:schemeClr w14:val="tx1"/>
                  </w14:solidFill>
                </w14:textFill>
              </w:rPr>
              <w:t>，泥浆随钻井队用于后续钻井使用；岩屑收集于岩屑储罐，由</w:t>
            </w:r>
            <w:r>
              <w:rPr>
                <w:rFonts w:hint="eastAsia" w:ascii="Times New Roman" w:hAnsi="Times New Roman" w:cs="Times New Roman"/>
                <w:b w:val="0"/>
                <w:color w:val="000000" w:themeColor="text1"/>
                <w:sz w:val="21"/>
                <w:szCs w:val="21"/>
                <w:lang w:val="en-US"/>
                <w14:textFill>
                  <w14:solidFill>
                    <w14:schemeClr w14:val="tx1"/>
                  </w14:solidFill>
                </w14:textFill>
              </w:rPr>
              <w:t>岩屑处置单位</w:t>
            </w:r>
            <w:r>
              <w:rPr>
                <w:rFonts w:ascii="Times New Roman" w:hAnsi="Times New Roman" w:cs="Times New Roman"/>
                <w:b w:val="0"/>
                <w:bCs/>
                <w:color w:val="000000" w:themeColor="text1"/>
                <w:sz w:val="21"/>
                <w:szCs w:val="21"/>
                <w14:textFill>
                  <w14:solidFill>
                    <w14:schemeClr w14:val="tx1"/>
                  </w14:solidFill>
                </w14:textFill>
              </w:rPr>
              <w:t>合规处置。</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712"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对伴生有硫化氢气体的油气藏，硫化氢气体含量未达到工业综合利用要求的，应采取有效的处置方案</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根据地质方案，呼图壁河组油藏在钻井、投产时均未见H</w:t>
            </w:r>
            <w:r>
              <w:rPr>
                <w:rFonts w:ascii="Times New Roman" w:hAnsi="Times New Roman" w:cs="Times New Roman"/>
                <w:b w:val="0"/>
                <w:bCs/>
                <w:color w:val="000000" w:themeColor="text1"/>
                <w:sz w:val="21"/>
                <w:szCs w:val="21"/>
                <w:vertAlign w:val="subscript"/>
                <w14:textFill>
                  <w14:solidFill>
                    <w14:schemeClr w14:val="tx1"/>
                  </w14:solidFill>
                </w14:textFill>
              </w:rPr>
              <w:t>2</w:t>
            </w:r>
            <w:r>
              <w:rPr>
                <w:rFonts w:ascii="Times New Roman" w:hAnsi="Times New Roman" w:cs="Times New Roman"/>
                <w:b w:val="0"/>
                <w:bCs/>
                <w:color w:val="000000" w:themeColor="text1"/>
                <w:sz w:val="21"/>
                <w:szCs w:val="21"/>
                <w14:textFill>
                  <w14:solidFill>
                    <w14:schemeClr w14:val="tx1"/>
                  </w14:solidFill>
                </w14:textFill>
              </w:rPr>
              <w:t>S显示，但注水开发过程中，部分采油井生产时检测出H</w:t>
            </w:r>
            <w:r>
              <w:rPr>
                <w:rFonts w:ascii="Times New Roman" w:hAnsi="Times New Roman" w:cs="Times New Roman"/>
                <w:b w:val="0"/>
                <w:bCs/>
                <w:color w:val="000000" w:themeColor="text1"/>
                <w:sz w:val="21"/>
                <w:szCs w:val="21"/>
                <w:vertAlign w:val="subscript"/>
                <w14:textFill>
                  <w14:solidFill>
                    <w14:schemeClr w14:val="tx1"/>
                  </w14:solidFill>
                </w14:textFill>
              </w:rPr>
              <w:t>2</w:t>
            </w:r>
            <w:r>
              <w:rPr>
                <w:rFonts w:ascii="Times New Roman" w:hAnsi="Times New Roman" w:cs="Times New Roman"/>
                <w:b w:val="0"/>
                <w:bCs/>
                <w:color w:val="000000" w:themeColor="text1"/>
                <w:sz w:val="21"/>
                <w:szCs w:val="21"/>
                <w14:textFill>
                  <w14:solidFill>
                    <w14:schemeClr w14:val="tx1"/>
                  </w14:solidFill>
                </w14:textFill>
              </w:rPr>
              <w:t>S，含量在1ppm~5ppm之间。开发过程中要求定期监测，并做好硫化氢防护工作。</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6</w:t>
            </w:r>
          </w:p>
        </w:tc>
        <w:tc>
          <w:tcPr>
            <w:tcW w:w="712"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矿区生态环境保护</w:t>
            </w: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认真落实矿山地质环境保护与土地复垦方案的要求；应对矿区及周边生态环境进行监测监控，积极配合属地政府环境保护部门的工作</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施工期、运营期、退役期落实各项环境保护和生态恢复措施；制定了运营期环境监测方案，建设单位积极配合各级生态环境主管部门监督管理。</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7</w:t>
            </w:r>
          </w:p>
        </w:tc>
        <w:tc>
          <w:tcPr>
            <w:tcW w:w="712"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资源综合利用</w:t>
            </w: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按照减量化、再利用、资源化的原则，综合开发利用油气藏共伴生资源，综合利用固体废弃物，废水等，发展循环经济</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采出水、井下作业废水均处理达标后</w:t>
            </w:r>
            <w:r>
              <w:rPr>
                <w:rFonts w:ascii="Times New Roman" w:hAnsi="Times New Roman" w:cs="Times New Roman"/>
                <w:b w:val="0"/>
                <w:bCs/>
                <w:color w:val="000000" w:themeColor="text1"/>
                <w:sz w:val="21"/>
                <w:szCs w:val="21"/>
                <w:lang w:val="en-US"/>
                <w14:textFill>
                  <w14:solidFill>
                    <w14:schemeClr w14:val="tx1"/>
                  </w14:solidFill>
                </w14:textFill>
              </w:rPr>
              <w:t>回注油藏</w:t>
            </w:r>
            <w:r>
              <w:rPr>
                <w:rFonts w:ascii="Times New Roman" w:hAnsi="Times New Roman" w:cs="Times New Roman"/>
                <w:b w:val="0"/>
                <w:bCs/>
                <w:color w:val="000000" w:themeColor="text1"/>
                <w:sz w:val="21"/>
                <w:szCs w:val="21"/>
                <w14:textFill>
                  <w14:solidFill>
                    <w14:schemeClr w14:val="tx1"/>
                  </w14:solidFill>
                </w14:textFill>
              </w:rPr>
              <w:t>，不外排；</w:t>
            </w:r>
            <w:r>
              <w:rPr>
                <w:rFonts w:ascii="Times New Roman" w:hAnsi="Times New Roman" w:cs="Times New Roman"/>
                <w:b w:val="0"/>
                <w:bCs/>
                <w:color w:val="000000" w:themeColor="text1"/>
                <w:sz w:val="21"/>
                <w:szCs w:val="21"/>
                <w:lang w:val="en-US"/>
                <w14:textFill>
                  <w14:solidFill>
                    <w14:schemeClr w14:val="tx1"/>
                  </w14:solidFill>
                </w14:textFill>
              </w:rPr>
              <w:t>含油污泥</w:t>
            </w:r>
            <w:r>
              <w:rPr>
                <w:rFonts w:ascii="Times New Roman" w:hAnsi="Times New Roman" w:cs="Times New Roman"/>
                <w:b w:val="0"/>
                <w:bCs/>
                <w:color w:val="000000" w:themeColor="text1"/>
                <w:sz w:val="21"/>
                <w:szCs w:val="21"/>
                <w14:textFill>
                  <w14:solidFill>
                    <w14:schemeClr w14:val="tx1"/>
                  </w14:solidFill>
                </w14:textFill>
              </w:rPr>
              <w:t>交由有资质的单位无害化处置。</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8</w:t>
            </w:r>
          </w:p>
        </w:tc>
        <w:tc>
          <w:tcPr>
            <w:tcW w:w="712"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节能减排</w:t>
            </w: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“三废”排放符合生态环境保护部门的有关标准、规定和要求</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各类污染物排放符合环境保护标准。</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712"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生产主要环境选用高效节能的新技术、新工艺、新设备和新材料，及时淘汰高能耗、高污染、低效率的工艺和装备</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选用了先进的工艺、设备，未使用淘汰的、高污染的工艺和装备。</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712"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废液、废气、固体废物分类管理，并清洁化、无害化处置，处置率应达到100%</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lang w:val="en-US"/>
                <w14:textFill>
                  <w14:solidFill>
                    <w14:schemeClr w14:val="tx1"/>
                  </w14:solidFill>
                </w14:textFill>
              </w:rPr>
              <w:t>本项目采用密闭集输工艺，</w:t>
            </w:r>
            <w:r>
              <w:rPr>
                <w:rFonts w:ascii="Times New Roman" w:hAnsi="Times New Roman" w:cs="Times New Roman"/>
                <w:b w:val="0"/>
                <w:bCs/>
                <w:color w:val="000000" w:themeColor="text1"/>
                <w:sz w:val="21"/>
                <w:szCs w:val="21"/>
                <w14:textFill>
                  <w14:solidFill>
                    <w14:schemeClr w14:val="tx1"/>
                  </w14:solidFill>
                </w14:textFill>
              </w:rPr>
              <w:t>采出水、井下作业废水均处理达标后</w:t>
            </w:r>
            <w:r>
              <w:rPr>
                <w:rFonts w:ascii="Times New Roman" w:hAnsi="Times New Roman" w:cs="Times New Roman"/>
                <w:b w:val="0"/>
                <w:bCs/>
                <w:color w:val="000000" w:themeColor="text1"/>
                <w:sz w:val="21"/>
                <w:szCs w:val="21"/>
                <w:lang w:val="en-US"/>
                <w14:textFill>
                  <w14:solidFill>
                    <w14:schemeClr w14:val="tx1"/>
                  </w14:solidFill>
                </w14:textFill>
              </w:rPr>
              <w:t>回注油藏</w:t>
            </w:r>
            <w:r>
              <w:rPr>
                <w:rFonts w:ascii="Times New Roman" w:hAnsi="Times New Roman" w:cs="Times New Roman"/>
                <w:b w:val="0"/>
                <w:bCs/>
                <w:color w:val="000000" w:themeColor="text1"/>
                <w:sz w:val="21"/>
                <w:szCs w:val="21"/>
                <w14:textFill>
                  <w14:solidFill>
                    <w14:schemeClr w14:val="tx1"/>
                  </w14:solidFill>
                </w14:textFill>
              </w:rPr>
              <w:t>，不外排；含油污泥交由有资质的单位无害化处置，处置率100%。</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712"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油气开采过程中产生的落地原油应及时全部回收</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落地油100%回收。</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712"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374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油气开采过程中产生的含油污泥，采取技术措施进行原油回收处理和利用</w:t>
            </w:r>
          </w:p>
        </w:tc>
        <w:tc>
          <w:tcPr>
            <w:tcW w:w="251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落地油100%回收。</w:t>
            </w:r>
          </w:p>
        </w:tc>
        <w:tc>
          <w:tcPr>
            <w:tcW w:w="806"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bl>
    <w:p>
      <w:pPr>
        <w:pStyle w:val="31"/>
        <w:overflowPunct w:val="0"/>
        <w:topLinePunct/>
        <w:adjustRightInd w:val="0"/>
        <w:outlineLvl w:val="3"/>
        <w:rPr>
          <w:rFonts w:hint="default"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Times New Roman"/>
          <w:color w:val="000000" w:themeColor="text1"/>
          <w:sz w:val="28"/>
          <w:szCs w:val="28"/>
          <w:lang w:val="en-US" w:eastAsia="zh-CN"/>
          <w14:textFill>
            <w14:solidFill>
              <w14:schemeClr w14:val="tx1"/>
            </w14:solidFill>
          </w14:textFill>
        </w:rPr>
        <w:t>2.8.2.4与《石油天然气项目土地复垦与生态修复技术规范》（GB/T43936-2024）符合性分析</w:t>
      </w:r>
    </w:p>
    <w:p>
      <w:pPr>
        <w:pStyle w:val="31"/>
        <w:overflowPunct w:val="0"/>
        <w:topLinePunct/>
        <w:adjustRightInd w:val="0"/>
        <w:ind w:firstLine="480" w:firstLineChars="200"/>
        <w:outlineLvl w:val="9"/>
        <w:rPr>
          <w:rFonts w:hint="eastAsia" w:ascii="Times New Roman" w:hAnsi="Times New Roman"/>
          <w:color w:val="000000" w:themeColor="text1"/>
          <w:sz w:val="24"/>
          <w:szCs w:val="24"/>
          <w:lang w:val="en-US" w:eastAsia="zh-CN"/>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本项目与《石油天然气项目土地复垦与生态修复技术规范》（GB/T43936-2024）相符性见表2.8-4。</w:t>
      </w:r>
    </w:p>
    <w:p>
      <w:pPr>
        <w:pStyle w:val="31"/>
        <w:overflowPunct w:val="0"/>
        <w:topLinePunct/>
        <w:adjustRightInd w:val="0"/>
        <w:jc w:val="center"/>
        <w:outlineLvl w:val="9"/>
        <w:rPr>
          <w:rFonts w:hint="eastAsia"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表2.8-4  与《石油天然气项目土地复垦与生态修复技术规范》（GB/T43936-2024）符合性分析一览表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663"/>
        <w:gridCol w:w="3745"/>
        <w:gridCol w:w="255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4408" w:type="dxa"/>
            <w:gridSpan w:val="2"/>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要求</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663" w:type="dxa"/>
            <w:vMerge w:val="restart"/>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一般要求</w:t>
            </w:r>
          </w:p>
        </w:tc>
        <w:tc>
          <w:tcPr>
            <w:tcW w:w="374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针对油气项目建设、生产和复垦修复全过程的地质环境破坏、土地损毁以及生态破坏等</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提出保护</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预防控制和复垦修复措施。油气项目复垦修复标准应与原土地利用类型或周边相同土地利用类型保持一致</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新建道路﹑灌溉与排水等配套设施应与周边相衔接。</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本项目已提出生态保护、恢复等措施，</w:t>
            </w:r>
            <w:r>
              <w:rPr>
                <w:rFonts w:ascii="Times New Roman" w:hAnsi="Times New Roman" w:cs="Times New Roman"/>
                <w:b w:val="0"/>
                <w:color w:val="000000" w:themeColor="text1"/>
                <w:sz w:val="21"/>
                <w:szCs w:val="21"/>
                <w14:textFill>
                  <w14:solidFill>
                    <w14:schemeClr w14:val="tx1"/>
                  </w14:solidFill>
                </w14:textFill>
              </w:rPr>
              <w:t>详见报告第</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6</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章环保措施章节。</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663" w:type="dxa"/>
            <w:vMerge w:val="continue"/>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4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遵循边开采边复垦修复的原则</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施工结束后</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临时用地应及时安排复垦修复。应积极采用新技术</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新工艺、新设备及新材料开展复垦修复工作。</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环评要求项目按照实施边开采边修复的原则，施工结束后，对临时用地及时开展生态修复工作。</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663" w:type="dxa"/>
            <w:vMerge w:val="continue"/>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4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综合考虑油气项目点多、线长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面广等用地特征</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本文件规定了井场、道路和管线相关复垦修复技术与要求。计量站、集中处理站、转接站、集气站</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增压站</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以及相关附属设施等站场与井场一样均呈点状分布</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损毁类型以压占为主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复垦修复参照井场执行</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架空输电</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输油</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线路与管线类似</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呈线状分布</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损毁类型以挖损为主</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复垦修复参照管线执行。</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报告第</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6</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章环保措施章节</w:t>
            </w:r>
            <w:r>
              <w:rPr>
                <w:rFonts w:hint="eastAsia" w:ascii="Times New Roman" w:hAnsi="Times New Roman" w:cs="Times New Roman"/>
                <w:b w:val="0"/>
                <w:color w:val="000000" w:themeColor="text1"/>
                <w:sz w:val="21"/>
                <w:szCs w:val="21"/>
                <w:lang w:val="en-US" w:eastAsia="zh-CN"/>
                <w14:textFill>
                  <w14:solidFill>
                    <w14:schemeClr w14:val="tx1"/>
                  </w14:solidFill>
                </w14:textFill>
              </w:rPr>
              <w:t>已按照井场、管线等进行分区修复和恢复评价。</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663" w:type="dxa"/>
            <w:vMerge w:val="continue"/>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4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采用埋设方式布设的管线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应包括施工结束的临时复垦修复和不再使用后的完全复垦修复两个阶段。对于管线和道路施工过程中产生的便道</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按照道路临时用地复垦修复技术要求执行</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若占地无污染、不存在污染风险</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不影响人居生产</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可采取合理处置后保留土地利用现状。转型利用的联合站</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处理厂等大型井</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站</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场</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应消除周边的地质安全隐患</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根据利用方向要求对场地进行整治。</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本项目集输管线采用埋地敷设方式，管线施工结束后及时进行分层回填，平整场地，使其恢复至与周边环境协调一致。</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p>
        </w:tc>
        <w:tc>
          <w:tcPr>
            <w:tcW w:w="663" w:type="dxa"/>
            <w:vMerge w:val="restart"/>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保护措施</w:t>
            </w:r>
          </w:p>
        </w:tc>
        <w:tc>
          <w:tcPr>
            <w:tcW w:w="374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资源开发设计阶段应明确避让﹑减缓和重要物种与人文保护等措施。</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本项目已提出避让、减缓、补偿等生态环境保护措施。</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w:t>
            </w:r>
          </w:p>
        </w:tc>
        <w:tc>
          <w:tcPr>
            <w:tcW w:w="663" w:type="dxa"/>
            <w:vMerge w:val="continue"/>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4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工程选址应避让各类生态敏感区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符合自然保护地、风景名胜区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世界自然遗产、生态保护红线和防洪红线等管理要求以及国土空间规划、生态环境分区管控要求。</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项目选址不在</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生态敏感区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自然保护地、风景名胜区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世界自然遗产、生态保护红线和防洪红线等管控</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范围内。</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w:t>
            </w:r>
          </w:p>
        </w:tc>
        <w:tc>
          <w:tcPr>
            <w:tcW w:w="663" w:type="dxa"/>
            <w:vMerge w:val="continue"/>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4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优化工艺设计</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减少减轻资源开发对土地的损毁。控制单井用地面积</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采用丛式井组钻井</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减少用地总量</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采用新工艺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如水平井、定向井</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减少占地面积</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减少管网长度</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严格控制管沟开挖宽度</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埋设管道宜采取共沟布置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控制新建道路长度</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充分利用现有乡村道路</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避免大面积压占</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减少对表土层的损毁</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严格控制管线和道路施工作业带宽度和范围</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减少临时用地面积。</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本项目严格控制单井用地面积，井型均为定向井，管线已尽量选平直的线路以减少占地，项目不新建道路，依托油区已有道路。</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8</w:t>
            </w:r>
          </w:p>
        </w:tc>
        <w:tc>
          <w:tcPr>
            <w:tcW w:w="663" w:type="dxa"/>
            <w:vMerge w:val="continue"/>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4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工程选址应避让文物古迹、宗教遗迹、历史文化保护地、地质遗迹保护区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风景名胜区等人文资源。因特殊情况不能避开的</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应实施原址保护。</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项目选址不在</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文物古迹、宗教遗迹、历史文化保护地、地质遗迹保护区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风景名胜区等人文资源</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范围内。</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p>
        </w:tc>
        <w:tc>
          <w:tcPr>
            <w:tcW w:w="663" w:type="dxa"/>
            <w:vMerge w:val="continue"/>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4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油气项目建设生产对重点保护重要野生植物﹑特有植物、古树名木等造成不利影响的</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应采取优化工程布置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就地或迁地保护﹑加强观测等措施</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具备移栽条件、长势较好的应全部移栽。对重点保护野生动物﹑特有动物及其生境造成不利影响的</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应采取优化工程施工方案、运行方式</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实施物种救护等措施</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进行生境保护。</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本项目周围无</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特有植物、古树名木</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等，项目周边有重要的野生植物和野生动物，已提出重点野生植物和野生动物的保护措施，</w:t>
            </w:r>
            <w:r>
              <w:rPr>
                <w:rFonts w:ascii="Times New Roman" w:hAnsi="Times New Roman" w:cs="Times New Roman"/>
                <w:b w:val="0"/>
                <w:color w:val="000000" w:themeColor="text1"/>
                <w:sz w:val="21"/>
                <w:szCs w:val="21"/>
                <w14:textFill>
                  <w14:solidFill>
                    <w14:schemeClr w14:val="tx1"/>
                  </w14:solidFill>
                </w14:textFill>
              </w:rPr>
              <w:t>详见报告第</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6</w:t>
            </w:r>
            <w:r>
              <w:rPr>
                <w:rFonts w:hint="eastAsia" w:ascii="Times New Roman" w:hAnsi="Times New Roman" w:cs="Times New Roman"/>
                <w:b w:val="0"/>
                <w:color w:val="000000" w:themeColor="text1"/>
                <w:sz w:val="21"/>
                <w:szCs w:val="21"/>
                <w14:textFill>
                  <w14:solidFill>
                    <w14:schemeClr w14:val="tx1"/>
                  </w14:solidFill>
                </w14:textFill>
              </w:rPr>
              <w:t>”</w:t>
            </w:r>
            <w:r>
              <w:rPr>
                <w:rFonts w:ascii="Times New Roman" w:hAnsi="Times New Roman" w:cs="Times New Roman"/>
                <w:b w:val="0"/>
                <w:color w:val="000000" w:themeColor="text1"/>
                <w:sz w:val="21"/>
                <w:szCs w:val="21"/>
                <w14:textFill>
                  <w14:solidFill>
                    <w14:schemeClr w14:val="tx1"/>
                  </w14:solidFill>
                </w14:textFill>
              </w:rPr>
              <w:t>章环保措施章节。</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w:t>
            </w:r>
          </w:p>
        </w:tc>
        <w:tc>
          <w:tcPr>
            <w:tcW w:w="663" w:type="dxa"/>
            <w:vMerge w:val="restart"/>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预防控制措施</w:t>
            </w:r>
          </w:p>
        </w:tc>
        <w:tc>
          <w:tcPr>
            <w:tcW w:w="374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井场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新建道路建设用地应采用分层剥离、分层堆放的方式实施表土剥离</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对于沙漠</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滩涂等生态环境相对脆弱的区域</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可不进行土壤剥离工程</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井场剥离表土以带状就近堆放于外围的临时用地区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新建道路剥离表土堆放于道路临时用地区。</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本项目井场、管线建设用地采用分层剥离、分层堆放、分层回填的方式。</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w:t>
            </w:r>
          </w:p>
        </w:tc>
        <w:tc>
          <w:tcPr>
            <w:tcW w:w="663" w:type="dxa"/>
            <w:vMerge w:val="continue"/>
            <w:vAlign w:val="center"/>
          </w:tcPr>
          <w:p>
            <w:pPr>
              <w:pStyle w:val="31"/>
              <w:widowControl w:val="0"/>
              <w:overflowPunct w:val="0"/>
              <w:topLinePunct/>
              <w:adjustRightInd w:val="0"/>
              <w:spacing w:line="240" w:lineRule="auto"/>
              <w:jc w:val="center"/>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74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管道若采用全埋敷设</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管沟可机械开挖或人工开挖。沿管线表土剥离采用分层剥离和分层堆放措施</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保持分层土壤理化性质的稳定</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并减少对土壤结构的破坏。管道堆放区域</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可采取棕垫铺盖等方式减少地表扰动和破坏</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开挖的表土和底土分层临时堆放于管沟作业带两侧。管线工程完成后应立即回填</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采用分层回填时宜尽量保证原土体剖面结构和土层厚度不变</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回填时可同步实施土壤改良措施。</w:t>
            </w:r>
          </w:p>
        </w:tc>
        <w:tc>
          <w:tcPr>
            <w:tcW w:w="25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本项目集输管线为埋地敷设，表土分层剥离、分层堆放</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在管沟作业带两侧</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施工结束后立即</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分层回填的方式</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减少对土壤结构的破坏</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c>
          <w:tcPr>
            <w:tcW w:w="855" w:type="dxa"/>
            <w:vAlign w:val="center"/>
          </w:tcPr>
          <w:p>
            <w:pPr>
              <w:pStyle w:val="31"/>
              <w:widowControl w:val="0"/>
              <w:overflowPunct w:val="0"/>
              <w:topLinePunct/>
              <w:adjustRightInd w:val="0"/>
              <w:spacing w:line="240" w:lineRule="auto"/>
              <w:jc w:val="center"/>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bl>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2.8.2.</w:t>
      </w:r>
      <w:r>
        <w:rPr>
          <w:rFonts w:hint="eastAsia" w:ascii="Times New Roman" w:hAnsi="Times New Roman"/>
          <w:color w:val="000000" w:themeColor="text1"/>
          <w:sz w:val="28"/>
          <w:szCs w:val="28"/>
          <w:lang w:val="en-US" w:eastAsia="zh-CN"/>
          <w14:textFill>
            <w14:solidFill>
              <w14:schemeClr w14:val="tx1"/>
            </w14:solidFill>
          </w14:textFill>
        </w:rPr>
        <w:t>5</w:t>
      </w:r>
      <w:r>
        <w:rPr>
          <w:rFonts w:ascii="Times New Roman" w:hAnsi="Times New Roman"/>
          <w:color w:val="000000" w:themeColor="text1"/>
          <w:sz w:val="28"/>
          <w:szCs w:val="28"/>
          <w14:textFill>
            <w14:solidFill>
              <w14:schemeClr w14:val="tx1"/>
            </w14:solidFill>
          </w14:textFill>
        </w:rPr>
        <w:t>与《新疆维吾尔自治区重点行业</w:t>
      </w:r>
      <w:r>
        <w:rPr>
          <w:rFonts w:hint="eastAsia" w:ascii="Times New Roman" w:hAnsi="Times New Roman"/>
          <w:color w:val="000000" w:themeColor="text1"/>
          <w:sz w:val="28"/>
          <w:szCs w:val="28"/>
          <w14:textFill>
            <w14:solidFill>
              <w14:schemeClr w14:val="tx1"/>
            </w14:solidFill>
          </w14:textFill>
        </w:rPr>
        <w:t>生态</w:t>
      </w:r>
      <w:r>
        <w:rPr>
          <w:rFonts w:ascii="Times New Roman" w:hAnsi="Times New Roman"/>
          <w:color w:val="000000" w:themeColor="text1"/>
          <w:sz w:val="28"/>
          <w:szCs w:val="28"/>
          <w14:textFill>
            <w14:solidFill>
              <w14:schemeClr w14:val="tx1"/>
            </w14:solidFill>
          </w14:textFill>
        </w:rPr>
        <w:t>环境准入条件</w:t>
      </w:r>
      <w:r>
        <w:rPr>
          <w:rFonts w:hint="eastAsia" w:ascii="Times New Roman" w:hAnsi="Times New Roman"/>
          <w:color w:val="000000" w:themeColor="text1"/>
          <w:sz w:val="28"/>
          <w:szCs w:val="28"/>
          <w14:textFill>
            <w14:solidFill>
              <w14:schemeClr w14:val="tx1"/>
            </w14:solidFill>
          </w14:textFill>
        </w:rPr>
        <w:t>（2024年）</w:t>
      </w:r>
      <w:r>
        <w:rPr>
          <w:rFonts w:ascii="Times New Roman" w:hAnsi="Times New Roman"/>
          <w:color w:val="000000" w:themeColor="text1"/>
          <w:sz w:val="28"/>
          <w:szCs w:val="28"/>
          <w14:textFill>
            <w14:solidFill>
              <w14:schemeClr w14:val="tx1"/>
            </w14:solidFill>
          </w14:textFill>
        </w:rPr>
        <w:t>》</w:t>
      </w:r>
      <w:r>
        <w:rPr>
          <w:rFonts w:hint="eastAsia" w:ascii="Times New Roman" w:hAnsi="Times New Roman"/>
          <w:color w:val="000000" w:themeColor="text1"/>
          <w:sz w:val="28"/>
          <w:szCs w:val="28"/>
          <w14:textFill>
            <w14:solidFill>
              <w14:schemeClr w14:val="tx1"/>
            </w14:solidFill>
          </w14:textFill>
        </w:rPr>
        <w:t>（新环环评发〔2024〕93号）</w:t>
      </w:r>
      <w:r>
        <w:rPr>
          <w:rFonts w:ascii="Times New Roman" w:hAnsi="Times New Roman"/>
          <w:color w:val="000000" w:themeColor="text1"/>
          <w:sz w:val="28"/>
          <w:szCs w:val="28"/>
          <w14:textFill>
            <w14:solidFill>
              <w14:schemeClr w14:val="tx1"/>
            </w14:solidFill>
          </w14:textFill>
        </w:rPr>
        <w:t>符合性分析</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本项目与《新疆维吾尔自治区重点行业</w:t>
      </w:r>
      <w:r>
        <w:rPr>
          <w:rFonts w:hint="eastAsia" w:ascii="Times New Roman" w:hAnsi="Times New Roman" w:cs="Times New Roman"/>
          <w:color w:val="000000" w:themeColor="text1"/>
          <w:sz w:val="24"/>
          <w14:textFill>
            <w14:solidFill>
              <w14:schemeClr w14:val="tx1"/>
            </w14:solidFill>
          </w14:textFill>
        </w:rPr>
        <w:t>生态</w:t>
      </w:r>
      <w:r>
        <w:rPr>
          <w:rFonts w:ascii="Times New Roman" w:hAnsi="Times New Roman" w:cs="Times New Roman"/>
          <w:color w:val="000000" w:themeColor="text1"/>
          <w:sz w:val="24"/>
          <w14:textFill>
            <w14:solidFill>
              <w14:schemeClr w14:val="tx1"/>
            </w14:solidFill>
          </w14:textFill>
        </w:rPr>
        <w:t>环境准入条件</w:t>
      </w:r>
      <w:r>
        <w:rPr>
          <w:rFonts w:hint="eastAsia" w:ascii="Times New Roman" w:hAnsi="Times New Roman" w:cs="Times New Roman"/>
          <w:color w:val="000000" w:themeColor="text1"/>
          <w:sz w:val="24"/>
          <w14:textFill>
            <w14:solidFill>
              <w14:schemeClr w14:val="tx1"/>
            </w14:solidFill>
          </w14:textFill>
        </w:rPr>
        <w:t>（2024年）</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（新环环评发〔2024〕93号）</w:t>
      </w:r>
      <w:r>
        <w:rPr>
          <w:rFonts w:ascii="Times New Roman" w:hAnsi="Times New Roman" w:cs="Times New Roman"/>
          <w:color w:val="000000" w:themeColor="text1"/>
          <w:sz w:val="24"/>
          <w14:textFill>
            <w14:solidFill>
              <w14:schemeClr w14:val="tx1"/>
            </w14:solidFill>
          </w14:textFill>
        </w:rPr>
        <w:t>相符性见表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w:t>
      </w:r>
    </w:p>
    <w:p>
      <w:pPr>
        <w:pStyle w:val="37"/>
        <w:spacing w:line="360" w:lineRule="auto"/>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表</w:t>
      </w:r>
      <w:r>
        <w:rPr>
          <w:rFonts w:hint="eastAsia" w:ascii="Times New Roman" w:hAnsi="Times New Roman" w:cs="Times New Roman"/>
          <w:bCs/>
          <w:color w:val="000000" w:themeColor="text1"/>
          <w:sz w:val="21"/>
          <w:szCs w:val="21"/>
          <w14:textFill>
            <w14:solidFill>
              <w14:schemeClr w14:val="tx1"/>
            </w14:solidFill>
          </w14:textFill>
        </w:rPr>
        <w:t>2.8</w:t>
      </w:r>
      <w:r>
        <w:rPr>
          <w:rFonts w:ascii="Times New Roman" w:hAnsi="Times New Roman" w:cs="Times New Roman"/>
          <w:bCs/>
          <w:color w:val="000000" w:themeColor="text1"/>
          <w:sz w:val="21"/>
          <w:szCs w:val="21"/>
          <w14:textFill>
            <w14:solidFill>
              <w14:schemeClr w14:val="tx1"/>
            </w14:solidFill>
          </w14:textFill>
        </w:rPr>
        <w:t>-</w:t>
      </w:r>
      <w:r>
        <w:rPr>
          <w:rFonts w:hint="eastAsia" w:ascii="Times New Roman" w:hAnsi="Times New Roman" w:cs="Times New Roman"/>
          <w:bCs/>
          <w:color w:val="000000" w:themeColor="text1"/>
          <w:sz w:val="21"/>
          <w:szCs w:val="21"/>
          <w:lang w:val="en-US" w:eastAsia="zh-CN"/>
          <w14:textFill>
            <w14:solidFill>
              <w14:schemeClr w14:val="tx1"/>
            </w14:solidFill>
          </w14:textFill>
        </w:rPr>
        <w:t>5</w:t>
      </w:r>
      <w:r>
        <w:rPr>
          <w:rFonts w:ascii="Times New Roman" w:hAnsi="Times New Roman" w:cs="Times New Roman"/>
          <w:bCs/>
          <w:color w:val="000000" w:themeColor="text1"/>
          <w:sz w:val="21"/>
          <w:szCs w:val="21"/>
          <w14:textFill>
            <w14:solidFill>
              <w14:schemeClr w14:val="tx1"/>
            </w14:solidFill>
          </w14:textFill>
        </w:rPr>
        <w:t xml:space="preserve">  与《新疆维吾尔自治区重点行业</w:t>
      </w:r>
      <w:r>
        <w:rPr>
          <w:rFonts w:hint="eastAsia" w:ascii="Times New Roman" w:hAnsi="Times New Roman" w:cs="Times New Roman"/>
          <w:bCs/>
          <w:color w:val="000000" w:themeColor="text1"/>
          <w:sz w:val="21"/>
          <w:szCs w:val="21"/>
          <w14:textFill>
            <w14:solidFill>
              <w14:schemeClr w14:val="tx1"/>
            </w14:solidFill>
          </w14:textFill>
        </w:rPr>
        <w:t>生态</w:t>
      </w:r>
      <w:r>
        <w:rPr>
          <w:rFonts w:ascii="Times New Roman" w:hAnsi="Times New Roman" w:cs="Times New Roman"/>
          <w:bCs/>
          <w:color w:val="000000" w:themeColor="text1"/>
          <w:sz w:val="21"/>
          <w:szCs w:val="21"/>
          <w14:textFill>
            <w14:solidFill>
              <w14:schemeClr w14:val="tx1"/>
            </w14:solidFill>
          </w14:textFill>
        </w:rPr>
        <w:t>环境准入条件</w:t>
      </w:r>
      <w:r>
        <w:rPr>
          <w:rFonts w:hint="eastAsia" w:ascii="Times New Roman" w:hAnsi="Times New Roman" w:cs="Times New Roman"/>
          <w:bCs/>
          <w:color w:val="000000" w:themeColor="text1"/>
          <w:sz w:val="21"/>
          <w:szCs w:val="21"/>
          <w14:textFill>
            <w14:solidFill>
              <w14:schemeClr w14:val="tx1"/>
            </w14:solidFill>
          </w14:textFill>
        </w:rPr>
        <w:t>（2024年）</w:t>
      </w:r>
      <w:r>
        <w:rPr>
          <w:rFonts w:ascii="Times New Roman" w:hAnsi="Times New Roman" w:cs="Times New Roman"/>
          <w:bCs/>
          <w:color w:val="000000" w:themeColor="text1"/>
          <w:sz w:val="21"/>
          <w:szCs w:val="21"/>
          <w14:textFill>
            <w14:solidFill>
              <w14:schemeClr w14:val="tx1"/>
            </w14:solidFill>
          </w14:textFill>
        </w:rPr>
        <w:t>》</w:t>
      </w:r>
      <w:r>
        <w:rPr>
          <w:rFonts w:hint="eastAsia" w:ascii="Times New Roman" w:hAnsi="Times New Roman" w:cs="Times New Roman"/>
          <w:bCs/>
          <w:color w:val="000000" w:themeColor="text1"/>
          <w:sz w:val="21"/>
          <w:szCs w:val="21"/>
          <w14:textFill>
            <w14:solidFill>
              <w14:schemeClr w14:val="tx1"/>
            </w14:solidFill>
          </w14:textFill>
        </w:rPr>
        <w:t>（新环环评发〔2024〕93号）</w:t>
      </w:r>
      <w:r>
        <w:rPr>
          <w:rFonts w:ascii="Times New Roman" w:hAnsi="Times New Roman" w:cs="Times New Roman"/>
          <w:bCs/>
          <w:color w:val="000000" w:themeColor="text1"/>
          <w:sz w:val="21"/>
          <w:szCs w:val="21"/>
          <w14:textFill>
            <w14:solidFill>
              <w14:schemeClr w14:val="tx1"/>
            </w14:solidFill>
          </w14:textFill>
        </w:rPr>
        <w:t>符合性分析一览表</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689"/>
        <w:gridCol w:w="3312"/>
        <w:gridCol w:w="3093"/>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vAlign w:val="center"/>
          </w:tcPr>
          <w:p>
            <w:pPr>
              <w:pStyle w:val="39"/>
              <w:jc w:val="center"/>
              <w:rPr>
                <w:rFonts w:ascii="Times New Roman" w:hAnsi="Times New Roman" w:cs="Times New Roman"/>
                <w:bCs/>
                <w:color w:val="000000" w:themeColor="text1"/>
                <w:sz w:val="21"/>
                <w:szCs w:val="21"/>
                <w:lang w:val="en-US"/>
                <w14:textFill>
                  <w14:solidFill>
                    <w14:schemeClr w14:val="tx1"/>
                  </w14:solidFill>
                </w14:textFill>
              </w:rPr>
            </w:pPr>
            <w:r>
              <w:rPr>
                <w:rFonts w:ascii="Times New Roman" w:hAnsi="Times New Roman" w:cs="Times New Roman"/>
                <w:bCs/>
                <w:color w:val="000000" w:themeColor="text1"/>
                <w:sz w:val="21"/>
                <w:szCs w:val="21"/>
                <w:lang w:val="en-US"/>
                <w14:textFill>
                  <w14:solidFill>
                    <w14:schemeClr w14:val="tx1"/>
                  </w14:solidFill>
                </w14:textFill>
              </w:rPr>
              <w:t>序号</w:t>
            </w:r>
          </w:p>
        </w:tc>
        <w:tc>
          <w:tcPr>
            <w:tcW w:w="4001" w:type="dxa"/>
            <w:gridSpan w:val="2"/>
            <w:vAlign w:val="center"/>
          </w:tcPr>
          <w:p>
            <w:pPr>
              <w:pStyle w:val="39"/>
              <w:jc w:val="center"/>
              <w:rPr>
                <w:rFonts w:ascii="Times New Roman" w:hAnsi="Times New Roman" w:cs="Times New Roman"/>
                <w:bCs/>
                <w:color w:val="000000" w:themeColor="text1"/>
                <w:sz w:val="21"/>
                <w:szCs w:val="21"/>
                <w:lang w:val="en-US"/>
                <w14:textFill>
                  <w14:solidFill>
                    <w14:schemeClr w14:val="tx1"/>
                  </w14:solidFill>
                </w14:textFill>
              </w:rPr>
            </w:pPr>
            <w:r>
              <w:rPr>
                <w:rFonts w:ascii="Times New Roman" w:hAnsi="Times New Roman" w:cs="Times New Roman"/>
                <w:bCs/>
                <w:color w:val="000000" w:themeColor="text1"/>
                <w:sz w:val="21"/>
                <w:szCs w:val="21"/>
                <w:lang w:val="en-US"/>
                <w14:textFill>
                  <w14:solidFill>
                    <w14:schemeClr w14:val="tx1"/>
                  </w14:solidFill>
                </w14:textFill>
              </w:rPr>
              <w:t>要求</w:t>
            </w:r>
          </w:p>
        </w:tc>
        <w:tc>
          <w:tcPr>
            <w:tcW w:w="3093" w:type="dxa"/>
            <w:vAlign w:val="center"/>
          </w:tcPr>
          <w:p>
            <w:pPr>
              <w:pStyle w:val="39"/>
              <w:jc w:val="center"/>
              <w:rPr>
                <w:rFonts w:ascii="Times New Roman" w:hAnsi="Times New Roman" w:cs="Times New Roman"/>
                <w:bCs/>
                <w:color w:val="000000" w:themeColor="text1"/>
                <w:sz w:val="21"/>
                <w:szCs w:val="21"/>
                <w:lang w:val="en-US"/>
                <w14:textFill>
                  <w14:solidFill>
                    <w14:schemeClr w14:val="tx1"/>
                  </w14:solidFill>
                </w14:textFill>
              </w:rPr>
            </w:pPr>
            <w:r>
              <w:rPr>
                <w:rFonts w:ascii="Times New Roman" w:hAnsi="Times New Roman" w:cs="Times New Roman"/>
                <w:bCs/>
                <w:color w:val="000000" w:themeColor="text1"/>
                <w:sz w:val="21"/>
                <w:szCs w:val="21"/>
                <w:lang w:val="en-US"/>
                <w14:textFill>
                  <w14:solidFill>
                    <w14:schemeClr w14:val="tx1"/>
                  </w14:solidFill>
                </w14:textFill>
              </w:rPr>
              <w:t>本项目</w:t>
            </w:r>
          </w:p>
        </w:tc>
        <w:tc>
          <w:tcPr>
            <w:tcW w:w="890" w:type="dxa"/>
            <w:vAlign w:val="center"/>
          </w:tcPr>
          <w:p>
            <w:pPr>
              <w:pStyle w:val="39"/>
              <w:jc w:val="center"/>
              <w:rPr>
                <w:rFonts w:ascii="Times New Roman" w:hAnsi="Times New Roman" w:cs="Times New Roman"/>
                <w:bCs/>
                <w:color w:val="000000" w:themeColor="text1"/>
                <w:sz w:val="21"/>
                <w:szCs w:val="21"/>
                <w:lang w:val="en-US"/>
                <w14:textFill>
                  <w14:solidFill>
                    <w14:schemeClr w14:val="tx1"/>
                  </w14:solidFill>
                </w14:textFill>
              </w:rPr>
            </w:pPr>
            <w:r>
              <w:rPr>
                <w:rFonts w:ascii="Times New Roman" w:hAnsi="Times New Roman" w:cs="Times New Roman"/>
                <w:bCs/>
                <w:color w:val="000000" w:themeColor="text1"/>
                <w:sz w:val="21"/>
                <w:szCs w:val="21"/>
                <w:lang w:val="en-US"/>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1</w:t>
            </w:r>
          </w:p>
        </w:tc>
        <w:tc>
          <w:tcPr>
            <w:tcW w:w="689" w:type="dxa"/>
            <w:vAlign w:val="center"/>
          </w:tcPr>
          <w:p>
            <w:pPr>
              <w:pStyle w:val="39"/>
              <w:jc w:val="center"/>
              <w:rPr>
                <w:rFonts w:ascii="Times New Roman" w:hAnsi="Times New Roman" w:eastAsia="宋体" w:cs="Times New Roman"/>
                <w:b w:val="0"/>
                <w:color w:val="000000" w:themeColor="text1"/>
                <w:sz w:val="21"/>
                <w:szCs w:val="21"/>
                <w:lang w:val="en-US"/>
                <w14:textFill>
                  <w14:solidFill>
                    <w14:schemeClr w14:val="tx1"/>
                  </w14:solidFill>
                </w14:textFill>
              </w:rPr>
            </w:pPr>
            <w:r>
              <w:rPr>
                <w:rFonts w:hint="eastAsia" w:ascii="Times New Roman" w:hAnsi="Times New Roman" w:cs="Times New Roman"/>
                <w:b w:val="0"/>
                <w:color w:val="000000" w:themeColor="text1"/>
                <w:sz w:val="21"/>
                <w:szCs w:val="21"/>
                <w:lang w:val="en-US"/>
                <w14:textFill>
                  <w14:solidFill>
                    <w14:schemeClr w14:val="tx1"/>
                  </w14:solidFill>
                </w14:textFill>
              </w:rPr>
              <w:t>适用范围</w:t>
            </w:r>
          </w:p>
        </w:tc>
        <w:tc>
          <w:tcPr>
            <w:tcW w:w="331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hint="eastAsia" w:ascii="Times New Roman" w:hAnsi="Times New Roman" w:cs="Times New Roman"/>
                <w:b w:val="0"/>
                <w:color w:val="000000" w:themeColor="text1"/>
                <w:sz w:val="21"/>
                <w:szCs w:val="21"/>
                <w14:textFill>
                  <w14:solidFill>
                    <w14:schemeClr w14:val="tx1"/>
                  </w14:solidFill>
                </w14:textFill>
              </w:rPr>
              <w:t>适用于自治区行政区域内新、改、扩建陆地石油天然气开发项目相关环境管理活动。包括石油、天然气、页岩油、页岩气的勘探、开采、油气集输与处理等作业或过程。</w:t>
            </w:r>
          </w:p>
        </w:tc>
        <w:tc>
          <w:tcPr>
            <w:tcW w:w="3093"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本项目</w:t>
            </w:r>
            <w:r>
              <w:rPr>
                <w:rFonts w:hint="eastAsia" w:ascii="Times New Roman" w:hAnsi="Times New Roman" w:cs="Times New Roman"/>
                <w:b w:val="0"/>
                <w:color w:val="000000" w:themeColor="text1"/>
                <w:sz w:val="21"/>
                <w:szCs w:val="21"/>
                <w:lang w:val="en-US"/>
                <w14:textFill>
                  <w14:solidFill>
                    <w14:schemeClr w14:val="tx1"/>
                  </w14:solidFill>
                </w14:textFill>
              </w:rPr>
              <w:t>属于改扩建的陆地石油开采项目</w:t>
            </w:r>
            <w:r>
              <w:rPr>
                <w:rFonts w:ascii="Times New Roman" w:hAnsi="Times New Roman" w:cs="Times New Roman"/>
                <w:b w:val="0"/>
                <w:color w:val="000000" w:themeColor="text1"/>
                <w:sz w:val="21"/>
                <w:szCs w:val="21"/>
                <w14:textFill>
                  <w14:solidFill>
                    <w14:schemeClr w14:val="tx1"/>
                  </w14:solidFill>
                </w14:textFill>
              </w:rPr>
              <w:t>。</w:t>
            </w:r>
          </w:p>
        </w:tc>
        <w:tc>
          <w:tcPr>
            <w:tcW w:w="890"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vAlign w:val="center"/>
          </w:tcPr>
          <w:p>
            <w:pPr>
              <w:pStyle w:val="39"/>
              <w:jc w:val="center"/>
              <w:rPr>
                <w:rFonts w:ascii="Times New Roman" w:hAnsi="Times New Roman" w:eastAsia="宋体" w:cs="Times New Roman"/>
                <w:b w:val="0"/>
                <w:color w:val="000000" w:themeColor="text1"/>
                <w:sz w:val="21"/>
                <w:szCs w:val="21"/>
                <w:lang w:val="en-US"/>
                <w14:textFill>
                  <w14:solidFill>
                    <w14:schemeClr w14:val="tx1"/>
                  </w14:solidFill>
                </w14:textFill>
              </w:rPr>
            </w:pPr>
            <w:r>
              <w:rPr>
                <w:rFonts w:hint="eastAsia" w:ascii="Times New Roman" w:hAnsi="Times New Roman" w:cs="Times New Roman"/>
                <w:b w:val="0"/>
                <w:color w:val="000000" w:themeColor="text1"/>
                <w:sz w:val="21"/>
                <w:szCs w:val="21"/>
                <w:lang w:val="en-US"/>
                <w14:textFill>
                  <w14:solidFill>
                    <w14:schemeClr w14:val="tx1"/>
                  </w14:solidFill>
                </w14:textFill>
              </w:rPr>
              <w:t>2</w:t>
            </w:r>
          </w:p>
        </w:tc>
        <w:tc>
          <w:tcPr>
            <w:tcW w:w="689"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hint="eastAsia" w:ascii="Times New Roman" w:hAnsi="Times New Roman" w:cs="Times New Roman"/>
                <w:b w:val="0"/>
                <w:color w:val="000000" w:themeColor="text1"/>
                <w:sz w:val="21"/>
                <w:szCs w:val="21"/>
                <w:lang w:val="en-US"/>
                <w14:textFill>
                  <w14:solidFill>
                    <w14:schemeClr w14:val="tx1"/>
                  </w14:solidFill>
                </w14:textFill>
              </w:rPr>
              <w:t>选址与空间布局</w:t>
            </w:r>
          </w:p>
        </w:tc>
        <w:tc>
          <w:tcPr>
            <w:tcW w:w="331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hint="eastAsia" w:ascii="Times New Roman" w:hAnsi="Times New Roman" w:cs="Times New Roman"/>
                <w:b w:val="0"/>
                <w:color w:val="000000" w:themeColor="text1"/>
                <w:sz w:val="21"/>
                <w:szCs w:val="21"/>
                <w14:textFill>
                  <w14:solidFill>
                    <w14:schemeClr w14:val="tx1"/>
                  </w14:solidFill>
                </w14:textFill>
              </w:rPr>
              <w:t>涉及自然保护地的石油天然气勘探、开发项目按照国家和自治区有关油气安全保障政策要求执行。</w:t>
            </w:r>
          </w:p>
        </w:tc>
        <w:tc>
          <w:tcPr>
            <w:tcW w:w="3093" w:type="dxa"/>
            <w:vAlign w:val="center"/>
          </w:tcPr>
          <w:p>
            <w:pPr>
              <w:pStyle w:val="39"/>
              <w:jc w:val="center"/>
              <w:rPr>
                <w:rFonts w:ascii="Times New Roman" w:hAnsi="Times New Roman" w:eastAsia="宋体" w:cs="Times New Roman"/>
                <w:b w:val="0"/>
                <w:color w:val="000000" w:themeColor="text1"/>
                <w:sz w:val="21"/>
                <w:szCs w:val="21"/>
                <w:lang w:val="en-US"/>
                <w14:textFill>
                  <w14:solidFill>
                    <w14:schemeClr w14:val="tx1"/>
                  </w14:solidFill>
                </w14:textFill>
              </w:rPr>
            </w:pPr>
            <w:r>
              <w:rPr>
                <w:rFonts w:hint="eastAsia" w:ascii="Times New Roman" w:hAnsi="Times New Roman" w:cs="Times New Roman"/>
                <w:b w:val="0"/>
                <w:color w:val="000000" w:themeColor="text1"/>
                <w:sz w:val="21"/>
                <w:szCs w:val="21"/>
                <w:lang w:val="en-US"/>
                <w14:textFill>
                  <w14:solidFill>
                    <w14:schemeClr w14:val="tx1"/>
                  </w14:solidFill>
                </w14:textFill>
              </w:rPr>
              <w:t>本项目不涉及自然保护地。</w:t>
            </w:r>
          </w:p>
        </w:tc>
        <w:tc>
          <w:tcPr>
            <w:tcW w:w="890"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vAlign w:val="center"/>
          </w:tcPr>
          <w:p>
            <w:pPr>
              <w:pStyle w:val="39"/>
              <w:jc w:val="center"/>
              <w:rPr>
                <w:rFonts w:ascii="Times New Roman" w:hAnsi="Times New Roman" w:eastAsia="宋体" w:cs="Times New Roman"/>
                <w:b w:val="0"/>
                <w:color w:val="000000" w:themeColor="text1"/>
                <w:sz w:val="21"/>
                <w:szCs w:val="21"/>
                <w:lang w:val="en-US"/>
                <w14:textFill>
                  <w14:solidFill>
                    <w14:schemeClr w14:val="tx1"/>
                  </w14:solidFill>
                </w14:textFill>
              </w:rPr>
            </w:pPr>
            <w:r>
              <w:rPr>
                <w:rFonts w:hint="eastAsia" w:ascii="Times New Roman" w:hAnsi="Times New Roman" w:cs="Times New Roman"/>
                <w:b w:val="0"/>
                <w:color w:val="000000" w:themeColor="text1"/>
                <w:sz w:val="21"/>
                <w:szCs w:val="21"/>
                <w:lang w:val="en-US"/>
                <w14:textFill>
                  <w14:solidFill>
                    <w14:schemeClr w14:val="tx1"/>
                  </w14:solidFill>
                </w14:textFill>
              </w:rPr>
              <w:t>3</w:t>
            </w:r>
          </w:p>
        </w:tc>
        <w:tc>
          <w:tcPr>
            <w:tcW w:w="689" w:type="dxa"/>
            <w:vMerge w:val="restart"/>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hint="eastAsia" w:ascii="Times New Roman" w:hAnsi="Times New Roman" w:cs="Times New Roman"/>
                <w:b w:val="0"/>
                <w:color w:val="000000" w:themeColor="text1"/>
                <w:sz w:val="21"/>
                <w:szCs w:val="21"/>
                <w:lang w:val="en-US"/>
                <w14:textFill>
                  <w14:solidFill>
                    <w14:schemeClr w14:val="tx1"/>
                  </w14:solidFill>
                </w14:textFill>
              </w:rPr>
              <w:t>污染防治与环境影响</w:t>
            </w:r>
          </w:p>
        </w:tc>
        <w:tc>
          <w:tcPr>
            <w:tcW w:w="3312" w:type="dxa"/>
            <w:vAlign w:val="center"/>
          </w:tcPr>
          <w:p>
            <w:pPr>
              <w:pStyle w:val="39"/>
              <w:jc w:val="center"/>
              <w:rPr>
                <w:rFonts w:ascii="Times New Roman" w:hAnsi="Times New Roman" w:eastAsia="宋体" w:cs="Times New Roman"/>
                <w:b w:val="0"/>
                <w:color w:val="000000" w:themeColor="text1"/>
                <w:sz w:val="21"/>
                <w:szCs w:val="21"/>
                <w14:textFill>
                  <w14:solidFill>
                    <w14:schemeClr w14:val="tx1"/>
                  </w14:solidFill>
                </w14:textFill>
              </w:rPr>
            </w:pPr>
            <w:r>
              <w:rPr>
                <w:rFonts w:hint="eastAsia" w:ascii="Times New Roman" w:hAnsi="Times New Roman" w:cs="Times New Roman"/>
                <w:b w:val="0"/>
                <w:color w:val="000000" w:themeColor="text1"/>
                <w:sz w:val="21"/>
                <w:szCs w:val="21"/>
                <w14:textFill>
                  <w14:solidFill>
                    <w14:schemeClr w14:val="tx1"/>
                  </w14:solidFill>
                </w14:textFill>
              </w:rPr>
              <w:t>施工期应当尽量减少施工占地、严格控制施工作业面积、缩短施工时间、选择合理施工方式、落实环境敏感区管控要求以及其他生态环境保护措施，有效降低生态环境影响。</w:t>
            </w:r>
          </w:p>
        </w:tc>
        <w:tc>
          <w:tcPr>
            <w:tcW w:w="3093"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施工期严格控制占地面积，施工单位在占地范围内施工，严格控制和管理运输车辆及重型机械施工作业范围。具体详见环境保护措施章节。</w:t>
            </w:r>
          </w:p>
        </w:tc>
        <w:tc>
          <w:tcPr>
            <w:tcW w:w="890"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vAlign w:val="center"/>
          </w:tcPr>
          <w:p>
            <w:pPr>
              <w:pStyle w:val="39"/>
              <w:jc w:val="center"/>
              <w:rPr>
                <w:rFonts w:ascii="Times New Roman" w:hAnsi="Times New Roman" w:eastAsia="宋体" w:cs="Times New Roman"/>
                <w:b w:val="0"/>
                <w:color w:val="000000" w:themeColor="text1"/>
                <w:sz w:val="21"/>
                <w:szCs w:val="21"/>
                <w:lang w:val="en-US"/>
                <w14:textFill>
                  <w14:solidFill>
                    <w14:schemeClr w14:val="tx1"/>
                  </w14:solidFill>
                </w14:textFill>
              </w:rPr>
            </w:pPr>
            <w:r>
              <w:rPr>
                <w:rFonts w:hint="eastAsia" w:ascii="Times New Roman" w:hAnsi="Times New Roman" w:cs="Times New Roman"/>
                <w:b w:val="0"/>
                <w:color w:val="000000" w:themeColor="text1"/>
                <w:sz w:val="21"/>
                <w:szCs w:val="21"/>
                <w:lang w:val="en-US"/>
                <w14:textFill>
                  <w14:solidFill>
                    <w14:schemeClr w14:val="tx1"/>
                  </w14:solidFill>
                </w14:textFill>
              </w:rPr>
              <w:t>4</w:t>
            </w:r>
          </w:p>
        </w:tc>
        <w:tc>
          <w:tcPr>
            <w:tcW w:w="689" w:type="dxa"/>
            <w:vMerge w:val="continue"/>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p>
        </w:tc>
        <w:tc>
          <w:tcPr>
            <w:tcW w:w="331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hint="eastAsia" w:ascii="Times New Roman" w:hAnsi="Times New Roman" w:cs="Times New Roman"/>
                <w:b w:val="0"/>
                <w:color w:val="000000" w:themeColor="text1"/>
                <w:sz w:val="21"/>
                <w:szCs w:val="21"/>
                <w14:textFill>
                  <w14:solidFill>
                    <w14:schemeClr w14:val="tx1"/>
                  </w14:solidFill>
                </w14:textFill>
              </w:rPr>
              <w:t>钻井及储层改造应采用环境友好的油田化学助剂、酸化液、压裂液、钻井液，配备完善的固控设备，钻井液循环率应达到95%以上，压裂废液、酸化废液等井下作业废水应100%返排入罐。</w:t>
            </w:r>
          </w:p>
        </w:tc>
        <w:tc>
          <w:tcPr>
            <w:tcW w:w="3093"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本项目钻井使用水基钻井液，为环境友好的钻井液，采用</w:t>
            </w:r>
            <w:r>
              <w:rPr>
                <w:rFonts w:hint="eastAsia" w:ascii="Times New Roman" w:hAnsi="Times New Roman" w:cs="Times New Roman"/>
                <w:b w:val="0"/>
                <w:color w:val="000000" w:themeColor="text1"/>
                <w:sz w:val="21"/>
                <w:szCs w:val="21"/>
                <w:lang w:val="en-US"/>
                <w14:textFill>
                  <w14:solidFill>
                    <w14:schemeClr w14:val="tx1"/>
                  </w14:solidFill>
                </w14:textFill>
              </w:rPr>
              <w:t>“钻井泥浆不落地技术”，</w:t>
            </w:r>
            <w:r>
              <w:rPr>
                <w:rFonts w:ascii="Times New Roman" w:hAnsi="Times New Roman" w:cs="Times New Roman"/>
                <w:b w:val="0"/>
                <w:color w:val="000000" w:themeColor="text1"/>
                <w:sz w:val="21"/>
                <w:szCs w:val="21"/>
                <w:lang w:val="en-US"/>
                <w14:textFill>
                  <w14:solidFill>
                    <w14:schemeClr w14:val="tx1"/>
                  </w14:solidFill>
                </w14:textFill>
              </w:rPr>
              <w:t>钻井液循环使用，钻井废水全部回用。</w:t>
            </w:r>
          </w:p>
        </w:tc>
        <w:tc>
          <w:tcPr>
            <w:tcW w:w="890"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vAlign w:val="center"/>
          </w:tcPr>
          <w:p>
            <w:pPr>
              <w:pStyle w:val="39"/>
              <w:jc w:val="center"/>
              <w:rPr>
                <w:rFonts w:ascii="Times New Roman" w:hAnsi="Times New Roman" w:eastAsia="宋体" w:cs="Times New Roman"/>
                <w:b w:val="0"/>
                <w:color w:val="000000" w:themeColor="text1"/>
                <w:sz w:val="21"/>
                <w:szCs w:val="21"/>
                <w:lang w:val="en-US"/>
                <w14:textFill>
                  <w14:solidFill>
                    <w14:schemeClr w14:val="tx1"/>
                  </w14:solidFill>
                </w14:textFill>
              </w:rPr>
            </w:pPr>
            <w:r>
              <w:rPr>
                <w:rFonts w:hint="eastAsia" w:ascii="Times New Roman" w:hAnsi="Times New Roman" w:cs="Times New Roman"/>
                <w:b w:val="0"/>
                <w:color w:val="000000" w:themeColor="text1"/>
                <w:sz w:val="21"/>
                <w:szCs w:val="21"/>
                <w:lang w:val="en-US"/>
                <w14:textFill>
                  <w14:solidFill>
                    <w14:schemeClr w14:val="tx1"/>
                  </w14:solidFill>
                </w14:textFill>
              </w:rPr>
              <w:t>5</w:t>
            </w:r>
          </w:p>
        </w:tc>
        <w:tc>
          <w:tcPr>
            <w:tcW w:w="689" w:type="dxa"/>
            <w:vMerge w:val="continue"/>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p>
        </w:tc>
        <w:tc>
          <w:tcPr>
            <w:tcW w:w="331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hint="eastAsia" w:ascii="Times New Roman" w:hAnsi="Times New Roman" w:cs="Times New Roman"/>
                <w:b w:val="0"/>
                <w:color w:val="000000" w:themeColor="text1"/>
                <w:sz w:val="21"/>
                <w:szCs w:val="21"/>
                <w14:textFill>
                  <w14:solidFill>
                    <w14:schemeClr w14:val="tx1"/>
                  </w14:solidFill>
                </w14:textFill>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对于页岩油、稠油注汽开采，鼓励废水处理后回用于注汽锅炉。</w:t>
            </w:r>
          </w:p>
        </w:tc>
        <w:tc>
          <w:tcPr>
            <w:tcW w:w="3093"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本项目钻井废水循环利用，试油期洗井废水全部回收，采用专用废液收集罐收集后运至</w:t>
            </w:r>
            <w:r>
              <w:rPr>
                <w:rFonts w:hint="eastAsia" w:ascii="Times New Roman" w:hAnsi="Times New Roman" w:cs="Times New Roman"/>
                <w:b w:val="0"/>
                <w:color w:val="000000" w:themeColor="text1"/>
                <w:sz w:val="21"/>
                <w:szCs w:val="21"/>
                <w:lang w:val="en-US" w:eastAsia="zh-CN"/>
                <w14:textFill>
                  <w14:solidFill>
                    <w14:schemeClr w14:val="tx1"/>
                  </w14:solidFill>
                </w14:textFill>
              </w:rPr>
              <w:t>陆梁</w:t>
            </w:r>
            <w:r>
              <w:rPr>
                <w:rFonts w:hint="eastAsia" w:ascii="Times New Roman" w:hAnsi="Times New Roman" w:cs="Times New Roman"/>
                <w:b w:val="0"/>
                <w:color w:val="000000" w:themeColor="text1"/>
                <w:sz w:val="21"/>
                <w:szCs w:val="21"/>
                <w:lang w:val="en-US"/>
                <w14:textFill>
                  <w14:solidFill>
                    <w14:schemeClr w14:val="tx1"/>
                  </w14:solidFill>
                </w14:textFill>
              </w:rPr>
              <w:t>集中处理站</w:t>
            </w:r>
            <w:r>
              <w:rPr>
                <w:rFonts w:ascii="Times New Roman" w:hAnsi="Times New Roman" w:cs="Times New Roman"/>
                <w:b w:val="0"/>
                <w:color w:val="000000" w:themeColor="text1"/>
                <w:sz w:val="21"/>
                <w:szCs w:val="21"/>
                <w:lang w:val="en-US"/>
                <w14:textFill>
                  <w14:solidFill>
                    <w14:schemeClr w14:val="tx1"/>
                  </w14:solidFill>
                </w14:textFill>
              </w:rPr>
              <w:t>的污水处理系统处理</w:t>
            </w:r>
            <w:r>
              <w:rPr>
                <w:rFonts w:hint="eastAsia" w:ascii="Times New Roman" w:hAnsi="Times New Roman" w:cs="Times New Roman"/>
                <w:b w:val="0"/>
                <w:color w:val="000000" w:themeColor="text1"/>
                <w:sz w:val="21"/>
                <w:szCs w:val="21"/>
                <w:lang w:val="en-US"/>
                <w14:textFill>
                  <w14:solidFill>
                    <w14:schemeClr w14:val="tx1"/>
                  </w14:solidFill>
                </w14:textFill>
              </w:rPr>
              <w:t>达到</w:t>
            </w:r>
            <w:r>
              <w:rPr>
                <w:rFonts w:hint="eastAsia" w:ascii="Times New Roman" w:hAnsi="Times New Roman" w:cs="Times New Roman"/>
                <w:b w:val="0"/>
                <w:color w:val="000000" w:themeColor="text1"/>
                <w:sz w:val="21"/>
                <w:szCs w:val="21"/>
                <w14:textFill>
                  <w14:solidFill>
                    <w14:schemeClr w14:val="tx1"/>
                  </w14:solidFill>
                </w14:textFill>
              </w:rPr>
              <w:t>《碎屑岩油藏注水水质指标技术要求及分析方法》（SY/T5329</w:t>
            </w:r>
            <w:r>
              <w:rPr>
                <w:rFonts w:hint="eastAsia" w:ascii="Times New Roman" w:hAnsi="Times New Roman" w:cs="Times New Roman"/>
                <w:b w:val="0"/>
                <w:color w:val="000000" w:themeColor="text1"/>
                <w:sz w:val="21"/>
                <w:szCs w:val="21"/>
                <w:lang w:val="en-US"/>
                <w14:textFill>
                  <w14:solidFill>
                    <w14:schemeClr w14:val="tx1"/>
                  </w14:solidFill>
                </w14:textFill>
              </w:rPr>
              <w:t>-2022</w:t>
            </w:r>
            <w:r>
              <w:rPr>
                <w:rFonts w:hint="eastAsia" w:ascii="Times New Roman" w:hAnsi="Times New Roman" w:cs="Times New Roman"/>
                <w:b w:val="0"/>
                <w:color w:val="000000" w:themeColor="text1"/>
                <w:sz w:val="21"/>
                <w:szCs w:val="21"/>
                <w14:textFill>
                  <w14:solidFill>
                    <w14:schemeClr w14:val="tx1"/>
                  </w14:solidFill>
                </w14:textFill>
              </w:rPr>
              <w:t>）</w:t>
            </w:r>
            <w:r>
              <w:rPr>
                <w:rFonts w:hint="eastAsia" w:ascii="Times New Roman" w:hAnsi="Times New Roman" w:cs="Times New Roman"/>
                <w:b w:val="0"/>
                <w:color w:val="000000" w:themeColor="text1"/>
                <w:sz w:val="21"/>
                <w:szCs w:val="21"/>
                <w:lang w:val="en-US"/>
                <w14:textFill>
                  <w14:solidFill>
                    <w14:schemeClr w14:val="tx1"/>
                  </w14:solidFill>
                </w14:textFill>
              </w:rPr>
              <w:t>标准</w:t>
            </w:r>
            <w:r>
              <w:rPr>
                <w:rFonts w:ascii="Times New Roman" w:hAnsi="Times New Roman" w:cs="Times New Roman"/>
                <w:b w:val="0"/>
                <w:color w:val="000000" w:themeColor="text1"/>
                <w:sz w:val="21"/>
                <w:szCs w:val="21"/>
                <w:lang w:val="en-US"/>
                <w14:textFill>
                  <w14:solidFill>
                    <w14:schemeClr w14:val="tx1"/>
                  </w14:solidFill>
                </w14:textFill>
              </w:rPr>
              <w:t>后回注油藏，本项目采取了地下水污染防治和监控措施，防止造成地下水污染，详见报告环保措施章节。</w:t>
            </w:r>
          </w:p>
        </w:tc>
        <w:tc>
          <w:tcPr>
            <w:tcW w:w="890"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7" w:hRule="atLeast"/>
        </w:trPr>
        <w:tc>
          <w:tcPr>
            <w:tcW w:w="535" w:type="dxa"/>
            <w:vAlign w:val="center"/>
          </w:tcPr>
          <w:p>
            <w:pPr>
              <w:pStyle w:val="39"/>
              <w:jc w:val="center"/>
              <w:rPr>
                <w:rFonts w:ascii="Times New Roman" w:hAnsi="Times New Roman" w:eastAsia="宋体" w:cs="Times New Roman"/>
                <w:b w:val="0"/>
                <w:color w:val="000000" w:themeColor="text1"/>
                <w:sz w:val="21"/>
                <w:szCs w:val="21"/>
                <w:lang w:val="en-US"/>
                <w14:textFill>
                  <w14:solidFill>
                    <w14:schemeClr w14:val="tx1"/>
                  </w14:solidFill>
                </w14:textFill>
              </w:rPr>
            </w:pPr>
            <w:r>
              <w:rPr>
                <w:rFonts w:hint="eastAsia" w:ascii="Times New Roman" w:hAnsi="Times New Roman" w:cs="Times New Roman"/>
                <w:b w:val="0"/>
                <w:color w:val="000000" w:themeColor="text1"/>
                <w:sz w:val="21"/>
                <w:szCs w:val="21"/>
                <w:lang w:val="en-US"/>
                <w14:textFill>
                  <w14:solidFill>
                    <w14:schemeClr w14:val="tx1"/>
                  </w14:solidFill>
                </w14:textFill>
              </w:rPr>
              <w:t>6</w:t>
            </w:r>
          </w:p>
        </w:tc>
        <w:tc>
          <w:tcPr>
            <w:tcW w:w="689" w:type="dxa"/>
            <w:vMerge w:val="continue"/>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p>
        </w:tc>
        <w:tc>
          <w:tcPr>
            <w:tcW w:w="331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hint="eastAsia" w:ascii="Times New Roman" w:hAnsi="Times New Roman" w:cs="Times New Roman"/>
                <w:b w:val="0"/>
                <w:color w:val="000000" w:themeColor="text1"/>
                <w:sz w:val="21"/>
                <w:szCs w:val="21"/>
                <w14:textFill>
                  <w14:solidFill>
                    <w14:schemeClr w14:val="tx1"/>
                  </w14:solidFill>
                </w14:textFill>
              </w:rPr>
              <w:t>废弃钻井泥浆及岩屑应采取“泥浆不落地”工艺，勘探、开发过程产生的落地原油回收率应达到100%。废弃水基钻井泥浆及岩屑经“泥浆不落地”设备处理后，固相优先综合利用，暂时不利用或者不能利用的，应按照《一般工业固体废物贮存和填埋污染控制标准》（GB18599）处置；废弃油基钻井泥浆及岩屑、落地油、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3093" w:type="dxa"/>
            <w:vAlign w:val="center"/>
          </w:tcPr>
          <w:p>
            <w:pPr>
              <w:pStyle w:val="39"/>
              <w:jc w:val="center"/>
              <w:rPr>
                <w:rFonts w:ascii="Times New Roman" w:hAnsi="Times New Roman" w:eastAsia="宋体"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本项目钻井使用水基钻井液，为环境友好的钻井液，采用</w:t>
            </w:r>
            <w:r>
              <w:rPr>
                <w:rFonts w:hint="eastAsia" w:ascii="Times New Roman" w:hAnsi="Times New Roman" w:cs="Times New Roman"/>
                <w:b w:val="0"/>
                <w:color w:val="000000" w:themeColor="text1"/>
                <w:sz w:val="21"/>
                <w:szCs w:val="21"/>
                <w:lang w:val="en-US"/>
                <w14:textFill>
                  <w14:solidFill>
                    <w14:schemeClr w14:val="tx1"/>
                  </w14:solidFill>
                </w14:textFill>
              </w:rPr>
              <w:t>“钻井泥浆不落地技术”，</w:t>
            </w:r>
            <w:r>
              <w:rPr>
                <w:rFonts w:ascii="Times New Roman" w:hAnsi="Times New Roman" w:cs="Times New Roman"/>
                <w:b w:val="0"/>
                <w:color w:val="000000" w:themeColor="text1"/>
                <w:sz w:val="21"/>
                <w:szCs w:val="21"/>
                <w:lang w:val="en-US"/>
                <w14:textFill>
                  <w14:solidFill>
                    <w14:schemeClr w14:val="tx1"/>
                  </w14:solidFill>
                </w14:textFill>
              </w:rPr>
              <w:t>钻井液循环使用，钻井废水全部回用</w:t>
            </w:r>
            <w:r>
              <w:rPr>
                <w:rFonts w:hint="eastAsia" w:ascii="Times New Roman" w:hAnsi="Times New Roman" w:cs="Times New Roman"/>
                <w:b w:val="0"/>
                <w:color w:val="000000" w:themeColor="text1"/>
                <w:sz w:val="21"/>
                <w:szCs w:val="21"/>
                <w:lang w:val="en-US"/>
                <w14:textFill>
                  <w14:solidFill>
                    <w14:schemeClr w14:val="tx1"/>
                  </w14:solidFill>
                </w14:textFill>
              </w:rPr>
              <w:t>；井下作业过程中配备了泄油器、刮油器等设备井下作业时带罐，正常情况下无落地油；</w:t>
            </w:r>
            <w:r>
              <w:rPr>
                <w:rFonts w:ascii="Times New Roman" w:hAnsi="Times New Roman" w:cs="Times New Roman"/>
                <w:b w:val="0"/>
                <w:color w:val="000000" w:themeColor="text1"/>
                <w:sz w:val="21"/>
                <w:szCs w:val="21"/>
                <w:lang w:val="en-US"/>
                <w14:textFill>
                  <w14:solidFill>
                    <w14:schemeClr w14:val="tx1"/>
                  </w14:solidFill>
                </w14:textFill>
              </w:rPr>
              <w:t>本环评对项目可能产生的环境风险进行了分析，并提出了相应的风险防范措施和应急预案编制要求</w:t>
            </w:r>
            <w:r>
              <w:rPr>
                <w:rFonts w:hint="eastAsia" w:ascii="Times New Roman" w:hAnsi="Times New Roman" w:cs="Times New Roman"/>
                <w:b w:val="0"/>
                <w:color w:val="000000" w:themeColor="text1"/>
                <w:sz w:val="21"/>
                <w:szCs w:val="21"/>
                <w:lang w:val="en-US"/>
                <w14:textFill>
                  <w14:solidFill>
                    <w14:schemeClr w14:val="tx1"/>
                  </w14:solidFill>
                </w14:textFill>
              </w:rPr>
              <w:t>。</w:t>
            </w:r>
          </w:p>
        </w:tc>
        <w:tc>
          <w:tcPr>
            <w:tcW w:w="890"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vAlign w:val="center"/>
          </w:tcPr>
          <w:p>
            <w:pPr>
              <w:pStyle w:val="39"/>
              <w:jc w:val="center"/>
              <w:rPr>
                <w:rFonts w:ascii="Times New Roman" w:hAnsi="Times New Roman" w:eastAsia="宋体" w:cs="Times New Roman"/>
                <w:b w:val="0"/>
                <w:color w:val="000000" w:themeColor="text1"/>
                <w:sz w:val="21"/>
                <w:szCs w:val="21"/>
                <w:lang w:val="en-US"/>
                <w14:textFill>
                  <w14:solidFill>
                    <w14:schemeClr w14:val="tx1"/>
                  </w14:solidFill>
                </w14:textFill>
              </w:rPr>
            </w:pPr>
            <w:r>
              <w:rPr>
                <w:rFonts w:hint="eastAsia" w:ascii="Times New Roman" w:hAnsi="Times New Roman" w:cs="Times New Roman"/>
                <w:b w:val="0"/>
                <w:color w:val="000000" w:themeColor="text1"/>
                <w:sz w:val="21"/>
                <w:szCs w:val="21"/>
                <w:lang w:val="en-US"/>
                <w14:textFill>
                  <w14:solidFill>
                    <w14:schemeClr w14:val="tx1"/>
                  </w14:solidFill>
                </w14:textFill>
              </w:rPr>
              <w:t>7</w:t>
            </w:r>
          </w:p>
        </w:tc>
        <w:tc>
          <w:tcPr>
            <w:tcW w:w="689" w:type="dxa"/>
            <w:vMerge w:val="continue"/>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p>
        </w:tc>
        <w:tc>
          <w:tcPr>
            <w:tcW w:w="331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hint="eastAsia" w:ascii="Times New Roman" w:hAnsi="Times New Roman" w:cs="Times New Roman"/>
                <w:b w:val="0"/>
                <w:color w:val="000000" w:themeColor="text1"/>
                <w:sz w:val="21"/>
                <w:szCs w:val="21"/>
                <w14:textFill>
                  <w14:solidFill>
                    <w14:schemeClr w14:val="tx1"/>
                  </w14:solidFill>
                </w14:textFill>
              </w:rPr>
              <w:t>对拟退役的废弃井（站）场、管道、道路等工程设施应进行生态修复，生态修复前应对废弃油（气）井、管道进行封堵或设施拆除，确保无土壤及地下水环境污染遗留问题、废弃物得到妥善处置。生态修复应满足《矿山生态环境保护与恢复治理技术规范（试行）》（HJ651）、《废弃井封井回填技术指南（试行）》、《废弃井及长停井处置指南》（SY/T6646）、《陆上石油天然气开采业绿色矿山建设规范》（DZ/T0317）等相关</w:t>
            </w:r>
            <w:bookmarkStart w:id="184" w:name="_Toc163555379"/>
            <w:r>
              <w:rPr>
                <w:rFonts w:hint="eastAsia" w:ascii="Times New Roman" w:hAnsi="Times New Roman" w:cs="Times New Roman"/>
                <w:b w:val="0"/>
                <w:color w:val="000000" w:themeColor="text1"/>
                <w:sz w:val="21"/>
                <w:szCs w:val="21"/>
                <w14:textFill>
                  <w14:solidFill>
                    <w14:schemeClr w14:val="tx1"/>
                  </w14:solidFill>
                </w14:textFill>
              </w:rPr>
              <w:t>要</w:t>
            </w:r>
            <w:bookmarkEnd w:id="184"/>
            <w:r>
              <w:rPr>
                <w:rFonts w:hint="eastAsia" w:ascii="Times New Roman" w:hAnsi="Times New Roman" w:cs="Times New Roman"/>
                <w:b w:val="0"/>
                <w:color w:val="000000" w:themeColor="text1"/>
                <w:sz w:val="21"/>
                <w:szCs w:val="21"/>
                <w14:textFill>
                  <w14:solidFill>
                    <w14:schemeClr w14:val="tx1"/>
                  </w14:solidFill>
                </w14:textFill>
              </w:rPr>
              <w:t>求</w:t>
            </w:r>
          </w:p>
        </w:tc>
        <w:tc>
          <w:tcPr>
            <w:tcW w:w="3093" w:type="dxa"/>
            <w:vAlign w:val="center"/>
          </w:tcPr>
          <w:p>
            <w:pPr>
              <w:pStyle w:val="39"/>
              <w:jc w:val="center"/>
              <w:rPr>
                <w:rFonts w:ascii="Times New Roman" w:hAnsi="Times New Roman" w:eastAsia="宋体" w:cs="Times New Roman"/>
                <w:b w:val="0"/>
                <w:color w:val="000000" w:themeColor="text1"/>
                <w:sz w:val="21"/>
                <w:szCs w:val="21"/>
                <w:lang w:val="en-US"/>
                <w14:textFill>
                  <w14:solidFill>
                    <w14:schemeClr w14:val="tx1"/>
                  </w14:solidFill>
                </w14:textFill>
              </w:rPr>
            </w:pPr>
            <w:r>
              <w:rPr>
                <w:rFonts w:hint="eastAsia" w:ascii="Times New Roman" w:hAnsi="Times New Roman" w:cs="Times New Roman"/>
                <w:b w:val="0"/>
                <w:color w:val="000000" w:themeColor="text1"/>
                <w:sz w:val="21"/>
                <w:szCs w:val="21"/>
                <w:lang w:val="en-US"/>
                <w14:textFill>
                  <w14:solidFill>
                    <w14:schemeClr w14:val="tx1"/>
                  </w14:solidFill>
                </w14:textFill>
              </w:rPr>
              <w:t>后期对拟退役的废弃井</w:t>
            </w:r>
            <w:r>
              <w:rPr>
                <w:rFonts w:hint="eastAsia" w:ascii="Times New Roman" w:hAnsi="Times New Roman" w:cs="Times New Roman"/>
                <w:b w:val="0"/>
                <w:color w:val="000000" w:themeColor="text1"/>
                <w:sz w:val="21"/>
                <w:szCs w:val="21"/>
                <w14:textFill>
                  <w14:solidFill>
                    <w14:schemeClr w14:val="tx1"/>
                  </w14:solidFill>
                </w14:textFill>
              </w:rPr>
              <w:t>生态修复</w:t>
            </w:r>
            <w:r>
              <w:rPr>
                <w:rFonts w:hint="eastAsia" w:ascii="Times New Roman" w:hAnsi="Times New Roman" w:cs="Times New Roman"/>
                <w:b w:val="0"/>
                <w:color w:val="000000" w:themeColor="text1"/>
                <w:sz w:val="21"/>
                <w:szCs w:val="21"/>
                <w:lang w:val="en-US"/>
                <w14:textFill>
                  <w14:solidFill>
                    <w14:schemeClr w14:val="tx1"/>
                  </w14:solidFill>
                </w14:textFill>
              </w:rPr>
              <w:t>按照《矿山生态环境保护与恢复治理技术规范（试行）》（HJ651-2013）、《废弃井封井回填技术指南（试行）》</w:t>
            </w:r>
            <w:r>
              <w:rPr>
                <w:rFonts w:hint="eastAsia" w:ascii="Times New Roman" w:hAnsi="Times New Roman" w:cs="Times New Roman"/>
                <w:b w:val="0"/>
                <w:color w:val="000000" w:themeColor="text1"/>
                <w:sz w:val="21"/>
                <w:szCs w:val="21"/>
                <w14:textFill>
                  <w14:solidFill>
                    <w14:schemeClr w14:val="tx1"/>
                  </w14:solidFill>
                </w14:textFill>
              </w:rPr>
              <w:t>《废弃井及长停井处置指南》（SY/T6646）</w:t>
            </w:r>
            <w:r>
              <w:rPr>
                <w:rFonts w:hint="eastAsia" w:ascii="Times New Roman" w:hAnsi="Times New Roman" w:cs="Times New Roman"/>
                <w:b w:val="0"/>
                <w:color w:val="000000" w:themeColor="text1"/>
                <w:sz w:val="21"/>
                <w:szCs w:val="21"/>
                <w:lang w:val="en-US"/>
                <w14:textFill>
                  <w14:solidFill>
                    <w14:schemeClr w14:val="tx1"/>
                  </w14:solidFill>
                </w14:textFill>
              </w:rPr>
              <w:t>和《陆上石油天然气开采业绿色矿山建设规范》（DZ/T0317-2018）中的要求。</w:t>
            </w:r>
          </w:p>
        </w:tc>
        <w:tc>
          <w:tcPr>
            <w:tcW w:w="890" w:type="dxa"/>
            <w:vAlign w:val="center"/>
          </w:tcPr>
          <w:p>
            <w:pPr>
              <w:pStyle w:val="39"/>
              <w:jc w:val="center"/>
              <w:rPr>
                <w:rFonts w:ascii="Times New Roman" w:hAnsi="Times New Roman" w:cs="Times New Roman"/>
                <w:b w:val="0"/>
                <w:color w:val="000000" w:themeColor="text1"/>
                <w:sz w:val="21"/>
                <w:szCs w:val="21"/>
                <w:lang w:val="en-US"/>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符合</w:t>
            </w:r>
          </w:p>
        </w:tc>
      </w:tr>
    </w:tbl>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2.8.2.</w:t>
      </w:r>
      <w:r>
        <w:rPr>
          <w:rFonts w:hint="eastAsia" w:ascii="Times New Roman" w:hAnsi="Times New Roman"/>
          <w:color w:val="000000" w:themeColor="text1"/>
          <w:sz w:val="28"/>
          <w:szCs w:val="28"/>
          <w:lang w:val="en-US" w:eastAsia="zh-CN"/>
          <w14:textFill>
            <w14:solidFill>
              <w14:schemeClr w14:val="tx1"/>
            </w14:solidFill>
          </w14:textFill>
        </w:rPr>
        <w:t>6</w:t>
      </w:r>
      <w:r>
        <w:rPr>
          <w:rFonts w:ascii="Times New Roman" w:hAnsi="Times New Roman"/>
          <w:color w:val="000000" w:themeColor="text1"/>
          <w:sz w:val="28"/>
          <w:szCs w:val="28"/>
          <w14:textFill>
            <w14:solidFill>
              <w14:schemeClr w14:val="tx1"/>
            </w14:solidFill>
          </w14:textFill>
        </w:rPr>
        <w:t>与《关于加强沙区建设项目环境影响评价工作的通知》（新环环评发〔2020〕138号）符合性分析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本项目与《关于加强沙区建设项目环境影响评价工作的通知》（新环环评发〔2020〕138号）中要求的相符性分析详见表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6</w:t>
      </w:r>
      <w:r>
        <w:rPr>
          <w:rFonts w:ascii="Times New Roman" w:hAnsi="Times New Roman" w:cs="Times New Roman"/>
          <w:color w:val="000000" w:themeColor="text1"/>
          <w:sz w:val="24"/>
          <w14:textFill>
            <w14:solidFill>
              <w14:schemeClr w14:val="tx1"/>
            </w14:solidFill>
          </w14:textFill>
        </w:rPr>
        <w:t>。</w:t>
      </w:r>
    </w:p>
    <w:p>
      <w:pPr>
        <w:pStyle w:val="43"/>
        <w:spacing w:line="360" w:lineRule="auto"/>
        <w:rPr>
          <w:color w:val="000000" w:themeColor="text1"/>
          <w:lang w:val="zh-CN"/>
          <w14:textFill>
            <w14:solidFill>
              <w14:schemeClr w14:val="tx1"/>
            </w14:solidFill>
          </w14:textFill>
        </w:rPr>
      </w:pPr>
      <w:r>
        <w:rPr>
          <w:color w:val="000000" w:themeColor="text1"/>
          <w:lang w:val="zh-CN"/>
          <w14:textFill>
            <w14:solidFill>
              <w14:schemeClr w14:val="tx1"/>
            </w14:solidFill>
          </w14:textFill>
        </w:rPr>
        <w:t>表</w:t>
      </w:r>
      <w:r>
        <w:rPr>
          <w:rFonts w:hint="eastAsia"/>
          <w:color w:val="000000" w:themeColor="text1"/>
          <w14:textFill>
            <w14:solidFill>
              <w14:schemeClr w14:val="tx1"/>
            </w14:solidFill>
          </w14:textFill>
        </w:rPr>
        <w:t>2.8</w:t>
      </w:r>
      <w:r>
        <w:rPr>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color w:val="000000" w:themeColor="text1"/>
          <w:lang w:val="zh-CN"/>
          <w14:textFill>
            <w14:solidFill>
              <w14:schemeClr w14:val="tx1"/>
            </w14:solidFill>
          </w14:textFill>
        </w:rPr>
        <w:t xml:space="preserve"> </w:t>
      </w:r>
      <w:r>
        <w:rPr>
          <w:color w:val="000000" w:themeColor="text1"/>
          <w14:textFill>
            <w14:solidFill>
              <w14:schemeClr w14:val="tx1"/>
            </w14:solidFill>
          </w14:textFill>
        </w:rPr>
        <w:t xml:space="preserve"> </w:t>
      </w:r>
      <w:r>
        <w:rPr>
          <w:color w:val="000000" w:themeColor="text1"/>
          <w:lang w:val="zh-CN"/>
          <w14:textFill>
            <w14:solidFill>
              <w14:schemeClr w14:val="tx1"/>
            </w14:solidFill>
          </w14:textFill>
        </w:rPr>
        <w:t>与《关于加强沙区建设项目环境影响评价工作的通知》相符性分析</w:t>
      </w:r>
    </w:p>
    <w:tbl>
      <w:tblPr>
        <w:tblStyle w:val="2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4331"/>
        <w:gridCol w:w="2884"/>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84"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序号</w:t>
            </w:r>
          </w:p>
        </w:tc>
        <w:tc>
          <w:tcPr>
            <w:tcW w:w="4331"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要求</w:t>
            </w:r>
          </w:p>
        </w:tc>
        <w:tc>
          <w:tcPr>
            <w:tcW w:w="2884"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w:t>
            </w:r>
          </w:p>
        </w:tc>
        <w:tc>
          <w:tcPr>
            <w:tcW w:w="820"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8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1</w:t>
            </w:r>
          </w:p>
        </w:tc>
        <w:tc>
          <w:tcPr>
            <w:tcW w:w="4331"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按照《中华人民共和国防沙治沙法》要求，加强涉及沙区的建设项目环评文件受理审查，对于没有防沙治沙内容的建设项目环评文件不予受理</w:t>
            </w:r>
          </w:p>
        </w:tc>
        <w:tc>
          <w:tcPr>
            <w:tcW w:w="288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本项目防沙治沙评价内容见</w:t>
            </w:r>
            <w:r>
              <w:rPr>
                <w:rFonts w:hint="eastAsia"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14:textFill>
                  <w14:solidFill>
                    <w14:schemeClr w14:val="tx1"/>
                  </w14:solidFill>
                </w14:textFill>
              </w:rPr>
              <w:t>6.</w:t>
            </w:r>
            <w:r>
              <w:rPr>
                <w:rFonts w:ascii="Times New Roman" w:hAnsi="Times New Roman" w:cs="Times New Roman"/>
                <w:b w:val="0"/>
                <w:bCs/>
                <w:color w:val="000000" w:themeColor="text1"/>
                <w:sz w:val="21"/>
                <w:szCs w:val="21"/>
                <w:lang w:val="en-US"/>
                <w14:textFill>
                  <w14:solidFill>
                    <w14:schemeClr w14:val="tx1"/>
                  </w14:solidFill>
                </w14:textFill>
              </w:rPr>
              <w:t>1</w:t>
            </w:r>
            <w:r>
              <w:rPr>
                <w:rFonts w:hint="eastAsia" w:ascii="Times New Roman" w:hAnsi="Times New Roman" w:cs="Times New Roman"/>
                <w:b w:val="0"/>
                <w:bCs/>
                <w:color w:val="000000" w:themeColor="text1"/>
                <w:sz w:val="21"/>
                <w:szCs w:val="21"/>
                <w:lang w:val="en-US"/>
                <w14:textFill>
                  <w14:solidFill>
                    <w14:schemeClr w14:val="tx1"/>
                  </w14:solidFill>
                </w14:textFill>
              </w:rPr>
              <w:t>1</w:t>
            </w:r>
            <w:r>
              <w:rPr>
                <w:rFonts w:hint="eastAsia"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14:textFill>
                  <w14:solidFill>
                    <w14:schemeClr w14:val="tx1"/>
                  </w14:solidFill>
                </w14:textFill>
              </w:rPr>
              <w:t>节。</w:t>
            </w:r>
          </w:p>
        </w:tc>
        <w:tc>
          <w:tcPr>
            <w:tcW w:w="82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8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2</w:t>
            </w:r>
          </w:p>
        </w:tc>
        <w:tc>
          <w:tcPr>
            <w:tcW w:w="4331"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对于受理的涉及沙区的建设项目环评文件，严格按照《环境影响评价技术导则 生态影响》（HJ19-20</w:t>
            </w:r>
            <w:r>
              <w:rPr>
                <w:rFonts w:ascii="Times New Roman" w:hAnsi="Times New Roman" w:cs="Times New Roman"/>
                <w:b w:val="0"/>
                <w:bCs/>
                <w:color w:val="000000" w:themeColor="text1"/>
                <w:sz w:val="21"/>
                <w:szCs w:val="21"/>
                <w:lang w:val="en-US"/>
                <w14:textFill>
                  <w14:solidFill>
                    <w14:schemeClr w14:val="tx1"/>
                  </w14:solidFill>
                </w14:textFill>
              </w:rPr>
              <w:t>22</w:t>
            </w:r>
            <w:r>
              <w:rPr>
                <w:rFonts w:ascii="Times New Roman" w:hAnsi="Times New Roman" w:cs="Times New Roman"/>
                <w:b w:val="0"/>
                <w:bCs/>
                <w:color w:val="000000" w:themeColor="text1"/>
                <w:sz w:val="21"/>
                <w:szCs w:val="21"/>
                <w14:textFill>
                  <w14:solidFill>
                    <w14:schemeClr w14:val="tx1"/>
                  </w14:solidFill>
                </w14:textFill>
              </w:rPr>
              <w:t>）要求，强化建设项目的环境可行性、环境影响分析预测评估的可靠性和防沙治沙生态环境保护措施的可行性、有效性评估。</w:t>
            </w:r>
          </w:p>
        </w:tc>
        <w:tc>
          <w:tcPr>
            <w:tcW w:w="2884" w:type="dxa"/>
            <w:vAlign w:val="center"/>
          </w:tcPr>
          <w:p>
            <w:pPr>
              <w:pStyle w:val="39"/>
              <w:jc w:val="center"/>
              <w:rPr>
                <w:rFonts w:ascii="Times New Roman" w:hAnsi="Times New Roman"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本项目按照《环境影响评价技术导则 生态影响》（HJ19-20</w:t>
            </w:r>
            <w:r>
              <w:rPr>
                <w:rFonts w:ascii="Times New Roman" w:hAnsi="Times New Roman" w:cs="Times New Roman"/>
                <w:b w:val="0"/>
                <w:bCs/>
                <w:color w:val="000000" w:themeColor="text1"/>
                <w:sz w:val="21"/>
                <w:szCs w:val="21"/>
                <w:lang w:val="en-US"/>
                <w14:textFill>
                  <w14:solidFill>
                    <w14:schemeClr w14:val="tx1"/>
                  </w14:solidFill>
                </w14:textFill>
              </w:rPr>
              <w:t>22</w:t>
            </w:r>
            <w:r>
              <w:rPr>
                <w:rFonts w:ascii="Times New Roman" w:hAnsi="Times New Roman" w:cs="Times New Roman"/>
                <w:b w:val="0"/>
                <w:bCs/>
                <w:color w:val="000000" w:themeColor="text1"/>
                <w:sz w:val="21"/>
                <w:szCs w:val="21"/>
                <w14:textFill>
                  <w14:solidFill>
                    <w14:schemeClr w14:val="tx1"/>
                  </w14:solidFill>
                </w14:textFill>
              </w:rPr>
              <w:t>）要求进行生态环境影响分析和环境保护措施分析见</w:t>
            </w:r>
            <w:r>
              <w:rPr>
                <w:rFonts w:hint="eastAsia"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lang w:val="en-US"/>
                <w14:textFill>
                  <w14:solidFill>
                    <w14:schemeClr w14:val="tx1"/>
                  </w14:solidFill>
                </w14:textFill>
              </w:rPr>
              <w:t>5</w:t>
            </w:r>
            <w:r>
              <w:rPr>
                <w:rFonts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lang w:val="en-US"/>
                <w14:textFill>
                  <w14:solidFill>
                    <w14:schemeClr w14:val="tx1"/>
                  </w14:solidFill>
                </w14:textFill>
              </w:rPr>
              <w:t>7</w:t>
            </w:r>
            <w:r>
              <w:rPr>
                <w:rFonts w:hint="eastAsia"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14:textFill>
                  <w14:solidFill>
                    <w14:schemeClr w14:val="tx1"/>
                  </w14:solidFill>
                </w14:textFill>
              </w:rPr>
              <w:t>节和</w:t>
            </w:r>
            <w:r>
              <w:rPr>
                <w:rFonts w:hint="eastAsia"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14:textFill>
                  <w14:solidFill>
                    <w14:schemeClr w14:val="tx1"/>
                  </w14:solidFill>
                </w14:textFill>
              </w:rPr>
              <w:t>6.</w:t>
            </w:r>
            <w:r>
              <w:rPr>
                <w:rFonts w:ascii="Times New Roman" w:hAnsi="Times New Roman" w:cs="Times New Roman"/>
                <w:b w:val="0"/>
                <w:bCs/>
                <w:color w:val="000000" w:themeColor="text1"/>
                <w:sz w:val="21"/>
                <w:szCs w:val="21"/>
                <w:lang w:val="en-US"/>
                <w14:textFill>
                  <w14:solidFill>
                    <w14:schemeClr w14:val="tx1"/>
                  </w14:solidFill>
                </w14:textFill>
              </w:rPr>
              <w:t>7</w:t>
            </w:r>
            <w:r>
              <w:rPr>
                <w:rFonts w:hint="eastAsia"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14:textFill>
                  <w14:solidFill>
                    <w14:schemeClr w14:val="tx1"/>
                  </w14:solidFill>
                </w14:textFill>
              </w:rPr>
              <w:t>节。</w:t>
            </w:r>
          </w:p>
        </w:tc>
        <w:tc>
          <w:tcPr>
            <w:tcW w:w="82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8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3</w:t>
            </w:r>
          </w:p>
        </w:tc>
        <w:tc>
          <w:tcPr>
            <w:tcW w:w="4331"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对于位于沙化土地封禁保护区范围内或者超过生态环境承载能力或对沙区生态环境可能造成重大影响的建设项目，不予批准其环评文件，从源头预防环境污染和生态破坏。</w:t>
            </w:r>
          </w:p>
        </w:tc>
        <w:tc>
          <w:tcPr>
            <w:tcW w:w="288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根据《新疆维吾尔自治区级水土流失两区复核划分成果的通知》（新水〔2019〕4号），项目区属于</w:t>
            </w:r>
            <w:r>
              <w:rPr>
                <w:rFonts w:hint="eastAsia"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14:textFill>
                  <w14:solidFill>
                    <w14:schemeClr w14:val="tx1"/>
                  </w14:solidFill>
                </w14:textFill>
              </w:rPr>
              <w:t>Ⅱ2天山北坡诸小河流域重点治理区</w:t>
            </w:r>
            <w:r>
              <w:rPr>
                <w:rFonts w:hint="eastAsia"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14:textFill>
                  <w14:solidFill>
                    <w14:schemeClr w14:val="tx1"/>
                  </w14:solidFill>
                </w14:textFill>
              </w:rPr>
              <w:t>，施工期和运营期拟采取有效的生态保护、生态恢复和防沙治沙、水土保持措施。</w:t>
            </w:r>
          </w:p>
        </w:tc>
        <w:tc>
          <w:tcPr>
            <w:tcW w:w="82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相符</w:t>
            </w:r>
          </w:p>
        </w:tc>
      </w:tr>
    </w:tbl>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2.8.2.</w:t>
      </w:r>
      <w:r>
        <w:rPr>
          <w:rFonts w:hint="eastAsia" w:ascii="Times New Roman" w:hAnsi="Times New Roman"/>
          <w:color w:val="000000" w:themeColor="text1"/>
          <w:sz w:val="28"/>
          <w:szCs w:val="28"/>
          <w:lang w:val="en-US" w:eastAsia="zh-CN"/>
          <w14:textFill>
            <w14:solidFill>
              <w14:schemeClr w14:val="tx1"/>
            </w14:solidFill>
          </w14:textFill>
        </w:rPr>
        <w:t>7</w:t>
      </w:r>
      <w:r>
        <w:rPr>
          <w:rFonts w:ascii="Times New Roman" w:hAnsi="Times New Roman"/>
          <w:color w:val="000000" w:themeColor="text1"/>
          <w:sz w:val="28"/>
          <w:szCs w:val="28"/>
          <w14:textFill>
            <w14:solidFill>
              <w14:schemeClr w14:val="tx1"/>
            </w14:solidFill>
          </w14:textFill>
        </w:rPr>
        <w:t>与《陆上石油天然气开采工业大气污染物排放标准》（GB39728-2020）符合性分析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本项目运营期采取的各项环保措施与《陆上石油天然气开采工业大气污染物排放标准》（GB39728-2020）中要求的相符性分析详见表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7</w:t>
      </w:r>
      <w:r>
        <w:rPr>
          <w:rFonts w:ascii="Times New Roman" w:hAnsi="Times New Roman" w:cs="Times New Roman"/>
          <w:color w:val="000000" w:themeColor="text1"/>
          <w:sz w:val="24"/>
          <w14:textFill>
            <w14:solidFill>
              <w14:schemeClr w14:val="tx1"/>
            </w14:solidFill>
          </w14:textFill>
        </w:rPr>
        <w:t>。</w:t>
      </w:r>
    </w:p>
    <w:p>
      <w:pPr>
        <w:pStyle w:val="43"/>
        <w:spacing w:line="360" w:lineRule="auto"/>
        <w:rPr>
          <w:color w:val="000000" w:themeColor="text1"/>
          <w:lang w:val="zh-CN"/>
          <w14:textFill>
            <w14:solidFill>
              <w14:schemeClr w14:val="tx1"/>
            </w14:solidFill>
          </w14:textFill>
        </w:rPr>
      </w:pPr>
      <w:r>
        <w:rPr>
          <w:color w:val="000000" w:themeColor="text1"/>
          <w:lang w:val="zh-CN"/>
          <w14:textFill>
            <w14:solidFill>
              <w14:schemeClr w14:val="tx1"/>
            </w14:solidFill>
          </w14:textFill>
        </w:rPr>
        <w:t>表</w:t>
      </w:r>
      <w:r>
        <w:rPr>
          <w:rFonts w:hint="eastAsia"/>
          <w:color w:val="000000" w:themeColor="text1"/>
          <w14:textFill>
            <w14:solidFill>
              <w14:schemeClr w14:val="tx1"/>
            </w14:solidFill>
          </w14:textFill>
        </w:rPr>
        <w:t>2.8</w:t>
      </w:r>
      <w:r>
        <w:rPr>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 xml:space="preserve"> </w:t>
      </w:r>
      <w:r>
        <w:rPr>
          <w:color w:val="000000" w:themeColor="text1"/>
          <w:lang w:val="zh-CN"/>
          <w14:textFill>
            <w14:solidFill>
              <w14:schemeClr w14:val="tx1"/>
            </w14:solidFill>
          </w14:textFill>
        </w:rPr>
        <w:t xml:space="preserve"> 与《陆上石油天然气开采工业大气污染物排放标准》的相符性分析</w:t>
      </w:r>
    </w:p>
    <w:tbl>
      <w:tblPr>
        <w:tblStyle w:val="2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4107"/>
        <w:gridCol w:w="3108"/>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84"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序号</w:t>
            </w:r>
          </w:p>
        </w:tc>
        <w:tc>
          <w:tcPr>
            <w:tcW w:w="4107"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陆上石油天然气开采工业大气污染物排放标准中要求</w:t>
            </w:r>
          </w:p>
        </w:tc>
        <w:tc>
          <w:tcPr>
            <w:tcW w:w="3108"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w:t>
            </w:r>
          </w:p>
        </w:tc>
        <w:tc>
          <w:tcPr>
            <w:tcW w:w="820"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8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1</w:t>
            </w:r>
          </w:p>
        </w:tc>
        <w:tc>
          <w:tcPr>
            <w:tcW w:w="410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油气田采出水、原油稳定装置污水、天然气凝液及其产品储罐排水、原油储罐排水应采用密闭管道集输，接入口和排出口采取与环境空气隔离的措施。</w:t>
            </w:r>
          </w:p>
        </w:tc>
        <w:tc>
          <w:tcPr>
            <w:tcW w:w="3108" w:type="dxa"/>
            <w:vMerge w:val="restart"/>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lang w:val="en-US"/>
                <w14:textFill>
                  <w14:solidFill>
                    <w14:schemeClr w14:val="tx1"/>
                  </w14:solidFill>
                </w14:textFill>
              </w:rPr>
              <w:t>本项目油气集输均采用密闭管输工艺，采油井→计量站→陆梁集中处理站的集输工艺流程。接入口和排出口采取与环境空气隔离的措施。</w:t>
            </w:r>
          </w:p>
        </w:tc>
        <w:tc>
          <w:tcPr>
            <w:tcW w:w="82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8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2</w:t>
            </w:r>
          </w:p>
        </w:tc>
        <w:tc>
          <w:tcPr>
            <w:tcW w:w="410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在气田内将气井采出的井产物进行汇集、处理、输送的全过程应采用密闭工艺流程</w:t>
            </w:r>
          </w:p>
        </w:tc>
        <w:tc>
          <w:tcPr>
            <w:tcW w:w="3108" w:type="dxa"/>
            <w:vMerge w:val="continue"/>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p>
        </w:tc>
        <w:tc>
          <w:tcPr>
            <w:tcW w:w="82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84"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3</w:t>
            </w:r>
          </w:p>
        </w:tc>
        <w:tc>
          <w:tcPr>
            <w:tcW w:w="410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油气集中处理站、涉及凝析油或天然气凝液的天然气处理厂、储油库边界非甲烷总烃浓度不应超过4.0mg/m</w:t>
            </w:r>
            <w:r>
              <w:rPr>
                <w:rFonts w:ascii="Times New Roman" w:hAnsi="Times New Roman" w:cs="Times New Roman"/>
                <w:b w:val="0"/>
                <w:bCs/>
                <w:color w:val="000000" w:themeColor="text1"/>
                <w:sz w:val="21"/>
                <w:szCs w:val="21"/>
                <w:vertAlign w:val="superscript"/>
                <w14:textFill>
                  <w14:solidFill>
                    <w14:schemeClr w14:val="tx1"/>
                  </w14:solidFill>
                </w14:textFill>
              </w:rPr>
              <w:t>3</w:t>
            </w:r>
            <w:r>
              <w:rPr>
                <w:rFonts w:ascii="Times New Roman" w:hAnsi="Times New Roman" w:cs="Times New Roman"/>
                <w:b w:val="0"/>
                <w:bCs/>
                <w:color w:val="000000" w:themeColor="text1"/>
                <w:sz w:val="21"/>
                <w:szCs w:val="21"/>
                <w14:textFill>
                  <w14:solidFill>
                    <w14:schemeClr w14:val="tx1"/>
                  </w14:solidFill>
                </w14:textFill>
              </w:rPr>
              <w:t>。</w:t>
            </w:r>
          </w:p>
        </w:tc>
        <w:tc>
          <w:tcPr>
            <w:tcW w:w="3108"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本项目依托</w:t>
            </w:r>
            <w:r>
              <w:rPr>
                <w:rFonts w:ascii="Times New Roman" w:hAnsi="Times New Roman" w:cs="Times New Roman"/>
                <w:b w:val="0"/>
                <w:bCs/>
                <w:color w:val="000000" w:themeColor="text1"/>
                <w:sz w:val="21"/>
                <w:szCs w:val="21"/>
                <w:lang w:val="en-US"/>
                <w14:textFill>
                  <w14:solidFill>
                    <w14:schemeClr w14:val="tx1"/>
                  </w14:solidFill>
                </w14:textFill>
              </w:rPr>
              <w:t>陆梁集中处理站</w:t>
            </w:r>
            <w:r>
              <w:rPr>
                <w:rFonts w:ascii="Times New Roman" w:hAnsi="Times New Roman" w:cs="Times New Roman"/>
                <w:b w:val="0"/>
                <w:bCs/>
                <w:color w:val="000000" w:themeColor="text1"/>
                <w:sz w:val="21"/>
                <w:szCs w:val="21"/>
                <w14:textFill>
                  <w14:solidFill>
                    <w14:schemeClr w14:val="tx1"/>
                  </w14:solidFill>
                </w14:textFill>
              </w:rPr>
              <w:t>处理，在加强运营期管理等措施情况下，厂界非甲烷总烃可满足标准限值。</w:t>
            </w:r>
          </w:p>
        </w:tc>
        <w:tc>
          <w:tcPr>
            <w:tcW w:w="820"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相符</w:t>
            </w:r>
          </w:p>
        </w:tc>
      </w:tr>
    </w:tbl>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2.8.2.</w:t>
      </w:r>
      <w:r>
        <w:rPr>
          <w:rFonts w:hint="eastAsia" w:ascii="Times New Roman" w:hAnsi="Times New Roman"/>
          <w:color w:val="000000" w:themeColor="text1"/>
          <w:sz w:val="28"/>
          <w:szCs w:val="28"/>
          <w:lang w:val="en-US" w:eastAsia="zh-CN"/>
          <w14:textFill>
            <w14:solidFill>
              <w14:schemeClr w14:val="tx1"/>
            </w14:solidFill>
          </w14:textFill>
        </w:rPr>
        <w:t>8</w:t>
      </w:r>
      <w:r>
        <w:rPr>
          <w:rFonts w:ascii="Times New Roman" w:hAnsi="Times New Roman"/>
          <w:color w:val="000000" w:themeColor="text1"/>
          <w:sz w:val="28"/>
          <w:szCs w:val="28"/>
          <w14:textFill>
            <w14:solidFill>
              <w14:schemeClr w14:val="tx1"/>
            </w14:solidFill>
          </w14:textFill>
        </w:rPr>
        <w:t>与《挥发性有机物（VOCs）污染防治技术政策》相符性分析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本项目与《挥发性有机物（VOCs）污染防治技术政策》（公告2013年</w:t>
      </w:r>
      <w:r>
        <w:rPr>
          <w:rFonts w:hint="eastAsia" w:ascii="Times New Roman" w:hAnsi="Times New Roman" w:cs="Times New Roman"/>
          <w:color w:val="000000" w:themeColor="text1"/>
          <w:sz w:val="24"/>
          <w14:textFill>
            <w14:solidFill>
              <w14:schemeClr w14:val="tx1"/>
            </w14:solidFill>
          </w14:textFill>
        </w:rPr>
        <w:t>第</w:t>
      </w:r>
      <w:r>
        <w:rPr>
          <w:rFonts w:ascii="Times New Roman" w:hAnsi="Times New Roman" w:cs="Times New Roman"/>
          <w:color w:val="000000" w:themeColor="text1"/>
          <w:sz w:val="24"/>
          <w14:textFill>
            <w14:solidFill>
              <w14:schemeClr w14:val="tx1"/>
            </w14:solidFill>
          </w14:textFill>
        </w:rPr>
        <w:t>21号）中要求的相符性分析见表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8</w:t>
      </w:r>
      <w:r>
        <w:rPr>
          <w:rFonts w:ascii="Times New Roman" w:hAnsi="Times New Roman" w:cs="Times New Roman"/>
          <w:color w:val="000000" w:themeColor="text1"/>
          <w:sz w:val="24"/>
          <w14:textFill>
            <w14:solidFill>
              <w14:schemeClr w14:val="tx1"/>
            </w14:solidFill>
          </w14:textFill>
        </w:rPr>
        <w:t>。</w:t>
      </w:r>
    </w:p>
    <w:p>
      <w:pPr>
        <w:pStyle w:val="43"/>
        <w:spacing w:line="360" w:lineRule="auto"/>
        <w:rPr>
          <w:color w:val="000000" w:themeColor="text1"/>
          <w:lang w:val="zh-CN"/>
          <w14:textFill>
            <w14:solidFill>
              <w14:schemeClr w14:val="tx1"/>
            </w14:solidFill>
          </w14:textFill>
        </w:rPr>
      </w:pPr>
      <w:r>
        <w:rPr>
          <w:color w:val="000000" w:themeColor="text1"/>
          <w:lang w:val="zh-CN"/>
          <w14:textFill>
            <w14:solidFill>
              <w14:schemeClr w14:val="tx1"/>
            </w14:solidFill>
          </w14:textFill>
        </w:rPr>
        <w:t>表</w:t>
      </w:r>
      <w:r>
        <w:rPr>
          <w:rFonts w:hint="eastAsia"/>
          <w:color w:val="000000" w:themeColor="text1"/>
          <w14:textFill>
            <w14:solidFill>
              <w14:schemeClr w14:val="tx1"/>
            </w14:solidFill>
          </w14:textFill>
        </w:rPr>
        <w:t>2.8</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 xml:space="preserve">8 </w:t>
      </w:r>
      <w:r>
        <w:rPr>
          <w:color w:val="000000" w:themeColor="text1"/>
          <w:lang w:val="zh-CN"/>
          <w14:textFill>
            <w14:solidFill>
              <w14:schemeClr w14:val="tx1"/>
            </w14:solidFill>
          </w14:textFill>
        </w:rPr>
        <w:t xml:space="preserve"> 与</w:t>
      </w:r>
      <w:r>
        <w:rPr>
          <w:color w:val="000000" w:themeColor="text1"/>
          <w14:textFill>
            <w14:solidFill>
              <w14:schemeClr w14:val="tx1"/>
            </w14:solidFill>
          </w14:textFill>
        </w:rPr>
        <w:t>《挥发性有机物（VOCs）污染防治技术政策》</w:t>
      </w:r>
      <w:r>
        <w:rPr>
          <w:color w:val="000000" w:themeColor="text1"/>
          <w:lang w:val="zh-CN"/>
          <w14:textFill>
            <w14:solidFill>
              <w14:schemeClr w14:val="tx1"/>
            </w14:solidFill>
          </w14:textFill>
        </w:rPr>
        <w:t>相符性分析</w:t>
      </w:r>
    </w:p>
    <w:tbl>
      <w:tblPr>
        <w:tblStyle w:val="23"/>
        <w:tblW w:w="8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519"/>
        <w:gridCol w:w="4237"/>
        <w:gridCol w:w="2849"/>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tblHeader/>
          <w:jc w:val="center"/>
        </w:trPr>
        <w:tc>
          <w:tcPr>
            <w:tcW w:w="519"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序号</w:t>
            </w:r>
          </w:p>
        </w:tc>
        <w:tc>
          <w:tcPr>
            <w:tcW w:w="4237"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要求</w:t>
            </w:r>
          </w:p>
        </w:tc>
        <w:tc>
          <w:tcPr>
            <w:tcW w:w="2849"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w:t>
            </w:r>
          </w:p>
        </w:tc>
        <w:tc>
          <w:tcPr>
            <w:tcW w:w="812"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jc w:val="center"/>
        </w:trPr>
        <w:tc>
          <w:tcPr>
            <w:tcW w:w="519" w:type="dxa"/>
            <w:vAlign w:val="center"/>
          </w:tcPr>
          <w:p>
            <w:pPr>
              <w:pStyle w:val="39"/>
              <w:jc w:val="cente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1</w:t>
            </w:r>
          </w:p>
        </w:tc>
        <w:tc>
          <w:tcPr>
            <w:tcW w:w="423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对生产装置排放的含VOCs工艺排气宜优先回收利用，不能（或不能完全）回收利用的经处理后达标排放；应急情况下的泄放气可导入燃烧塔（火炬），经过充分燃烧后排放。</w:t>
            </w:r>
          </w:p>
        </w:tc>
        <w:tc>
          <w:tcPr>
            <w:tcW w:w="2849"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本项目</w:t>
            </w:r>
            <w:r>
              <w:rPr>
                <w:rFonts w:ascii="Times New Roman" w:hAnsi="Times New Roman" w:cs="Times New Roman"/>
                <w:b w:val="0"/>
                <w:bCs/>
                <w:color w:val="000000" w:themeColor="text1"/>
                <w:sz w:val="21"/>
                <w:szCs w:val="21"/>
                <w:lang w:val="en-US"/>
                <w14:textFill>
                  <w14:solidFill>
                    <w14:schemeClr w14:val="tx1"/>
                  </w14:solidFill>
                </w14:textFill>
              </w:rPr>
              <w:t>采用密闭集输工艺。</w:t>
            </w:r>
          </w:p>
        </w:tc>
        <w:tc>
          <w:tcPr>
            <w:tcW w:w="812"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jc w:val="center"/>
        </w:trPr>
        <w:tc>
          <w:tcPr>
            <w:tcW w:w="519" w:type="dxa"/>
            <w:vAlign w:val="center"/>
          </w:tcPr>
          <w:p>
            <w:pPr>
              <w:pStyle w:val="39"/>
              <w:jc w:val="cente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2</w:t>
            </w:r>
          </w:p>
        </w:tc>
        <w:tc>
          <w:tcPr>
            <w:tcW w:w="423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废水收集和处理过程产生的含VOCs废气经收集处理后达标排放</w:t>
            </w:r>
          </w:p>
        </w:tc>
        <w:tc>
          <w:tcPr>
            <w:tcW w:w="2849"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本项目</w:t>
            </w:r>
            <w:r>
              <w:rPr>
                <w:rFonts w:ascii="Times New Roman" w:hAnsi="Times New Roman" w:cs="Times New Roman"/>
                <w:b w:val="0"/>
                <w:bCs/>
                <w:color w:val="000000" w:themeColor="text1"/>
                <w:sz w:val="21"/>
                <w:szCs w:val="21"/>
                <w:lang w:val="en-US"/>
                <w14:textFill>
                  <w14:solidFill>
                    <w14:schemeClr w14:val="tx1"/>
                  </w14:solidFill>
                </w14:textFill>
              </w:rPr>
              <w:t>采用密闭集输工艺，</w:t>
            </w:r>
            <w:r>
              <w:rPr>
                <w:rFonts w:ascii="Times New Roman" w:hAnsi="Times New Roman" w:cs="Times New Roman"/>
                <w:b w:val="0"/>
                <w:bCs/>
                <w:color w:val="000000" w:themeColor="text1"/>
                <w:sz w:val="21"/>
                <w:szCs w:val="21"/>
                <w14:textFill>
                  <w14:solidFill>
                    <w14:schemeClr w14:val="tx1"/>
                  </w14:solidFill>
                </w14:textFill>
              </w:rPr>
              <w:t>采出水通过陆梁集中处理站污水处理系统处理达标后，</w:t>
            </w:r>
            <w:r>
              <w:rPr>
                <w:rFonts w:ascii="Times New Roman" w:hAnsi="Times New Roman" w:cs="Times New Roman"/>
                <w:b w:val="0"/>
                <w:bCs/>
                <w:color w:val="000000" w:themeColor="text1"/>
                <w:sz w:val="21"/>
                <w:szCs w:val="21"/>
                <w:lang w:val="en-US"/>
                <w14:textFill>
                  <w14:solidFill>
                    <w14:schemeClr w14:val="tx1"/>
                  </w14:solidFill>
                </w14:textFill>
              </w:rPr>
              <w:t>回注油藏，不外排</w:t>
            </w:r>
            <w:r>
              <w:rPr>
                <w:rFonts w:ascii="Times New Roman" w:hAnsi="Times New Roman" w:cs="Times New Roman"/>
                <w:b w:val="0"/>
                <w:bCs/>
                <w:color w:val="000000" w:themeColor="text1"/>
                <w:sz w:val="21"/>
                <w:szCs w:val="21"/>
                <w14:textFill>
                  <w14:solidFill>
                    <w14:schemeClr w14:val="tx1"/>
                  </w14:solidFill>
                </w14:textFill>
              </w:rPr>
              <w:t>。</w:t>
            </w:r>
          </w:p>
        </w:tc>
        <w:tc>
          <w:tcPr>
            <w:tcW w:w="812"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jc w:val="center"/>
        </w:trPr>
        <w:tc>
          <w:tcPr>
            <w:tcW w:w="519" w:type="dxa"/>
            <w:vAlign w:val="center"/>
          </w:tcPr>
          <w:p>
            <w:pPr>
              <w:pStyle w:val="39"/>
              <w:jc w:val="center"/>
              <w:rPr>
                <w:rFonts w:hint="eastAsia" w:ascii="Times New Roman" w:hAnsi="Times New Roman" w:cs="Times New Roman" w:eastAsiaTheme="minorEastAsia"/>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3</w:t>
            </w:r>
          </w:p>
        </w:tc>
        <w:tc>
          <w:tcPr>
            <w:tcW w:w="423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企业应建立健全VOCs治理设施的运行维护规程和台账等日常管理制度，并根据工艺要求定期对各类设备、电气、自控仪表等进行检修维护，确保设施的稳定运行。</w:t>
            </w:r>
          </w:p>
        </w:tc>
        <w:tc>
          <w:tcPr>
            <w:tcW w:w="2849"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建设单位需制定设施的运行维护规程和台账，并定期对设备、电器、自控仪表进行检修。</w:t>
            </w:r>
          </w:p>
        </w:tc>
        <w:tc>
          <w:tcPr>
            <w:tcW w:w="812"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相符</w:t>
            </w:r>
          </w:p>
        </w:tc>
      </w:tr>
    </w:tbl>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2.8.2.</w:t>
      </w:r>
      <w:r>
        <w:rPr>
          <w:rFonts w:hint="eastAsia" w:ascii="Times New Roman" w:hAnsi="Times New Roman"/>
          <w:color w:val="000000" w:themeColor="text1"/>
          <w:sz w:val="28"/>
          <w:szCs w:val="28"/>
          <w:lang w:val="en-US" w:eastAsia="zh-CN"/>
          <w14:textFill>
            <w14:solidFill>
              <w14:schemeClr w14:val="tx1"/>
            </w14:solidFill>
          </w14:textFill>
        </w:rPr>
        <w:t>9</w:t>
      </w:r>
      <w:r>
        <w:rPr>
          <w:rFonts w:ascii="Times New Roman" w:hAnsi="Times New Roman"/>
          <w:color w:val="000000" w:themeColor="text1"/>
          <w:sz w:val="28"/>
          <w:szCs w:val="28"/>
          <w14:textFill>
            <w14:solidFill>
              <w14:schemeClr w14:val="tx1"/>
            </w14:solidFill>
          </w14:textFill>
        </w:rPr>
        <w:t>与《关于加快解决当前挥发性有机物治理突出问题的通知》相符性分析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本项目与《关于加快解决当前挥发性有机物治理突出问题的通知》（环大气</w:t>
      </w:r>
      <w:r>
        <w:rPr>
          <w:rFonts w:ascii="Times New Roman" w:hAnsi="Times New Roman" w:eastAsia="宋体" w:cs="Times New Roman"/>
          <w:color w:val="000000" w:themeColor="text1"/>
          <w:sz w:val="24"/>
          <w14:textFill>
            <w14:solidFill>
              <w14:schemeClr w14:val="tx1"/>
            </w14:solidFill>
          </w14:textFill>
        </w:rPr>
        <w:t>〔2021〕</w:t>
      </w:r>
      <w:r>
        <w:rPr>
          <w:rFonts w:ascii="Times New Roman" w:hAnsi="Times New Roman" w:cs="Times New Roman"/>
          <w:color w:val="000000" w:themeColor="text1"/>
          <w:sz w:val="24"/>
          <w14:textFill>
            <w14:solidFill>
              <w14:schemeClr w14:val="tx1"/>
            </w14:solidFill>
          </w14:textFill>
        </w:rPr>
        <w:t>65号）中要求的相符性分析见表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9</w:t>
      </w:r>
      <w:r>
        <w:rPr>
          <w:rFonts w:ascii="Times New Roman" w:hAnsi="Times New Roman" w:cs="Times New Roman"/>
          <w:color w:val="000000" w:themeColor="text1"/>
          <w:sz w:val="24"/>
          <w14:textFill>
            <w14:solidFill>
              <w14:schemeClr w14:val="tx1"/>
            </w14:solidFill>
          </w14:textFill>
        </w:rPr>
        <w:t>。</w:t>
      </w:r>
    </w:p>
    <w:p>
      <w:pPr>
        <w:pStyle w:val="43"/>
        <w:spacing w:line="360" w:lineRule="auto"/>
        <w:rPr>
          <w:color w:val="000000" w:themeColor="text1"/>
          <w:lang w:val="zh-CN"/>
          <w14:textFill>
            <w14:solidFill>
              <w14:schemeClr w14:val="tx1"/>
            </w14:solidFill>
          </w14:textFill>
        </w:rPr>
      </w:pPr>
      <w:r>
        <w:rPr>
          <w:color w:val="000000" w:themeColor="text1"/>
          <w:lang w:val="zh-CN"/>
          <w14:textFill>
            <w14:solidFill>
              <w14:schemeClr w14:val="tx1"/>
            </w14:solidFill>
          </w14:textFill>
        </w:rPr>
        <w:t>表</w:t>
      </w:r>
      <w:r>
        <w:rPr>
          <w:rFonts w:hint="eastAsia"/>
          <w:color w:val="000000" w:themeColor="text1"/>
          <w14:textFill>
            <w14:solidFill>
              <w14:schemeClr w14:val="tx1"/>
            </w14:solidFill>
          </w14:textFill>
        </w:rPr>
        <w:t>2.8</w:t>
      </w:r>
      <w:r>
        <w:rPr>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 xml:space="preserve"> </w:t>
      </w:r>
      <w:r>
        <w:rPr>
          <w:color w:val="000000" w:themeColor="text1"/>
          <w:lang w:val="zh-CN"/>
          <w14:textFill>
            <w14:solidFill>
              <w14:schemeClr w14:val="tx1"/>
            </w14:solidFill>
          </w14:textFill>
        </w:rPr>
        <w:t xml:space="preserve"> 与《</w:t>
      </w:r>
      <w:r>
        <w:rPr>
          <w:color w:val="000000" w:themeColor="text1"/>
          <w14:textFill>
            <w14:solidFill>
              <w14:schemeClr w14:val="tx1"/>
            </w14:solidFill>
          </w14:textFill>
        </w:rPr>
        <w:t>关于加快解决当前挥发性有机物治理突出问题的通知</w:t>
      </w:r>
      <w:r>
        <w:rPr>
          <w:color w:val="000000" w:themeColor="text1"/>
          <w:lang w:val="zh-CN"/>
          <w14:textFill>
            <w14:solidFill>
              <w14:schemeClr w14:val="tx1"/>
            </w14:solidFill>
          </w14:textFill>
        </w:rPr>
        <w:t>》相符性分析</w:t>
      </w:r>
    </w:p>
    <w:tbl>
      <w:tblPr>
        <w:tblStyle w:val="23"/>
        <w:tblW w:w="8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567"/>
        <w:gridCol w:w="3513"/>
        <w:gridCol w:w="3525"/>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tblHeader/>
          <w:jc w:val="center"/>
        </w:trPr>
        <w:tc>
          <w:tcPr>
            <w:tcW w:w="567"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序号</w:t>
            </w:r>
          </w:p>
        </w:tc>
        <w:tc>
          <w:tcPr>
            <w:tcW w:w="3513"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要求</w:t>
            </w:r>
          </w:p>
        </w:tc>
        <w:tc>
          <w:tcPr>
            <w:tcW w:w="3525"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本项目</w:t>
            </w:r>
          </w:p>
        </w:tc>
        <w:tc>
          <w:tcPr>
            <w:tcW w:w="812"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12" w:hRule="atLeast"/>
          <w:jc w:val="center"/>
        </w:trPr>
        <w:tc>
          <w:tcPr>
            <w:tcW w:w="56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1</w:t>
            </w:r>
          </w:p>
        </w:tc>
        <w:tc>
          <w:tcPr>
            <w:tcW w:w="3513"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对在用泵、备用泵、调节阀、搅拌器、开口管线等密封点加强巡检。</w:t>
            </w:r>
          </w:p>
        </w:tc>
        <w:tc>
          <w:tcPr>
            <w:tcW w:w="352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建设单位对管道、阀门、机械设备等进行定期检修，防止跑冒滴漏等情况产生。</w:t>
            </w:r>
          </w:p>
        </w:tc>
        <w:tc>
          <w:tcPr>
            <w:tcW w:w="81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jc w:val="center"/>
        </w:trPr>
        <w:tc>
          <w:tcPr>
            <w:tcW w:w="56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2</w:t>
            </w:r>
          </w:p>
        </w:tc>
        <w:tc>
          <w:tcPr>
            <w:tcW w:w="3513"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产生VOCs的生产环节优先采用密闭设备、在密闭空间中操作或采用全密闭集气罩收集方式，并保持负压运行。</w:t>
            </w:r>
          </w:p>
        </w:tc>
        <w:tc>
          <w:tcPr>
            <w:tcW w:w="352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本项目的采出液采用密闭集输的方式进入陆梁集中处理站，可有效减少挥发性有机气体的排放。</w:t>
            </w:r>
          </w:p>
        </w:tc>
        <w:tc>
          <w:tcPr>
            <w:tcW w:w="81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jc w:val="center"/>
        </w:trPr>
        <w:tc>
          <w:tcPr>
            <w:tcW w:w="56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3</w:t>
            </w:r>
          </w:p>
        </w:tc>
        <w:tc>
          <w:tcPr>
            <w:tcW w:w="3513"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阀门腐蚀、损坏后应及时更换，鼓励选用泄漏率小于0.5%的阀门。</w:t>
            </w:r>
          </w:p>
        </w:tc>
        <w:tc>
          <w:tcPr>
            <w:tcW w:w="352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建设单位使用的是泄漏率小于0.5%的阀门，并对管道、阀门进行定期检查，对腐蚀、损坏进行及时更换。</w:t>
            </w:r>
          </w:p>
        </w:tc>
        <w:tc>
          <w:tcPr>
            <w:tcW w:w="81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jc w:val="center"/>
        </w:trPr>
        <w:tc>
          <w:tcPr>
            <w:tcW w:w="56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4</w:t>
            </w:r>
          </w:p>
        </w:tc>
        <w:tc>
          <w:tcPr>
            <w:tcW w:w="3513"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石化、化工企业应加强可燃性气体的回收，火炬燃烧装置一般只用于应急处置，不作为日常大气污染治理设施。</w:t>
            </w:r>
          </w:p>
        </w:tc>
        <w:tc>
          <w:tcPr>
            <w:tcW w:w="352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本项目</w:t>
            </w:r>
            <w:r>
              <w:rPr>
                <w:rFonts w:ascii="Times New Roman" w:hAnsi="Times New Roman" w:cs="Times New Roman"/>
                <w:b w:val="0"/>
                <w:color w:val="000000" w:themeColor="text1"/>
                <w:sz w:val="21"/>
                <w:szCs w:val="21"/>
                <w:lang w:val="en-US"/>
                <w14:textFill>
                  <w14:solidFill>
                    <w14:schemeClr w14:val="tx1"/>
                  </w14:solidFill>
                </w14:textFill>
              </w:rPr>
              <w:t>属于油气开采项目，不属于石化、化工企业，</w:t>
            </w:r>
            <w:r>
              <w:rPr>
                <w:rFonts w:ascii="Times New Roman" w:hAnsi="Times New Roman" w:cs="Times New Roman"/>
                <w:b w:val="0"/>
                <w:color w:val="000000" w:themeColor="text1"/>
                <w:sz w:val="21"/>
                <w:szCs w:val="21"/>
                <w14:textFill>
                  <w14:solidFill>
                    <w14:schemeClr w14:val="tx1"/>
                  </w14:solidFill>
                </w14:textFill>
              </w:rPr>
              <w:t>本项目</w:t>
            </w:r>
            <w:r>
              <w:rPr>
                <w:rFonts w:ascii="Times New Roman" w:hAnsi="Times New Roman" w:cs="Times New Roman"/>
                <w:b w:val="0"/>
                <w:color w:val="000000" w:themeColor="text1"/>
                <w:sz w:val="21"/>
                <w:szCs w:val="21"/>
                <w:lang w:val="en-US"/>
                <w14:textFill>
                  <w14:solidFill>
                    <w14:schemeClr w14:val="tx1"/>
                  </w14:solidFill>
                </w14:textFill>
              </w:rPr>
              <w:t>采用密闭集输工艺，不设</w:t>
            </w:r>
            <w:r>
              <w:rPr>
                <w:rFonts w:ascii="Times New Roman" w:hAnsi="Times New Roman" w:cs="Times New Roman"/>
                <w:b w:val="0"/>
                <w:color w:val="000000" w:themeColor="text1"/>
                <w:sz w:val="21"/>
                <w:szCs w:val="21"/>
                <w14:textFill>
                  <w14:solidFill>
                    <w14:schemeClr w14:val="tx1"/>
                  </w14:solidFill>
                </w14:textFill>
              </w:rPr>
              <w:t>火炬燃烧</w:t>
            </w:r>
            <w:r>
              <w:rPr>
                <w:rFonts w:ascii="Times New Roman" w:hAnsi="Times New Roman" w:cs="Times New Roman"/>
                <w:b w:val="0"/>
                <w:color w:val="000000" w:themeColor="text1"/>
                <w:sz w:val="21"/>
                <w:szCs w:val="21"/>
                <w:lang w:val="en-US"/>
                <w14:textFill>
                  <w14:solidFill>
                    <w14:schemeClr w14:val="tx1"/>
                  </w14:solidFill>
                </w14:textFill>
              </w:rPr>
              <w:t>装置</w:t>
            </w:r>
            <w:r>
              <w:rPr>
                <w:rFonts w:ascii="Times New Roman" w:hAnsi="Times New Roman" w:cs="Times New Roman"/>
                <w:b w:val="0"/>
                <w:color w:val="000000" w:themeColor="text1"/>
                <w:sz w:val="21"/>
                <w:szCs w:val="21"/>
                <w14:textFill>
                  <w14:solidFill>
                    <w14:schemeClr w14:val="tx1"/>
                  </w14:solidFill>
                </w14:textFill>
              </w:rPr>
              <w:t>。</w:t>
            </w:r>
          </w:p>
        </w:tc>
        <w:tc>
          <w:tcPr>
            <w:tcW w:w="81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jc w:val="center"/>
        </w:trPr>
        <w:tc>
          <w:tcPr>
            <w:tcW w:w="567"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5</w:t>
            </w:r>
          </w:p>
        </w:tc>
        <w:tc>
          <w:tcPr>
            <w:tcW w:w="3513"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企业应按标准要求在火炬系统安装温度监控、废气流量计、助燃气体流量计等，鼓励安装热值检测仪。</w:t>
            </w:r>
          </w:p>
        </w:tc>
        <w:tc>
          <w:tcPr>
            <w:tcW w:w="3525"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本项目不设</w:t>
            </w:r>
            <w:r>
              <w:rPr>
                <w:rFonts w:ascii="Times New Roman" w:hAnsi="Times New Roman" w:cs="Times New Roman"/>
                <w:b w:val="0"/>
                <w:color w:val="000000" w:themeColor="text1"/>
                <w:sz w:val="21"/>
                <w:szCs w:val="21"/>
                <w14:textFill>
                  <w14:solidFill>
                    <w14:schemeClr w14:val="tx1"/>
                  </w14:solidFill>
                </w14:textFill>
              </w:rPr>
              <w:t>火炬燃烧</w:t>
            </w:r>
            <w:r>
              <w:rPr>
                <w:rFonts w:ascii="Times New Roman" w:hAnsi="Times New Roman" w:cs="Times New Roman"/>
                <w:b w:val="0"/>
                <w:color w:val="000000" w:themeColor="text1"/>
                <w:sz w:val="21"/>
                <w:szCs w:val="21"/>
                <w:lang w:val="en-US"/>
                <w14:textFill>
                  <w14:solidFill>
                    <w14:schemeClr w14:val="tx1"/>
                  </w14:solidFill>
                </w14:textFill>
              </w:rPr>
              <w:t>装置</w:t>
            </w:r>
            <w:r>
              <w:rPr>
                <w:rFonts w:ascii="Times New Roman" w:hAnsi="Times New Roman" w:cs="Times New Roman"/>
                <w:b w:val="0"/>
                <w:color w:val="000000" w:themeColor="text1"/>
                <w:sz w:val="21"/>
                <w:szCs w:val="21"/>
                <w14:textFill>
                  <w14:solidFill>
                    <w14:schemeClr w14:val="tx1"/>
                  </w14:solidFill>
                </w14:textFill>
              </w:rPr>
              <w:t>。</w:t>
            </w:r>
          </w:p>
        </w:tc>
        <w:tc>
          <w:tcPr>
            <w:tcW w:w="812"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lang w:val="en-US"/>
                <w14:textFill>
                  <w14:solidFill>
                    <w14:schemeClr w14:val="tx1"/>
                  </w14:solidFill>
                </w14:textFill>
              </w:rPr>
              <w:t>相符</w:t>
            </w:r>
          </w:p>
        </w:tc>
      </w:tr>
    </w:tbl>
    <w:p>
      <w:pPr>
        <w:spacing w:before="10" w:after="10"/>
        <w:outlineLvl w:val="3"/>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2.8.2.</w:t>
      </w:r>
      <w:r>
        <w:rPr>
          <w:rFonts w:hint="eastAsia" w:ascii="Times New Roman" w:hAnsi="Times New Roman" w:eastAsia="宋体" w:cs="Times New Roman"/>
          <w:color w:val="000000" w:themeColor="text1"/>
          <w:sz w:val="28"/>
          <w:szCs w:val="28"/>
          <w14:textFill>
            <w14:solidFill>
              <w14:schemeClr w14:val="tx1"/>
            </w14:solidFill>
          </w14:textFill>
        </w:rPr>
        <w:t>1</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0</w:t>
      </w:r>
      <w:r>
        <w:rPr>
          <w:rFonts w:ascii="Times New Roman" w:hAnsi="Times New Roman" w:eastAsia="宋体" w:cs="Times New Roman"/>
          <w:color w:val="000000" w:themeColor="text1"/>
          <w:sz w:val="28"/>
          <w:szCs w:val="28"/>
          <w14:textFill>
            <w14:solidFill>
              <w14:schemeClr w14:val="tx1"/>
            </w14:solidFill>
          </w14:textFill>
        </w:rPr>
        <w:t>与《空气质量持续改善行动计划》（国发〔2023〕24号）相符性分析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本项目与《空气质量持续改善行动计划》（国发〔2023〕24号）中要求的相符性分析见表2.8-</w:t>
      </w:r>
      <w:r>
        <w:rPr>
          <w:rFonts w:hint="eastAsia" w:ascii="Times New Roman" w:hAnsi="Times New Roman" w:cs="Times New Roman"/>
          <w:color w:val="000000" w:themeColor="text1"/>
          <w:sz w:val="24"/>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0</w:t>
      </w:r>
      <w:r>
        <w:rPr>
          <w:rFonts w:ascii="Times New Roman" w:hAnsi="Times New Roman" w:cs="Times New Roman"/>
          <w:color w:val="000000" w:themeColor="text1"/>
          <w:sz w:val="24"/>
          <w14:textFill>
            <w14:solidFill>
              <w14:schemeClr w14:val="tx1"/>
            </w14:solidFill>
          </w14:textFill>
        </w:rPr>
        <w:t>。</w:t>
      </w:r>
    </w:p>
    <w:p>
      <w:pPr>
        <w:spacing w:before="10" w:after="10"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表2.8-</w:t>
      </w: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0</w:t>
      </w:r>
      <w:r>
        <w:rPr>
          <w:rFonts w:ascii="Times New Roman" w:hAnsi="Times New Roman" w:cs="Times New Roman"/>
          <w:b/>
          <w:bCs/>
          <w:color w:val="000000" w:themeColor="text1"/>
          <w:szCs w:val="21"/>
          <w14:textFill>
            <w14:solidFill>
              <w14:schemeClr w14:val="tx1"/>
            </w14:solidFill>
          </w14:textFill>
        </w:rPr>
        <w:t xml:space="preserve">  与《空气质量持续改善行动计划》（国发〔2023〕24号）相符性分析</w:t>
      </w:r>
    </w:p>
    <w:tbl>
      <w:tblPr>
        <w:tblStyle w:val="23"/>
        <w:tblW w:w="8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519"/>
        <w:gridCol w:w="4237"/>
        <w:gridCol w:w="2849"/>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tblHeader/>
          <w:jc w:val="center"/>
        </w:trPr>
        <w:tc>
          <w:tcPr>
            <w:tcW w:w="519"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序号</w:t>
            </w:r>
          </w:p>
        </w:tc>
        <w:tc>
          <w:tcPr>
            <w:tcW w:w="4237"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要求</w:t>
            </w:r>
          </w:p>
        </w:tc>
        <w:tc>
          <w:tcPr>
            <w:tcW w:w="2849"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w:t>
            </w:r>
          </w:p>
        </w:tc>
        <w:tc>
          <w:tcPr>
            <w:tcW w:w="812" w:type="dxa"/>
            <w:vAlign w:val="center"/>
          </w:tcPr>
          <w:p>
            <w:pPr>
              <w:pStyle w:val="3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jc w:val="center"/>
        </w:trPr>
        <w:tc>
          <w:tcPr>
            <w:tcW w:w="519"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1</w:t>
            </w:r>
          </w:p>
        </w:tc>
        <w:tc>
          <w:tcPr>
            <w:tcW w:w="423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2849" w:type="dxa"/>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lang w:val="en-US"/>
                <w14:textFill>
                  <w14:solidFill>
                    <w14:schemeClr w14:val="tx1"/>
                  </w14:solidFill>
                </w14:textFill>
              </w:rPr>
              <w:t>本项目属于</w:t>
            </w:r>
            <w:r>
              <w:rPr>
                <w:rFonts w:hint="eastAsia" w:ascii="Times New Roman" w:hAnsi="Times New Roman" w:cs="Times New Roman"/>
                <w:b w:val="0"/>
                <w:bCs/>
                <w:color w:val="000000" w:themeColor="text1"/>
                <w:sz w:val="21"/>
                <w:szCs w:val="21"/>
                <w:lang w:val="en-US"/>
                <w14:textFill>
                  <w14:solidFill>
                    <w14:schemeClr w14:val="tx1"/>
                  </w14:solidFill>
                </w14:textFill>
              </w:rPr>
              <w:t>陆地石油</w:t>
            </w:r>
            <w:r>
              <w:rPr>
                <w:rFonts w:ascii="Times New Roman" w:hAnsi="Times New Roman" w:cs="Times New Roman"/>
                <w:b w:val="0"/>
                <w:bCs/>
                <w:color w:val="000000" w:themeColor="text1"/>
                <w:sz w:val="21"/>
                <w:szCs w:val="21"/>
                <w:lang w:val="en-US"/>
                <w14:textFill>
                  <w14:solidFill>
                    <w14:schemeClr w14:val="tx1"/>
                  </w14:solidFill>
                </w14:textFill>
              </w:rPr>
              <w:t>开采项目，不属于</w:t>
            </w:r>
            <w:r>
              <w:rPr>
                <w:rFonts w:ascii="Times New Roman" w:hAnsi="Times New Roman" w:cs="Times New Roman"/>
                <w:b w:val="0"/>
                <w:bCs/>
                <w:color w:val="000000" w:themeColor="text1"/>
                <w:sz w:val="21"/>
                <w:szCs w:val="21"/>
                <w14:textFill>
                  <w14:solidFill>
                    <w14:schemeClr w14:val="tx1"/>
                  </w14:solidFill>
                </w14:textFill>
              </w:rPr>
              <w:t>高VOCs含量涂料、油墨、胶粘剂、清洗剂等建设项目。</w:t>
            </w:r>
          </w:p>
        </w:tc>
        <w:tc>
          <w:tcPr>
            <w:tcW w:w="812"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jc w:val="center"/>
        </w:trPr>
        <w:tc>
          <w:tcPr>
            <w:tcW w:w="519" w:type="dxa"/>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lang w:val="en-US"/>
                <w14:textFill>
                  <w14:solidFill>
                    <w14:schemeClr w14:val="tx1"/>
                  </w14:solidFill>
                </w14:textFill>
              </w:rPr>
              <w:t>2</w:t>
            </w:r>
          </w:p>
        </w:tc>
        <w:tc>
          <w:tcPr>
            <w:tcW w:w="423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深化扬尘污染综合治理。鼓励经济发达地区5000平方米及以上建筑工地安装视频监控并接入当地监管平台；重点区域道路、水务等长距离线性工程实行分段施工。将防治扬尘污染费用纳入工程造价。到2025年，装配式建筑占新建建筑面积比例达30%；地级及以上城市建成区道路机械化清扫率达80%左右，县城达70%左右。对城市公共裸地进行排查建档并采取防尘措施。城市大型煤炭、矿石等干散货码头物料堆场基本完成抑尘设施建设和物料输送系统封闭改造。</w:t>
            </w:r>
          </w:p>
        </w:tc>
        <w:tc>
          <w:tcPr>
            <w:tcW w:w="2849"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lang w:val="en-US"/>
                <w14:textFill>
                  <w14:solidFill>
                    <w14:schemeClr w14:val="tx1"/>
                  </w14:solidFill>
                </w14:textFill>
              </w:rPr>
              <w:t>本</w:t>
            </w:r>
            <w:r>
              <w:rPr>
                <w:rFonts w:ascii="Times New Roman" w:hAnsi="Times New Roman" w:cs="Times New Roman"/>
                <w:b w:val="0"/>
                <w:bCs/>
                <w:color w:val="000000" w:themeColor="text1"/>
                <w:sz w:val="21"/>
                <w:szCs w:val="21"/>
                <w14:textFill>
                  <w14:solidFill>
                    <w14:schemeClr w14:val="tx1"/>
                  </w14:solidFill>
                </w14:textFill>
              </w:rPr>
              <w:t>项目主要是场地平整、井场设备安装，管道施工</w:t>
            </w:r>
            <w:r>
              <w:rPr>
                <w:rFonts w:ascii="Times New Roman" w:hAnsi="Times New Roman" w:cs="Times New Roman"/>
                <w:b w:val="0"/>
                <w:bCs/>
                <w:color w:val="000000" w:themeColor="text1"/>
                <w:sz w:val="21"/>
                <w:szCs w:val="21"/>
                <w:lang w:val="en-US"/>
                <w14:textFill>
                  <w14:solidFill>
                    <w14:schemeClr w14:val="tx1"/>
                  </w14:solidFill>
                </w14:textFill>
              </w:rPr>
              <w:t>所引起的扬尘</w:t>
            </w:r>
            <w:r>
              <w:rPr>
                <w:rFonts w:ascii="Times New Roman" w:hAnsi="Times New Roman" w:cs="Times New Roman"/>
                <w:b w:val="0"/>
                <w:bCs/>
                <w:color w:val="000000" w:themeColor="text1"/>
                <w:sz w:val="21"/>
                <w:szCs w:val="21"/>
                <w14:textFill>
                  <w14:solidFill>
                    <w14:schemeClr w14:val="tx1"/>
                  </w14:solidFill>
                </w14:textFill>
              </w:rPr>
              <w:t>。在施工过程中，对运输建筑材料及建筑垃圾的车辆加盖篷布，</w:t>
            </w:r>
            <w:r>
              <w:rPr>
                <w:rFonts w:ascii="Times New Roman" w:hAnsi="Times New Roman" w:cs="Times New Roman"/>
                <w:b w:val="0"/>
                <w:bCs/>
                <w:color w:val="000000" w:themeColor="text1"/>
                <w:sz w:val="21"/>
                <w:szCs w:val="21"/>
                <w:lang w:val="en-US"/>
                <w14:textFill>
                  <w14:solidFill>
                    <w14:schemeClr w14:val="tx1"/>
                  </w14:solidFill>
                </w14:textFill>
              </w:rPr>
              <w:t>大风天气禁止施工，</w:t>
            </w:r>
            <w:r>
              <w:rPr>
                <w:rFonts w:ascii="Times New Roman" w:hAnsi="Times New Roman" w:cs="Times New Roman"/>
                <w:b w:val="0"/>
                <w:bCs/>
                <w:color w:val="000000" w:themeColor="text1"/>
                <w:sz w:val="21"/>
                <w:szCs w:val="21"/>
                <w14:textFill>
                  <w14:solidFill>
                    <w14:schemeClr w14:val="tx1"/>
                  </w14:solidFill>
                </w14:textFill>
              </w:rPr>
              <w:t>车辆行驶路线应首选</w:t>
            </w:r>
            <w:r>
              <w:rPr>
                <w:rFonts w:ascii="Times New Roman" w:hAnsi="Times New Roman" w:cs="Times New Roman"/>
                <w:b w:val="0"/>
                <w:bCs/>
                <w:color w:val="000000" w:themeColor="text1"/>
                <w:sz w:val="21"/>
                <w:szCs w:val="21"/>
                <w:lang w:val="en-US"/>
                <w14:textFill>
                  <w14:solidFill>
                    <w14:schemeClr w14:val="tx1"/>
                  </w14:solidFill>
                </w14:textFill>
              </w:rPr>
              <w:t>硬化道路</w:t>
            </w:r>
            <w:r>
              <w:rPr>
                <w:rFonts w:ascii="Times New Roman" w:hAnsi="Times New Roman" w:cs="Times New Roman"/>
                <w:b w:val="0"/>
                <w:bCs/>
                <w:color w:val="000000" w:themeColor="text1"/>
                <w:sz w:val="21"/>
                <w:szCs w:val="21"/>
                <w14:textFill>
                  <w14:solidFill>
                    <w14:schemeClr w14:val="tx1"/>
                  </w14:solidFill>
                </w14:textFill>
              </w:rPr>
              <w:t>，</w:t>
            </w:r>
            <w:r>
              <w:rPr>
                <w:rFonts w:ascii="Times New Roman" w:hAnsi="Times New Roman" w:cs="Times New Roman"/>
                <w:b w:val="0"/>
                <w:bCs/>
                <w:color w:val="000000" w:themeColor="text1"/>
                <w:sz w:val="21"/>
                <w:szCs w:val="21"/>
                <w:lang w:val="en-US"/>
                <w14:textFill>
                  <w14:solidFill>
                    <w14:schemeClr w14:val="tx1"/>
                  </w14:solidFill>
                </w14:textFill>
              </w:rPr>
              <w:t>施工现场</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通过采取相应的</w:t>
            </w:r>
            <w:r>
              <w:rPr>
                <w:rFonts w:ascii="Times New Roman" w:hAnsi="Times New Roman" w:cs="Times New Roman"/>
                <w:b w:val="0"/>
                <w:bCs/>
                <w:color w:val="000000" w:themeColor="text1"/>
                <w:sz w:val="21"/>
                <w:szCs w:val="21"/>
                <w:lang w:val="en-US"/>
                <w14:textFill>
                  <w14:solidFill>
                    <w14:schemeClr w14:val="tx1"/>
                  </w14:solidFill>
                </w14:textFill>
              </w:rPr>
              <w:t>措施减少扬尘的污染</w:t>
            </w:r>
            <w:r>
              <w:rPr>
                <w:rFonts w:ascii="Times New Roman" w:hAnsi="Times New Roman" w:cs="Times New Roman"/>
                <w:b w:val="0"/>
                <w:bCs/>
                <w:color w:val="000000" w:themeColor="text1"/>
                <w:sz w:val="21"/>
                <w:szCs w:val="21"/>
                <w14:textFill>
                  <w14:solidFill>
                    <w14:schemeClr w14:val="tx1"/>
                  </w14:solidFill>
                </w14:textFill>
              </w:rPr>
              <w:t>。</w:t>
            </w:r>
          </w:p>
        </w:tc>
        <w:tc>
          <w:tcPr>
            <w:tcW w:w="812" w:type="dxa"/>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lang w:val="en-US"/>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Ex>
        <w:trPr>
          <w:cantSplit/>
          <w:trHeight w:val="312" w:hRule="atLeast"/>
          <w:jc w:val="center"/>
        </w:trPr>
        <w:tc>
          <w:tcPr>
            <w:tcW w:w="519" w:type="dxa"/>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lang w:val="en-US"/>
                <w14:textFill>
                  <w14:solidFill>
                    <w14:schemeClr w14:val="tx1"/>
                  </w14:solidFill>
                </w14:textFill>
              </w:rPr>
              <w:t>3</w:t>
            </w:r>
          </w:p>
        </w:tc>
        <w:tc>
          <w:tcPr>
            <w:tcW w:w="4237"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大气污染处理设施。</w:t>
            </w:r>
          </w:p>
        </w:tc>
        <w:tc>
          <w:tcPr>
            <w:tcW w:w="2849"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lang w:val="en-US"/>
                <w14:textFill>
                  <w14:solidFill>
                    <w14:schemeClr w14:val="tx1"/>
                  </w14:solidFill>
                </w14:textFill>
              </w:rPr>
              <w:t>本项目油气集输均采用密闭管输工艺，采油井→计量站→</w:t>
            </w:r>
            <w:r>
              <w:rPr>
                <w:rFonts w:hint="eastAsia" w:ascii="Times New Roman" w:hAnsi="Times New Roman" w:cs="Times New Roman"/>
                <w:b w:val="0"/>
                <w:bCs/>
                <w:color w:val="000000" w:themeColor="text1"/>
                <w:sz w:val="21"/>
                <w:szCs w:val="21"/>
                <w:lang w:val="en-US"/>
                <w14:textFill>
                  <w14:solidFill>
                    <w14:schemeClr w14:val="tx1"/>
                  </w14:solidFill>
                </w14:textFill>
              </w:rPr>
              <w:t>陆梁集中处理站</w:t>
            </w:r>
            <w:r>
              <w:rPr>
                <w:rFonts w:ascii="Times New Roman" w:hAnsi="Times New Roman" w:cs="Times New Roman"/>
                <w:b w:val="0"/>
                <w:bCs/>
                <w:color w:val="000000" w:themeColor="text1"/>
                <w:sz w:val="21"/>
                <w:szCs w:val="21"/>
                <w:lang w:val="en-US"/>
                <w14:textFill>
                  <w14:solidFill>
                    <w14:schemeClr w14:val="tx1"/>
                  </w14:solidFill>
                </w14:textFill>
              </w:rPr>
              <w:t>的集输工艺流程。接入口和排出口采取与环境空气隔离的措施。</w:t>
            </w:r>
            <w:r>
              <w:rPr>
                <w:rFonts w:ascii="Times New Roman" w:hAnsi="Times New Roman" w:cs="Times New Roman"/>
                <w:b w:val="0"/>
                <w:bCs/>
                <w:color w:val="000000" w:themeColor="text1"/>
                <w:sz w:val="21"/>
                <w:szCs w:val="21"/>
                <w14:textFill>
                  <w14:solidFill>
                    <w14:schemeClr w14:val="tx1"/>
                  </w14:solidFill>
                </w14:textFill>
              </w:rPr>
              <w:t>建设单位对管道、阀门、机械设备等制定相关检修计划，并进行定期检修，防止</w:t>
            </w:r>
            <w:r>
              <w:rPr>
                <w:rFonts w:ascii="Times New Roman" w:hAnsi="Times New Roman" w:cs="Times New Roman"/>
                <w:b w:val="0"/>
                <w:bCs/>
                <w:color w:val="000000" w:themeColor="text1"/>
                <w:sz w:val="21"/>
                <w:szCs w:val="21"/>
                <w:lang w:val="en-US"/>
                <w14:textFill>
                  <w14:solidFill>
                    <w14:schemeClr w14:val="tx1"/>
                  </w14:solidFill>
                </w14:textFill>
              </w:rPr>
              <w:t>或减少</w:t>
            </w:r>
            <w:r>
              <w:rPr>
                <w:rFonts w:ascii="Times New Roman" w:hAnsi="Times New Roman" w:cs="Times New Roman"/>
                <w:b w:val="0"/>
                <w:bCs/>
                <w:color w:val="000000" w:themeColor="text1"/>
                <w:sz w:val="21"/>
                <w:szCs w:val="21"/>
                <w14:textFill>
                  <w14:solidFill>
                    <w14:schemeClr w14:val="tx1"/>
                  </w14:solidFill>
                </w14:textFill>
              </w:rPr>
              <w:t>跑冒滴漏等情况产生。</w:t>
            </w:r>
          </w:p>
        </w:tc>
        <w:tc>
          <w:tcPr>
            <w:tcW w:w="812" w:type="dxa"/>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lang w:val="en-US"/>
                <w14:textFill>
                  <w14:solidFill>
                    <w14:schemeClr w14:val="tx1"/>
                  </w14:solidFill>
                </w14:textFill>
              </w:rPr>
              <w:t>符合</w:t>
            </w:r>
          </w:p>
        </w:tc>
      </w:tr>
    </w:tbl>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hint="eastAsia" w:ascii="Times New Roman" w:hAnsi="Times New Roman" w:eastAsia="黑体" w:cs="Times New Roman"/>
          <w:b/>
          <w:color w:val="000000" w:themeColor="text1"/>
          <w:sz w:val="30"/>
          <w:szCs w:val="30"/>
          <w14:textFill>
            <w14:solidFill>
              <w14:schemeClr w14:val="tx1"/>
            </w14:solidFill>
          </w14:textFill>
        </w:rPr>
        <w:t>2.8.3</w:t>
      </w:r>
      <w:r>
        <w:rPr>
          <w:rFonts w:ascii="Times New Roman" w:hAnsi="Times New Roman" w:eastAsia="黑体" w:cs="Times New Roman"/>
          <w:b/>
          <w:color w:val="000000" w:themeColor="text1"/>
          <w:sz w:val="30"/>
          <w:szCs w:val="30"/>
          <w14:textFill>
            <w14:solidFill>
              <w14:schemeClr w14:val="tx1"/>
            </w14:solidFill>
          </w14:textFill>
        </w:rPr>
        <w:t>相关规划符合性分析</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2.8.3.</w:t>
      </w:r>
      <w:r>
        <w:rPr>
          <w:rFonts w:hint="eastAsia" w:ascii="Times New Roman" w:hAnsi="Times New Roman"/>
          <w:color w:val="000000" w:themeColor="text1"/>
          <w:sz w:val="28"/>
          <w:szCs w:val="28"/>
          <w:lang w:val="en-US" w:eastAsia="zh-CN"/>
          <w14:textFill>
            <w14:solidFill>
              <w14:schemeClr w14:val="tx1"/>
            </w14:solidFill>
          </w14:textFill>
        </w:rPr>
        <w:t>1</w:t>
      </w:r>
      <w:r>
        <w:rPr>
          <w:rFonts w:ascii="Times New Roman" w:hAnsi="Times New Roman"/>
          <w:color w:val="000000" w:themeColor="text1"/>
          <w:sz w:val="28"/>
          <w:szCs w:val="28"/>
          <w14:textFill>
            <w14:solidFill>
              <w14:schemeClr w14:val="tx1"/>
            </w14:solidFill>
          </w14:textFill>
        </w:rPr>
        <w:t>与《中华人民共和国国民经济和社会发展第十四个五年规划和2035年远景目标纲要》相符性分析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《中华人民共和国国民经济和社会发展第十四个五年规划和2035年远景目标纲要》提出</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实施能源资源安全战略</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，按照</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供应安全兜底、油气核心需求依靠自保、电力供应稳定可靠。夯实国内产量基础，保持原油和天然气稳产增产，做好煤制油气战略基地规划布局和管控。扩大油气储备规模，健全政府储备和企业社会责任储备有机结合、互为补充的油气储备体系。加强战略性矿产资源规划管控，提升储备安全保障能力，实施新一轮找矿突破战略行动。</w:t>
      </w:r>
      <w:r>
        <w:rPr>
          <w:rFonts w:hint="eastAsia" w:ascii="Times New Roman" w:hAnsi="Times New Roman" w:cs="Times New Roman"/>
          <w:color w:val="000000" w:themeColor="text1"/>
          <w:sz w:val="24"/>
          <w14:textFill>
            <w14:solidFill>
              <w14:schemeClr w14:val="tx1"/>
            </w14:solidFill>
          </w14:textFill>
        </w:rPr>
        <w:t>”</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本工程属于陆地石油开采建设项目，符合规划中夯实国内产量基础，保持原油和天然气稳产增产要求。</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2.8.3.</w:t>
      </w:r>
      <w:r>
        <w:rPr>
          <w:rFonts w:hint="eastAsia" w:ascii="Times New Roman" w:hAnsi="Times New Roman"/>
          <w:color w:val="000000" w:themeColor="text1"/>
          <w:sz w:val="28"/>
          <w:szCs w:val="28"/>
          <w:lang w:val="en-US" w:eastAsia="zh-CN"/>
          <w14:textFill>
            <w14:solidFill>
              <w14:schemeClr w14:val="tx1"/>
            </w14:solidFill>
          </w14:textFill>
        </w:rPr>
        <w:t>2</w:t>
      </w:r>
      <w:r>
        <w:rPr>
          <w:rFonts w:ascii="Times New Roman" w:hAnsi="Times New Roman"/>
          <w:color w:val="000000" w:themeColor="text1"/>
          <w:sz w:val="28"/>
          <w:szCs w:val="28"/>
          <w14:textFill>
            <w14:solidFill>
              <w14:schemeClr w14:val="tx1"/>
            </w14:solidFill>
          </w14:textFill>
        </w:rPr>
        <w:t>与《新疆维吾尔自治区国民经济和社会发展第十四个五年规划和2035年远景目标纲要》相符性</w:t>
      </w:r>
      <w:r>
        <w:rPr>
          <w:rFonts w:hint="eastAsia" w:ascii="Times New Roman" w:hAnsi="Times New Roman"/>
          <w:color w:val="000000" w:themeColor="text1"/>
          <w:sz w:val="28"/>
          <w:szCs w:val="28"/>
          <w14:textFill>
            <w14:solidFill>
              <w14:schemeClr w14:val="tx1"/>
            </w14:solidFill>
          </w14:textFill>
        </w:rPr>
        <w:t>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根据《新疆维吾尔自治区国民经济和社会发展第十四个五年规划和2035年远景目标纲要》：</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建设国家大型油气生产加工和储备基地。加大准噶尔、吐哈、塔里木三大盆地油气勘探开发力度，提高新疆在油气资源开发利用转化过程中的参与度。加快中石油玛湖、吉木萨尔、准噶尔盆地南缘以及中石化顺北等大型油气田建设，促进油气增储上产。加强成品油储备，提升油气供应保障能力。</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本项目位于塔城地区和布克赛尔蒙古自治县境内，项目建成后将新建原油产能</w:t>
      </w:r>
      <w:r>
        <w:rPr>
          <w:rFonts w:hint="eastAsia" w:ascii="Times New Roman" w:hAnsi="Times New Roman" w:cs="Times New Roman"/>
          <w:color w:val="000000" w:themeColor="text1"/>
          <w:sz w:val="24"/>
          <w14:textFill>
            <w14:solidFill>
              <w14:schemeClr w14:val="tx1"/>
            </w14:solidFill>
          </w14:textFill>
        </w:rPr>
        <w:t>2.52</w:t>
      </w:r>
      <w:r>
        <w:rPr>
          <w:rFonts w:ascii="Times New Roman" w:hAnsi="Times New Roman" w:cs="Times New Roman"/>
          <w:color w:val="000000" w:themeColor="text1"/>
          <w:sz w:val="24"/>
          <w14:textFill>
            <w14:solidFill>
              <w14:schemeClr w14:val="tx1"/>
            </w14:solidFill>
          </w14:textFill>
        </w:rPr>
        <w:t>×10</w:t>
      </w:r>
      <w:r>
        <w:rPr>
          <w:rFonts w:ascii="Times New Roman" w:hAnsi="Times New Roman" w:cs="Times New Roman"/>
          <w:color w:val="000000" w:themeColor="text1"/>
          <w:sz w:val="24"/>
          <w:vertAlign w:val="super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t/a。项目的开发建设与《新疆维吾尔自治区国民经济和社会发展第十四个五年规划和2035年远景目标纲要》相符。</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2.8.3.</w:t>
      </w:r>
      <w:r>
        <w:rPr>
          <w:rFonts w:hint="eastAsia" w:ascii="Times New Roman" w:hAnsi="Times New Roman"/>
          <w:color w:val="000000" w:themeColor="text1"/>
          <w:sz w:val="28"/>
          <w:szCs w:val="28"/>
          <w:lang w:val="en-US" w:eastAsia="zh-CN"/>
          <w14:textFill>
            <w14:solidFill>
              <w14:schemeClr w14:val="tx1"/>
            </w14:solidFill>
          </w14:textFill>
        </w:rPr>
        <w:t>3</w:t>
      </w:r>
      <w:r>
        <w:rPr>
          <w:rFonts w:ascii="Times New Roman" w:hAnsi="Times New Roman"/>
          <w:color w:val="000000" w:themeColor="text1"/>
          <w:sz w:val="28"/>
          <w:szCs w:val="28"/>
          <w14:textFill>
            <w14:solidFill>
              <w14:schemeClr w14:val="tx1"/>
            </w14:solidFill>
          </w14:textFill>
        </w:rPr>
        <w:t>与《新疆维吾尔自治区主体功能区规划》相符性</w:t>
      </w:r>
      <w:r>
        <w:rPr>
          <w:rFonts w:hint="eastAsia" w:ascii="Times New Roman" w:hAnsi="Times New Roman"/>
          <w:color w:val="000000" w:themeColor="text1"/>
          <w:sz w:val="28"/>
          <w:szCs w:val="28"/>
          <w14:textFill>
            <w14:solidFill>
              <w14:schemeClr w14:val="tx1"/>
            </w14:solidFill>
          </w14:textFill>
        </w:rPr>
        <w:t>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新疆维吾尔自治区主体功能区规划》：主体功能区按开发方式，分为优化开发区域、重点开发区域、限制开发区域和禁止开发区域四类；按开发内容，分为城市化地区、农产品主产区和重点生态功能区三类；按层级，分为国家和省级两个层面。</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位于新疆维吾尔自治区和布克赛尔蒙古自治县，根据《新疆维吾尔自治区主体功能区规划》，项目位于属于自治区级重点生态功能区域，属于准噶尔西部荒漠草原生态功能区，该功能区也是自治区级的重点开发区域，本项目属于石油天然气开采行业，符合自治区对该区域的功能定位要求。见图</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-1。</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2.8.3.</w:t>
      </w:r>
      <w:r>
        <w:rPr>
          <w:rFonts w:hint="eastAsia" w:ascii="Times New Roman" w:hAnsi="Times New Roman"/>
          <w:color w:val="000000" w:themeColor="text1"/>
          <w:sz w:val="28"/>
          <w:szCs w:val="28"/>
          <w:lang w:val="en-US" w:eastAsia="zh-CN"/>
          <w14:textFill>
            <w14:solidFill>
              <w14:schemeClr w14:val="tx1"/>
            </w14:solidFill>
          </w14:textFill>
        </w:rPr>
        <w:t>4</w:t>
      </w:r>
      <w:r>
        <w:rPr>
          <w:rFonts w:ascii="Times New Roman" w:hAnsi="Times New Roman"/>
          <w:color w:val="000000" w:themeColor="text1"/>
          <w:sz w:val="28"/>
          <w:szCs w:val="28"/>
          <w14:textFill>
            <w14:solidFill>
              <w14:schemeClr w14:val="tx1"/>
            </w14:solidFill>
          </w14:textFill>
        </w:rPr>
        <w:t>与《新疆生态功能区划》相符性分析</w:t>
      </w:r>
    </w:p>
    <w:p>
      <w:pPr>
        <w:pStyle w:val="30"/>
        <w:spacing w:line="360" w:lineRule="auto"/>
        <w:rPr>
          <w:rFonts w:cs="Times New Roman" w:eastAsiaTheme="minorEastAsia"/>
          <w:bCs w:val="0"/>
          <w:color w:val="000000" w:themeColor="text1"/>
          <w:sz w:val="24"/>
          <w:szCs w:val="24"/>
          <w14:textFill>
            <w14:solidFill>
              <w14:schemeClr w14:val="tx1"/>
            </w14:solidFill>
          </w14:textFill>
        </w:rPr>
      </w:pPr>
      <w:r>
        <w:rPr>
          <w:rFonts w:cs="Times New Roman" w:eastAsiaTheme="minorEastAsia"/>
          <w:bCs w:val="0"/>
          <w:color w:val="000000" w:themeColor="text1"/>
          <w:sz w:val="24"/>
          <w:szCs w:val="24"/>
          <w14:textFill>
            <w14:solidFill>
              <w14:schemeClr w14:val="tx1"/>
            </w14:solidFill>
          </w14:textFill>
        </w:rPr>
        <w:t>对照《新疆生态功能区划》，本项目所在区域属于Ⅱ准噶尔盆地温性荒漠与绿洲农业生态区—</w:t>
      </w:r>
      <w:r>
        <w:rPr>
          <w:rFonts w:cs="Times New Roman"/>
          <w:color w:val="000000" w:themeColor="text1"/>
          <w:sz w:val="24"/>
          <w:szCs w:val="24"/>
          <w14:textFill>
            <w14:solidFill>
              <w14:schemeClr w14:val="tx1"/>
            </w14:solidFill>
          </w14:textFill>
        </w:rPr>
        <w:t>Ⅱ3 准噶尔盆地中部固定、半固定沙漠生态亚区</w:t>
      </w:r>
      <w:r>
        <w:rPr>
          <w:rFonts w:cs="Times New Roman" w:eastAsiaTheme="minorEastAsia"/>
          <w:bCs w:val="0"/>
          <w:color w:val="000000" w:themeColor="text1"/>
          <w:sz w:val="24"/>
          <w:szCs w:val="24"/>
          <w14:textFill>
            <w14:solidFill>
              <w14:schemeClr w14:val="tx1"/>
            </w14:solidFill>
          </w14:textFill>
        </w:rPr>
        <w:t>—</w:t>
      </w:r>
      <w:r>
        <w:rPr>
          <w:rFonts w:cs="Times New Roman"/>
          <w:color w:val="000000" w:themeColor="text1"/>
          <w:sz w:val="24"/>
          <w:szCs w:val="24"/>
          <w14:textFill>
            <w14:solidFill>
              <w14:schemeClr w14:val="tx1"/>
            </w14:solidFill>
          </w14:textFill>
        </w:rPr>
        <w:t>23．古尔班通古特沙漠化敏感及植被保护生态功能区</w:t>
      </w:r>
      <w:r>
        <w:rPr>
          <w:rFonts w:cs="Times New Roman" w:eastAsiaTheme="minorEastAsia"/>
          <w:bCs w:val="0"/>
          <w:color w:val="000000" w:themeColor="text1"/>
          <w:sz w:val="24"/>
          <w:szCs w:val="24"/>
          <w14:textFill>
            <w14:solidFill>
              <w14:schemeClr w14:val="tx1"/>
            </w14:solidFill>
          </w14:textFill>
        </w:rPr>
        <w:t>。本项目在新疆生态环境功能区划图中的位置详见图</w:t>
      </w:r>
      <w:r>
        <w:rPr>
          <w:rFonts w:hint="eastAsia" w:cs="Times New Roman" w:eastAsiaTheme="minorEastAsia"/>
          <w:bCs w:val="0"/>
          <w:color w:val="000000" w:themeColor="text1"/>
          <w:sz w:val="24"/>
          <w:szCs w:val="24"/>
          <w14:textFill>
            <w14:solidFill>
              <w14:schemeClr w14:val="tx1"/>
            </w14:solidFill>
          </w14:textFill>
        </w:rPr>
        <w:t>2.8</w:t>
      </w:r>
      <w:r>
        <w:rPr>
          <w:rFonts w:cs="Times New Roman" w:eastAsiaTheme="minorEastAsia"/>
          <w:bCs w:val="0"/>
          <w:color w:val="000000" w:themeColor="text1"/>
          <w:sz w:val="24"/>
          <w:szCs w:val="24"/>
          <w14:textFill>
            <w14:solidFill>
              <w14:schemeClr w14:val="tx1"/>
            </w14:solidFill>
          </w14:textFill>
        </w:rPr>
        <w:t>-2，其生态功能见表</w:t>
      </w:r>
      <w:r>
        <w:rPr>
          <w:rFonts w:hint="eastAsia" w:cs="Times New Roman" w:eastAsiaTheme="minorEastAsia"/>
          <w:bCs w:val="0"/>
          <w:color w:val="000000" w:themeColor="text1"/>
          <w:sz w:val="24"/>
          <w:szCs w:val="24"/>
          <w14:textFill>
            <w14:solidFill>
              <w14:schemeClr w14:val="tx1"/>
            </w14:solidFill>
          </w14:textFill>
        </w:rPr>
        <w:t>2.8</w:t>
      </w:r>
      <w:r>
        <w:rPr>
          <w:rFonts w:cs="Times New Roman" w:eastAsiaTheme="minorEastAsia"/>
          <w:bCs w:val="0"/>
          <w:color w:val="000000" w:themeColor="text1"/>
          <w:sz w:val="24"/>
          <w:szCs w:val="24"/>
          <w14:textFill>
            <w14:solidFill>
              <w14:schemeClr w14:val="tx1"/>
            </w14:solidFill>
          </w14:textFill>
        </w:rPr>
        <w:t>-1</w:t>
      </w:r>
      <w:r>
        <w:rPr>
          <w:rFonts w:hint="eastAsia" w:cs="Times New Roman" w:eastAsiaTheme="minorEastAsia"/>
          <w:bCs w:val="0"/>
          <w:color w:val="000000" w:themeColor="text1"/>
          <w:sz w:val="24"/>
          <w:szCs w:val="24"/>
          <w14:textFill>
            <w14:solidFill>
              <w14:schemeClr w14:val="tx1"/>
            </w14:solidFill>
          </w14:textFill>
        </w:rPr>
        <w:t>2</w:t>
      </w:r>
      <w:r>
        <w:rPr>
          <w:rFonts w:cs="Times New Roman" w:eastAsiaTheme="minorEastAsia"/>
          <w:bCs w:val="0"/>
          <w:color w:val="000000" w:themeColor="text1"/>
          <w:sz w:val="24"/>
          <w:szCs w:val="24"/>
          <w14:textFill>
            <w14:solidFill>
              <w14:schemeClr w14:val="tx1"/>
            </w14:solidFill>
          </w14:textFill>
        </w:rPr>
        <w:t>。</w:t>
      </w:r>
    </w:p>
    <w:p>
      <w:pPr>
        <w:pStyle w:val="36"/>
        <w:spacing w:line="360" w:lineRule="auto"/>
        <w:rPr>
          <w:rFonts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6"/>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hint="eastAsia" w:cs="Times New Roman"/>
          <w:color w:val="000000" w:themeColor="text1"/>
          <w14:textFill>
            <w14:solidFill>
              <w14:schemeClr w14:val="tx1"/>
            </w14:solidFill>
          </w14:textFill>
        </w:rPr>
        <w:t>2.8</w:t>
      </w: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 xml:space="preserve">  项目所属生态功能区具体情况</w:t>
      </w:r>
    </w:p>
    <w:tbl>
      <w:tblPr>
        <w:tblStyle w:val="23"/>
        <w:tblW w:w="83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34"/>
        <w:gridCol w:w="770"/>
        <w:gridCol w:w="778"/>
        <w:gridCol w:w="701"/>
        <w:gridCol w:w="839"/>
        <w:gridCol w:w="1033"/>
        <w:gridCol w:w="1033"/>
        <w:gridCol w:w="901"/>
        <w:gridCol w:w="897"/>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182"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生态功能分区单元</w:t>
            </w:r>
          </w:p>
        </w:tc>
        <w:tc>
          <w:tcPr>
            <w:tcW w:w="701"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隶属</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行政区</w:t>
            </w:r>
          </w:p>
        </w:tc>
        <w:tc>
          <w:tcPr>
            <w:tcW w:w="839"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主要生态服务功能</w:t>
            </w:r>
          </w:p>
        </w:tc>
        <w:tc>
          <w:tcPr>
            <w:tcW w:w="1033"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主要生态</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环境问题</w:t>
            </w:r>
          </w:p>
        </w:tc>
        <w:tc>
          <w:tcPr>
            <w:tcW w:w="1033"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主要生态敏感因子、敏感程度</w:t>
            </w:r>
          </w:p>
        </w:tc>
        <w:tc>
          <w:tcPr>
            <w:tcW w:w="901"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主要保护目标</w:t>
            </w:r>
          </w:p>
        </w:tc>
        <w:tc>
          <w:tcPr>
            <w:tcW w:w="897"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主要保护措施</w:t>
            </w:r>
          </w:p>
        </w:tc>
        <w:tc>
          <w:tcPr>
            <w:tcW w:w="773"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适宜发展方向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生态区</w:t>
            </w:r>
          </w:p>
        </w:tc>
        <w:tc>
          <w:tcPr>
            <w:tcW w:w="77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生态</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亚区</w:t>
            </w:r>
          </w:p>
        </w:tc>
        <w:tc>
          <w:tcPr>
            <w:tcW w:w="77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生态</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功能区</w:t>
            </w:r>
          </w:p>
        </w:tc>
        <w:tc>
          <w:tcPr>
            <w:tcW w:w="70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839"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033"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033"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90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897"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773"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Ⅱ准噶尔盆地温带干旱荒漠与绿洲生态功能区</w:t>
            </w:r>
          </w:p>
        </w:tc>
        <w:tc>
          <w:tcPr>
            <w:tcW w:w="77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Ⅱ3 准噶尔盆地中部固定、半固定沙漠生态亚区</w:t>
            </w:r>
          </w:p>
        </w:tc>
        <w:tc>
          <w:tcPr>
            <w:tcW w:w="77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23．古尔班通古特沙漠化敏感及植被保护生态功能区</w:t>
            </w:r>
          </w:p>
        </w:tc>
        <w:tc>
          <w:tcPr>
            <w:tcW w:w="70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和布克赛尔县、福海县、沙湾</w:t>
            </w:r>
            <w:r>
              <w:rPr>
                <w:rFonts w:hint="eastAsia" w:cs="Times New Roman"/>
                <w:color w:val="000000" w:themeColor="text1"/>
                <w14:textFill>
                  <w14:solidFill>
                    <w14:schemeClr w14:val="tx1"/>
                  </w14:solidFill>
                </w14:textFill>
              </w:rPr>
              <w:t>市</w:t>
            </w:r>
            <w:r>
              <w:rPr>
                <w:rFonts w:cs="Times New Roman"/>
                <w:color w:val="000000" w:themeColor="text1"/>
                <w14:textFill>
                  <w14:solidFill>
                    <w14:schemeClr w14:val="tx1"/>
                  </w14:solidFill>
                </w14:textFill>
              </w:rPr>
              <w:t>、玛纳斯县、呼图壁县、昌吉市、米泉</w:t>
            </w:r>
            <w:r>
              <w:rPr>
                <w:rFonts w:hint="eastAsia" w:cs="Times New Roman"/>
                <w:color w:val="000000" w:themeColor="text1"/>
                <w14:textFill>
                  <w14:solidFill>
                    <w14:schemeClr w14:val="tx1"/>
                  </w14:solidFill>
                </w14:textFill>
              </w:rPr>
              <w:t>区</w:t>
            </w:r>
            <w:r>
              <w:rPr>
                <w:rFonts w:cs="Times New Roman"/>
                <w:color w:val="000000" w:themeColor="text1"/>
                <w14:textFill>
                  <w14:solidFill>
                    <w14:schemeClr w14:val="tx1"/>
                  </w14:solidFill>
                </w14:textFill>
              </w:rPr>
              <w:t>、阜康市、吉木萨尔县、奇台县、木垒县</w:t>
            </w:r>
          </w:p>
        </w:tc>
        <w:tc>
          <w:tcPr>
            <w:tcW w:w="83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沙漠化控制、生物多样性维护</w:t>
            </w:r>
          </w:p>
        </w:tc>
        <w:tc>
          <w:tcPr>
            <w:tcW w:w="10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人为干扰范围扩大、工程建设引起沙漠植被破坏、鼠害严重、植被退化、沙漠化构成对南缘绿洲的威胁</w:t>
            </w:r>
          </w:p>
        </w:tc>
        <w:tc>
          <w:tcPr>
            <w:tcW w:w="10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生物多样性及其生境高度敏感，土地沙漠化极度敏感，土壤侵蚀高度敏感、土壤盐渍化轻度敏感</w:t>
            </w:r>
          </w:p>
        </w:tc>
        <w:tc>
          <w:tcPr>
            <w:tcW w:w="90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保护沙漠植被、防止沙丘活化</w:t>
            </w:r>
          </w:p>
        </w:tc>
        <w:tc>
          <w:tcPr>
            <w:tcW w:w="89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对沙漠边缘流动沙丘、活化沙地进行封沙育林、退耕还林（草），禁止憔采和放牧，禁止开荒</w:t>
            </w:r>
          </w:p>
        </w:tc>
        <w:tc>
          <w:tcPr>
            <w:tcW w:w="77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维护固定、半固定沙漠景观与植被，治理活化沙丘，遏制蔓延</w:t>
            </w:r>
          </w:p>
        </w:tc>
      </w:tr>
    </w:tbl>
    <w:p>
      <w:pPr>
        <w:pStyle w:val="44"/>
        <w:spacing w:line="360" w:lineRule="auto"/>
        <w:ind w:firstLine="480" w:firstLineChars="200"/>
        <w:outlineLvl w:val="9"/>
        <w:rPr>
          <w:rFonts w:cs="Times New Roman"/>
          <w:b w:val="0"/>
          <w:snapToGrid/>
          <w:color w:val="000000" w:themeColor="text1"/>
          <w:sz w:val="24"/>
          <w:szCs w:val="24"/>
          <w14:textFill>
            <w14:solidFill>
              <w14:schemeClr w14:val="tx1"/>
            </w14:solidFill>
          </w14:textFill>
        </w:rPr>
      </w:pPr>
      <w:r>
        <w:rPr>
          <w:rFonts w:cs="Times New Roman"/>
          <w:b w:val="0"/>
          <w:snapToGrid/>
          <w:color w:val="000000" w:themeColor="text1"/>
          <w:sz w:val="24"/>
          <w:szCs w:val="24"/>
          <w14:textFill>
            <w14:solidFill>
              <w14:schemeClr w14:val="tx1"/>
            </w14:solidFill>
          </w14:textFill>
        </w:rPr>
        <w:t>相符性分析：本项目将采取严格的生态保护及恢复措施对荒漠的生态环境进行保护及恢复，本次环评针对砾幕、荒漠植被等方面提出了相应的保护措施。总体来看，相对整个功能区划范围而言，本项目的实施占地相对较小，对于整体的土地利用格局、植被覆盖格局、野生动物活动、土壤不会带来显著影响，项目建设与《新疆生态环境功能区划》对本项目建设区域的生态功能定位不冲突。</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2.8.3.</w:t>
      </w:r>
      <w:r>
        <w:rPr>
          <w:rFonts w:hint="eastAsia" w:ascii="Times New Roman" w:hAnsi="Times New Roman"/>
          <w:color w:val="000000" w:themeColor="text1"/>
          <w:sz w:val="28"/>
          <w:szCs w:val="28"/>
          <w:lang w:val="en-US" w:eastAsia="zh-CN"/>
          <w14:textFill>
            <w14:solidFill>
              <w14:schemeClr w14:val="tx1"/>
            </w14:solidFill>
          </w14:textFill>
        </w:rPr>
        <w:t>5</w:t>
      </w:r>
      <w:r>
        <w:rPr>
          <w:rFonts w:ascii="Times New Roman" w:hAnsi="Times New Roman"/>
          <w:color w:val="000000" w:themeColor="text1"/>
          <w:sz w:val="28"/>
          <w:szCs w:val="28"/>
          <w14:textFill>
            <w14:solidFill>
              <w14:schemeClr w14:val="tx1"/>
            </w14:solidFill>
          </w14:textFill>
        </w:rPr>
        <w:t>与《新疆生态环境保护</w:t>
      </w:r>
      <w:r>
        <w:rPr>
          <w:rFonts w:hint="eastAsia" w:ascii="Times New Roman" w:hAnsi="Times New Roman"/>
          <w:color w:val="000000" w:themeColor="text1"/>
          <w:sz w:val="28"/>
          <w:szCs w:val="28"/>
          <w14:textFill>
            <w14:solidFill>
              <w14:schemeClr w14:val="tx1"/>
            </w14:solidFill>
          </w14:textFill>
        </w:rPr>
        <w:t>“</w:t>
      </w:r>
      <w:r>
        <w:rPr>
          <w:rFonts w:ascii="Times New Roman" w:hAnsi="Times New Roman"/>
          <w:color w:val="000000" w:themeColor="text1"/>
          <w:sz w:val="28"/>
          <w:szCs w:val="28"/>
          <w14:textFill>
            <w14:solidFill>
              <w14:schemeClr w14:val="tx1"/>
            </w14:solidFill>
          </w14:textFill>
        </w:rPr>
        <w:t>十四五</w:t>
      </w:r>
      <w:r>
        <w:rPr>
          <w:rFonts w:hint="eastAsia" w:ascii="Times New Roman" w:hAnsi="Times New Roman"/>
          <w:color w:val="000000" w:themeColor="text1"/>
          <w:sz w:val="28"/>
          <w:szCs w:val="28"/>
          <w14:textFill>
            <w14:solidFill>
              <w14:schemeClr w14:val="tx1"/>
            </w14:solidFill>
          </w14:textFill>
        </w:rPr>
        <w:t>”</w:t>
      </w:r>
      <w:r>
        <w:rPr>
          <w:rFonts w:ascii="Times New Roman" w:hAnsi="Times New Roman"/>
          <w:color w:val="000000" w:themeColor="text1"/>
          <w:sz w:val="28"/>
          <w:szCs w:val="28"/>
          <w14:textFill>
            <w14:solidFill>
              <w14:schemeClr w14:val="tx1"/>
            </w14:solidFill>
          </w14:textFill>
        </w:rPr>
        <w:t>规划》的相符性分析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根据《新疆生态环境保护</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十四五</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规划》：</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推进土壤安全利用：……严控土壤重金属污染，加强油（气）田开发土壤污染防治，以历史遗留工业企业污染场地为重点，开展风险管控与修复工程。</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加强危险废物</w:t>
      </w:r>
      <w:r>
        <w:rPr>
          <w:rFonts w:hint="eastAsia" w:ascii="Times New Roman" w:hAnsi="Times New Roman" w:cs="Times New Roman"/>
          <w:color w:val="000000" w:themeColor="text1"/>
          <w:sz w:val="24"/>
          <w14:textFill>
            <w14:solidFill>
              <w14:schemeClr w14:val="tx1"/>
            </w14:solidFill>
          </w14:textFill>
        </w:rPr>
        <w:t>和</w:t>
      </w:r>
      <w:r>
        <w:rPr>
          <w:rFonts w:ascii="Times New Roman" w:hAnsi="Times New Roman" w:cs="Times New Roman"/>
          <w:color w:val="000000" w:themeColor="text1"/>
          <w:sz w:val="24"/>
          <w14:textFill>
            <w14:solidFill>
              <w14:schemeClr w14:val="tx1"/>
            </w14:solidFill>
          </w14:textFill>
        </w:rPr>
        <w:t>医疗废物收集处理：……深入推进油气田开采历史遗留含油污泥、磺化泥浆、黄金选矿行业氰化尾渣、铜冶炼行业砷渣以及石棉矿选矿废渣等调查和污染治理。</w:t>
      </w:r>
    </w:p>
    <w:p>
      <w:pPr>
        <w:pStyle w:val="30"/>
        <w:spacing w:line="360" w:lineRule="auto"/>
        <w:ind w:firstLine="482"/>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相符性分析：本项目钻井期使用的泥浆为环保水基泥浆，为环境友好的钻井液，泥浆随钻井队用于后续钻井使用，岩屑收集于岩屑储罐，由</w:t>
      </w:r>
      <w:r>
        <w:rPr>
          <w:rFonts w:hint="eastAsia" w:cs="Times New Roman"/>
          <w:color w:val="000000" w:themeColor="text1"/>
          <w:sz w:val="24"/>
          <w14:textFill>
            <w14:solidFill>
              <w14:schemeClr w14:val="tx1"/>
            </w14:solidFill>
          </w14:textFill>
        </w:rPr>
        <w:t>岩屑处置单位</w:t>
      </w:r>
      <w:r>
        <w:rPr>
          <w:rFonts w:cs="Times New Roman"/>
          <w:color w:val="000000" w:themeColor="text1"/>
          <w:sz w:val="24"/>
          <w14:textFill>
            <w14:solidFill>
              <w14:schemeClr w14:val="tx1"/>
            </w14:solidFill>
          </w14:textFill>
        </w:rPr>
        <w:t>合规处置。运营期井下作业废水拉运至陆梁集中处理站污水处理系统处理达标后回注油藏，不外排；落地油100%回收，回收的落地油送至陆梁集中处理站处理。项目与《新疆生态环境保护</w:t>
      </w:r>
      <w:r>
        <w:rPr>
          <w:rFonts w:hint="eastAsia" w:cs="Times New Roman"/>
          <w:color w:val="000000" w:themeColor="text1"/>
          <w:sz w:val="24"/>
          <w14:textFill>
            <w14:solidFill>
              <w14:schemeClr w14:val="tx1"/>
            </w14:solidFill>
          </w14:textFill>
        </w:rPr>
        <w:t>“</w:t>
      </w:r>
      <w:r>
        <w:rPr>
          <w:rFonts w:cs="Times New Roman"/>
          <w:color w:val="000000" w:themeColor="text1"/>
          <w:sz w:val="24"/>
          <w14:textFill>
            <w14:solidFill>
              <w14:schemeClr w14:val="tx1"/>
            </w14:solidFill>
          </w14:textFill>
        </w:rPr>
        <w:t>十四五</w:t>
      </w:r>
      <w:r>
        <w:rPr>
          <w:rFonts w:hint="eastAsia" w:cs="Times New Roman"/>
          <w:color w:val="000000" w:themeColor="text1"/>
          <w:sz w:val="24"/>
          <w14:textFill>
            <w14:solidFill>
              <w14:schemeClr w14:val="tx1"/>
            </w14:solidFill>
          </w14:textFill>
        </w:rPr>
        <w:t>”</w:t>
      </w:r>
      <w:r>
        <w:rPr>
          <w:rFonts w:cs="Times New Roman"/>
          <w:color w:val="000000" w:themeColor="text1"/>
          <w:sz w:val="24"/>
          <w14:textFill>
            <w14:solidFill>
              <w14:schemeClr w14:val="tx1"/>
            </w14:solidFill>
          </w14:textFill>
        </w:rPr>
        <w:t>规划》中要求相符。</w:t>
      </w:r>
    </w:p>
    <w:p>
      <w:pPr>
        <w:tabs>
          <w:tab w:val="left" w:pos="3465"/>
        </w:tabs>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2.8.3</w:t>
      </w:r>
      <w:r>
        <w:rPr>
          <w:rFonts w:ascii="Times New Roman" w:hAnsi="Times New Roman" w:eastAsia="宋体" w:cs="Times New Roman"/>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6</w:t>
      </w:r>
      <w:r>
        <w:rPr>
          <w:rFonts w:ascii="Times New Roman" w:hAnsi="Times New Roman" w:eastAsia="宋体" w:cs="Times New Roman"/>
          <w:color w:val="000000" w:themeColor="text1"/>
          <w:sz w:val="28"/>
          <w:szCs w:val="28"/>
          <w14:textFill>
            <w14:solidFill>
              <w14:schemeClr w14:val="tx1"/>
            </w14:solidFill>
          </w14:textFill>
        </w:rPr>
        <w:t>与《塔城地区生态环境保护</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十四五</w:t>
      </w:r>
      <w:r>
        <w:rPr>
          <w:rFonts w:hint="eastAsia" w:ascii="Times New Roman" w:hAnsi="Times New Roman" w:cs="Times New Roman"/>
          <w:color w:val="000000" w:themeColor="text1"/>
          <w:sz w:val="28"/>
          <w:szCs w:val="28"/>
          <w14:textFill>
            <w14:solidFill>
              <w14:schemeClr w14:val="tx1"/>
            </w14:solidFill>
          </w14:textFill>
        </w:rPr>
        <w:t>”</w:t>
      </w:r>
      <w:r>
        <w:rPr>
          <w:rFonts w:ascii="Times New Roman" w:hAnsi="Times New Roman" w:eastAsia="宋体" w:cs="Times New Roman"/>
          <w:color w:val="000000" w:themeColor="text1"/>
          <w:sz w:val="28"/>
          <w:szCs w:val="28"/>
          <w14:textFill>
            <w14:solidFill>
              <w14:schemeClr w14:val="tx1"/>
            </w14:solidFill>
          </w14:textFill>
        </w:rPr>
        <w:t>规划》的相符性分析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根据《塔城地区生态环境保护</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十四五</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规划》：</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加强重点行业领域VOCs整治：......</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重点推进石油天然气开采、石化、化工、工业涂装、油品储运等涉VOCs排放等重点行业的VOCs污染防治。</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相符性分析：本项目属于油气开采项目，项目采用密闭集输工艺，</w:t>
      </w:r>
      <w:r>
        <w:rPr>
          <w:rFonts w:ascii="Times New Roman" w:hAnsi="Times New Roman" w:eastAsia="宋体" w:cs="Times New Roman"/>
          <w:color w:val="000000" w:themeColor="text1"/>
          <w:kern w:val="0"/>
          <w:sz w:val="24"/>
          <w:lang w:bidi="ar"/>
          <w14:textFill>
            <w14:solidFill>
              <w14:schemeClr w14:val="tx1"/>
            </w14:solidFill>
          </w14:textFill>
        </w:rPr>
        <w:t>运行期管理单位会定期对井场、管线、阀门等进行检查。</w:t>
      </w:r>
      <w:r>
        <w:rPr>
          <w:rFonts w:ascii="Times New Roman" w:hAnsi="Times New Roman" w:cs="Times New Roman"/>
          <w:color w:val="000000" w:themeColor="text1"/>
          <w:sz w:val="24"/>
          <w14:textFill>
            <w14:solidFill>
              <w14:schemeClr w14:val="tx1"/>
            </w14:solidFill>
          </w14:textFill>
        </w:rPr>
        <w:t>项目区无组织</w:t>
      </w:r>
      <w:r>
        <w:rPr>
          <w:rFonts w:ascii="Times New Roman" w:hAnsi="Times New Roman" w:eastAsia="宋体" w:cs="Times New Roman"/>
          <w:color w:val="000000" w:themeColor="text1"/>
          <w:kern w:val="0"/>
          <w:sz w:val="24"/>
          <w:lang w:bidi="ar"/>
          <w14:textFill>
            <w14:solidFill>
              <w14:schemeClr w14:val="tx1"/>
            </w14:solidFill>
          </w14:textFill>
        </w:rPr>
        <w:t>VOCs</w:t>
      </w:r>
      <w:r>
        <w:rPr>
          <w:rFonts w:ascii="Times New Roman" w:hAnsi="Times New Roman" w:cs="Times New Roman"/>
          <w:color w:val="000000" w:themeColor="text1"/>
          <w:sz w:val="24"/>
          <w14:textFill>
            <w14:solidFill>
              <w14:schemeClr w14:val="tx1"/>
            </w14:solidFill>
          </w14:textFill>
        </w:rPr>
        <w:t>满足《陆上石油天然气开采工业大气污染物排放标准》（GB39728-2020）。项目与《塔城地区生态环境保护</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十四五</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规划</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中要求相符。</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2.8.3</w:t>
      </w:r>
      <w:r>
        <w:rPr>
          <w:rFonts w:ascii="Times New Roman" w:hAnsi="Times New Roman"/>
          <w:color w:val="000000" w:themeColor="text1"/>
          <w:sz w:val="28"/>
          <w:szCs w:val="28"/>
          <w14:textFill>
            <w14:solidFill>
              <w14:schemeClr w14:val="tx1"/>
            </w14:solidFill>
          </w14:textFill>
        </w:rPr>
        <w:t>.</w:t>
      </w:r>
      <w:r>
        <w:rPr>
          <w:rFonts w:hint="eastAsia" w:ascii="Times New Roman" w:hAnsi="Times New Roman"/>
          <w:color w:val="000000" w:themeColor="text1"/>
          <w:sz w:val="28"/>
          <w:szCs w:val="28"/>
          <w:lang w:val="en-US" w:eastAsia="zh-CN"/>
          <w14:textFill>
            <w14:solidFill>
              <w14:schemeClr w14:val="tx1"/>
            </w14:solidFill>
          </w14:textFill>
        </w:rPr>
        <w:t>7</w:t>
      </w:r>
      <w:r>
        <w:rPr>
          <w:rFonts w:ascii="Times New Roman" w:hAnsi="Times New Roman"/>
          <w:color w:val="000000" w:themeColor="text1"/>
          <w:sz w:val="28"/>
          <w:szCs w:val="28"/>
          <w14:textFill>
            <w14:solidFill>
              <w14:schemeClr w14:val="tx1"/>
            </w14:solidFill>
          </w14:textFill>
        </w:rPr>
        <w:t>与《新疆油田公司</w:t>
      </w:r>
      <w:r>
        <w:rPr>
          <w:rFonts w:hint="eastAsia" w:ascii="Times New Roman" w:hAnsi="Times New Roman"/>
          <w:color w:val="000000" w:themeColor="text1"/>
          <w:sz w:val="28"/>
          <w:szCs w:val="28"/>
          <w14:textFill>
            <w14:solidFill>
              <w14:schemeClr w14:val="tx1"/>
            </w14:solidFill>
          </w14:textFill>
        </w:rPr>
        <w:t>“</w:t>
      </w:r>
      <w:r>
        <w:rPr>
          <w:rFonts w:ascii="Times New Roman" w:hAnsi="Times New Roman"/>
          <w:color w:val="000000" w:themeColor="text1"/>
          <w:sz w:val="28"/>
          <w:szCs w:val="28"/>
          <w14:textFill>
            <w14:solidFill>
              <w14:schemeClr w14:val="tx1"/>
            </w14:solidFill>
          </w14:textFill>
        </w:rPr>
        <w:t>十四五</w:t>
      </w:r>
      <w:r>
        <w:rPr>
          <w:rFonts w:hint="eastAsia" w:ascii="Times New Roman" w:hAnsi="Times New Roman"/>
          <w:color w:val="000000" w:themeColor="text1"/>
          <w:sz w:val="28"/>
          <w:szCs w:val="28"/>
          <w14:textFill>
            <w14:solidFill>
              <w14:schemeClr w14:val="tx1"/>
            </w14:solidFill>
          </w14:textFill>
        </w:rPr>
        <w:t>”</w:t>
      </w:r>
      <w:r>
        <w:rPr>
          <w:rFonts w:ascii="Times New Roman" w:hAnsi="Times New Roman"/>
          <w:color w:val="000000" w:themeColor="text1"/>
          <w:sz w:val="28"/>
          <w:szCs w:val="28"/>
          <w14:textFill>
            <w14:solidFill>
              <w14:schemeClr w14:val="tx1"/>
            </w14:solidFill>
          </w14:textFill>
        </w:rPr>
        <w:t>发展规划》及规划环评符合性分析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（1）与《新疆油田公司</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十四五</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发展规划》符合性分析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为满足油气田产能建设和重大开发试验需求，满足已建系统安全平稳运行、提质增效需求，促进传统生产向精益生产转变，助力安全、环保、节能上台阶，</w:t>
      </w:r>
      <w:r>
        <w:rPr>
          <w:rFonts w:ascii="Times New Roman" w:hAnsi="Times New Roman" w:cs="Times New Roman"/>
          <w:color w:val="000000" w:themeColor="text1"/>
          <w:sz w:val="24"/>
          <w:lang w:val="zh-CN"/>
          <w14:textFill>
            <w14:solidFill>
              <w14:schemeClr w14:val="tx1"/>
            </w14:solidFill>
          </w14:textFill>
        </w:rPr>
        <w:t>中国石油新疆油田分公司</w:t>
      </w:r>
      <w:r>
        <w:rPr>
          <w:rFonts w:ascii="Times New Roman" w:hAnsi="Times New Roman" w:cs="Times New Roman"/>
          <w:color w:val="000000" w:themeColor="text1"/>
          <w:sz w:val="24"/>
          <w14:textFill>
            <w14:solidFill>
              <w14:schemeClr w14:val="tx1"/>
            </w14:solidFill>
          </w14:textFill>
        </w:rPr>
        <w:t>于2020年11月编制了《新疆油田公司</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十四五</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地面工程发展规划》。规划总体部署包括五大重点工程：玛湖500万吨上产工程、吉木萨尔页岩油建产工程、南缘建产工程、老区千万吨稳产工程（稠油400万吨稳产工程、常规稀油稳产工程）和天然气加快发展工程。本项目属于</w:t>
      </w:r>
      <w:r>
        <w:rPr>
          <w:rFonts w:hint="eastAsia" w:ascii="Times New Roman" w:hAnsi="Times New Roman" w:cs="Times New Roman"/>
          <w:color w:val="000000" w:themeColor="text1"/>
          <w:sz w:val="24"/>
          <w14:textFill>
            <w14:solidFill>
              <w14:schemeClr w14:val="tx1"/>
            </w14:solidFill>
          </w14:textFill>
        </w:rPr>
        <w:t>陆9井区</w:t>
      </w:r>
      <w:r>
        <w:rPr>
          <w:rFonts w:ascii="Times New Roman" w:hAnsi="Times New Roman" w:cs="Times New Roman"/>
          <w:color w:val="000000" w:themeColor="text1"/>
          <w:sz w:val="24"/>
          <w14:textFill>
            <w14:solidFill>
              <w14:schemeClr w14:val="tx1"/>
            </w14:solidFill>
          </w14:textFill>
        </w:rPr>
        <w:t>，属于</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老区千万吨稳产工程</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w:t>
      </w:r>
    </w:p>
    <w:p>
      <w:pPr>
        <w:autoSpaceDE w:val="0"/>
        <w:autoSpaceDN w:val="0"/>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根据《新疆油田公司</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十四五</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发展规划》，稀油老区在西北缘新建产能323.4万吨、腹部新建产能23.7万吨、东部新建产能136.3万吨。本项目属于</w:t>
      </w:r>
      <w:r>
        <w:rPr>
          <w:rFonts w:hint="eastAsia" w:ascii="Times New Roman" w:hAnsi="Times New Roman" w:cs="Times New Roman"/>
          <w:color w:val="000000" w:themeColor="text1"/>
          <w:sz w:val="24"/>
          <w14:textFill>
            <w14:solidFill>
              <w14:schemeClr w14:val="tx1"/>
            </w14:solidFill>
          </w14:textFill>
        </w:rPr>
        <w:t>“腹</w:t>
      </w:r>
      <w:r>
        <w:rPr>
          <w:rFonts w:ascii="Times New Roman" w:hAnsi="Times New Roman" w:cs="Times New Roman"/>
          <w:color w:val="000000" w:themeColor="text1"/>
          <w:sz w:val="24"/>
          <w14:textFill>
            <w14:solidFill>
              <w14:schemeClr w14:val="tx1"/>
            </w14:solidFill>
          </w14:textFill>
        </w:rPr>
        <w:t>部新建产能23.7万吨</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规划内容，运营后属于</w:t>
      </w:r>
      <w:r>
        <w:rPr>
          <w:rFonts w:ascii="Times New Roman" w:hAnsi="Times New Roman" w:eastAsia="宋体" w:cs="Times New Roman"/>
          <w:color w:val="000000" w:themeColor="text1"/>
          <w:kern w:val="0"/>
          <w:sz w:val="24"/>
          <w14:textFill>
            <w14:solidFill>
              <w14:schemeClr w14:val="tx1"/>
            </w14:solidFill>
          </w14:textFill>
        </w:rPr>
        <w:t>中国石油新疆油田分公司陆梁</w:t>
      </w:r>
      <w:r>
        <w:rPr>
          <w:rFonts w:hint="eastAsia" w:ascii="Times New Roman" w:hAnsi="Times New Roman" w:eastAsia="宋体" w:cs="Times New Roman"/>
          <w:color w:val="000000" w:themeColor="text1"/>
          <w:kern w:val="0"/>
          <w:sz w:val="24"/>
          <w14:textFill>
            <w14:solidFill>
              <w14:schemeClr w14:val="tx1"/>
            </w14:solidFill>
          </w14:textFill>
        </w:rPr>
        <w:t>油田</w:t>
      </w:r>
      <w:r>
        <w:rPr>
          <w:rFonts w:ascii="Times New Roman" w:hAnsi="Times New Roman" w:eastAsia="宋体" w:cs="Times New Roman"/>
          <w:color w:val="000000" w:themeColor="text1"/>
          <w:kern w:val="0"/>
          <w:sz w:val="24"/>
          <w14:textFill>
            <w14:solidFill>
              <w14:schemeClr w14:val="tx1"/>
            </w14:solidFill>
          </w14:textFill>
        </w:rPr>
        <w:t>作业区</w:t>
      </w:r>
      <w:r>
        <w:rPr>
          <w:rFonts w:ascii="Times New Roman" w:hAnsi="Times New Roman" w:cs="Times New Roman"/>
          <w:color w:val="000000" w:themeColor="text1"/>
          <w:sz w:val="24"/>
          <w14:textFill>
            <w14:solidFill>
              <w14:schemeClr w14:val="tx1"/>
            </w14:solidFill>
          </w14:textFill>
        </w:rPr>
        <w:t>管辖，符合规划要求。</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（2）与《新疆油田公司</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十四五</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发展规划环境影响报告书》审查意见的符合性分析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《新疆油田公司</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十四五</w:t>
      </w:r>
      <w:r>
        <w:rPr>
          <w:rFonts w:hint="eastAsia"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发展规划环境影响报告书》已于2022年12月1日取得新疆维吾尔自治区生态环境厅的审查意见（新环审〔2022〕252号）。项目与审查意见符合性分析详见表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-1</w:t>
      </w: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p>
    <w:p>
      <w:pPr>
        <w:pStyle w:val="37"/>
        <w:spacing w:line="360" w:lineRule="auto"/>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表</w:t>
      </w:r>
      <w:r>
        <w:rPr>
          <w:rFonts w:hint="eastAsia" w:ascii="Times New Roman" w:hAnsi="Times New Roman" w:cs="Times New Roman"/>
          <w:bCs/>
          <w:color w:val="000000" w:themeColor="text1"/>
          <w:sz w:val="21"/>
          <w:szCs w:val="21"/>
          <w14:textFill>
            <w14:solidFill>
              <w14:schemeClr w14:val="tx1"/>
            </w14:solidFill>
          </w14:textFill>
        </w:rPr>
        <w:t>2.8</w:t>
      </w:r>
      <w:r>
        <w:rPr>
          <w:rFonts w:ascii="Times New Roman" w:hAnsi="Times New Roman" w:cs="Times New Roman"/>
          <w:bCs/>
          <w:color w:val="000000" w:themeColor="text1"/>
          <w:sz w:val="21"/>
          <w:szCs w:val="21"/>
          <w14:textFill>
            <w14:solidFill>
              <w14:schemeClr w14:val="tx1"/>
            </w14:solidFill>
          </w14:textFill>
        </w:rPr>
        <w:t>-1</w:t>
      </w:r>
      <w:r>
        <w:rPr>
          <w:rFonts w:hint="eastAsia" w:ascii="Times New Roman" w:hAnsi="Times New Roman" w:cs="Times New Roman"/>
          <w:bCs/>
          <w:color w:val="000000" w:themeColor="text1"/>
          <w:sz w:val="21"/>
          <w:szCs w:val="21"/>
          <w14:textFill>
            <w14:solidFill>
              <w14:schemeClr w14:val="tx1"/>
            </w14:solidFill>
          </w14:textFill>
        </w:rPr>
        <w:t>3</w:t>
      </w:r>
      <w:r>
        <w:rPr>
          <w:rFonts w:ascii="Times New Roman" w:hAnsi="Times New Roman" w:cs="Times New Roman"/>
          <w:bCs/>
          <w:color w:val="000000" w:themeColor="text1"/>
          <w:sz w:val="21"/>
          <w:szCs w:val="21"/>
          <w14:textFill>
            <w14:solidFill>
              <w14:schemeClr w14:val="tx1"/>
            </w14:solidFill>
          </w14:textFill>
        </w:rPr>
        <w:t xml:space="preserve">  与新疆油田公司“十四五”发展规划环境影响报告书审查意见相符性分析一览表</w:t>
      </w:r>
    </w:p>
    <w:tbl>
      <w:tblPr>
        <w:tblStyle w:val="23"/>
        <w:tblW w:w="814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1"/>
        <w:gridCol w:w="4762"/>
        <w:gridCol w:w="1760"/>
        <w:gridCol w:w="9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12" w:hRule="atLeast"/>
          <w:jc w:val="center"/>
        </w:trPr>
        <w:tc>
          <w:tcPr>
            <w:tcW w:w="661" w:type="dxa"/>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序号</w:t>
            </w:r>
          </w:p>
        </w:tc>
        <w:tc>
          <w:tcPr>
            <w:tcW w:w="4762" w:type="dxa"/>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要求</w:t>
            </w:r>
          </w:p>
        </w:tc>
        <w:tc>
          <w:tcPr>
            <w:tcW w:w="1760" w:type="dxa"/>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本项目</w:t>
            </w:r>
          </w:p>
        </w:tc>
        <w:tc>
          <w:tcPr>
            <w:tcW w:w="963" w:type="dxa"/>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12" w:hRule="atLeast"/>
          <w:jc w:val="center"/>
        </w:trPr>
        <w:tc>
          <w:tcPr>
            <w:tcW w:w="661"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4762" w:type="dxa"/>
            <w:vAlign w:val="center"/>
          </w:tcPr>
          <w:p>
            <w:pPr>
              <w:pStyle w:val="39"/>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严守生态保护红线，加强空间管控。坚持以习近平生态文明思想为指导，严守生态保护红线，严格维护区域主导生态功能，积极推动绿色发展，促进人与自然和谐共生。主动对接国土空间规划，进一步做好与“三线一单”生态环境分区管控方案、主体功能区划、生态功能区划等有关要求的有序衔接和细化分解严格落实各项生态环境保护要求，协同推进石油天然气开发和生态环境保护相协调，切实维护区域生态系统的完整性和稳定性。加强规划区内环境敏感区和重要环境保护目标的生态环境保护工作，开展项目环评时应将油气开发对环境敏感区影响作为重点评价内容，并采取合理、有效的保护措施，确保规划涉及环境敏感区和重要环境保护目标不因油气开发而造成环境污染和生态破坏。</w:t>
            </w:r>
          </w:p>
        </w:tc>
        <w:tc>
          <w:tcPr>
            <w:tcW w:w="1760"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本</w:t>
            </w:r>
            <w:r>
              <w:rPr>
                <w:rFonts w:ascii="Times New Roman" w:hAnsi="Times New Roman" w:eastAsia="宋体" w:cs="Times New Roman"/>
                <w:color w:val="000000" w:themeColor="text1"/>
                <w:kern w:val="0"/>
                <w:szCs w:val="21"/>
                <w:lang w:val="zh-CN"/>
                <w14:textFill>
                  <w14:solidFill>
                    <w14:schemeClr w14:val="tx1"/>
                  </w14:solidFill>
                </w14:textFill>
              </w:rPr>
              <w:t>项目建设不在生态保护红线内，</w:t>
            </w:r>
            <w:r>
              <w:rPr>
                <w:rFonts w:ascii="Times New Roman" w:hAnsi="Times New Roman" w:eastAsia="宋体" w:cs="Times New Roman"/>
                <w:color w:val="000000" w:themeColor="text1"/>
                <w:kern w:val="0"/>
                <w:szCs w:val="21"/>
                <w14:textFill>
                  <w14:solidFill>
                    <w14:schemeClr w14:val="tx1"/>
                  </w14:solidFill>
                </w14:textFill>
              </w:rPr>
              <w:t>符合</w:t>
            </w:r>
            <w:r>
              <w:rPr>
                <w:rFonts w:ascii="Times New Roman" w:hAnsi="Times New Roman" w:eastAsia="宋体" w:cs="Times New Roman"/>
                <w:bCs/>
                <w:color w:val="000000" w:themeColor="text1"/>
                <w14:textFill>
                  <w14:solidFill>
                    <w14:schemeClr w14:val="tx1"/>
                  </w14:solidFill>
                </w14:textFill>
              </w:rPr>
              <w:t>塔城地区</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三线一单</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生态环境分区管控方案的管控要求。本报告对于项目占地已提出了保护措施及恢复要求。</w:t>
            </w:r>
          </w:p>
        </w:tc>
        <w:tc>
          <w:tcPr>
            <w:tcW w:w="963"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12" w:hRule="atLeast"/>
          <w:jc w:val="center"/>
        </w:trPr>
        <w:tc>
          <w:tcPr>
            <w:tcW w:w="661"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p>
        </w:tc>
        <w:tc>
          <w:tcPr>
            <w:tcW w:w="476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合理确定开发方案，优化开发布局。根据区域主体功能定位，结合区域资源环境特征、生态保护红线等相关管控要求，依据生态环境影响评价结果，从穿越位置、穿越方式、施工场地设置、管线工艺设计、环境风险防范等方面对规划建设油气长输管道工程及油气田内部集输管道工程选址选线提出要求，进一步优化石油天然气开采规模、开发布局和建设时序，优先避让环境敏感区，远离沿线居民。总结石油天然气开发过程对生态环境影响和保护经验，及时进行优化调整。</w:t>
            </w:r>
          </w:p>
        </w:tc>
        <w:tc>
          <w:tcPr>
            <w:tcW w:w="1760"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本项目对选址选线进行了合理性分析，</w:t>
            </w:r>
            <w:r>
              <w:rPr>
                <w:rFonts w:ascii="Times New Roman" w:hAnsi="Times New Roman" w:cs="Times New Roman"/>
                <w:color w:val="000000" w:themeColor="text1"/>
                <w:kern w:val="0"/>
                <w:szCs w:val="21"/>
                <w14:textFill>
                  <w14:solidFill>
                    <w14:schemeClr w14:val="tx1"/>
                  </w14:solidFill>
                </w14:textFill>
              </w:rPr>
              <w:t>本项目评价范围内无</w:t>
            </w:r>
            <w:r>
              <w:rPr>
                <w:rFonts w:ascii="Times New Roman" w:hAnsi="Times New Roman" w:eastAsia="宋体" w:cs="Times New Roman"/>
                <w:color w:val="000000" w:themeColor="text1"/>
                <w:kern w:val="0"/>
                <w:szCs w:val="21"/>
                <w14:textFill>
                  <w14:solidFill>
                    <w14:schemeClr w14:val="tx1"/>
                  </w14:solidFill>
                </w14:textFill>
              </w:rPr>
              <w:t>自然保护区、风景名胜区、文化区等</w:t>
            </w:r>
            <w:r>
              <w:rPr>
                <w:rFonts w:hint="eastAsia" w:ascii="Times New Roman" w:hAnsi="Times New Roman" w:eastAsia="宋体" w:cs="Times New Roman"/>
                <w:color w:val="000000" w:themeColor="text1"/>
                <w:kern w:val="0"/>
                <w:szCs w:val="21"/>
                <w14:textFill>
                  <w14:solidFill>
                    <w14:schemeClr w14:val="tx1"/>
                  </w14:solidFill>
                </w14:textFill>
              </w:rPr>
              <w:t>，项目区属于自治区水土流失重点区的</w:t>
            </w:r>
            <w:r>
              <w:rPr>
                <w:rFonts w:ascii="Times New Roman" w:hAnsi="Times New Roman" w:eastAsia="宋体" w:cs="Times New Roman"/>
                <w:color w:val="000000" w:themeColor="text1"/>
                <w:kern w:val="0"/>
                <w:szCs w:val="21"/>
                <w14:textFill>
                  <w14:solidFill>
                    <w14:schemeClr w14:val="tx1"/>
                  </w14:solidFill>
                </w14:textFill>
              </w:rPr>
              <w:t>环境敏感区。</w:t>
            </w:r>
          </w:p>
        </w:tc>
        <w:tc>
          <w:tcPr>
            <w:tcW w:w="963"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661"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w:t>
            </w:r>
          </w:p>
        </w:tc>
        <w:tc>
          <w:tcPr>
            <w:tcW w:w="476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严格生态环境保护，强化各类污染物防治。针对规划实施可能出现的累积性、长期性生态环境问题，采取积极有效的生态复垦和生态恢复措施，确保实现《报告书》提出的各项生态恢复治理要求，有效减缓规划区生态环境退化趋势。根据油气开采产业政策和生态环境保护政策要求，严格落实资源环境指标要求，进一步控制污染物排放以及能源消耗水平，对油气开采产生的废弃油基泥浆、含油钻屑及其他固体废物，提出减量化的源头控制措施、资源化的利用路径、无害化的处理要求，按照国家和地方有关固体废物的管理规定进行处置，提高废弃油基泥浆和含油钻屑及其处理产物的综合利用率。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的应经处理满足《碎屑岩油藏注水水质指标及分析方法》（SY/T5329）等相关标准要求，采取切实可行的地下水污染防治和监控措施，防止造成地下水污染。油气开采过程中产生的固体废物，应当遵循减量化、资源化、无害化原则，合规处置。加强伴生气、落地油、采出水等回收利用，提高综合利用水平。</w:t>
            </w:r>
          </w:p>
        </w:tc>
        <w:tc>
          <w:tcPr>
            <w:tcW w:w="1760"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①本项目钻井期使用的泥浆为环保水基泥浆，为环境友好的钻井液，泥浆随钻井队用于后续钻井使用；岩屑收集于岩屑储罐，由</w:t>
            </w:r>
            <w:r>
              <w:rPr>
                <w:rFonts w:hint="eastAsia" w:ascii="Times New Roman" w:hAnsi="Times New Roman" w:cs="Times New Roman"/>
                <w:bCs/>
                <w:color w:val="000000" w:themeColor="text1"/>
                <w14:textFill>
                  <w14:solidFill>
                    <w14:schemeClr w14:val="tx1"/>
                  </w14:solidFill>
                </w14:textFill>
              </w:rPr>
              <w:t>岩屑处置单位</w:t>
            </w:r>
            <w:r>
              <w:rPr>
                <w:rFonts w:ascii="Times New Roman" w:hAnsi="Times New Roman" w:cs="Times New Roman"/>
                <w:bCs/>
                <w:color w:val="000000" w:themeColor="text1"/>
                <w14:textFill>
                  <w14:solidFill>
                    <w14:schemeClr w14:val="tx1"/>
                  </w14:solidFill>
                </w14:textFill>
              </w:rPr>
              <w:t>合规处置；②运营期井下作业废水、废洗井液进罐收集后拉运至陆梁集中处理站处理达标后回注油藏，不外排；③落地油100%回收，回收的落地油送至陆梁集中处理站处理。</w:t>
            </w:r>
          </w:p>
        </w:tc>
        <w:tc>
          <w:tcPr>
            <w:tcW w:w="963"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661"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w:t>
            </w:r>
          </w:p>
        </w:tc>
        <w:tc>
          <w:tcPr>
            <w:tcW w:w="476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加强生态环境系统治理，维护生态安全。坚持节约优先、保护优先、自然恢复为主，统筹推进山水林田湖草沙一体化保护和系统治理，守住自然生态安全边界。严格控制油气田开发扰动范围，加大生态治理力度，结合油气开采绿色矿山建设等相关要求，落实各项生态环境保护措施，保障区域生态功能不退化。油气开发应同步制定并落实生态保护和修复方案，综合考虑防沙治沙等相关要求，因地制宜开展生态恢复治理工作。</w:t>
            </w:r>
          </w:p>
        </w:tc>
        <w:tc>
          <w:tcPr>
            <w:tcW w:w="1760"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本报告提出了生态保护及恢复措施，详见</w:t>
            </w:r>
            <w:r>
              <w:rPr>
                <w:rFonts w:hint="eastAsia"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6.7</w:t>
            </w:r>
            <w:r>
              <w:rPr>
                <w:rFonts w:hint="eastAsia"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6.</w:t>
            </w:r>
            <w:r>
              <w:rPr>
                <w:rFonts w:hint="eastAsia" w:ascii="Times New Roman" w:hAnsi="Times New Roman" w:cs="Times New Roman"/>
                <w:color w:val="000000" w:themeColor="text1"/>
                <w:kern w:val="0"/>
                <w:szCs w:val="21"/>
                <w14:textFill>
                  <w14:solidFill>
                    <w14:schemeClr w14:val="tx1"/>
                  </w14:solidFill>
                </w14:textFill>
              </w:rPr>
              <w:t>9”</w:t>
            </w:r>
            <w:r>
              <w:rPr>
                <w:rFonts w:ascii="Times New Roman" w:hAnsi="Times New Roman" w:cs="Times New Roman"/>
                <w:color w:val="000000" w:themeColor="text1"/>
                <w:kern w:val="0"/>
                <w:szCs w:val="21"/>
                <w14:textFill>
                  <w14:solidFill>
                    <w14:schemeClr w14:val="tx1"/>
                  </w14:solidFill>
                </w14:textFill>
              </w:rPr>
              <w:t>节</w:t>
            </w:r>
            <w:r>
              <w:rPr>
                <w:rFonts w:ascii="Times New Roman" w:hAnsi="Times New Roman" w:eastAsia="宋体" w:cs="Times New Roman"/>
                <w:color w:val="000000" w:themeColor="text1"/>
                <w:kern w:val="0"/>
                <w:szCs w:val="21"/>
                <w14:textFill>
                  <w14:solidFill>
                    <w14:schemeClr w14:val="tx1"/>
                  </w14:solidFill>
                </w14:textFill>
              </w:rPr>
              <w:t>。</w:t>
            </w:r>
          </w:p>
        </w:tc>
        <w:tc>
          <w:tcPr>
            <w:tcW w:w="963"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661"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5</w:t>
            </w:r>
          </w:p>
        </w:tc>
        <w:tc>
          <w:tcPr>
            <w:tcW w:w="4762"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加强油气开发事中事后环境管理。油气企业应切实落实生态环境保护主体责任，进一步健全生态环境管理和应急管理体系，确保各项生态环境保护和应急防控措施落实到位。建立环境空气、水环境、土壤环境、生态等监测体系，开展长期跟踪监测。根据监测结果，及时优化开发方案，并采取有效的生态环境保护措施。</w:t>
            </w:r>
          </w:p>
        </w:tc>
        <w:tc>
          <w:tcPr>
            <w:tcW w:w="1760"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本报告已提出跟踪监测计划。</w:t>
            </w:r>
          </w:p>
        </w:tc>
        <w:tc>
          <w:tcPr>
            <w:tcW w:w="963"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符合</w:t>
            </w:r>
          </w:p>
        </w:tc>
      </w:tr>
    </w:tbl>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2.8.3</w:t>
      </w:r>
      <w:r>
        <w:rPr>
          <w:rFonts w:ascii="Times New Roman" w:hAnsi="Times New Roman"/>
          <w:color w:val="000000" w:themeColor="text1"/>
          <w:sz w:val="28"/>
          <w:szCs w:val="28"/>
          <w14:textFill>
            <w14:solidFill>
              <w14:schemeClr w14:val="tx1"/>
            </w14:solidFill>
          </w14:textFill>
        </w:rPr>
        <w:t>.</w:t>
      </w:r>
      <w:r>
        <w:rPr>
          <w:rFonts w:hint="eastAsia" w:ascii="Times New Roman" w:hAnsi="Times New Roman"/>
          <w:color w:val="000000" w:themeColor="text1"/>
          <w:sz w:val="28"/>
          <w:szCs w:val="28"/>
          <w:lang w:val="en-US" w:eastAsia="zh-CN"/>
          <w14:textFill>
            <w14:solidFill>
              <w14:schemeClr w14:val="tx1"/>
            </w14:solidFill>
          </w14:textFill>
        </w:rPr>
        <w:t>8</w:t>
      </w:r>
      <w:r>
        <w:rPr>
          <w:rFonts w:ascii="Times New Roman" w:hAnsi="Times New Roman"/>
          <w:color w:val="000000" w:themeColor="text1"/>
          <w:sz w:val="28"/>
          <w:szCs w:val="28"/>
          <w14:textFill>
            <w14:solidFill>
              <w14:schemeClr w14:val="tx1"/>
            </w14:solidFill>
          </w14:textFill>
        </w:rPr>
        <w:t>与《新疆维吾尔自治区水土保持规划（2018-2030年）》符合性分析</w:t>
      </w:r>
    </w:p>
    <w:p>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新疆维吾尔自治区水土保持规划（2018-2030年）》于2018年8月24日取得新疆维吾尔自治区人民政府的批复（新政函〔2018〕146号）。规划分析了全疆水土流失及其防治现状，系统总结水土保持经验和成就，以水土保持区划为基础，以保护和合理利用水土资源为主线，以全疆主体功能区划为依据，拟定全疆预防和治理水土流失、保护合理利用水土资源的总体部署，明确今后一段时期自治区水土保持的目标、任务、布局和对策措施。</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规划中明确天山北坡区的</w:t>
      </w:r>
      <w:r>
        <w:rPr>
          <w:rFonts w:ascii="Times New Roman" w:hAnsi="Times New Roman" w:eastAsia="宋体" w:cs="Times New Roman"/>
          <w:color w:val="000000" w:themeColor="text1"/>
          <w:kern w:val="0"/>
          <w:sz w:val="24"/>
          <w:lang w:bidi="ar"/>
          <w14:textFill>
            <w14:solidFill>
              <w14:schemeClr w14:val="tx1"/>
            </w14:solidFill>
          </w14:textFill>
        </w:rPr>
        <w:t>准噶尔盆地南部，受沙漠扩张及风沙危害，风力侵蚀较为严重。该区水土流失总面积为9.83万km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，占本区土地总面积的65%，其中水力侵蚀面积为1.60万km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，占本区土地总面积的10%；风力侵蚀面积为8.23万km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，占本区土地总面积的55%。针对</w:t>
      </w:r>
      <w:r>
        <w:rPr>
          <w:rFonts w:ascii="Times New Roman" w:hAnsi="Times New Roman" w:eastAsia="宋体" w:cs="Times New Roman"/>
          <w:color w:val="000000" w:themeColor="text1"/>
          <w:sz w:val="24"/>
          <w14:textFill>
            <w14:solidFill>
              <w14:schemeClr w14:val="tx1"/>
            </w14:solidFill>
          </w14:textFill>
        </w:rPr>
        <w:t>天山北坡区的现状，提出水土流失治理措施主要依靠天山北坡城市群城郊清洁型小流域建设和草原建设工程，并及时开展准东地区、和丰-克拉玛依、乌昌地区煤炭行业和克拉玛依石油天然气行业的水土保持综合治理。其中塔城地区重点区域（流域）和重要行业水土保持综合治理体系生态修复和土地整治工程远期规划为165</w:t>
      </w:r>
      <w:r>
        <w:rPr>
          <w:rFonts w:ascii="Times New Roman" w:hAnsi="Times New Roman" w:eastAsia="宋体" w:cs="Times New Roman"/>
          <w:color w:val="000000" w:themeColor="text1"/>
          <w:kern w:val="0"/>
          <w:sz w:val="24"/>
          <w:lang w:bidi="ar"/>
          <w14:textFill>
            <w14:solidFill>
              <w14:schemeClr w14:val="tx1"/>
            </w14:solidFill>
          </w14:textFill>
        </w:rPr>
        <w:t>km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33</w:t>
      </w:r>
      <w:r>
        <w:rPr>
          <w:rFonts w:ascii="Times New Roman" w:hAnsi="Times New Roman" w:eastAsia="宋体" w:cs="Times New Roman"/>
          <w:color w:val="000000" w:themeColor="text1"/>
          <w:kern w:val="0"/>
          <w:sz w:val="24"/>
          <w:lang w:bidi="ar"/>
          <w14:textFill>
            <w14:solidFill>
              <w14:schemeClr w14:val="tx1"/>
            </w14:solidFill>
          </w14:textFill>
        </w:rPr>
        <w:t>km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w:t>
      </w:r>
    </w:p>
    <w:p>
      <w:pPr>
        <w:tabs>
          <w:tab w:val="left" w:pos="3465"/>
        </w:tabs>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本项目为油气开采项目，位于塔城地区和布克赛尔蒙古自治县，项目区</w:t>
      </w:r>
      <w:r>
        <w:rPr>
          <w:rFonts w:ascii="Times New Roman" w:hAnsi="Times New Roman" w:cs="Times New Roman"/>
          <w:color w:val="000000" w:themeColor="text1"/>
          <w:sz w:val="24"/>
          <w14:textFill>
            <w14:solidFill>
              <w14:schemeClr w14:val="tx1"/>
            </w14:solidFill>
          </w14:textFill>
        </w:rPr>
        <w:t>属于</w:t>
      </w:r>
      <w:r>
        <w:rPr>
          <w:rFonts w:ascii="Times New Roman" w:hAnsi="Times New Roman" w:eastAsia="宋体" w:cs="Times New Roman"/>
          <w:color w:val="000000" w:themeColor="text1"/>
          <w:sz w:val="24"/>
          <w14:textFill>
            <w14:solidFill>
              <w14:schemeClr w14:val="tx1"/>
            </w14:solidFill>
          </w14:textFill>
        </w:rPr>
        <w:t>自治区级中的</w:t>
      </w:r>
      <w:r>
        <w:rPr>
          <w:rFonts w:ascii="Times New Roman" w:hAnsi="Times New Roman" w:cs="Times New Roman"/>
          <w:color w:val="000000" w:themeColor="text1"/>
          <w:sz w:val="24"/>
          <w14:textFill>
            <w14:solidFill>
              <w14:schemeClr w14:val="tx1"/>
            </w14:solidFill>
          </w14:textFill>
        </w:rPr>
        <w:t>水土流失重点治理区天山北坡诸小河流域重点治理区</w:t>
      </w:r>
      <w:r>
        <w:rPr>
          <w:rFonts w:ascii="Times New Roman" w:hAnsi="Times New Roman" w:eastAsia="宋体" w:cs="Times New Roman"/>
          <w:color w:val="000000" w:themeColor="text1"/>
          <w:sz w:val="24"/>
          <w14:textFill>
            <w14:solidFill>
              <w14:schemeClr w14:val="tx1"/>
            </w14:solidFill>
          </w14:textFill>
        </w:rPr>
        <w:t>。针对项目所在区域的特点，本报告在</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6.</w:t>
      </w:r>
      <w:r>
        <w:rPr>
          <w:rFonts w:hint="eastAsia" w:ascii="Times New Roman" w:hAnsi="Times New Roman" w:eastAsia="宋体" w:cs="Times New Roman"/>
          <w:color w:val="000000" w:themeColor="text1"/>
          <w:sz w:val="24"/>
          <w14:textFill>
            <w14:solidFill>
              <w14:schemeClr w14:val="tx1"/>
            </w14:solidFill>
          </w14:textFill>
        </w:rPr>
        <w:t>11”</w:t>
      </w:r>
      <w:r>
        <w:rPr>
          <w:rFonts w:ascii="Times New Roman" w:hAnsi="Times New Roman" w:eastAsia="宋体" w:cs="Times New Roman"/>
          <w:color w:val="000000" w:themeColor="text1"/>
          <w:sz w:val="24"/>
          <w14:textFill>
            <w14:solidFill>
              <w14:schemeClr w14:val="tx1"/>
            </w14:solidFill>
          </w14:textFill>
        </w:rPr>
        <w:t>和</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6.</w:t>
      </w:r>
      <w:r>
        <w:rPr>
          <w:rFonts w:hint="eastAsia" w:ascii="Times New Roman" w:hAnsi="Times New Roman" w:eastAsia="宋体" w:cs="Times New Roman"/>
          <w:color w:val="000000" w:themeColor="text1"/>
          <w:sz w:val="24"/>
          <w14:textFill>
            <w14:solidFill>
              <w14:schemeClr w14:val="tx1"/>
            </w14:solidFill>
          </w14:textFill>
        </w:rPr>
        <w:t>10”小</w:t>
      </w:r>
      <w:r>
        <w:rPr>
          <w:rFonts w:ascii="Times New Roman" w:hAnsi="Times New Roman" w:eastAsia="宋体" w:cs="Times New Roman"/>
          <w:color w:val="000000" w:themeColor="text1"/>
          <w:sz w:val="24"/>
          <w14:textFill>
            <w14:solidFill>
              <w14:schemeClr w14:val="tx1"/>
            </w14:solidFill>
          </w14:textFill>
        </w:rPr>
        <w:t>节中提出相应的防沙治沙措施和水土保持方案，建设单位在施工期和运营期需严格落实水土流失工程防治、分区防治、水土保持和管理等措施，在落实各项防治措施后，可提高项目占地范围内的土壤抗侵蚀能力，减少区域水土流失量。因此，本项目在严格落实报告中提出的水土流失防治措施和生态</w:t>
      </w:r>
      <w:r>
        <w:rPr>
          <w:rFonts w:hint="eastAsia" w:ascii="Times New Roman" w:hAnsi="Times New Roman" w:eastAsia="宋体" w:cs="Times New Roman"/>
          <w:color w:val="000000" w:themeColor="text1"/>
          <w:sz w:val="24"/>
          <w14:textFill>
            <w14:solidFill>
              <w14:schemeClr w14:val="tx1"/>
            </w14:solidFill>
          </w14:textFill>
        </w:rPr>
        <w:t>保</w:t>
      </w:r>
      <w:r>
        <w:rPr>
          <w:rFonts w:ascii="Times New Roman" w:hAnsi="Times New Roman" w:eastAsia="宋体" w:cs="Times New Roman"/>
          <w:color w:val="000000" w:themeColor="text1"/>
          <w:sz w:val="24"/>
          <w14:textFill>
            <w14:solidFill>
              <w14:schemeClr w14:val="tx1"/>
            </w14:solidFill>
          </w14:textFill>
        </w:rPr>
        <w:t>护措施后，与《新疆维吾尔自治区水土保持规划（2018-2030年）》中的内容相符。</w:t>
      </w:r>
    </w:p>
    <w:p>
      <w:pPr>
        <w:pStyle w:val="31"/>
        <w:overflowPunct w:val="0"/>
        <w:topLinePunct/>
        <w:adjustRightInd w:val="0"/>
        <w:outlineLvl w:val="3"/>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2.8.3.</w:t>
      </w:r>
      <w:r>
        <w:rPr>
          <w:rFonts w:hint="eastAsia" w:ascii="Times New Roman" w:hAnsi="Times New Roman"/>
          <w:color w:val="000000" w:themeColor="text1"/>
          <w:sz w:val="28"/>
          <w:szCs w:val="28"/>
          <w:lang w:val="en-US" w:eastAsia="zh-CN"/>
          <w14:textFill>
            <w14:solidFill>
              <w14:schemeClr w14:val="tx1"/>
            </w14:solidFill>
          </w14:textFill>
        </w:rPr>
        <w:t>9</w:t>
      </w:r>
      <w:r>
        <w:rPr>
          <w:rFonts w:hint="eastAsia" w:ascii="Times New Roman" w:hAnsi="Times New Roman"/>
          <w:color w:val="000000" w:themeColor="text1"/>
          <w:sz w:val="28"/>
          <w:szCs w:val="28"/>
          <w14:textFill>
            <w14:solidFill>
              <w14:schemeClr w14:val="tx1"/>
            </w14:solidFill>
          </w14:textFill>
        </w:rPr>
        <w:t>与</w:t>
      </w:r>
      <w:r>
        <w:rPr>
          <w:rFonts w:ascii="Times New Roman" w:hAnsi="Times New Roman"/>
          <w:color w:val="000000" w:themeColor="text1"/>
          <w:sz w:val="28"/>
          <w:szCs w:val="28"/>
          <w14:textFill>
            <w14:solidFill>
              <w14:schemeClr w14:val="tx1"/>
            </w14:solidFill>
          </w14:textFill>
        </w:rPr>
        <w:t>《塔城地区和布克赛尔蒙古自治县水土保持规划（2018-2030年）》</w:t>
      </w:r>
      <w:r>
        <w:rPr>
          <w:rFonts w:hint="eastAsia" w:ascii="Times New Roman" w:hAnsi="Times New Roman"/>
          <w:color w:val="000000" w:themeColor="text1"/>
          <w:sz w:val="28"/>
          <w:szCs w:val="28"/>
          <w14:textFill>
            <w14:solidFill>
              <w14:schemeClr w14:val="tx1"/>
            </w14:solidFill>
          </w14:textFill>
        </w:rPr>
        <w:t>符合性分析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根据《塔城地区和布克赛尔蒙古自治县水土保持规划报告（2018-2030年）》，和布克赛尔蒙古自治县土地总面积28784km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，2018年度全县水土流失面积25229.39km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，占全县土地面积的87.56%。侵蚀类型主要有冻融侵蚀、水力侵蚀、风力侵蚀和冻融侵蚀。其中冻融侵蚀面积为1.71km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，占水土流失面积的0.01%；水力侵蚀面积为110.02km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，占水土流失面积的0.44%；风力侵蚀面积为25117.66km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，占水土流失面积的99.56%。</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全县共划分为北部山地、草原水源涵养区、中部谷地丘陵平原荒漠一绿洲产业发展区、荒漠平原风力侵蚀预防保护区三个生态区</w:t>
      </w:r>
      <w:r>
        <w:rPr>
          <w:rFonts w:hint="eastAsia" w:ascii="Times New Roman" w:hAnsi="Times New Roman" w:cs="Times New Roman"/>
          <w:color w:val="000000" w:themeColor="text1"/>
          <w:sz w:val="24"/>
          <w14:textFill>
            <w14:solidFill>
              <w14:schemeClr w14:val="tx1"/>
            </w14:solidFill>
          </w14:textFill>
        </w:rPr>
        <w:t>，</w:t>
      </w:r>
    </w:p>
    <w:p>
      <w:pPr>
        <w:tabs>
          <w:tab w:val="left" w:pos="3465"/>
        </w:tabs>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本项目为油气开采项目，位于塔城地区和布克赛尔蒙古自治县，项目区</w:t>
      </w:r>
      <w:r>
        <w:rPr>
          <w:rFonts w:ascii="Times New Roman" w:hAnsi="Times New Roman" w:cs="Times New Roman"/>
          <w:color w:val="000000" w:themeColor="text1"/>
          <w:sz w:val="24"/>
          <w14:textFill>
            <w14:solidFill>
              <w14:schemeClr w14:val="tx1"/>
            </w14:solidFill>
          </w14:textFill>
        </w:rPr>
        <w:t>属于3-2沙漠风力侵蚀预防保护区</w:t>
      </w:r>
      <w:r>
        <w:rPr>
          <w:rFonts w:ascii="Times New Roman" w:hAnsi="Times New Roman" w:eastAsia="宋体" w:cs="Times New Roman"/>
          <w:color w:val="000000" w:themeColor="text1"/>
          <w:sz w:val="24"/>
          <w14:textFill>
            <w14:solidFill>
              <w14:schemeClr w14:val="tx1"/>
            </w14:solidFill>
          </w14:textFill>
        </w:rPr>
        <w:t>。针对项目所在区域的特点，本报告在</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6.</w:t>
      </w:r>
      <w:r>
        <w:rPr>
          <w:rFonts w:hint="eastAsia" w:ascii="Times New Roman" w:hAnsi="Times New Roman" w:eastAsia="宋体" w:cs="Times New Roman"/>
          <w:color w:val="000000" w:themeColor="text1"/>
          <w:sz w:val="24"/>
          <w14:textFill>
            <w14:solidFill>
              <w14:schemeClr w14:val="tx1"/>
            </w14:solidFill>
          </w14:textFill>
        </w:rPr>
        <w:t>11”</w:t>
      </w:r>
      <w:r>
        <w:rPr>
          <w:rFonts w:ascii="Times New Roman" w:hAnsi="Times New Roman" w:eastAsia="宋体" w:cs="Times New Roman"/>
          <w:color w:val="000000" w:themeColor="text1"/>
          <w:sz w:val="24"/>
          <w14:textFill>
            <w14:solidFill>
              <w14:schemeClr w14:val="tx1"/>
            </w14:solidFill>
          </w14:textFill>
        </w:rPr>
        <w:t>和</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6.</w:t>
      </w:r>
      <w:r>
        <w:rPr>
          <w:rFonts w:hint="eastAsia" w:ascii="Times New Roman" w:hAnsi="Times New Roman" w:eastAsia="宋体" w:cs="Times New Roman"/>
          <w:color w:val="000000" w:themeColor="text1"/>
          <w:sz w:val="24"/>
          <w14:textFill>
            <w14:solidFill>
              <w14:schemeClr w14:val="tx1"/>
            </w14:solidFill>
          </w14:textFill>
        </w:rPr>
        <w:t>10”小</w:t>
      </w:r>
      <w:r>
        <w:rPr>
          <w:rFonts w:ascii="Times New Roman" w:hAnsi="Times New Roman" w:eastAsia="宋体" w:cs="Times New Roman"/>
          <w:color w:val="000000" w:themeColor="text1"/>
          <w:sz w:val="24"/>
          <w14:textFill>
            <w14:solidFill>
              <w14:schemeClr w14:val="tx1"/>
            </w14:solidFill>
          </w14:textFill>
        </w:rPr>
        <w:t>节中提出相应的防沙治沙措施和水土保持方案，建设单位在施工期和运营期需严格落实水土流失工程防治、分区防治、水土保持和管理等措施，在落实各项防治措施后，可提高项目占地范围内的土壤抗侵蚀能力，减少区域水土流失量。因此，本项目在严格落实报告中提出的水土流失防治措施和生态</w:t>
      </w:r>
      <w:r>
        <w:rPr>
          <w:rFonts w:hint="eastAsia" w:ascii="Times New Roman" w:hAnsi="Times New Roman" w:eastAsia="宋体" w:cs="Times New Roman"/>
          <w:color w:val="000000" w:themeColor="text1"/>
          <w:sz w:val="24"/>
          <w14:textFill>
            <w14:solidFill>
              <w14:schemeClr w14:val="tx1"/>
            </w14:solidFill>
          </w14:textFill>
        </w:rPr>
        <w:t>保</w:t>
      </w:r>
      <w:r>
        <w:rPr>
          <w:rFonts w:ascii="Times New Roman" w:hAnsi="Times New Roman" w:eastAsia="宋体" w:cs="Times New Roman"/>
          <w:color w:val="000000" w:themeColor="text1"/>
          <w:sz w:val="24"/>
          <w14:textFill>
            <w14:solidFill>
              <w14:schemeClr w14:val="tx1"/>
            </w14:solidFill>
          </w14:textFill>
        </w:rPr>
        <w:t>护措施后，与《塔城地区和布克赛尔蒙古自治县水土保持规划》（2018-2030年）中的内容相符。</w:t>
      </w:r>
    </w:p>
    <w:p>
      <w:pPr>
        <w:pStyle w:val="31"/>
        <w:overflowPunct w:val="0"/>
        <w:topLinePunct/>
        <w:adjustRightInd w:val="0"/>
        <w:outlineLvl w:val="3"/>
        <w:rPr>
          <w:rFonts w:ascii="Times New Roman" w:hAnsi="Times New Roman" w:eastAsia="黑体"/>
          <w:b/>
          <w:color w:val="000000" w:themeColor="text1"/>
          <w:kern w:val="2"/>
          <w:sz w:val="30"/>
          <w:szCs w:val="30"/>
          <w14:textFill>
            <w14:solidFill>
              <w14:schemeClr w14:val="tx1"/>
            </w14:solidFill>
          </w14:textFill>
        </w:rPr>
      </w:pPr>
      <w:r>
        <w:rPr>
          <w:rFonts w:hint="eastAsia" w:ascii="Times New Roman" w:hAnsi="Times New Roman" w:eastAsia="黑体"/>
          <w:b/>
          <w:color w:val="000000" w:themeColor="text1"/>
          <w:kern w:val="2"/>
          <w:sz w:val="30"/>
          <w:szCs w:val="30"/>
          <w14:textFill>
            <w14:solidFill>
              <w14:schemeClr w14:val="tx1"/>
            </w14:solidFill>
          </w14:textFill>
        </w:rPr>
        <w:t>2.8.4</w:t>
      </w:r>
      <w:r>
        <w:rPr>
          <w:rFonts w:ascii="Times New Roman" w:hAnsi="Times New Roman" w:eastAsia="黑体"/>
          <w:b/>
          <w:color w:val="000000" w:themeColor="text1"/>
          <w:kern w:val="2"/>
          <w:sz w:val="30"/>
          <w:szCs w:val="30"/>
          <w14:textFill>
            <w14:solidFill>
              <w14:schemeClr w14:val="tx1"/>
            </w14:solidFill>
          </w14:textFill>
        </w:rPr>
        <w:t>与《塔城地区</w:t>
      </w:r>
      <w:r>
        <w:rPr>
          <w:rFonts w:hint="eastAsia" w:ascii="Times New Roman" w:hAnsi="Times New Roman" w:eastAsia="黑体"/>
          <w:b/>
          <w:color w:val="000000" w:themeColor="text1"/>
          <w:kern w:val="2"/>
          <w:sz w:val="30"/>
          <w:szCs w:val="30"/>
          <w14:textFill>
            <w14:solidFill>
              <w14:schemeClr w14:val="tx1"/>
            </w14:solidFill>
          </w14:textFill>
        </w:rPr>
        <w:t>“</w:t>
      </w:r>
      <w:r>
        <w:rPr>
          <w:rFonts w:ascii="Times New Roman" w:hAnsi="Times New Roman" w:eastAsia="黑体"/>
          <w:b/>
          <w:color w:val="000000" w:themeColor="text1"/>
          <w:kern w:val="2"/>
          <w:sz w:val="30"/>
          <w:szCs w:val="30"/>
          <w14:textFill>
            <w14:solidFill>
              <w14:schemeClr w14:val="tx1"/>
            </w14:solidFill>
          </w14:textFill>
        </w:rPr>
        <w:t>三线一单</w:t>
      </w:r>
      <w:r>
        <w:rPr>
          <w:rFonts w:hint="eastAsia" w:ascii="Times New Roman" w:hAnsi="Times New Roman" w:eastAsia="黑体"/>
          <w:b/>
          <w:color w:val="000000" w:themeColor="text1"/>
          <w:kern w:val="2"/>
          <w:sz w:val="30"/>
          <w:szCs w:val="30"/>
          <w14:textFill>
            <w14:solidFill>
              <w14:schemeClr w14:val="tx1"/>
            </w14:solidFill>
          </w14:textFill>
        </w:rPr>
        <w:t>”</w:t>
      </w:r>
      <w:r>
        <w:rPr>
          <w:rFonts w:ascii="Times New Roman" w:hAnsi="Times New Roman" w:eastAsia="黑体"/>
          <w:b/>
          <w:color w:val="000000" w:themeColor="text1"/>
          <w:kern w:val="2"/>
          <w:sz w:val="30"/>
          <w:szCs w:val="30"/>
          <w14:textFill>
            <w14:solidFill>
              <w14:schemeClr w14:val="tx1"/>
            </w14:solidFill>
          </w14:textFill>
        </w:rPr>
        <w:t>生态环境分区管控方案》</w:t>
      </w:r>
      <w:r>
        <w:rPr>
          <w:rFonts w:hint="eastAsia" w:ascii="Times New Roman" w:hAnsi="Times New Roman" w:eastAsia="黑体"/>
          <w:b/>
          <w:color w:val="000000" w:themeColor="text1"/>
          <w:kern w:val="2"/>
          <w:sz w:val="30"/>
          <w:szCs w:val="30"/>
          <w14:textFill>
            <w14:solidFill>
              <w14:schemeClr w14:val="tx1"/>
            </w14:solidFill>
          </w14:textFill>
        </w:rPr>
        <w:t>（2023年版）</w:t>
      </w:r>
      <w:r>
        <w:rPr>
          <w:rFonts w:ascii="Times New Roman" w:hAnsi="Times New Roman" w:eastAsia="黑体"/>
          <w:b/>
          <w:color w:val="000000" w:themeColor="text1"/>
          <w:kern w:val="2"/>
          <w:sz w:val="30"/>
          <w:szCs w:val="30"/>
          <w14:textFill>
            <w14:solidFill>
              <w14:schemeClr w14:val="tx1"/>
            </w14:solidFill>
          </w14:textFill>
        </w:rPr>
        <w:t>相符性分析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本项目单井井场、管线工程等占地均位于塔城地区和布克赛尔蒙古自治县，属于塔城地区和布克赛尔蒙古自治县一般管控单元（</w:t>
      </w:r>
      <w:r>
        <w:rPr>
          <w:rFonts w:hint="eastAsia" w:ascii="Times New Roman" w:hAnsi="Times New Roman" w:cs="Times New Roman"/>
          <w:color w:val="000000" w:themeColor="text1"/>
          <w:sz w:val="24"/>
          <w14:textFill>
            <w14:solidFill>
              <w14:schemeClr w14:val="tx1"/>
            </w14:solidFill>
          </w14:textFill>
        </w:rPr>
        <w:t>ZH65422630001</w:t>
      </w:r>
      <w:r>
        <w:rPr>
          <w:rFonts w:ascii="Times New Roman" w:hAnsi="Times New Roman" w:cs="Times New Roman"/>
          <w:color w:val="000000" w:themeColor="text1"/>
          <w:sz w:val="24"/>
          <w14:textFill>
            <w14:solidFill>
              <w14:schemeClr w14:val="tx1"/>
            </w14:solidFill>
          </w14:textFill>
        </w:rPr>
        <w:t>），具体如图</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所示，</w:t>
      </w:r>
      <w:r>
        <w:rPr>
          <w:rFonts w:hint="eastAsia" w:ascii="Times New Roman" w:hAnsi="Times New Roman" w:cs="Times New Roman"/>
          <w:color w:val="000000" w:themeColor="text1"/>
          <w:sz w:val="24"/>
          <w14:textFill>
            <w14:solidFill>
              <w14:schemeClr w14:val="tx1"/>
            </w14:solidFill>
          </w14:textFill>
        </w:rPr>
        <w:t>本项目</w:t>
      </w:r>
      <w:r>
        <w:rPr>
          <w:rFonts w:ascii="Times New Roman" w:hAnsi="Times New Roman" w:cs="Times New Roman"/>
          <w:color w:val="000000" w:themeColor="text1"/>
          <w:sz w:val="24"/>
          <w14:textFill>
            <w14:solidFill>
              <w14:schemeClr w14:val="tx1"/>
            </w14:solidFill>
          </w14:textFill>
        </w:rPr>
        <w:t>与</w:t>
      </w:r>
      <w:r>
        <w:rPr>
          <w:rFonts w:hint="eastAsia" w:ascii="Times New Roman" w:hAnsi="Times New Roman" w:cs="Times New Roman"/>
          <w:color w:val="000000" w:themeColor="text1"/>
          <w:sz w:val="24"/>
          <w14:textFill>
            <w14:solidFill>
              <w14:schemeClr w14:val="tx1"/>
            </w14:solidFill>
          </w14:textFill>
        </w:rPr>
        <w:t>塔城</w:t>
      </w:r>
      <w:r>
        <w:rPr>
          <w:rFonts w:ascii="Times New Roman" w:hAnsi="Times New Roman" w:cs="Times New Roman"/>
          <w:color w:val="000000" w:themeColor="text1"/>
          <w:sz w:val="24"/>
          <w14:textFill>
            <w14:solidFill>
              <w14:schemeClr w14:val="tx1"/>
            </w14:solidFill>
          </w14:textFill>
        </w:rPr>
        <w:t>地区生态环境准入清单</w:t>
      </w:r>
      <w:r>
        <w:rPr>
          <w:rFonts w:hint="eastAsia" w:ascii="Times New Roman" w:hAnsi="Times New Roman" w:cs="Times New Roman"/>
          <w:color w:val="000000" w:themeColor="text1"/>
          <w:sz w:val="24"/>
          <w14:textFill>
            <w14:solidFill>
              <w14:schemeClr w14:val="tx1"/>
            </w14:solidFill>
          </w14:textFill>
        </w:rPr>
        <w:t>（2023年版）更新后的</w:t>
      </w:r>
      <w:r>
        <w:rPr>
          <w:rFonts w:ascii="Times New Roman" w:hAnsi="Times New Roman" w:cs="Times New Roman"/>
          <w:color w:val="000000" w:themeColor="text1"/>
          <w:sz w:val="24"/>
          <w14:textFill>
            <w14:solidFill>
              <w14:schemeClr w14:val="tx1"/>
            </w14:solidFill>
          </w14:textFill>
        </w:rPr>
        <w:t>管控要求</w:t>
      </w:r>
      <w:r>
        <w:rPr>
          <w:rFonts w:hint="eastAsia" w:ascii="Times New Roman" w:hAnsi="Times New Roman" w:cs="Times New Roman"/>
          <w:color w:val="000000" w:themeColor="text1"/>
          <w:sz w:val="24"/>
          <w14:textFill>
            <w14:solidFill>
              <w14:schemeClr w14:val="tx1"/>
            </w14:solidFill>
          </w14:textFill>
        </w:rPr>
        <w:t>分析</w:t>
      </w:r>
      <w:r>
        <w:rPr>
          <w:rFonts w:ascii="Times New Roman" w:hAnsi="Times New Roman" w:cs="Times New Roman"/>
          <w:color w:val="000000" w:themeColor="text1"/>
          <w:sz w:val="24"/>
          <w14:textFill>
            <w14:solidFill>
              <w14:schemeClr w14:val="tx1"/>
            </w14:solidFill>
          </w14:textFill>
        </w:rPr>
        <w:t>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-1</w:t>
      </w:r>
      <w:r>
        <w:rPr>
          <w:rFonts w:hint="eastAsia" w:ascii="Times New Roman" w:hAnsi="Times New Roman" w:cs="Times New Roman"/>
          <w:color w:val="000000" w:themeColor="text1"/>
          <w:sz w:val="24"/>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w:t>
      </w:r>
    </w:p>
    <w:p>
      <w:pPr>
        <w:pStyle w:val="43"/>
        <w:spacing w:line="360" w:lineRule="auto"/>
        <w:rPr>
          <w:color w:val="000000" w:themeColor="text1"/>
          <w:lang w:val="zh-CN"/>
          <w14:textFill>
            <w14:solidFill>
              <w14:schemeClr w14:val="tx1"/>
            </w14:solidFill>
          </w14:textFill>
        </w:rPr>
      </w:pPr>
      <w:r>
        <w:rPr>
          <w:color w:val="000000" w:themeColor="text1"/>
          <w:lang w:val="zh-CN"/>
          <w14:textFill>
            <w14:solidFill>
              <w14:schemeClr w14:val="tx1"/>
            </w14:solidFill>
          </w14:textFill>
        </w:rPr>
        <w:t>表</w:t>
      </w:r>
      <w:r>
        <w:rPr>
          <w:rFonts w:hint="eastAsia"/>
          <w:color w:val="000000" w:themeColor="text1"/>
          <w14:textFill>
            <w14:solidFill>
              <w14:schemeClr w14:val="tx1"/>
            </w14:solidFill>
          </w14:textFill>
        </w:rPr>
        <w:t>2.8</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r>
        <w:rPr>
          <w:color w:val="000000" w:themeColor="text1"/>
          <w:lang w:val="zh-CN"/>
          <w14:textFill>
            <w14:solidFill>
              <w14:schemeClr w14:val="tx1"/>
            </w14:solidFill>
          </w14:textFill>
        </w:rPr>
        <w:t xml:space="preserve">  项目与</w:t>
      </w:r>
      <w:r>
        <w:rPr>
          <w:color w:val="000000" w:themeColor="text1"/>
          <w14:textFill>
            <w14:solidFill>
              <w14:schemeClr w14:val="tx1"/>
            </w14:solidFill>
          </w14:textFill>
        </w:rPr>
        <w:t>塔城地区</w:t>
      </w:r>
      <w:r>
        <w:rPr>
          <w:rFonts w:hint="eastAsia"/>
          <w:color w:val="000000" w:themeColor="text1"/>
          <w14:textFill>
            <w14:solidFill>
              <w14:schemeClr w14:val="tx1"/>
            </w14:solidFill>
          </w14:textFill>
        </w:rPr>
        <w:t>“</w:t>
      </w:r>
      <w:r>
        <w:rPr>
          <w:color w:val="000000" w:themeColor="text1"/>
          <w:lang w:val="zh-CN"/>
          <w14:textFill>
            <w14:solidFill>
              <w14:schemeClr w14:val="tx1"/>
            </w14:solidFill>
          </w14:textFill>
        </w:rPr>
        <w:t>三线一单</w:t>
      </w:r>
      <w:r>
        <w:rPr>
          <w:rFonts w:hint="eastAsia"/>
          <w:color w:val="000000" w:themeColor="text1"/>
          <w14:textFill>
            <w14:solidFill>
              <w14:schemeClr w14:val="tx1"/>
            </w14:solidFill>
          </w14:textFill>
        </w:rPr>
        <w:t>”</w:t>
      </w:r>
      <w:r>
        <w:rPr>
          <w:color w:val="000000" w:themeColor="text1"/>
          <w:lang w:val="zh-CN"/>
          <w14:textFill>
            <w14:solidFill>
              <w14:schemeClr w14:val="tx1"/>
            </w14:solidFill>
          </w14:textFill>
        </w:rPr>
        <w:t>管控要求相符性分析</w:t>
      </w:r>
    </w:p>
    <w:tbl>
      <w:tblPr>
        <w:tblStyle w:val="2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53"/>
        <w:gridCol w:w="545"/>
        <w:gridCol w:w="3535"/>
        <w:gridCol w:w="2835"/>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24" w:type="dxa"/>
            <w:gridSpan w:val="3"/>
            <w:vAlign w:val="center"/>
          </w:tcPr>
          <w:p>
            <w:pPr>
              <w:pStyle w:val="3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环境管控单元类别</w:t>
            </w:r>
          </w:p>
        </w:tc>
        <w:tc>
          <w:tcPr>
            <w:tcW w:w="3535" w:type="dxa"/>
            <w:vAlign w:val="center"/>
          </w:tcPr>
          <w:p>
            <w:pPr>
              <w:pStyle w:val="3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管控要求</w:t>
            </w:r>
          </w:p>
        </w:tc>
        <w:tc>
          <w:tcPr>
            <w:tcW w:w="2835" w:type="dxa"/>
            <w:vAlign w:val="center"/>
          </w:tcPr>
          <w:p>
            <w:pPr>
              <w:pStyle w:val="3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w:t>
            </w:r>
          </w:p>
        </w:tc>
        <w:tc>
          <w:tcPr>
            <w:tcW w:w="525" w:type="dxa"/>
            <w:vAlign w:val="center"/>
          </w:tcPr>
          <w:p>
            <w:pPr>
              <w:pStyle w:val="39"/>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6" w:hRule="atLeast"/>
        </w:trPr>
        <w:tc>
          <w:tcPr>
            <w:tcW w:w="426" w:type="dxa"/>
            <w:vMerge w:val="restart"/>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ascii="Times New Roman" w:hAnsi="Times New Roman" w:eastAsia="宋体" w:cs="Times New Roman"/>
                <w:b w:val="0"/>
                <w:bCs/>
                <w:color w:val="000000" w:themeColor="text1"/>
                <w:sz w:val="21"/>
                <w:szCs w:val="21"/>
                <w14:textFill>
                  <w14:solidFill>
                    <w14:schemeClr w14:val="tx1"/>
                  </w14:solidFill>
                </w14:textFill>
              </w:rPr>
              <w:t>一般管控单元</w:t>
            </w:r>
            <w:r>
              <w:rPr>
                <w:rFonts w:ascii="Times New Roman" w:hAnsi="Times New Roman" w:eastAsia="宋体" w:cs="Times New Roman"/>
                <w:b w:val="0"/>
                <w:bCs/>
                <w:color w:val="000000" w:themeColor="text1"/>
                <w:sz w:val="21"/>
                <w:szCs w:val="21"/>
                <w:lang w:val="en-US"/>
                <w14:textFill>
                  <w14:solidFill>
                    <w14:schemeClr w14:val="tx1"/>
                  </w14:solidFill>
                </w14:textFill>
              </w:rPr>
              <w:t>01</w:t>
            </w:r>
          </w:p>
        </w:tc>
        <w:tc>
          <w:tcPr>
            <w:tcW w:w="653" w:type="dxa"/>
            <w:vMerge w:val="restart"/>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sz w:val="21"/>
                <w:szCs w:val="21"/>
                <w14:textFill>
                  <w14:solidFill>
                    <w14:schemeClr w14:val="tx1"/>
                  </w14:solidFill>
                </w14:textFill>
              </w:rPr>
              <w:t>ZH65422630001</w:t>
            </w:r>
          </w:p>
        </w:tc>
        <w:tc>
          <w:tcPr>
            <w:tcW w:w="545" w:type="dxa"/>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sz w:val="21"/>
                <w:szCs w:val="21"/>
                <w14:textFill>
                  <w14:solidFill>
                    <w14:schemeClr w14:val="tx1"/>
                  </w14:solidFill>
                </w14:textFill>
              </w:rPr>
              <w:t>空间布局约束</w:t>
            </w:r>
          </w:p>
        </w:tc>
        <w:tc>
          <w:tcPr>
            <w:tcW w:w="3535" w:type="dxa"/>
            <w:vAlign w:val="center"/>
          </w:tcPr>
          <w:p>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建立集镇居住商业区、耕地保护区与工业功能区等集聚区块之间的防护带。严格执行畜禽养殖禁养区规定，根据区域用地和消纳水平，合理确定养殖规模。</w:t>
            </w:r>
          </w:p>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2.永久基本农田经依法划定后，任何单位和个人不得擅自占用或者改变其用途。国家能源、交通、水利、军事设施等重点建设项目选址确实难以避让外，其他任何建设不得占用。</w:t>
            </w:r>
          </w:p>
        </w:tc>
        <w:tc>
          <w:tcPr>
            <w:tcW w:w="2835" w:type="dxa"/>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1.</w:t>
            </w:r>
            <w:r>
              <w:rPr>
                <w:rFonts w:ascii="Times New Roman" w:hAnsi="Times New Roman" w:eastAsia="宋体" w:cs="Times New Roman"/>
                <w:b w:val="0"/>
                <w:bCs/>
                <w:color w:val="000000" w:themeColor="text1"/>
                <w:sz w:val="21"/>
                <w:szCs w:val="21"/>
                <w14:textFill>
                  <w14:solidFill>
                    <w14:schemeClr w14:val="tx1"/>
                  </w14:solidFill>
                </w14:textFill>
              </w:rPr>
              <w:t>本工程</w:t>
            </w:r>
            <w:r>
              <w:rPr>
                <w:rFonts w:hint="eastAsia" w:ascii="Times New Roman" w:hAnsi="Times New Roman" w:eastAsia="宋体" w:cs="Times New Roman"/>
                <w:b w:val="0"/>
                <w:bCs/>
                <w:color w:val="000000" w:themeColor="text1"/>
                <w:sz w:val="21"/>
                <w:szCs w:val="21"/>
                <w:lang w:val="en-US"/>
                <w14:textFill>
                  <w14:solidFill>
                    <w14:schemeClr w14:val="tx1"/>
                  </w14:solidFill>
                </w14:textFill>
              </w:rPr>
              <w:t>属于陆地石油开采，不属于养殖业。</w:t>
            </w:r>
          </w:p>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2.本项目占地类型为采矿用地和其他草地（低覆盖草地），不占用基本农田。</w:t>
            </w:r>
          </w:p>
        </w:tc>
        <w:tc>
          <w:tcPr>
            <w:tcW w:w="525" w:type="dxa"/>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6" w:hRule="atLeast"/>
        </w:trPr>
        <w:tc>
          <w:tcPr>
            <w:tcW w:w="426" w:type="dxa"/>
            <w:vMerge w:val="continue"/>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p>
        </w:tc>
        <w:tc>
          <w:tcPr>
            <w:tcW w:w="653" w:type="dxa"/>
            <w:vMerge w:val="continue"/>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p>
        </w:tc>
        <w:tc>
          <w:tcPr>
            <w:tcW w:w="545" w:type="dxa"/>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sz w:val="21"/>
                <w:szCs w:val="21"/>
                <w14:textFill>
                  <w14:solidFill>
                    <w14:schemeClr w14:val="tx1"/>
                  </w14:solidFill>
                </w14:textFill>
              </w:rPr>
              <w:t>污染物排放管控</w:t>
            </w:r>
          </w:p>
        </w:tc>
        <w:tc>
          <w:tcPr>
            <w:tcW w:w="3535" w:type="dxa"/>
            <w:vAlign w:val="center"/>
          </w:tcPr>
          <w:p>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排污企业一般管控要求：满足总量控制、排污许可、排放标准等相关管理制度要求。</w:t>
            </w:r>
          </w:p>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农业面源和生活污染源一般管控要求：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2835" w:type="dxa"/>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1.</w:t>
            </w:r>
            <w:r>
              <w:rPr>
                <w:rFonts w:ascii="Times New Roman" w:hAnsi="Times New Roman" w:eastAsia="宋体" w:cs="Times New Roman"/>
                <w:b w:val="0"/>
                <w:bCs/>
                <w:color w:val="000000" w:themeColor="text1"/>
                <w:sz w:val="21"/>
                <w:szCs w:val="21"/>
                <w14:textFill>
                  <w14:solidFill>
                    <w14:schemeClr w14:val="tx1"/>
                  </w14:solidFill>
                </w14:textFill>
              </w:rPr>
              <w:t>本工程</w:t>
            </w:r>
            <w:r>
              <w:rPr>
                <w:rFonts w:hint="eastAsia" w:ascii="Times New Roman" w:hAnsi="Times New Roman" w:eastAsia="宋体" w:cs="Times New Roman"/>
                <w:b w:val="0"/>
                <w:bCs/>
                <w:color w:val="000000" w:themeColor="text1"/>
                <w:sz w:val="21"/>
                <w:szCs w:val="21"/>
                <w:lang w:val="en-US"/>
                <w14:textFill>
                  <w14:solidFill>
                    <w14:schemeClr w14:val="tx1"/>
                  </w14:solidFill>
                </w14:textFill>
              </w:rPr>
              <w:t>属于陆地石油开采，本次环评建议本项目不核定污染物总量控制指标，不涉及排污许可，环评要求油气开采过程中井场、站场厂界无组织挥发产生的非甲烷总烃排放按照《陆上石油天然气开采工业大气污染物排放标准》（GB39728-2020）中企业边界污染物控制要求，硫化氢执行《恶臭污染物排放标准》（GB14554-93）。</w:t>
            </w:r>
          </w:p>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2.本项目不涉及农业面源和生活污染源。</w:t>
            </w:r>
          </w:p>
        </w:tc>
        <w:tc>
          <w:tcPr>
            <w:tcW w:w="525" w:type="dxa"/>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6" w:hRule="atLeast"/>
        </w:trPr>
        <w:tc>
          <w:tcPr>
            <w:tcW w:w="426" w:type="dxa"/>
            <w:vMerge w:val="continue"/>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p>
        </w:tc>
        <w:tc>
          <w:tcPr>
            <w:tcW w:w="653" w:type="dxa"/>
            <w:vMerge w:val="continue"/>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p>
        </w:tc>
        <w:tc>
          <w:tcPr>
            <w:tcW w:w="545" w:type="dxa"/>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sz w:val="21"/>
                <w:szCs w:val="21"/>
                <w14:textFill>
                  <w14:solidFill>
                    <w14:schemeClr w14:val="tx1"/>
                  </w14:solidFill>
                </w14:textFill>
              </w:rPr>
              <w:t>环境风险防控</w:t>
            </w:r>
          </w:p>
        </w:tc>
        <w:tc>
          <w:tcPr>
            <w:tcW w:w="3535" w:type="dxa"/>
            <w:vAlign w:val="center"/>
          </w:tcPr>
          <w:p>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hint="eastAsia" w:ascii="Times New Roman" w:hAnsi="Times New Roman" w:eastAsia="宋体" w:cs="Times New Roman"/>
                <w:color w:val="000000" w:themeColor="text1"/>
                <w:szCs w:val="21"/>
                <w:lang w:eastAsia="zh-CN"/>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涉及县级及以上集中式饮用水水源地的河流以及其他重要环境敏感目标的河流，按照</w:t>
            </w:r>
            <w:r>
              <w:rPr>
                <w:rFonts w:hint="eastAsia" w:ascii="宋体" w:hAnsi="宋体" w:eastAsia="宋体" w:cs="宋体"/>
                <w:color w:val="000000" w:themeColor="text1"/>
                <w:szCs w:val="21"/>
                <w14:textFill>
                  <w14:solidFill>
                    <w14:schemeClr w14:val="tx1"/>
                  </w14:solidFill>
                </w14:textFill>
              </w:rPr>
              <w:t>“一河一策一图”环境应急响应方案</w:t>
            </w:r>
            <w:r>
              <w:rPr>
                <w:rFonts w:ascii="Times New Roman" w:hAnsi="Times New Roman" w:eastAsia="宋体" w:cs="Times New Roman"/>
                <w:color w:val="000000" w:themeColor="text1"/>
                <w:szCs w:val="21"/>
                <w14:textFill>
                  <w14:solidFill>
                    <w14:schemeClr w14:val="tx1"/>
                  </w14:solidFill>
                </w14:textFill>
              </w:rPr>
              <w:t>实施应急演练，视情加强闸坝、应急池、物资库等工程建设。</w:t>
            </w:r>
          </w:p>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塔城地区行政公署和各县市人民政府有关部门应当制定水污染事故、饮用水安全突发事件、城乡供水突发事件等相关应急预案，并定期进行演练，加强应急物资储备，依法做好突发事件的应急准备、应急处置和事后恢复等工作。饮用水水源发生水污染事故，或者发生其他可能影响饮用水安全的突发性事件的，饮用水供水单位应当及时采取应急处理措施，向塔城地区行政公署、所在地县（市、区）人民政府报告，并向社会公开。有关人民政府应当采取启用备用水源等措施，保障供水安全。</w:t>
            </w:r>
          </w:p>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实施农用地土壤镉等重金属污染源头防治行动。依法推行农用地分类管理制度，强化受污染耕地安全利用和风险管控。因地制宜制定实施安全利用方案，鼓励采取种植结构调整等措施，确保受污染耕地全部实现安全利用。严格落实粮食收购和销售出库质量安全检验制度和追溯制度。</w:t>
            </w:r>
          </w:p>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健全地区医疗废弃物分类收集转运体系，实施现有医疗废物集中处置设施扩能提质改造，加快推进县（市）级医疗废物集中收集和处置设施体系建设以及城市医疗废物集中处置设施应急备用能力建设，推动医疗废物集中处置设施收集范围覆盖城、乡，实现城市、乡（镇）、农村地区医疗废物安全收集处置全覆盖。针对不具备集中处置条件的医疗卫生机构，应配套自建符合要求的医疗废物处置设施。鼓励发展移动式医疗废物处置设施，为偏远乡（镇）、牧业村（队）提供就地处置服务。根据自治区统一部署，建立兵地医疗废物协同应急处置机制，保障突发疫情、处置设施检修等期间医疗废物应急处置能力。坚持医疗废物收集处置调度制度，持续强化医疗废物收集转运处置环境监管，确保医疗废物得到及时有效收集，转运和处置。完善地区医疗废物集中处置应急预案，满足突发情况下医疗废物应急处置需要。</w:t>
            </w:r>
          </w:p>
        </w:tc>
        <w:tc>
          <w:tcPr>
            <w:tcW w:w="2835" w:type="dxa"/>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1.本项目及周边不涉及</w:t>
            </w:r>
            <w:r>
              <w:rPr>
                <w:rFonts w:ascii="Times New Roman" w:hAnsi="Times New Roman" w:eastAsia="宋体" w:cs="Times New Roman"/>
                <w:b w:val="0"/>
                <w:bCs/>
                <w:color w:val="000000" w:themeColor="text1"/>
                <w:sz w:val="21"/>
                <w:szCs w:val="21"/>
                <w14:textFill>
                  <w14:solidFill>
                    <w14:schemeClr w14:val="tx1"/>
                  </w14:solidFill>
                </w14:textFill>
              </w:rPr>
              <w:t>集中式饮用水水源地的河流以及其他重要环境敏感目标的河流</w:t>
            </w:r>
            <w:r>
              <w:rPr>
                <w:rFonts w:hint="eastAsia" w:ascii="Times New Roman" w:hAnsi="Times New Roman" w:eastAsia="宋体" w:cs="Times New Roman"/>
                <w:b w:val="0"/>
                <w:bCs/>
                <w:color w:val="000000" w:themeColor="text1"/>
                <w:sz w:val="21"/>
                <w:szCs w:val="21"/>
                <w14:textFill>
                  <w14:solidFill>
                    <w14:schemeClr w14:val="tx1"/>
                  </w14:solidFill>
                </w14:textFill>
              </w:rPr>
              <w:t>。</w:t>
            </w:r>
          </w:p>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2.本项目涉及泄漏的区域均要求做防渗，不涉及污染水源。</w:t>
            </w:r>
          </w:p>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3.本项目不涉及</w:t>
            </w:r>
            <w:r>
              <w:rPr>
                <w:rFonts w:ascii="Times New Roman" w:hAnsi="Times New Roman" w:eastAsia="宋体" w:cs="Times New Roman"/>
                <w:b w:val="0"/>
                <w:bCs/>
                <w:color w:val="000000" w:themeColor="text1"/>
                <w:sz w:val="21"/>
                <w:szCs w:val="21"/>
                <w14:textFill>
                  <w14:solidFill>
                    <w14:schemeClr w14:val="tx1"/>
                  </w14:solidFill>
                </w14:textFill>
              </w:rPr>
              <w:t>农用地土壤镉等重金属污染</w:t>
            </w:r>
            <w:r>
              <w:rPr>
                <w:rFonts w:hint="eastAsia" w:ascii="Times New Roman" w:hAnsi="Times New Roman" w:eastAsia="宋体" w:cs="Times New Roman"/>
                <w:b w:val="0"/>
                <w:bCs/>
                <w:color w:val="000000" w:themeColor="text1"/>
                <w:sz w:val="21"/>
                <w:szCs w:val="21"/>
                <w14:textFill>
                  <w14:solidFill>
                    <w14:schemeClr w14:val="tx1"/>
                  </w14:solidFill>
                </w14:textFill>
              </w:rPr>
              <w:t>。</w:t>
            </w:r>
          </w:p>
          <w:p>
            <w:pPr>
              <w:rPr>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4.</w:t>
            </w:r>
            <w:r>
              <w:rPr>
                <w:rFonts w:ascii="Times New Roman" w:hAnsi="Times New Roman" w:eastAsia="宋体" w:cs="Times New Roman"/>
                <w:bCs/>
                <w:color w:val="000000" w:themeColor="text1"/>
                <w:szCs w:val="21"/>
                <w14:textFill>
                  <w14:solidFill>
                    <w14:schemeClr w14:val="tx1"/>
                  </w14:solidFill>
                </w14:textFill>
              </w:rPr>
              <w:t>本工程</w:t>
            </w:r>
            <w:r>
              <w:rPr>
                <w:rFonts w:hint="eastAsia" w:ascii="Times New Roman" w:hAnsi="Times New Roman" w:eastAsia="宋体" w:cs="Times New Roman"/>
                <w:bCs/>
                <w:color w:val="000000" w:themeColor="text1"/>
                <w:szCs w:val="21"/>
                <w14:textFill>
                  <w14:solidFill>
                    <w14:schemeClr w14:val="tx1"/>
                  </w14:solidFill>
                </w14:textFill>
              </w:rPr>
              <w:t>属于陆地石油开采项目，不属于</w:t>
            </w:r>
            <w:r>
              <w:rPr>
                <w:rFonts w:ascii="Times New Roman" w:hAnsi="Times New Roman" w:eastAsia="宋体" w:cs="Times New Roman"/>
                <w:bCs/>
                <w:color w:val="000000" w:themeColor="text1"/>
                <w:szCs w:val="21"/>
                <w14:textFill>
                  <w14:solidFill>
                    <w14:schemeClr w14:val="tx1"/>
                  </w14:solidFill>
                </w14:textFill>
              </w:rPr>
              <w:t>医疗废弃物分类收集转运</w:t>
            </w:r>
            <w:r>
              <w:rPr>
                <w:rFonts w:hint="eastAsia" w:ascii="Times New Roman" w:hAnsi="Times New Roman" w:eastAsia="宋体" w:cs="Times New Roman"/>
                <w:bCs/>
                <w:color w:val="000000" w:themeColor="text1"/>
                <w:szCs w:val="21"/>
                <w14:textFill>
                  <w14:solidFill>
                    <w14:schemeClr w14:val="tx1"/>
                  </w14:solidFill>
                </w14:textFill>
              </w:rPr>
              <w:t>项目。</w:t>
            </w:r>
          </w:p>
        </w:tc>
        <w:tc>
          <w:tcPr>
            <w:tcW w:w="525" w:type="dxa"/>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426" w:type="dxa"/>
            <w:vMerge w:val="continue"/>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p>
        </w:tc>
        <w:tc>
          <w:tcPr>
            <w:tcW w:w="653" w:type="dxa"/>
            <w:vMerge w:val="continue"/>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p>
        </w:tc>
        <w:tc>
          <w:tcPr>
            <w:tcW w:w="545" w:type="dxa"/>
            <w:vAlign w:val="center"/>
          </w:tcPr>
          <w:p>
            <w:pPr>
              <w:pStyle w:val="39"/>
              <w:jc w:val="center"/>
              <w:rPr>
                <w:rFonts w:ascii="Times New Roman" w:hAnsi="Times New Roman" w:eastAsia="宋体" w:cs="Times New Roman"/>
                <w:b w:val="0"/>
                <w:bCs/>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sz w:val="21"/>
                <w:szCs w:val="21"/>
                <w14:textFill>
                  <w14:solidFill>
                    <w14:schemeClr w14:val="tx1"/>
                  </w14:solidFill>
                </w14:textFill>
              </w:rPr>
              <w:t>资源开发效率要求</w:t>
            </w:r>
          </w:p>
        </w:tc>
        <w:tc>
          <w:tcPr>
            <w:tcW w:w="3535" w:type="dxa"/>
            <w:vAlign w:val="center"/>
          </w:tcPr>
          <w:p>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至2025年塔城地区超采区地下水位年均下降速率控制在0.67m/a左右，至2030年超采区全部实现地下水采补平衡，地下水位下降速率控制在0.2m/a，至2035年，塔城地区超采区全域保持地下水采补平衡或补大于采，地下水水位逐渐恢复，水位恢复速率在0.1m/a以上。</w:t>
            </w:r>
          </w:p>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结合高标准农田建设，加大田间节水设施建设力度，提高农业用水效率。塔城地区2025年、2030年农田灌溉水有效利用系数控制指标分别为0.64、0.68，塔城地区2025年、2030年农田灌溉水有效利用系数控制指标分别为0.66、0.69。</w:t>
            </w:r>
          </w:p>
        </w:tc>
        <w:tc>
          <w:tcPr>
            <w:tcW w:w="2835" w:type="dxa"/>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1.</w:t>
            </w:r>
            <w:r>
              <w:rPr>
                <w:rFonts w:ascii="Times New Roman" w:hAnsi="Times New Roman" w:eastAsia="宋体" w:cs="Times New Roman"/>
                <w:b w:val="0"/>
                <w:bCs/>
                <w:color w:val="000000" w:themeColor="text1"/>
                <w:sz w:val="21"/>
                <w:szCs w:val="21"/>
                <w14:textFill>
                  <w14:solidFill>
                    <w14:schemeClr w14:val="tx1"/>
                  </w14:solidFill>
                </w14:textFill>
              </w:rPr>
              <w:t>本工程</w:t>
            </w:r>
            <w:r>
              <w:rPr>
                <w:rFonts w:hint="eastAsia" w:ascii="Times New Roman" w:hAnsi="Times New Roman" w:eastAsia="宋体" w:cs="Times New Roman"/>
                <w:b w:val="0"/>
                <w:bCs/>
                <w:color w:val="000000" w:themeColor="text1"/>
                <w:sz w:val="21"/>
                <w:szCs w:val="21"/>
                <w:lang w:val="en-US"/>
                <w14:textFill>
                  <w14:solidFill>
                    <w14:schemeClr w14:val="tx1"/>
                  </w14:solidFill>
                </w14:textFill>
              </w:rPr>
              <w:t>属于陆地石油开采项目，不属于地下水开采项目。</w:t>
            </w:r>
          </w:p>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2.本项目不涉及农田建设，不涉及农业节水等</w:t>
            </w:r>
          </w:p>
        </w:tc>
        <w:tc>
          <w:tcPr>
            <w:tcW w:w="525" w:type="dxa"/>
            <w:vAlign w:val="center"/>
          </w:tcPr>
          <w:p>
            <w:pPr>
              <w:pStyle w:val="39"/>
              <w:jc w:val="center"/>
              <w:rPr>
                <w:rFonts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14:textFill>
                  <w14:solidFill>
                    <w14:schemeClr w14:val="tx1"/>
                  </w14:solidFill>
                </w14:textFill>
              </w:rPr>
              <w:t>相符</w:t>
            </w:r>
          </w:p>
        </w:tc>
      </w:tr>
    </w:tbl>
    <w:p>
      <w:pPr>
        <w:tabs>
          <w:tab w:val="left" w:pos="3465"/>
        </w:tabs>
        <w:spacing w:line="360" w:lineRule="auto"/>
        <w:outlineLvl w:val="2"/>
        <w:rPr>
          <w:rFonts w:hint="eastAsia" w:ascii="Times New Roman" w:hAnsi="Times New Roman" w:eastAsia="黑体" w:cs="Times New Roman"/>
          <w:b/>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hint="eastAsia" w:ascii="Times New Roman" w:hAnsi="Times New Roman" w:eastAsia="黑体" w:cs="Times New Roman"/>
          <w:b/>
          <w:color w:val="000000" w:themeColor="text1"/>
          <w:sz w:val="30"/>
          <w:szCs w:val="30"/>
          <w14:textFill>
            <w14:solidFill>
              <w14:schemeClr w14:val="tx1"/>
            </w14:solidFill>
          </w14:textFill>
        </w:rPr>
        <w:t>2.8.5</w:t>
      </w:r>
      <w:r>
        <w:rPr>
          <w:rFonts w:ascii="Times New Roman" w:hAnsi="Times New Roman" w:eastAsia="黑体" w:cs="Times New Roman"/>
          <w:b/>
          <w:color w:val="000000" w:themeColor="text1"/>
          <w:sz w:val="30"/>
          <w:szCs w:val="30"/>
          <w14:textFill>
            <w14:solidFill>
              <w14:schemeClr w14:val="tx1"/>
            </w14:solidFill>
          </w14:textFill>
        </w:rPr>
        <w:t>与《关于规范临时用地管理的通知》符合性分析</w:t>
      </w:r>
    </w:p>
    <w:p>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本项目与《关于规范临时用地管理的通知》（自然资规〔2021〕2号）的相关要求符合性分析见表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-1</w:t>
      </w:r>
      <w:r>
        <w:rPr>
          <w:rFonts w:hint="eastAsia" w:ascii="Times New Roman" w:hAnsi="Times New Roman" w:cs="Times New Roman"/>
          <w:color w:val="000000" w:themeColor="text1"/>
          <w:sz w:val="24"/>
          <w14:textFill>
            <w14:solidFill>
              <w14:schemeClr w14:val="tx1"/>
            </w14:solidFill>
          </w14:textFill>
        </w:rPr>
        <w:t>6</w:t>
      </w:r>
      <w:r>
        <w:rPr>
          <w:rFonts w:ascii="Times New Roman" w:hAnsi="Times New Roman" w:cs="Times New Roman"/>
          <w:color w:val="000000" w:themeColor="text1"/>
          <w:sz w:val="24"/>
          <w14:textFill>
            <w14:solidFill>
              <w14:schemeClr w14:val="tx1"/>
            </w14:solidFill>
          </w14:textFill>
        </w:rPr>
        <w:t>。</w:t>
      </w:r>
    </w:p>
    <w:p>
      <w:pPr>
        <w:pStyle w:val="37"/>
        <w:spacing w:line="360" w:lineRule="auto"/>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表</w:t>
      </w:r>
      <w:r>
        <w:rPr>
          <w:rFonts w:hint="eastAsia" w:ascii="Times New Roman" w:hAnsi="Times New Roman" w:cs="Times New Roman"/>
          <w:bCs/>
          <w:color w:val="000000" w:themeColor="text1"/>
          <w:sz w:val="21"/>
          <w:szCs w:val="21"/>
          <w14:textFill>
            <w14:solidFill>
              <w14:schemeClr w14:val="tx1"/>
            </w14:solidFill>
          </w14:textFill>
        </w:rPr>
        <w:t>2.8</w:t>
      </w:r>
      <w:r>
        <w:rPr>
          <w:rFonts w:ascii="Times New Roman" w:hAnsi="Times New Roman" w:cs="Times New Roman"/>
          <w:bCs/>
          <w:color w:val="000000" w:themeColor="text1"/>
          <w:sz w:val="21"/>
          <w:szCs w:val="21"/>
          <w14:textFill>
            <w14:solidFill>
              <w14:schemeClr w14:val="tx1"/>
            </w14:solidFill>
          </w14:textFill>
        </w:rPr>
        <w:t>-1</w:t>
      </w:r>
      <w:r>
        <w:rPr>
          <w:rFonts w:hint="eastAsia" w:ascii="Times New Roman" w:hAnsi="Times New Roman" w:cs="Times New Roman"/>
          <w:bCs/>
          <w:color w:val="000000" w:themeColor="text1"/>
          <w:sz w:val="21"/>
          <w:szCs w:val="21"/>
          <w14:textFill>
            <w14:solidFill>
              <w14:schemeClr w14:val="tx1"/>
            </w14:solidFill>
          </w14:textFill>
        </w:rPr>
        <w:t>6</w:t>
      </w:r>
      <w:r>
        <w:rPr>
          <w:rFonts w:ascii="Times New Roman" w:hAnsi="Times New Roman" w:cs="Times New Roman"/>
          <w:bCs/>
          <w:color w:val="000000" w:themeColor="text1"/>
          <w:sz w:val="21"/>
          <w:szCs w:val="21"/>
          <w14:textFill>
            <w14:solidFill>
              <w14:schemeClr w14:val="tx1"/>
            </w14:solidFill>
          </w14:textFill>
        </w:rPr>
        <w:t xml:space="preserve">  与《关于规范临时用地管理的通知》相符性分析一览表</w:t>
      </w:r>
    </w:p>
    <w:tbl>
      <w:tblPr>
        <w:tblStyle w:val="23"/>
        <w:tblW w:w="831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3"/>
        <w:gridCol w:w="3289"/>
        <w:gridCol w:w="3662"/>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blHeader/>
          <w:jc w:val="center"/>
        </w:trPr>
        <w:tc>
          <w:tcPr>
            <w:tcW w:w="653"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序号</w:t>
            </w:r>
          </w:p>
        </w:tc>
        <w:tc>
          <w:tcPr>
            <w:tcW w:w="3289"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要求</w:t>
            </w:r>
          </w:p>
        </w:tc>
        <w:tc>
          <w:tcPr>
            <w:tcW w:w="3662"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本项目</w:t>
            </w:r>
          </w:p>
        </w:tc>
        <w:tc>
          <w:tcPr>
            <w:tcW w:w="709"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653"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1</w:t>
            </w:r>
          </w:p>
        </w:tc>
        <w:tc>
          <w:tcPr>
            <w:tcW w:w="3289"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建设项目施工、地质勘查使用临时用地时应坚持“用多少、批多少、占多少、恢复多少”，尽量不占或者少占耕地。</w:t>
            </w:r>
          </w:p>
        </w:tc>
        <w:tc>
          <w:tcPr>
            <w:tcW w:w="3662"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本项目严格按照临时征地范围开展建设工作，项目占地类型为采矿用地和其他草地（低覆盖草地），项目按“用多少、批多少、占多少、恢复多少”的原则施工并进行恢复。</w:t>
            </w:r>
          </w:p>
        </w:tc>
        <w:tc>
          <w:tcPr>
            <w:tcW w:w="709"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653"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2</w:t>
            </w:r>
          </w:p>
        </w:tc>
        <w:tc>
          <w:tcPr>
            <w:tcW w:w="3289"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临时用地使用期限一般不超过两年。建设周期较长的能源、交通、水利等基础设施建设项目施工使用的临时用地，期限不超过四年。</w:t>
            </w:r>
          </w:p>
        </w:tc>
        <w:tc>
          <w:tcPr>
            <w:tcW w:w="3662"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本项目为石油开采项目，属于能源建设项目，项目会按临时用地使用期限开展工作。</w:t>
            </w:r>
          </w:p>
        </w:tc>
        <w:tc>
          <w:tcPr>
            <w:tcW w:w="709"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653"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3</w:t>
            </w:r>
          </w:p>
        </w:tc>
        <w:tc>
          <w:tcPr>
            <w:tcW w:w="3289"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油气资源探采合一开发涉及的钻井</w:t>
            </w:r>
          </w:p>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及配套设施建设用地，可先以临时用地方式批准使用，勘探结束转入生产使用的，办理建设用地审批手续；不转入生产的，油气企业应当完成土地复垦，按期归还。</w:t>
            </w:r>
          </w:p>
        </w:tc>
        <w:tc>
          <w:tcPr>
            <w:tcW w:w="3662"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本项目为石油开采项目，先办理临时用地手续，后续转入生产使用时办理永久用地手续。</w:t>
            </w:r>
          </w:p>
        </w:tc>
        <w:tc>
          <w:tcPr>
            <w:tcW w:w="709"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653"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4</w:t>
            </w:r>
          </w:p>
        </w:tc>
        <w:tc>
          <w:tcPr>
            <w:tcW w:w="3289"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3662"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本项目施工结束后，会拆除临时建（构）筑物，项目不占用耕地，施工结束后对临时占用的土地进行平整，并采用能适应项目区自然条件的种类进行植被恢复。</w:t>
            </w:r>
          </w:p>
        </w:tc>
        <w:tc>
          <w:tcPr>
            <w:tcW w:w="709" w:type="dxa"/>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符合</w:t>
            </w:r>
          </w:p>
        </w:tc>
      </w:tr>
    </w:tbl>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hint="eastAsia" w:ascii="Times New Roman" w:hAnsi="Times New Roman" w:eastAsia="黑体" w:cs="Times New Roman"/>
          <w:b/>
          <w:color w:val="000000" w:themeColor="text1"/>
          <w:sz w:val="30"/>
          <w:szCs w:val="30"/>
          <w14:textFill>
            <w14:solidFill>
              <w14:schemeClr w14:val="tx1"/>
            </w14:solidFill>
          </w14:textFill>
        </w:rPr>
        <w:t>2.8.6</w:t>
      </w:r>
      <w:r>
        <w:rPr>
          <w:rFonts w:ascii="Times New Roman" w:hAnsi="Times New Roman" w:eastAsia="黑体" w:cs="Times New Roman"/>
          <w:b/>
          <w:color w:val="000000" w:themeColor="text1"/>
          <w:sz w:val="30"/>
          <w:szCs w:val="30"/>
          <w14:textFill>
            <w14:solidFill>
              <w14:schemeClr w14:val="tx1"/>
            </w14:solidFill>
          </w14:textFill>
        </w:rPr>
        <w:t>与《新疆维吾尔自治区大气污染防治条例》（2019年1月1日）符合性分析</w:t>
      </w:r>
    </w:p>
    <w:p>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本项目与《新疆维吾尔自治区大气污染防治条例》（2019年1月1日）的相关要求符合性分析见表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-1</w:t>
      </w:r>
      <w:r>
        <w:rPr>
          <w:rFonts w:hint="eastAsia" w:ascii="Times New Roman" w:hAnsi="Times New Roman" w:cs="Times New Roman"/>
          <w:color w:val="000000" w:themeColor="text1"/>
          <w:sz w:val="24"/>
          <w14:textFill>
            <w14:solidFill>
              <w14:schemeClr w14:val="tx1"/>
            </w14:solidFill>
          </w14:textFill>
        </w:rPr>
        <w:t>7</w:t>
      </w:r>
      <w:r>
        <w:rPr>
          <w:rFonts w:ascii="Times New Roman" w:hAnsi="Times New Roman" w:cs="Times New Roman"/>
          <w:color w:val="000000" w:themeColor="text1"/>
          <w:sz w:val="24"/>
          <w14:textFill>
            <w14:solidFill>
              <w14:schemeClr w14:val="tx1"/>
            </w14:solidFill>
          </w14:textFill>
        </w:rPr>
        <w:t>。</w:t>
      </w:r>
    </w:p>
    <w:p>
      <w:pPr>
        <w:pStyle w:val="37"/>
        <w:spacing w:line="360"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表</w:t>
      </w:r>
      <w:r>
        <w:rPr>
          <w:rFonts w:hint="eastAsia" w:ascii="Times New Roman" w:hAnsi="Times New Roman" w:cs="Times New Roman"/>
          <w:color w:val="000000" w:themeColor="text1"/>
          <w:sz w:val="21"/>
          <w:szCs w:val="21"/>
          <w14:textFill>
            <w14:solidFill>
              <w14:schemeClr w14:val="tx1"/>
            </w14:solidFill>
          </w14:textFill>
        </w:rPr>
        <w:t>2.8</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7</w:t>
      </w:r>
      <w:r>
        <w:rPr>
          <w:rFonts w:ascii="Times New Roman" w:hAnsi="Times New Roman" w:cs="Times New Roman"/>
          <w:color w:val="000000" w:themeColor="text1"/>
          <w:sz w:val="21"/>
          <w:szCs w:val="21"/>
          <w14:textFill>
            <w14:solidFill>
              <w14:schemeClr w14:val="tx1"/>
            </w14:solidFill>
          </w14:textFill>
        </w:rPr>
        <w:t xml:space="preserve">  与《新疆维吾尔自治区大气污染防治条例》相符性分析一览表</w:t>
      </w:r>
    </w:p>
    <w:tbl>
      <w:tblPr>
        <w:tblStyle w:val="23"/>
        <w:tblW w:w="831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3288"/>
        <w:gridCol w:w="3659"/>
        <w:gridCol w:w="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655"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序号</w:t>
            </w:r>
          </w:p>
        </w:tc>
        <w:tc>
          <w:tcPr>
            <w:tcW w:w="3288"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要求</w:t>
            </w:r>
          </w:p>
        </w:tc>
        <w:tc>
          <w:tcPr>
            <w:tcW w:w="3659"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本项目</w:t>
            </w:r>
          </w:p>
        </w:tc>
        <w:tc>
          <w:tcPr>
            <w:tcW w:w="711" w:type="dxa"/>
            <w:vAlign w:val="center"/>
          </w:tcPr>
          <w:p>
            <w:pPr>
              <w:pStyle w:val="39"/>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655"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1</w:t>
            </w:r>
          </w:p>
        </w:tc>
        <w:tc>
          <w:tcPr>
            <w:tcW w:w="3288"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向大气排放污染物的企业事业单位和其他生产经营者，应当按照国家有关规定和监测规范，自行或者委托有资质的监测机构监测大气污染物排放情况，并保存原始监测数据记录。</w:t>
            </w:r>
          </w:p>
        </w:tc>
        <w:tc>
          <w:tcPr>
            <w:tcW w:w="3659"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本项目向大气排放的污染物主要为非甲烷总烃，本报告已制定了环境监测计划，在项目建成运营后建设单位委托具有计量认证资质和环境监测资质的监测单位监测，并保留原始监测数据。</w:t>
            </w:r>
          </w:p>
        </w:tc>
        <w:tc>
          <w:tcPr>
            <w:tcW w:w="711"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655" w:type="dxa"/>
            <w:vAlign w:val="center"/>
          </w:tcPr>
          <w:p>
            <w:pPr>
              <w:pStyle w:val="39"/>
              <w:jc w:val="center"/>
              <w:rPr>
                <w:rFonts w:ascii="Times New Roman" w:hAnsi="Times New Roman"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2</w:t>
            </w:r>
          </w:p>
        </w:tc>
        <w:tc>
          <w:tcPr>
            <w:tcW w:w="3288"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禁止新建、改建、扩建列入淘汰类目录的高污染工业项目。禁止使用列入淘汰类目录的工艺、设备、产品。</w:t>
            </w:r>
          </w:p>
        </w:tc>
        <w:tc>
          <w:tcPr>
            <w:tcW w:w="3659"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本项目为石油开采项目，不属于高污染工业项目，项目建设过程中未使用淘汰类的工艺、设备。</w:t>
            </w:r>
          </w:p>
        </w:tc>
        <w:tc>
          <w:tcPr>
            <w:tcW w:w="711"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655" w:type="dxa"/>
            <w:vAlign w:val="center"/>
          </w:tcPr>
          <w:p>
            <w:pPr>
              <w:pStyle w:val="39"/>
              <w:jc w:val="center"/>
              <w:rPr>
                <w:rFonts w:ascii="Times New Roman" w:hAnsi="Times New Roman"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3</w:t>
            </w:r>
          </w:p>
        </w:tc>
        <w:tc>
          <w:tcPr>
            <w:tcW w:w="3288"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产生含挥发性有机物废气的生产和服务活动，应当按照国家规定在密闭空间或者设备中进行，并安装、使用污染防治设施；无法密闭的，应当采取措施减少废气排放。</w:t>
            </w:r>
          </w:p>
        </w:tc>
        <w:tc>
          <w:tcPr>
            <w:tcW w:w="3659" w:type="dxa"/>
            <w:vAlign w:val="center"/>
          </w:tcPr>
          <w:p>
            <w:pPr>
              <w:numPr>
                <w:ilvl w:val="2"/>
                <w:numId w:val="0"/>
              </w:numPr>
              <w:adjustRightInd w:val="0"/>
              <w:jc w:val="center"/>
              <w:textAlignment w:val="baseline"/>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本项目采用密闭集输工艺。</w:t>
            </w:r>
          </w:p>
        </w:tc>
        <w:tc>
          <w:tcPr>
            <w:tcW w:w="711"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655" w:type="dxa"/>
            <w:vAlign w:val="center"/>
          </w:tcPr>
          <w:p>
            <w:pPr>
              <w:pStyle w:val="39"/>
              <w:jc w:val="center"/>
              <w:rPr>
                <w:rFonts w:ascii="Times New Roman" w:hAnsi="Times New Roman"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4</w:t>
            </w:r>
          </w:p>
        </w:tc>
        <w:tc>
          <w:tcPr>
            <w:tcW w:w="3288"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石油、化工等排放挥发性有机物的企业事业单位和其他生产经营者在维修、检修时，应当按照技术规范，对生产装置系统的停运、倒空、清洗等环节实施挥发性有机物排放控制。</w:t>
            </w:r>
          </w:p>
        </w:tc>
        <w:tc>
          <w:tcPr>
            <w:tcW w:w="3659" w:type="dxa"/>
            <w:vAlign w:val="center"/>
          </w:tcPr>
          <w:p>
            <w:pPr>
              <w:numPr>
                <w:ilvl w:val="2"/>
                <w:numId w:val="0"/>
              </w:numPr>
              <w:adjustRightInd w:val="0"/>
              <w:jc w:val="center"/>
              <w:textAlignment w:val="baseline"/>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本报告要求项目建成运行后，在设备检修、维修时要严格按照相关技术规范操作，减少挥发性有机气体的排放。</w:t>
            </w:r>
          </w:p>
        </w:tc>
        <w:tc>
          <w:tcPr>
            <w:tcW w:w="711" w:type="dxa"/>
            <w:vAlign w:val="center"/>
          </w:tcPr>
          <w:p>
            <w:pPr>
              <w:pStyle w:val="39"/>
              <w:jc w:val="center"/>
              <w:rPr>
                <w:rFonts w:ascii="Times New Roman" w:hAnsi="Times New Roman" w:cs="Times New Roman"/>
                <w:b w:val="0"/>
                <w:bCs/>
                <w:color w:val="000000" w:themeColor="text1"/>
                <w:sz w:val="21"/>
                <w:szCs w:val="21"/>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符合</w:t>
            </w:r>
          </w:p>
        </w:tc>
      </w:tr>
    </w:tbl>
    <w:p>
      <w:pPr>
        <w:tabs>
          <w:tab w:val="left" w:pos="3465"/>
        </w:tabs>
        <w:spacing w:line="360" w:lineRule="auto"/>
        <w:outlineLvl w:val="2"/>
        <w:rPr>
          <w:rFonts w:hint="default" w:ascii="Times New Roman" w:hAnsi="Times New Roman" w:eastAsia="黑体" w:cs="Times New Roman"/>
          <w:b/>
          <w:color w:val="000000" w:themeColor="text1"/>
          <w:sz w:val="30"/>
          <w:szCs w:val="30"/>
          <w:lang w:val="en-US"/>
          <w14:textFill>
            <w14:solidFill>
              <w14:schemeClr w14:val="tx1"/>
            </w14:solidFill>
          </w14:textFill>
        </w:rPr>
      </w:pPr>
      <w:r>
        <w:rPr>
          <w:rFonts w:hint="eastAsia" w:ascii="Times New Roman" w:hAnsi="Times New Roman" w:eastAsia="黑体" w:cs="Times New Roman"/>
          <w:b/>
          <w:color w:val="000000" w:themeColor="text1"/>
          <w:sz w:val="30"/>
          <w:szCs w:val="30"/>
          <w:lang w:val="en-US" w:eastAsia="zh-CN"/>
          <w14:textFill>
            <w14:solidFill>
              <w14:schemeClr w14:val="tx1"/>
            </w14:solidFill>
          </w14:textFill>
        </w:rPr>
        <w:t>2.8.7与《新疆维吾尔自治区石油勘探开发环境管理办法》（自治区人民政府令第50号，1995年3月1日）符合性分析</w:t>
      </w:r>
    </w:p>
    <w:p>
      <w:pPr>
        <w:tabs>
          <w:tab w:val="left" w:pos="3465"/>
        </w:tabs>
        <w:spacing w:line="360" w:lineRule="auto"/>
        <w:ind w:firstLine="480" w:firstLineChars="200"/>
        <w:outlineLvl w:val="9"/>
        <w:rPr>
          <w:rFonts w:hint="default" w:ascii="Times New Roman" w:hAnsi="Times New Roman" w:eastAsia="黑体" w:cs="Times New Roman"/>
          <w:b/>
          <w:color w:val="000000" w:themeColor="text1"/>
          <w:sz w:val="30"/>
          <w:szCs w:val="30"/>
          <w:lang w:val="en-US" w:eastAsia="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本项目与</w:t>
      </w:r>
      <w:r>
        <w:rPr>
          <w:rFonts w:hint="eastAsia" w:ascii="Times New Roman" w:hAnsi="Times New Roman" w:cs="Times New Roman"/>
          <w:color w:val="000000" w:themeColor="text1"/>
          <w:sz w:val="24"/>
          <w:lang w:val="en-US" w:eastAsia="zh-CN"/>
          <w14:textFill>
            <w14:solidFill>
              <w14:schemeClr w14:val="tx1"/>
            </w14:solidFill>
          </w14:textFill>
        </w:rPr>
        <w:t>《新疆维吾尔自治区石油勘探开发环境管理办法》（自治区人民政府令第50号，1995年3月1日）</w:t>
      </w:r>
      <w:r>
        <w:rPr>
          <w:rFonts w:ascii="Times New Roman" w:hAnsi="Times New Roman" w:cs="Times New Roman"/>
          <w:color w:val="000000" w:themeColor="text1"/>
          <w:sz w:val="24"/>
          <w14:textFill>
            <w14:solidFill>
              <w14:schemeClr w14:val="tx1"/>
            </w14:solidFill>
          </w14:textFill>
        </w:rPr>
        <w:t>的相关要求符合性分析见表</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8</w:t>
      </w:r>
      <w:r>
        <w:rPr>
          <w:rFonts w:ascii="Times New Roman" w:hAnsi="Times New Roman" w:cs="Times New Roman"/>
          <w:color w:val="000000" w:themeColor="text1"/>
          <w:sz w:val="24"/>
          <w14:textFill>
            <w14:solidFill>
              <w14:schemeClr w14:val="tx1"/>
            </w14:solidFill>
          </w14:textFill>
        </w:rPr>
        <w:t>。</w:t>
      </w:r>
    </w:p>
    <w:p>
      <w:pPr>
        <w:pStyle w:val="37"/>
        <w:spacing w:line="360"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表</w:t>
      </w:r>
      <w:r>
        <w:rPr>
          <w:rFonts w:hint="eastAsia" w:ascii="Times New Roman" w:hAnsi="Times New Roman" w:cs="Times New Roman"/>
          <w:color w:val="000000" w:themeColor="text1"/>
          <w:sz w:val="21"/>
          <w:szCs w:val="21"/>
          <w14:textFill>
            <w14:solidFill>
              <w14:schemeClr w14:val="tx1"/>
            </w14:solidFill>
          </w14:textFill>
        </w:rPr>
        <w:t>2.8</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8</w:t>
      </w:r>
      <w:r>
        <w:rPr>
          <w:rFonts w:ascii="Times New Roman" w:hAnsi="Times New Roman" w:cs="Times New Roman"/>
          <w:color w:val="000000" w:themeColor="text1"/>
          <w:sz w:val="21"/>
          <w:szCs w:val="21"/>
          <w14:textFill>
            <w14:solidFill>
              <w14:schemeClr w14:val="tx1"/>
            </w14:solidFill>
          </w14:textFill>
        </w:rPr>
        <w:t xml:space="preserve">  与</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新疆维吾尔自治区石油勘探开发环境管理办法》</w:t>
      </w:r>
      <w:r>
        <w:rPr>
          <w:rFonts w:ascii="Times New Roman" w:hAnsi="Times New Roman" w:cs="Times New Roman"/>
          <w:color w:val="000000" w:themeColor="text1"/>
          <w:sz w:val="21"/>
          <w:szCs w:val="21"/>
          <w14:textFill>
            <w14:solidFill>
              <w14:schemeClr w14:val="tx1"/>
            </w14:solidFill>
          </w14:textFill>
        </w:rPr>
        <w:t>相符性分析一览表</w:t>
      </w:r>
    </w:p>
    <w:tbl>
      <w:tblPr>
        <w:tblStyle w:val="23"/>
        <w:tblW w:w="835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8"/>
        <w:gridCol w:w="3312"/>
        <w:gridCol w:w="3780"/>
        <w:gridCol w:w="6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578" w:type="dxa"/>
            <w:vAlign w:val="center"/>
          </w:tcPr>
          <w:p>
            <w:pPr>
              <w:pStyle w:val="39"/>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序号</w:t>
            </w:r>
          </w:p>
        </w:tc>
        <w:tc>
          <w:tcPr>
            <w:tcW w:w="3312" w:type="dxa"/>
            <w:vAlign w:val="center"/>
          </w:tcPr>
          <w:p>
            <w:pPr>
              <w:pStyle w:val="39"/>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要求</w:t>
            </w:r>
          </w:p>
        </w:tc>
        <w:tc>
          <w:tcPr>
            <w:tcW w:w="3780" w:type="dxa"/>
            <w:vAlign w:val="center"/>
          </w:tcPr>
          <w:p>
            <w:pPr>
              <w:pStyle w:val="39"/>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w:t>
            </w:r>
          </w:p>
        </w:tc>
        <w:tc>
          <w:tcPr>
            <w:tcW w:w="683" w:type="dxa"/>
            <w:vAlign w:val="center"/>
          </w:tcPr>
          <w:p>
            <w:pPr>
              <w:pStyle w:val="39"/>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578" w:type="dxa"/>
            <w:vAlign w:val="center"/>
          </w:tcPr>
          <w:p>
            <w:pPr>
              <w:pStyle w:val="39"/>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w:t>
            </w:r>
          </w:p>
        </w:tc>
        <w:tc>
          <w:tcPr>
            <w:tcW w:w="3312" w:type="dxa"/>
            <w:vAlign w:val="center"/>
          </w:tcPr>
          <w:p>
            <w:pPr>
              <w:keepNext w:val="0"/>
              <w:keepLines w:val="0"/>
              <w:widowControl/>
              <w:suppressLineNumbers w:val="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石油勘探开发的新建、扩建、改建项目应当采用资源利用率高、污染物排放量少的生产设备和工艺，实行清洁生产。</w:t>
            </w:r>
          </w:p>
        </w:tc>
        <w:tc>
          <w:tcPr>
            <w:tcW w:w="3780" w:type="dxa"/>
            <w:vAlign w:val="center"/>
          </w:tcPr>
          <w:p>
            <w:pPr>
              <w:pStyle w:val="39"/>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本项目属于陆地石油开采项目，项目钻井采用泥浆不落地工艺，</w:t>
            </w:r>
            <w:r>
              <w:rPr>
                <w:rFonts w:ascii="Times New Roman" w:hAnsi="Times New Roman" w:cs="Times New Roman"/>
                <w:b w:val="0"/>
                <w:bCs w:val="0"/>
                <w:color w:val="000000" w:themeColor="text1"/>
                <w:sz w:val="21"/>
                <w:szCs w:val="21"/>
                <w:lang w:val="en-US"/>
                <w14:textFill>
                  <w14:solidFill>
                    <w14:schemeClr w14:val="tx1"/>
                  </w14:solidFill>
                </w14:textFill>
              </w:rPr>
              <w:t>油气集输均采用密闭管输工艺，采油井→计量站→陆梁集中处理站的集输工艺流程。</w:t>
            </w:r>
          </w:p>
        </w:tc>
        <w:tc>
          <w:tcPr>
            <w:tcW w:w="683" w:type="dxa"/>
            <w:vAlign w:val="center"/>
          </w:tcPr>
          <w:p>
            <w:pPr>
              <w:pStyle w:val="39"/>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578" w:type="dxa"/>
            <w:vAlign w:val="center"/>
          </w:tcPr>
          <w:p>
            <w:pPr>
              <w:pStyle w:val="39"/>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w:t>
            </w:r>
          </w:p>
        </w:tc>
        <w:tc>
          <w:tcPr>
            <w:tcW w:w="3312" w:type="dxa"/>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石油勘探开发单位的新建、扩建、改建、区域开发和引进项目等，必须执行环境影响报告的审批制度，执行防治污染的设施与主体工程同时设计， </w:t>
            </w:r>
          </w:p>
          <w:p>
            <w:pPr>
              <w:keepNext w:val="0"/>
              <w:keepLines w:val="0"/>
              <w:widowControl/>
              <w:suppressLineNumbers w:val="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同时施工，同时投产使用的制度。</w:t>
            </w:r>
          </w:p>
        </w:tc>
        <w:tc>
          <w:tcPr>
            <w:tcW w:w="3780" w:type="dxa"/>
            <w:vAlign w:val="center"/>
          </w:tcPr>
          <w:p>
            <w:pPr>
              <w:pStyle w:val="39"/>
              <w:jc w:val="center"/>
              <w:rPr>
                <w:rFonts w:hint="eastAsia"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项目</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按照要求严格执行</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环境影响报告的审批制度</w:t>
            </w:r>
            <w:r>
              <w:rPr>
                <w:rFonts w:ascii="Times New Roman" w:hAnsi="Times New Roman" w:cs="Times New Roman"/>
                <w:b w:val="0"/>
                <w:bCs w:val="0"/>
                <w:color w:val="000000" w:themeColor="text1"/>
                <w:sz w:val="21"/>
                <w:szCs w:val="21"/>
                <w14:textFill>
                  <w14:solidFill>
                    <w14:schemeClr w14:val="tx1"/>
                  </w14:solidFill>
                </w14:textFill>
              </w:rPr>
              <w:t>，要求项目严格执行</w:t>
            </w:r>
            <w:r>
              <w:rPr>
                <w:rFonts w:hint="eastAsia" w:ascii="Times New Roman" w:hAnsi="Times New Roman" w:cs="Times New Roman"/>
                <w:b w:val="0"/>
                <w:bCs w:val="0"/>
                <w:color w:val="000000" w:themeColor="text1"/>
                <w:sz w:val="21"/>
                <w:szCs w:val="21"/>
                <w14:textFill>
                  <w14:solidFill>
                    <w14:schemeClr w14:val="tx1"/>
                  </w14:solidFill>
                </w14:textFill>
              </w:rPr>
              <w:t>“</w:t>
            </w:r>
            <w:r>
              <w:rPr>
                <w:rFonts w:ascii="Times New Roman" w:hAnsi="Times New Roman" w:cs="Times New Roman"/>
                <w:b w:val="0"/>
                <w:bCs w:val="0"/>
                <w:color w:val="000000" w:themeColor="text1"/>
                <w:sz w:val="21"/>
                <w:szCs w:val="21"/>
                <w14:textFill>
                  <w14:solidFill>
                    <w14:schemeClr w14:val="tx1"/>
                  </w14:solidFill>
                </w14:textFill>
              </w:rPr>
              <w:t>三同时</w:t>
            </w:r>
            <w:r>
              <w:rPr>
                <w:rFonts w:hint="eastAsia" w:ascii="Times New Roman" w:hAnsi="Times New Roman" w:cs="Times New Roman"/>
                <w:b w:val="0"/>
                <w:bCs w:val="0"/>
                <w:color w:val="000000" w:themeColor="text1"/>
                <w:sz w:val="21"/>
                <w:szCs w:val="21"/>
                <w14:textFill>
                  <w14:solidFill>
                    <w14:schemeClr w14:val="tx1"/>
                  </w14:solidFill>
                </w14:textFill>
              </w:rPr>
              <w:t>”</w:t>
            </w:r>
            <w:r>
              <w:rPr>
                <w:rFonts w:ascii="Times New Roman" w:hAnsi="Times New Roman" w:cs="Times New Roman"/>
                <w:b w:val="0"/>
                <w:bCs w:val="0"/>
                <w:color w:val="000000" w:themeColor="text1"/>
                <w:sz w:val="21"/>
                <w:szCs w:val="21"/>
                <w14:textFill>
                  <w14:solidFill>
                    <w14:schemeClr w14:val="tx1"/>
                  </w14:solidFill>
                </w14:textFill>
              </w:rPr>
              <w:t>制度</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p>
        </w:tc>
        <w:tc>
          <w:tcPr>
            <w:tcW w:w="683" w:type="dxa"/>
            <w:vAlign w:val="center"/>
          </w:tcPr>
          <w:p>
            <w:pPr>
              <w:pStyle w:val="39"/>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578" w:type="dxa"/>
            <w:vAlign w:val="center"/>
          </w:tcPr>
          <w:p>
            <w:pPr>
              <w:pStyle w:val="39"/>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3</w:t>
            </w:r>
          </w:p>
        </w:tc>
        <w:tc>
          <w:tcPr>
            <w:tcW w:w="3312" w:type="dxa"/>
            <w:vAlign w:val="center"/>
          </w:tcPr>
          <w:p>
            <w:pPr>
              <w:keepNext w:val="0"/>
              <w:keepLines w:val="0"/>
              <w:widowControl/>
              <w:suppressLineNumbers w:val="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石油勘探开发单位应当加强防治污染设施的管理，配备专门管理及操作人员，建立岗位责任制和操作规程，保证设施的正常运行。</w:t>
            </w:r>
          </w:p>
        </w:tc>
        <w:tc>
          <w:tcPr>
            <w:tcW w:w="3780" w:type="dxa"/>
            <w:vAlign w:val="center"/>
          </w:tcPr>
          <w:p>
            <w:pPr>
              <w:pStyle w:val="39"/>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项目应按本报告提出的要求保证污染防治设施正常运行。</w:t>
            </w:r>
          </w:p>
        </w:tc>
        <w:tc>
          <w:tcPr>
            <w:tcW w:w="683" w:type="dxa"/>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578" w:type="dxa"/>
            <w:vAlign w:val="center"/>
          </w:tcPr>
          <w:p>
            <w:pPr>
              <w:pStyle w:val="39"/>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4</w:t>
            </w:r>
          </w:p>
        </w:tc>
        <w:tc>
          <w:tcPr>
            <w:tcW w:w="3312" w:type="dxa"/>
            <w:vAlign w:val="center"/>
          </w:tcPr>
          <w:p>
            <w:pPr>
              <w:keepNext w:val="0"/>
              <w:keepLines w:val="0"/>
              <w:widowControl/>
              <w:suppressLineNumbers w:val="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石油勘探开发单位应当实行用水管理制度，提高水的重复利用率，对含油污水经处理达到注水标准的，可以实行回注，减少废水的排放量，保护地面水和地下水不受污染</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排放废水必须符合国家和自治区规定的标准。</w:t>
            </w:r>
          </w:p>
        </w:tc>
        <w:tc>
          <w:tcPr>
            <w:tcW w:w="3780" w:type="dxa"/>
            <w:vAlign w:val="center"/>
          </w:tcPr>
          <w:p>
            <w:pPr>
              <w:pStyle w:val="39"/>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①本项目钻井期使用的泥浆为环保水基泥浆，为环境友好的钻井液，泥浆随钻井队用于后续钻井使用；②运营期</w:t>
            </w:r>
            <w:r>
              <w:rPr>
                <w:rFonts w:ascii="Times New Roman" w:hAnsi="Times New Roman" w:cs="Times New Roman"/>
                <w:b w:val="0"/>
                <w:bCs w:val="0"/>
                <w:color w:val="000000" w:themeColor="text1"/>
                <w:sz w:val="21"/>
                <w:szCs w:val="21"/>
                <w:lang w:val="en-US"/>
                <w14:textFill>
                  <w14:solidFill>
                    <w14:schemeClr w14:val="tx1"/>
                  </w14:solidFill>
                </w14:textFill>
              </w:rPr>
              <w:t>井下作业废水、废洗井液进罐收集后拉运至陆梁集中处理站处理，处理达标后回注油藏，不向外环境排放</w:t>
            </w:r>
            <w:r>
              <w:rPr>
                <w:rFonts w:ascii="Times New Roman" w:hAnsi="Times New Roman" w:cs="Times New Roman"/>
                <w:b w:val="0"/>
                <w:bCs w:val="0"/>
                <w:color w:val="000000" w:themeColor="text1"/>
                <w:sz w:val="21"/>
                <w:szCs w:val="21"/>
                <w14:textFill>
                  <w14:solidFill>
                    <w14:schemeClr w14:val="tx1"/>
                  </w14:solidFill>
                </w14:textFill>
              </w:rPr>
              <w:t>。</w:t>
            </w:r>
          </w:p>
        </w:tc>
        <w:tc>
          <w:tcPr>
            <w:tcW w:w="683" w:type="dxa"/>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578" w:type="dxa"/>
            <w:vAlign w:val="center"/>
          </w:tcPr>
          <w:p>
            <w:pPr>
              <w:pStyle w:val="39"/>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3312" w:type="dxa"/>
            <w:vAlign w:val="center"/>
          </w:tcPr>
          <w:p>
            <w:pPr>
              <w:keepNext w:val="0"/>
              <w:keepLines w:val="0"/>
              <w:widowControl/>
              <w:suppressLineNumbers w:val="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石油勘探开发单位在钻井和井下作业过程中，应当定点存放泥浆、岩屑或者其他废弃物，并及时做好回收利用和处理</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对含有汞、镉、铅、铬、砷、氰化物、黄磷等有毒有害物质的泥浆、岩屑或者其他废弃物，应当采取防水、防渗和防溢等有效措施存放。</w:t>
            </w:r>
          </w:p>
        </w:tc>
        <w:tc>
          <w:tcPr>
            <w:tcW w:w="3780" w:type="dxa"/>
            <w:vAlign w:val="center"/>
          </w:tcPr>
          <w:p>
            <w:pPr>
              <w:pStyle w:val="39"/>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本环评提出危险废物、含油固体废弃物管理及运输等环节要求，防止污染大气、土壤、水体。</w:t>
            </w:r>
          </w:p>
        </w:tc>
        <w:tc>
          <w:tcPr>
            <w:tcW w:w="683" w:type="dxa"/>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578" w:type="dxa"/>
            <w:vAlign w:val="center"/>
          </w:tcPr>
          <w:p>
            <w:pPr>
              <w:pStyle w:val="39"/>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w:t>
            </w:r>
          </w:p>
        </w:tc>
        <w:tc>
          <w:tcPr>
            <w:tcW w:w="3312" w:type="dxa"/>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石油勘探开发单位在勘探开发作业完毕后，应当及时清理场地</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在农田、绿洲等地带作业，必须采取治理措施，减少占用耕地和破坏植被，对临 </w:t>
            </w:r>
          </w:p>
          <w:p>
            <w:pPr>
              <w:keepNext w:val="0"/>
              <w:keepLines w:val="0"/>
              <w:widowControl/>
              <w:suppressLineNumbers w:val="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时性占用的耕地造成破坏的，应当复垦还耕、恢复植被，并赔偿损失。</w:t>
            </w:r>
          </w:p>
        </w:tc>
        <w:tc>
          <w:tcPr>
            <w:tcW w:w="3780" w:type="dxa"/>
            <w:vAlign w:val="center"/>
          </w:tcPr>
          <w:p>
            <w:pPr>
              <w:pStyle w:val="39"/>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本项目施工结束后，应对临时占地内的土地进行平整，自然恢复原有地貌，充分利用前期收集的表土覆盖于施工区域表层，临时占地范围不具备植被恢复条件的，应采用砾石等材料覆盖临时占地面积，以防止侵蚀加剧，减少水土流失，植被自然恢复。</w:t>
            </w:r>
          </w:p>
        </w:tc>
        <w:tc>
          <w:tcPr>
            <w:tcW w:w="683" w:type="dxa"/>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578" w:type="dxa"/>
            <w:vAlign w:val="center"/>
          </w:tcPr>
          <w:p>
            <w:pPr>
              <w:pStyle w:val="39"/>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7</w:t>
            </w:r>
          </w:p>
        </w:tc>
        <w:tc>
          <w:tcPr>
            <w:tcW w:w="3312" w:type="dxa"/>
            <w:vAlign w:val="center"/>
          </w:tcPr>
          <w:p>
            <w:pPr>
              <w:keepNext w:val="0"/>
              <w:keepLines w:val="0"/>
              <w:widowControl/>
              <w:suppressLineNumbers w:val="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石油勘探开发单位应当严格执行井控技术规定，防止井喷污染，并实行无污染作业，严格控制落地油。</w:t>
            </w:r>
          </w:p>
        </w:tc>
        <w:tc>
          <w:tcPr>
            <w:tcW w:w="3780" w:type="dxa"/>
            <w:vAlign w:val="center"/>
          </w:tcPr>
          <w:p>
            <w:pPr>
              <w:pStyle w:val="39"/>
              <w:jc w:val="center"/>
              <w:rPr>
                <w:rFonts w:hint="eastAsia"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项目采用钻井泥浆不落地工艺，</w:t>
            </w:r>
            <w:r>
              <w:rPr>
                <w:rFonts w:ascii="Times New Roman" w:hAnsi="Times New Roman" w:cs="Times New Roman"/>
                <w:b w:val="0"/>
                <w:bCs w:val="0"/>
                <w:color w:val="000000" w:themeColor="text1"/>
                <w:sz w:val="21"/>
                <w:szCs w:val="21"/>
                <w14:textFill>
                  <w14:solidFill>
                    <w14:schemeClr w14:val="tx1"/>
                  </w14:solidFill>
                </w14:textFill>
              </w:rPr>
              <w:t>落地油100%回收，</w:t>
            </w:r>
            <w:r>
              <w:rPr>
                <w:rFonts w:ascii="Times New Roman" w:hAnsi="Times New Roman" w:cs="Times New Roman"/>
                <w:b w:val="0"/>
                <w:bCs w:val="0"/>
                <w:color w:val="000000" w:themeColor="text1"/>
                <w:sz w:val="21"/>
                <w:szCs w:val="21"/>
                <w:lang w:val="en-US"/>
                <w14:textFill>
                  <w14:solidFill>
                    <w14:schemeClr w14:val="tx1"/>
                  </w14:solidFill>
                </w14:textFill>
              </w:rPr>
              <w:t>回收的落地油</w:t>
            </w:r>
            <w:r>
              <w:rPr>
                <w:rFonts w:ascii="Times New Roman" w:hAnsi="Times New Roman" w:cs="Times New Roman"/>
                <w:b w:val="0"/>
                <w:bCs w:val="0"/>
                <w:color w:val="000000" w:themeColor="text1"/>
                <w:sz w:val="21"/>
                <w:szCs w:val="21"/>
                <w14:textFill>
                  <w14:solidFill>
                    <w14:schemeClr w14:val="tx1"/>
                  </w14:solidFill>
                </w14:textFill>
              </w:rPr>
              <w:t>送至</w:t>
            </w:r>
            <w:r>
              <w:rPr>
                <w:rFonts w:ascii="Times New Roman" w:hAnsi="Times New Roman" w:cs="Times New Roman"/>
                <w:b w:val="0"/>
                <w:bCs w:val="0"/>
                <w:color w:val="000000" w:themeColor="text1"/>
                <w:sz w:val="21"/>
                <w:szCs w:val="21"/>
                <w:lang w:val="en-US"/>
                <w14:textFill>
                  <w14:solidFill>
                    <w14:schemeClr w14:val="tx1"/>
                  </w14:solidFill>
                </w14:textFill>
              </w:rPr>
              <w:t>陆梁集中处理站</w:t>
            </w:r>
            <w:r>
              <w:rPr>
                <w:rFonts w:ascii="Times New Roman" w:hAnsi="Times New Roman" w:cs="Times New Roman"/>
                <w:b w:val="0"/>
                <w:bCs w:val="0"/>
                <w:color w:val="000000" w:themeColor="text1"/>
                <w:sz w:val="21"/>
                <w:szCs w:val="21"/>
                <w14:textFill>
                  <w14:solidFill>
                    <w14:schemeClr w14:val="tx1"/>
                  </w14:solidFill>
                </w14:textFill>
              </w:rPr>
              <w:t>处理</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p>
        </w:tc>
        <w:tc>
          <w:tcPr>
            <w:tcW w:w="683" w:type="dxa"/>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578" w:type="dxa"/>
            <w:vAlign w:val="center"/>
          </w:tcPr>
          <w:p>
            <w:pPr>
              <w:pStyle w:val="39"/>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3312" w:type="dxa"/>
            <w:vAlign w:val="center"/>
          </w:tcPr>
          <w:p>
            <w:pPr>
              <w:keepNext w:val="0"/>
              <w:keepLines w:val="0"/>
              <w:widowControl/>
              <w:suppressLineNumbers w:val="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发生井喷、输油管道破裂和穿孔等突发性事件时，石油勘探开发单位应当及时采取措施排除故障，防止污染面积扩大，并及时回收落地原油。</w:t>
            </w:r>
          </w:p>
        </w:tc>
        <w:tc>
          <w:tcPr>
            <w:tcW w:w="3780" w:type="dxa"/>
            <w:vAlign w:val="center"/>
          </w:tcPr>
          <w:p>
            <w:pPr>
              <w:pStyle w:val="39"/>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本次评价要求</w:t>
            </w:r>
            <w:r>
              <w:rPr>
                <w:rFonts w:hint="eastAsia" w:ascii="Times New Roman" w:hAnsi="Times New Roman" w:cs="Times New Roman"/>
                <w:b w:val="0"/>
                <w:bCs w:val="0"/>
                <w:color w:val="000000" w:themeColor="text1"/>
                <w:sz w:val="21"/>
                <w:szCs w:val="21"/>
                <w:lang w:val="en-US"/>
                <w14:textFill>
                  <w14:solidFill>
                    <w14:schemeClr w14:val="tx1"/>
                  </w14:solidFill>
                </w14:textFill>
              </w:rPr>
              <w:t>运营</w:t>
            </w:r>
            <w:r>
              <w:rPr>
                <w:rFonts w:ascii="Times New Roman" w:hAnsi="Times New Roman" w:cs="Times New Roman"/>
                <w:b w:val="0"/>
                <w:bCs w:val="0"/>
                <w:color w:val="000000" w:themeColor="text1"/>
                <w:sz w:val="21"/>
                <w:szCs w:val="21"/>
                <w14:textFill>
                  <w14:solidFill>
                    <w14:schemeClr w14:val="tx1"/>
                  </w14:solidFill>
                </w14:textFill>
              </w:rPr>
              <w:t>单位</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按时</w:t>
            </w:r>
            <w:r>
              <w:rPr>
                <w:rFonts w:ascii="Times New Roman" w:hAnsi="Times New Roman" w:cs="Times New Roman"/>
                <w:b w:val="0"/>
                <w:bCs w:val="0"/>
                <w:color w:val="000000" w:themeColor="text1"/>
                <w:sz w:val="21"/>
                <w:szCs w:val="21"/>
                <w14:textFill>
                  <w14:solidFill>
                    <w14:schemeClr w14:val="tx1"/>
                  </w14:solidFill>
                </w14:textFill>
              </w:rPr>
              <w:t>更新已编制并备案的突发环境事件应急预案。</w:t>
            </w:r>
          </w:p>
        </w:tc>
        <w:tc>
          <w:tcPr>
            <w:tcW w:w="683" w:type="dxa"/>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578" w:type="dxa"/>
            <w:vAlign w:val="center"/>
          </w:tcPr>
          <w:p>
            <w:pPr>
              <w:pStyle w:val="39"/>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c>
          <w:tcPr>
            <w:tcW w:w="3312" w:type="dxa"/>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石油勘探开发中发生事故或者其他突发性事件，造成或者可能造成环境污染和生态破坏的，必须立即采取措施，通报可能受到污染危害的单位和 </w:t>
            </w:r>
          </w:p>
          <w:p>
            <w:pPr>
              <w:keepNext w:val="0"/>
              <w:keepLines w:val="0"/>
              <w:widowControl/>
              <w:suppressLineNumbers w:val="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个人，并按国家有关规定，做好污染事故的调查处理工作。</w:t>
            </w:r>
          </w:p>
        </w:tc>
        <w:tc>
          <w:tcPr>
            <w:tcW w:w="3780" w:type="dxa"/>
            <w:vAlign w:val="center"/>
          </w:tcPr>
          <w:p>
            <w:pPr>
              <w:pStyle w:val="39"/>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cs="Times New Roman"/>
                <w:b w:val="0"/>
                <w:bCs w:val="0"/>
                <w:color w:val="000000" w:themeColor="text1"/>
                <w:sz w:val="21"/>
                <w:szCs w:val="21"/>
                <w14:textFill>
                  <w14:solidFill>
                    <w14:schemeClr w14:val="tx1"/>
                  </w14:solidFill>
                </w14:textFill>
              </w:rPr>
              <w:t>本次评价要求</w:t>
            </w:r>
            <w:r>
              <w:rPr>
                <w:rFonts w:hint="eastAsia" w:ascii="Times New Roman" w:hAnsi="Times New Roman" w:cs="Times New Roman"/>
                <w:b w:val="0"/>
                <w:bCs w:val="0"/>
                <w:color w:val="000000" w:themeColor="text1"/>
                <w:sz w:val="21"/>
                <w:szCs w:val="21"/>
                <w:lang w:val="en-US"/>
                <w14:textFill>
                  <w14:solidFill>
                    <w14:schemeClr w14:val="tx1"/>
                  </w14:solidFill>
                </w14:textFill>
              </w:rPr>
              <w:t>运营</w:t>
            </w:r>
            <w:r>
              <w:rPr>
                <w:rFonts w:ascii="Times New Roman" w:hAnsi="Times New Roman" w:cs="Times New Roman"/>
                <w:b w:val="0"/>
                <w:bCs w:val="0"/>
                <w:color w:val="000000" w:themeColor="text1"/>
                <w:sz w:val="21"/>
                <w:szCs w:val="21"/>
                <w14:textFill>
                  <w14:solidFill>
                    <w14:schemeClr w14:val="tx1"/>
                  </w14:solidFill>
                </w14:textFill>
              </w:rPr>
              <w:t>单位</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按时</w:t>
            </w:r>
            <w:r>
              <w:rPr>
                <w:rFonts w:ascii="Times New Roman" w:hAnsi="Times New Roman" w:cs="Times New Roman"/>
                <w:b w:val="0"/>
                <w:bCs w:val="0"/>
                <w:color w:val="000000" w:themeColor="text1"/>
                <w:sz w:val="21"/>
                <w:szCs w:val="21"/>
                <w14:textFill>
                  <w14:solidFill>
                    <w14:schemeClr w14:val="tx1"/>
                  </w14:solidFill>
                </w14:textFill>
              </w:rPr>
              <w:t>更新已编制并备案的突发环境事件应急预案。</w:t>
            </w:r>
          </w:p>
        </w:tc>
        <w:tc>
          <w:tcPr>
            <w:tcW w:w="683" w:type="dxa"/>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符合</w:t>
            </w:r>
          </w:p>
        </w:tc>
      </w:tr>
    </w:tbl>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hint="eastAsia" w:ascii="Times New Roman" w:hAnsi="Times New Roman" w:eastAsia="黑体" w:cs="Times New Roman"/>
          <w:b/>
          <w:color w:val="000000" w:themeColor="text1"/>
          <w:sz w:val="30"/>
          <w:szCs w:val="30"/>
          <w14:textFill>
            <w14:solidFill>
              <w14:schemeClr w14:val="tx1"/>
            </w14:solidFill>
          </w14:textFill>
        </w:rPr>
        <w:t>2.8.</w:t>
      </w:r>
      <w:r>
        <w:rPr>
          <w:rFonts w:hint="eastAsia" w:ascii="Times New Roman" w:hAnsi="Times New Roman" w:eastAsia="黑体" w:cs="Times New Roman"/>
          <w:b/>
          <w:color w:val="000000" w:themeColor="text1"/>
          <w:sz w:val="30"/>
          <w:szCs w:val="30"/>
          <w:lang w:val="en-US" w:eastAsia="zh-CN"/>
          <w14:textFill>
            <w14:solidFill>
              <w14:schemeClr w14:val="tx1"/>
            </w14:solidFill>
          </w14:textFill>
        </w:rPr>
        <w:t>8</w:t>
      </w:r>
      <w:r>
        <w:rPr>
          <w:rFonts w:ascii="Times New Roman" w:hAnsi="Times New Roman" w:eastAsia="黑体" w:cs="Times New Roman"/>
          <w:b/>
          <w:color w:val="000000" w:themeColor="text1"/>
          <w:sz w:val="30"/>
          <w:szCs w:val="30"/>
          <w14:textFill>
            <w14:solidFill>
              <w14:schemeClr w14:val="tx1"/>
            </w14:solidFill>
          </w14:textFill>
        </w:rPr>
        <w:t>选址、选线合理性分析</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根据现场调查和资料搜集，项目区域和管道沿线内均不涉及</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建设项目环境影响评价分类管理名录</w:t>
      </w:r>
      <w:r>
        <w:rPr>
          <w:rFonts w:hint="eastAsia" w:ascii="Times New Roman" w:hAnsi="Times New Roman" w:cs="Times New Roman"/>
          <w:color w:val="000000" w:themeColor="text1"/>
          <w:sz w:val="24"/>
          <w14:textFill>
            <w14:solidFill>
              <w14:schemeClr w14:val="tx1"/>
            </w14:solidFill>
          </w14:textFill>
        </w:rPr>
        <w:t>》（2021年版）中第三条中的（一）国家公园、自然保护区、风景名胜区、世界文化和自然遗产地、海洋特别保护区、饮用水水源保护区；不涉及（三）中的以居住、医疗卫生、文化教育、科研、行政办公为主要功能的区域，以及文物保护单位，但属于（二）中的水土流失重点治理区。</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根据《和布克赛尔蒙古自治县国土空间总体规划（2021-2035）》（公示稿），战略定位为：</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自治区能源化工合作发展区</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，本项目为陆9井区油田产能建设项目，属于能源设施重点建设项目，符合《和布克赛尔蒙古自治县国土空间总体规划（2021-2035）》（公示稿）规定。</w:t>
      </w:r>
    </w:p>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2.8.</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8</w:t>
      </w:r>
      <w:r>
        <w:rPr>
          <w:rFonts w:ascii="Times New Roman" w:hAnsi="Times New Roman" w:eastAsia="宋体" w:cs="Times New Roman"/>
          <w:color w:val="000000" w:themeColor="text1"/>
          <w:sz w:val="28"/>
          <w:szCs w:val="28"/>
          <w14:textFill>
            <w14:solidFill>
              <w14:schemeClr w14:val="tx1"/>
            </w14:solidFill>
          </w14:textFill>
        </w:rPr>
        <w:t>.1工程选址原则</w:t>
      </w:r>
    </w:p>
    <w:p>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该采区范围不属于禁止开采区或限制开采区。工程选址做到以下内容：</w:t>
      </w:r>
    </w:p>
    <w:p>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w:t>
      </w:r>
      <w:r>
        <w:rPr>
          <w:rFonts w:ascii="Times New Roman" w:hAnsi="Times New Roman" w:eastAsia="宋体" w:cs="Times New Roman"/>
          <w:color w:val="000000" w:themeColor="text1"/>
          <w:sz w:val="24"/>
          <w14:textFill>
            <w14:solidFill>
              <w14:schemeClr w14:val="tx1"/>
            </w14:solidFill>
          </w14:textFill>
        </w:rPr>
        <w:t>新建井场选址尽量临近现有井场，便于统一管理，减少巡井人员，同时最大限度减少工程占地面积；</w:t>
      </w:r>
    </w:p>
    <w:p>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w:t>
      </w:r>
      <w:r>
        <w:rPr>
          <w:rFonts w:ascii="Times New Roman" w:hAnsi="Times New Roman" w:eastAsia="宋体" w:cs="Times New Roman"/>
          <w:color w:val="000000" w:themeColor="text1"/>
          <w:sz w:val="24"/>
          <w14:textFill>
            <w14:solidFill>
              <w14:schemeClr w14:val="tx1"/>
            </w14:solidFill>
          </w14:textFill>
        </w:rPr>
        <w:t>新建井场应尽量选择在地表无植被或植被较少处；</w:t>
      </w:r>
    </w:p>
    <w:p>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③</w:t>
      </w:r>
      <w:r>
        <w:rPr>
          <w:rFonts w:ascii="Times New Roman" w:hAnsi="Times New Roman" w:eastAsia="宋体" w:cs="Times New Roman"/>
          <w:color w:val="000000" w:themeColor="text1"/>
          <w:sz w:val="24"/>
          <w14:textFill>
            <w14:solidFill>
              <w14:schemeClr w14:val="tx1"/>
            </w14:solidFill>
          </w14:textFill>
        </w:rPr>
        <w:t>井场道路尽量依托现有井场及周边已有道路，最大限度减少植被破坏；</w:t>
      </w:r>
    </w:p>
    <w:p>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④</w:t>
      </w:r>
      <w:r>
        <w:rPr>
          <w:rFonts w:ascii="Times New Roman" w:hAnsi="Times New Roman" w:eastAsia="宋体" w:cs="Times New Roman"/>
          <w:color w:val="000000" w:themeColor="text1"/>
          <w:sz w:val="24"/>
          <w14:textFill>
            <w14:solidFill>
              <w14:schemeClr w14:val="tx1"/>
            </w14:solidFill>
          </w14:textFill>
        </w:rPr>
        <w:t>道路选在植被较少的地段，在植被较多的路段，不得就近取土，尽可能少破坏植被；</w:t>
      </w:r>
    </w:p>
    <w:p>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⑤</w:t>
      </w:r>
      <w:r>
        <w:rPr>
          <w:rFonts w:ascii="Times New Roman" w:hAnsi="Times New Roman" w:eastAsia="宋体" w:cs="Times New Roman"/>
          <w:color w:val="000000" w:themeColor="text1"/>
          <w:sz w:val="24"/>
          <w14:textFill>
            <w14:solidFill>
              <w14:schemeClr w14:val="tx1"/>
            </w14:solidFill>
          </w14:textFill>
        </w:rPr>
        <w:t>线路应尽量直接、连续、均衡，并与地形、地物相适应，与周围环境相协调，不刻意追求高等级线型井场路；</w:t>
      </w:r>
    </w:p>
    <w:p>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⑥</w:t>
      </w:r>
      <w:r>
        <w:rPr>
          <w:rFonts w:ascii="Times New Roman" w:hAnsi="Times New Roman" w:eastAsia="宋体" w:cs="Times New Roman"/>
          <w:color w:val="000000" w:themeColor="text1"/>
          <w:sz w:val="24"/>
          <w14:textFill>
            <w14:solidFill>
              <w14:schemeClr w14:val="tx1"/>
            </w14:solidFill>
          </w14:textFill>
        </w:rPr>
        <w:t>道路及集输管线在选址选线阶段尽量选择在植被稀少或荒漠的区域布点。</w:t>
      </w:r>
    </w:p>
    <w:p>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⑦</w:t>
      </w:r>
      <w:r>
        <w:rPr>
          <w:rFonts w:ascii="Times New Roman" w:hAnsi="Times New Roman" w:eastAsia="宋体" w:cs="Times New Roman"/>
          <w:color w:val="000000" w:themeColor="text1"/>
          <w:sz w:val="24"/>
          <w14:textFill>
            <w14:solidFill>
              <w14:schemeClr w14:val="tx1"/>
            </w14:solidFill>
          </w14:textFill>
        </w:rPr>
        <w:t>本项目区远离人群居住区，不在铁路、高速公路、国道、省道等重要交通干线两侧200m范围以内；</w:t>
      </w:r>
    </w:p>
    <w:p>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⑧</w:t>
      </w:r>
      <w:r>
        <w:rPr>
          <w:rFonts w:ascii="Times New Roman" w:hAnsi="Times New Roman" w:eastAsia="宋体" w:cs="Times New Roman"/>
          <w:color w:val="000000" w:themeColor="text1"/>
          <w:sz w:val="24"/>
          <w14:textFill>
            <w14:solidFill>
              <w14:schemeClr w14:val="tx1"/>
            </w14:solidFill>
          </w14:textFill>
        </w:rPr>
        <w:t>本项目不在自然保护区、饮用水水源保护区等特殊敏感区域，符合区域经济发展规划、环保规划，无重大环境制约因素。</w:t>
      </w:r>
    </w:p>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2.8.</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8</w:t>
      </w:r>
      <w:r>
        <w:rPr>
          <w:rFonts w:hint="eastAsia" w:ascii="Times New Roman" w:hAnsi="Times New Roman" w:eastAsia="宋体" w:cs="Times New Roman"/>
          <w:color w:val="000000" w:themeColor="text1"/>
          <w:sz w:val="28"/>
          <w:szCs w:val="28"/>
          <w14:textFill>
            <w14:solidFill>
              <w14:schemeClr w14:val="tx1"/>
            </w14:solidFill>
          </w14:textFill>
        </w:rPr>
        <w:t>.</w:t>
      </w:r>
      <w:r>
        <w:rPr>
          <w:rFonts w:ascii="Times New Roman" w:hAnsi="Times New Roman" w:eastAsia="宋体" w:cs="Times New Roman"/>
          <w:color w:val="000000" w:themeColor="text1"/>
          <w:sz w:val="28"/>
          <w:szCs w:val="28"/>
          <w14:textFill>
            <w14:solidFill>
              <w14:schemeClr w14:val="tx1"/>
            </w14:solidFill>
          </w14:textFill>
        </w:rPr>
        <w:t>2管线路由合理性分析</w:t>
      </w:r>
    </w:p>
    <w:p>
      <w:pPr>
        <w:spacing w:line="360" w:lineRule="auto"/>
        <w:ind w:firstLine="48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w:t>
      </w:r>
      <w:r>
        <w:rPr>
          <w:rFonts w:ascii="Times New Roman" w:hAnsi="Times New Roman" w:eastAsia="宋体" w:cs="Times New Roman"/>
          <w:color w:val="000000" w:themeColor="text1"/>
          <w:sz w:val="24"/>
          <w14:textFill>
            <w14:solidFill>
              <w14:schemeClr w14:val="tx1"/>
            </w14:solidFill>
          </w14:textFill>
        </w:rPr>
        <w:t>拟建项目新建管线主要是单井管线、</w:t>
      </w:r>
      <w:r>
        <w:rPr>
          <w:rFonts w:ascii="Times New Roman" w:hAnsi="Times New Roman" w:cs="Times New Roman"/>
          <w:color w:val="000000" w:themeColor="text1"/>
          <w:sz w:val="24"/>
          <w14:textFill>
            <w14:solidFill>
              <w14:schemeClr w14:val="tx1"/>
            </w14:solidFill>
          </w14:textFill>
        </w:rPr>
        <w:t>集油支线</w:t>
      </w:r>
      <w:r>
        <w:rPr>
          <w:rFonts w:ascii="Times New Roman" w:hAnsi="Times New Roman" w:eastAsia="宋体" w:cs="Times New Roman"/>
          <w:color w:val="000000" w:themeColor="text1"/>
          <w:sz w:val="24"/>
          <w14:textFill>
            <w14:solidFill>
              <w14:schemeClr w14:val="tx1"/>
            </w14:solidFill>
          </w14:textFill>
        </w:rPr>
        <w:t>、单井注水管线、注水支线。拟建管线沿途所经区域生态系统以</w:t>
      </w:r>
      <w:r>
        <w:rPr>
          <w:rFonts w:ascii="Times New Roman" w:hAnsi="Times New Roman" w:cs="Times New Roman"/>
          <w:color w:val="000000" w:themeColor="text1"/>
          <w:sz w:val="24"/>
          <w14:textFill>
            <w14:solidFill>
              <w14:schemeClr w14:val="tx1"/>
            </w14:solidFill>
          </w14:textFill>
        </w:rPr>
        <w:t>荒</w:t>
      </w:r>
      <w:r>
        <w:rPr>
          <w:rFonts w:ascii="Times New Roman" w:hAnsi="Times New Roman" w:eastAsia="宋体" w:cs="Times New Roman"/>
          <w:color w:val="000000" w:themeColor="text1"/>
          <w:sz w:val="24"/>
          <w14:textFill>
            <w14:solidFill>
              <w14:schemeClr w14:val="tx1"/>
            </w14:solidFill>
          </w14:textFill>
        </w:rPr>
        <w:t>漠生态系统为主</w:t>
      </w:r>
      <w:r>
        <w:rPr>
          <w:rFonts w:ascii="Times New Roman" w:hAnsi="Times New Roman" w:cs="Times New Roman"/>
          <w:color w:val="000000" w:themeColor="text1"/>
          <w:sz w:val="24"/>
          <w14:textFill>
            <w14:solidFill>
              <w14:schemeClr w14:val="tx1"/>
            </w14:solidFill>
          </w14:textFill>
        </w:rPr>
        <w:t>，项目所在区域分布的植被类型为</w:t>
      </w:r>
      <w:r>
        <w:rPr>
          <w:rFonts w:hint="eastAsia" w:ascii="Times New Roman" w:hAnsi="Times New Roman" w:cs="Times New Roman"/>
          <w:color w:val="000000" w:themeColor="text1"/>
          <w:sz w:val="24"/>
          <w14:textFill>
            <w14:solidFill>
              <w14:schemeClr w14:val="tx1"/>
            </w14:solidFill>
          </w14:textFill>
        </w:rPr>
        <w:t>红皮沙拐枣荒漠</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植被较稀疏，项目</w:t>
      </w:r>
      <w:r>
        <w:rPr>
          <w:rFonts w:hint="eastAsia" w:ascii="Times New Roman" w:hAnsi="Times New Roman" w:cs="Times New Roman"/>
          <w:bCs/>
          <w:color w:val="000000" w:themeColor="text1"/>
          <w:sz w:val="24"/>
          <w14:textFill>
            <w14:solidFill>
              <w14:schemeClr w14:val="tx1"/>
            </w14:solidFill>
          </w14:textFill>
        </w:rPr>
        <w:t>井场、</w:t>
      </w:r>
      <w:r>
        <w:rPr>
          <w:rFonts w:ascii="Times New Roman" w:hAnsi="Times New Roman" w:cs="Times New Roman"/>
          <w:bCs/>
          <w:color w:val="000000" w:themeColor="text1"/>
          <w:sz w:val="24"/>
          <w14:textFill>
            <w14:solidFill>
              <w14:schemeClr w14:val="tx1"/>
            </w14:solidFill>
          </w14:textFill>
        </w:rPr>
        <w:t>管线敷设</w:t>
      </w:r>
      <w:r>
        <w:rPr>
          <w:rFonts w:hint="eastAsia" w:ascii="Times New Roman" w:hAnsi="Times New Roman" w:cs="Times New Roman"/>
          <w:bCs/>
          <w:color w:val="000000" w:themeColor="text1"/>
          <w:sz w:val="24"/>
          <w14:textFill>
            <w14:solidFill>
              <w14:schemeClr w14:val="tx1"/>
            </w14:solidFill>
          </w14:textFill>
        </w:rPr>
        <w:t>不占用国家和自治区</w:t>
      </w:r>
      <w:r>
        <w:rPr>
          <w:rFonts w:ascii="Times New Roman" w:hAnsi="Times New Roman" w:cs="Times New Roman"/>
          <w:bCs/>
          <w:color w:val="000000" w:themeColor="text1"/>
          <w:sz w:val="24"/>
          <w14:textFill>
            <w14:solidFill>
              <w14:schemeClr w14:val="tx1"/>
            </w14:solidFill>
          </w14:textFill>
        </w:rPr>
        <w:t>保护植物；</w:t>
      </w:r>
    </w:p>
    <w:p>
      <w:pPr>
        <w:spacing w:line="360" w:lineRule="auto"/>
        <w:ind w:firstLine="48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②本项目</w:t>
      </w:r>
      <w:r>
        <w:rPr>
          <w:rFonts w:ascii="Times New Roman" w:hAnsi="Times New Roman" w:eastAsia="宋体" w:cs="Times New Roman"/>
          <w:color w:val="000000" w:themeColor="text1"/>
          <w:sz w:val="24"/>
          <w14:textFill>
            <w14:solidFill>
              <w14:schemeClr w14:val="tx1"/>
            </w14:solidFill>
          </w14:textFill>
        </w:rPr>
        <w:t>管线在设计选线时走向力求顺直、平缓，并尽量减少与天然、人工障碍物交叉</w:t>
      </w:r>
      <w:r>
        <w:rPr>
          <w:rFonts w:ascii="Times New Roman" w:hAnsi="Times New Roman"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选择有利地形，确保管线长期、安全、可靠运行</w:t>
      </w:r>
      <w:r>
        <w:rPr>
          <w:rFonts w:ascii="Times New Roman" w:hAnsi="Times New Roman" w:cs="Times New Roman"/>
          <w:color w:val="000000" w:themeColor="text1"/>
          <w:sz w:val="24"/>
          <w14:textFill>
            <w14:solidFill>
              <w14:schemeClr w14:val="tx1"/>
            </w14:solidFill>
          </w14:textFill>
        </w:rPr>
        <w:t>，同时管线施工作业带宽度控制在1</w:t>
      </w:r>
      <w:r>
        <w:rPr>
          <w:rFonts w:hint="eastAsia" w:ascii="Times New Roman" w:hAnsi="Times New Roman" w:cs="Times New Roman"/>
          <w:color w:val="000000" w:themeColor="text1"/>
          <w:sz w:val="24"/>
          <w:lang w:val="en-US" w:eastAsia="zh-CN"/>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bCs/>
          <w:color w:val="000000" w:themeColor="text1"/>
          <w:sz w:val="24"/>
          <w14:textFill>
            <w14:solidFill>
              <w14:schemeClr w14:val="tx1"/>
            </w14:solidFill>
          </w14:textFill>
        </w:rPr>
        <w:t>严格控制土壤扰动面积；</w:t>
      </w:r>
    </w:p>
    <w:p>
      <w:pPr>
        <w:spacing w:line="360" w:lineRule="auto"/>
        <w:ind w:firstLine="48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③本项目管线建设距离油田道路均较近，项目区野生动物极少出入油田区域，本项目的建设不会对动物生境产生明显影响；</w:t>
      </w:r>
    </w:p>
    <w:p>
      <w:pPr>
        <w:pStyle w:val="25"/>
        <w:spacing w:line="360" w:lineRule="auto"/>
        <w:ind w:firstLine="480" w:firstLineChars="200"/>
        <w:jc w:val="left"/>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④管道穿越油区简易路采用大开挖方式，穿越完毕后恢复原有路面。穿越沥青路采用顶管方式。</w:t>
      </w:r>
    </w:p>
    <w:p>
      <w:pPr>
        <w:pStyle w:val="25"/>
        <w:spacing w:line="360" w:lineRule="auto"/>
        <w:ind w:firstLine="480" w:firstLineChars="200"/>
        <w:jc w:val="left"/>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⑤项目区年降</w:t>
      </w:r>
      <w:r>
        <w:rPr>
          <w:rFonts w:hint="eastAsia" w:ascii="Times New Roman" w:hAnsi="Times New Roman" w:cs="Times New Roman"/>
          <w:b w:val="0"/>
          <w:bCs/>
          <w:color w:val="000000" w:themeColor="text1"/>
          <w14:textFill>
            <w14:solidFill>
              <w14:schemeClr w14:val="tx1"/>
            </w14:solidFill>
          </w14:textFill>
        </w:rPr>
        <w:t>蒸发量2287.7</w:t>
      </w:r>
      <w:r>
        <w:rPr>
          <w:rFonts w:ascii="Times New Roman" w:hAnsi="Times New Roman" w:cs="Times New Roman"/>
          <w:b w:val="0"/>
          <w:bCs/>
          <w:color w:val="000000" w:themeColor="text1"/>
          <w14:textFill>
            <w14:solidFill>
              <w14:schemeClr w14:val="tx1"/>
            </w14:solidFill>
          </w14:textFill>
        </w:rPr>
        <w:t>mm，属于降雨少，蒸发量大，项目管线开挖在两侧修筑地边梗，施工结束尽快进行回填，发生洪水的概率极低，且项目管线开挖不涉及重型机械，因此管线施工对地质稳定性不会造成影响。</w:t>
      </w:r>
    </w:p>
    <w:p>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14:textFill>
            <w14:solidFill>
              <w14:schemeClr w14:val="tx1"/>
            </w14:solidFill>
          </w14:textFill>
        </w:rPr>
        <w:t>⑥</w:t>
      </w:r>
      <w:r>
        <w:rPr>
          <w:rFonts w:ascii="Times New Roman" w:hAnsi="Times New Roman" w:eastAsia="宋体" w:cs="Times New Roman"/>
          <w:bCs/>
          <w:color w:val="000000" w:themeColor="text1"/>
          <w:sz w:val="24"/>
          <w14:textFill>
            <w14:solidFill>
              <w14:schemeClr w14:val="tx1"/>
            </w14:solidFill>
          </w14:textFill>
        </w:rPr>
        <w:t>本项目要求严格控制临时占地范围，</w:t>
      </w:r>
      <w:r>
        <w:rPr>
          <w:rFonts w:ascii="Times New Roman" w:hAnsi="Times New Roman" w:cs="Times New Roman"/>
          <w:bCs/>
          <w:color w:val="000000" w:themeColor="text1"/>
          <w:sz w:val="24"/>
          <w14:textFill>
            <w14:solidFill>
              <w14:schemeClr w14:val="tx1"/>
            </w14:solidFill>
          </w14:textFill>
        </w:rPr>
        <w:t>施工期施工现场设立围栏，</w:t>
      </w:r>
      <w:r>
        <w:rPr>
          <w:rFonts w:ascii="Times New Roman" w:hAnsi="Times New Roman" w:eastAsia="宋体" w:cs="Times New Roman"/>
          <w:bCs/>
          <w:color w:val="000000" w:themeColor="text1"/>
          <w:sz w:val="24"/>
          <w14:textFill>
            <w14:solidFill>
              <w14:schemeClr w14:val="tx1"/>
            </w14:solidFill>
          </w14:textFill>
        </w:rPr>
        <w:t>施工期严格控制和运营期均采取避让、保护等措施，项目选址符合塔城地区</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三线一单</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的相关要求。本次产能建设</w:t>
      </w:r>
      <w:r>
        <w:rPr>
          <w:rFonts w:ascii="Times New Roman" w:hAnsi="Times New Roman" w:cs="Times New Roman"/>
          <w:color w:val="000000" w:themeColor="text1"/>
          <w:sz w:val="24"/>
          <w14:textFill>
            <w14:solidFill>
              <w14:schemeClr w14:val="tx1"/>
            </w14:solidFill>
          </w14:textFill>
        </w:rPr>
        <w:t>不涉及</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建设项目环境影响评价分类管理名录</w:t>
      </w:r>
      <w:r>
        <w:rPr>
          <w:rFonts w:hint="eastAsia" w:ascii="Times New Roman" w:hAnsi="Times New Roman" w:cs="Times New Roman"/>
          <w:color w:val="000000" w:themeColor="text1"/>
          <w:sz w:val="24"/>
          <w14:textFill>
            <w14:solidFill>
              <w14:schemeClr w14:val="tx1"/>
            </w14:solidFill>
          </w14:textFill>
        </w:rPr>
        <w:t>》（2021年版）中第三条中的（一）国家公园、自然保护区、风景名胜区、世界文化和自然遗产地、海洋特别保护区、饮用水水源保护区；不涉及（三）中的以居住、医疗卫生、文化教育、科研、行政办公为主要功能的区域，以及文物保护单位，但属于（二）中的水土流失重点治理区。</w:t>
      </w:r>
      <w:r>
        <w:rPr>
          <w:rFonts w:ascii="Times New Roman" w:hAnsi="Times New Roman" w:eastAsia="宋体" w:cs="Times New Roman"/>
          <w:color w:val="000000" w:themeColor="text1"/>
          <w:sz w:val="24"/>
          <w14:textFill>
            <w14:solidFill>
              <w14:schemeClr w14:val="tx1"/>
            </w14:solidFill>
          </w14:textFill>
        </w:rPr>
        <w:t>符合区域经济发展规划、环保规划，无重大环境制约因素。</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⑦</w:t>
      </w:r>
      <w:r>
        <w:rPr>
          <w:rFonts w:ascii="Times New Roman" w:hAnsi="Times New Roman" w:cs="Times New Roman"/>
          <w:color w:val="000000" w:themeColor="text1"/>
          <w:sz w:val="24"/>
          <w14:textFill>
            <w14:solidFill>
              <w14:schemeClr w14:val="tx1"/>
            </w14:solidFill>
          </w14:textFill>
        </w:rPr>
        <w:t>项目所在区域属于天山北坡诸小河流域重点治理区。本工程无法避让天山北坡诸小河流域重点治理区，</w:t>
      </w:r>
      <w:r>
        <w:rPr>
          <w:rFonts w:ascii="Times New Roman" w:hAnsi="Times New Roman" w:eastAsia="宋体" w:cs="Times New Roman"/>
          <w:color w:val="000000" w:themeColor="text1"/>
          <w:sz w:val="24"/>
          <w:lang w:val="zh-CN"/>
          <w14:textFill>
            <w14:solidFill>
              <w14:schemeClr w14:val="tx1"/>
            </w14:solidFill>
          </w14:textFill>
        </w:rPr>
        <w:t>建设单位必须在项目前期</w:t>
      </w:r>
      <w:r>
        <w:rPr>
          <w:rFonts w:hint="eastAsia" w:ascii="Times New Roman" w:hAnsi="Times New Roman" w:eastAsia="宋体" w:cs="Times New Roman"/>
          <w:color w:val="000000" w:themeColor="text1"/>
          <w:sz w:val="24"/>
          <w:lang w:val="zh-CN"/>
          <w14:textFill>
            <w14:solidFill>
              <w14:schemeClr w14:val="tx1"/>
            </w14:solidFill>
          </w14:textFill>
        </w:rPr>
        <w:t>按照</w:t>
      </w:r>
      <w:r>
        <w:rPr>
          <w:rFonts w:ascii="Times New Roman" w:hAnsi="Times New Roman" w:eastAsia="宋体" w:cs="Times New Roman"/>
          <w:color w:val="000000" w:themeColor="text1"/>
          <w:sz w:val="24"/>
          <w:lang w:val="zh-CN"/>
          <w14:textFill>
            <w14:solidFill>
              <w14:schemeClr w14:val="tx1"/>
            </w14:solidFill>
          </w14:textFill>
        </w:rPr>
        <w:t>《生产建设项目水土保持技术标准》（GB50433-2018）的要求，编制符合要求的水土保持方案，</w:t>
      </w:r>
      <w:r>
        <w:rPr>
          <w:rFonts w:ascii="Times New Roman" w:hAnsi="Times New Roman" w:cs="Times New Roman"/>
          <w:color w:val="000000" w:themeColor="text1"/>
          <w:sz w:val="24"/>
          <w14:textFill>
            <w14:solidFill>
              <w14:schemeClr w14:val="tx1"/>
            </w14:solidFill>
          </w14:textFill>
        </w:rPr>
        <w:t>建设过程中将严格执行各项水土保持措施，以减小因工程建设带来的不利影响，从而减少水土流失。</w:t>
      </w:r>
    </w:p>
    <w:p>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本项目在井位的选址和布局上根据</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地下决定地上，地下顾及地上</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的原则，采用占地面积最小、环境影响最小的布局方案，尽量避绕周围环境敏感点。工程建设对周围的环境影响主要为生态环境影响、大气环境影响、地下水环境影响、地表水影响、土壤影响、声环境影响和固废对周围的环境影响。通过环境影响预测与环境影响分析，本项目建设实施后，通过采取相应的污染控制措施，周围的环境质量均满足相关标准要求，工程建设对周围的环境影响均在可接受的范围，工程选址在环境保护方面较合理。</w:t>
      </w:r>
    </w:p>
    <w:p>
      <w:pPr>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keepLines w:val="0"/>
        <w:pageBreakBefore/>
        <w:tabs>
          <w:tab w:val="center" w:pos="4252"/>
          <w:tab w:val="left" w:pos="6855"/>
        </w:tabs>
        <w:spacing w:before="312" w:beforeLines="100" w:after="312" w:afterLines="100"/>
        <w:ind w:left="431" w:hanging="431"/>
        <w:rPr>
          <w:rFonts w:ascii="Times New Roman" w:hAnsi="Times New Roman" w:cs="Times New Roman"/>
          <w:bCs w:val="0"/>
          <w:snapToGrid w:val="0"/>
          <w:color w:val="000000" w:themeColor="text1"/>
          <w:kern w:val="0"/>
          <w:sz w:val="44"/>
          <w14:textFill>
            <w14:solidFill>
              <w14:schemeClr w14:val="tx1"/>
            </w14:solidFill>
          </w14:textFill>
        </w:rPr>
      </w:pPr>
      <w:bookmarkStart w:id="185" w:name="_Toc5570"/>
      <w:bookmarkStart w:id="186" w:name="_Toc28929"/>
      <w:bookmarkStart w:id="187" w:name="_Toc9573"/>
      <w:bookmarkStart w:id="188" w:name="_Toc31128"/>
      <w:r>
        <w:rPr>
          <w:rFonts w:ascii="Times New Roman" w:hAnsi="Times New Roman" w:cs="Times New Roman"/>
          <w:bCs w:val="0"/>
          <w:snapToGrid w:val="0"/>
          <w:color w:val="000000" w:themeColor="text1"/>
          <w:kern w:val="0"/>
          <w:sz w:val="44"/>
          <w14:textFill>
            <w14:solidFill>
              <w14:schemeClr w14:val="tx1"/>
            </w14:solidFill>
          </w14:textFill>
        </w:rPr>
        <w:t>3</w:t>
      </w:r>
      <w:bookmarkEnd w:id="185"/>
      <w:bookmarkEnd w:id="186"/>
      <w:bookmarkEnd w:id="187"/>
      <w:r>
        <w:rPr>
          <w:rFonts w:ascii="Times New Roman" w:hAnsi="Times New Roman" w:cs="Times New Roman"/>
          <w:bCs w:val="0"/>
          <w:snapToGrid w:val="0"/>
          <w:color w:val="000000" w:themeColor="text1"/>
          <w:kern w:val="0"/>
          <w:sz w:val="44"/>
          <w14:textFill>
            <w14:solidFill>
              <w14:schemeClr w14:val="tx1"/>
            </w14:solidFill>
          </w14:textFill>
        </w:rPr>
        <w:t>建设项目概况与工程分析</w:t>
      </w:r>
      <w:bookmarkEnd w:id="188"/>
    </w:p>
    <w:p>
      <w:pPr>
        <w:pStyle w:val="3"/>
        <w:spacing w:before="10" w:after="10"/>
        <w:rPr>
          <w:rFonts w:ascii="Times New Roman" w:hAnsi="Times New Roman" w:cs="Times New Roman"/>
          <w:color w:val="000000" w:themeColor="text1"/>
          <w14:textFill>
            <w14:solidFill>
              <w14:schemeClr w14:val="tx1"/>
            </w14:solidFill>
          </w14:textFill>
        </w:rPr>
      </w:pPr>
      <w:bookmarkStart w:id="189" w:name="_Toc27466"/>
      <w:bookmarkStart w:id="190" w:name="_Toc19405"/>
      <w:r>
        <w:rPr>
          <w:rFonts w:ascii="Times New Roman" w:hAnsi="Times New Roman" w:cs="Times New Roman"/>
          <w:color w:val="000000" w:themeColor="text1"/>
          <w14:textFill>
            <w14:solidFill>
              <w14:schemeClr w14:val="tx1"/>
            </w14:solidFill>
          </w14:textFill>
        </w:rPr>
        <w:t>3.1工程基本情况</w:t>
      </w:r>
      <w:bookmarkEnd w:id="189"/>
      <w:bookmarkEnd w:id="190"/>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项目名称：</w:t>
      </w:r>
      <w:r>
        <w:rPr>
          <w:rFonts w:ascii="Times New Roman" w:hAnsi="Times New Roman" w:cs="Times New Roman"/>
          <w:color w:val="000000" w:themeColor="text1"/>
          <w:sz w:val="24"/>
          <w14:textFill>
            <w14:solidFill>
              <w14:schemeClr w14:val="tx1"/>
            </w14:solidFill>
          </w14:textFill>
        </w:rPr>
        <w:t>陆9井区白垩系呼图壁河组油藏加密调整工程</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建设单位：中国石油新疆油田分公司开发公司</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项目性质：</w:t>
      </w:r>
      <w:r>
        <w:rPr>
          <w:rFonts w:ascii="Times New Roman" w:hAnsi="Times New Roman" w:cs="Times New Roman"/>
          <w:color w:val="000000" w:themeColor="text1"/>
          <w:sz w:val="24"/>
          <w14:textFill>
            <w14:solidFill>
              <w14:schemeClr w14:val="tx1"/>
            </w14:solidFill>
          </w14:textFill>
        </w:rPr>
        <w:t>改</w:t>
      </w:r>
      <w:r>
        <w:rPr>
          <w:rFonts w:ascii="Times New Roman" w:hAnsi="Times New Roman" w:eastAsia="宋体" w:cs="Times New Roman"/>
          <w:color w:val="000000" w:themeColor="text1"/>
          <w:sz w:val="24"/>
          <w14:textFill>
            <w14:solidFill>
              <w14:schemeClr w14:val="tx1"/>
            </w14:solidFill>
          </w14:textFill>
        </w:rPr>
        <w:t>扩建</w:t>
      </w:r>
    </w:p>
    <w:p>
      <w:pPr>
        <w:pStyle w:val="31"/>
        <w:ind w:firstLine="480" w:firstLineChars="200"/>
        <w:rPr>
          <w:rFonts w:hint="default" w:ascii="Times New Roman" w:hAnsi="Times New Roman" w:eastAsia="宋体"/>
          <w:color w:val="000000" w:themeColor="text1"/>
          <w:highlight w:val="yellow"/>
          <w:lang w:val="en-US" w:eastAsia="zh-CN"/>
          <w14:textFill>
            <w14:solidFill>
              <w14:schemeClr w14:val="tx1"/>
            </w14:solidFill>
          </w14:textFill>
        </w:rPr>
      </w:pPr>
      <w:r>
        <w:rPr>
          <w:rFonts w:ascii="Times New Roman" w:hAnsi="Times New Roman"/>
          <w:color w:val="000000" w:themeColor="text1"/>
          <w14:textFill>
            <w14:solidFill>
              <w14:schemeClr w14:val="tx1"/>
            </w14:solidFill>
          </w14:textFill>
        </w:rPr>
        <w:t>建设地点：</w:t>
      </w:r>
      <w:r>
        <w:rPr>
          <w:rFonts w:hint="eastAsia" w:ascii="Times New Roman" w:hAnsi="Times New Roman"/>
          <w:color w:val="000000" w:themeColor="text1"/>
          <w14:textFill>
            <w14:solidFill>
              <w14:schemeClr w14:val="tx1"/>
            </w14:solidFill>
          </w14:textFill>
        </w:rPr>
        <w:t>陆</w:t>
      </w:r>
      <w:r>
        <w:rPr>
          <w:rFonts w:ascii="Times New Roman" w:hAnsi="Times New Roman"/>
          <w:color w:val="000000" w:themeColor="text1"/>
          <w14:textFill>
            <w14:solidFill>
              <w14:schemeClr w14:val="tx1"/>
            </w14:solidFill>
          </w14:textFill>
        </w:rPr>
        <w:t>梁油田陆9井区位于准噶尔盆地陆梁隆起三个泉凸起1号背斜东高点，行政隶属新疆维吾尔自治区塔城地区和布克赛尔蒙古自治县，位于已开发的石南油田北约20km处。中心点经纬度坐标：E86°56′42.874″，N45°52′15.195″</w:t>
      </w:r>
      <w:r>
        <w:rPr>
          <w:rFonts w:ascii="Times New Roman" w:hAnsi="Times New Roman"/>
          <w:color w:val="000000" w:themeColor="text1"/>
          <w:lang w:bidi="ar"/>
          <w14:textFill>
            <w14:solidFill>
              <w14:schemeClr w14:val="tx1"/>
            </w14:solidFill>
          </w14:textFill>
        </w:rPr>
        <w:t>。</w:t>
      </w:r>
      <w:r>
        <w:rPr>
          <w:rFonts w:ascii="Times New Roman" w:hAnsi="Times New Roman"/>
          <w:color w:val="000000" w:themeColor="text1"/>
          <w14:textFill>
            <w14:solidFill>
              <w14:schemeClr w14:val="tx1"/>
            </w14:solidFill>
          </w14:textFill>
        </w:rPr>
        <w:t>地理位置见图3.1-1</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现场踏勘图见图3.1-2。</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产能规模：新建产能</w:t>
      </w:r>
      <w:r>
        <w:rPr>
          <w:rFonts w:hint="eastAsia" w:ascii="Times New Roman" w:hAnsi="Times New Roman"/>
          <w:color w:val="000000" w:themeColor="text1"/>
          <w14:textFill>
            <w14:solidFill>
              <w14:schemeClr w14:val="tx1"/>
            </w14:solidFill>
          </w14:textFill>
        </w:rPr>
        <w:t>2.52</w:t>
      </w:r>
      <w:r>
        <w:rPr>
          <w:rFonts w:ascii="Times New Roman" w:hAnsi="Times New Roman"/>
          <w:color w:val="000000" w:themeColor="text1"/>
          <w14:textFill>
            <w14:solidFill>
              <w14:schemeClr w14:val="tx1"/>
            </w14:solidFill>
          </w14:textFill>
        </w:rPr>
        <w:t>×10</w:t>
      </w:r>
      <w:r>
        <w:rPr>
          <w:rFonts w:ascii="Times New Roman" w:hAnsi="Times New Roman"/>
          <w:color w:val="000000" w:themeColor="text1"/>
          <w:vertAlign w:val="superscript"/>
          <w14:textFill>
            <w14:solidFill>
              <w14:schemeClr w14:val="tx1"/>
            </w14:solidFill>
          </w14:textFill>
        </w:rPr>
        <w:t>4</w:t>
      </w:r>
      <w:r>
        <w:rPr>
          <w:rFonts w:ascii="Times New Roman" w:hAnsi="Times New Roman"/>
          <w:color w:val="000000" w:themeColor="text1"/>
          <w14:textFill>
            <w14:solidFill>
              <w14:schemeClr w14:val="tx1"/>
            </w14:solidFill>
          </w14:textFill>
        </w:rPr>
        <w:t>t/a</w:t>
      </w:r>
      <w:r>
        <w:rPr>
          <w:rFonts w:hint="eastAsia"/>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产气</w:t>
      </w:r>
      <w:r>
        <w:rPr>
          <w:rFonts w:hint="eastAsia" w:ascii="Times New Roman" w:hAnsi="Times New Roman"/>
          <w:color w:val="000000" w:themeColor="text1"/>
          <w14:textFill>
            <w14:solidFill>
              <w14:schemeClr w14:val="tx1"/>
            </w14:solidFill>
          </w14:textFill>
        </w:rPr>
        <w:t>80.11</w:t>
      </w:r>
      <w:r>
        <w:rPr>
          <w:rFonts w:ascii="Times New Roman" w:hAnsi="Times New Roman"/>
          <w:color w:val="000000" w:themeColor="text1"/>
          <w14:textFill>
            <w14:solidFill>
              <w14:schemeClr w14:val="tx1"/>
            </w14:solidFill>
          </w14:textFill>
        </w:rPr>
        <w:t>×10</w:t>
      </w:r>
      <w:r>
        <w:rPr>
          <w:rFonts w:ascii="Times New Roman" w:hAnsi="Times New Roman"/>
          <w:color w:val="000000" w:themeColor="text1"/>
          <w:vertAlign w:val="superscript"/>
          <w14:textFill>
            <w14:solidFill>
              <w14:schemeClr w14:val="tx1"/>
            </w14:solidFill>
          </w14:textFill>
        </w:rPr>
        <w:t>4</w:t>
      </w:r>
      <w:r>
        <w:rPr>
          <w:rFonts w:ascii="Times New Roman" w:hAnsi="Times New Roman"/>
          <w:color w:val="000000" w:themeColor="text1"/>
          <w14:textFill>
            <w14:solidFill>
              <w14:schemeClr w14:val="tx1"/>
            </w14:solidFill>
          </w14:textFill>
        </w:rPr>
        <w:t>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/a，单井最大注水量为150m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/d。</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产品：石油</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建设周期：项目计划施工期为202</w:t>
      </w:r>
      <w:r>
        <w:rPr>
          <w:rFonts w:hint="eastAsia" w:ascii="Times New Roman" w:hAnsi="Times New Roman"/>
          <w:color w:val="000000" w:themeColor="text1"/>
          <w14:textFill>
            <w14:solidFill>
              <w14:schemeClr w14:val="tx1"/>
            </w14:solidFill>
          </w14:textFill>
        </w:rPr>
        <w:t>5</w:t>
      </w:r>
      <w:r>
        <w:rPr>
          <w:rFonts w:ascii="Times New Roman" w:hAnsi="Times New Roman"/>
          <w:color w:val="000000" w:themeColor="text1"/>
          <w14:textFill>
            <w14:solidFill>
              <w14:schemeClr w14:val="tx1"/>
            </w14:solidFill>
          </w14:textFill>
        </w:rPr>
        <w:t>年</w:t>
      </w:r>
      <w:r>
        <w:rPr>
          <w:rFonts w:hint="eastAsia" w:ascii="Times New Roman" w:hAnsi="Times New Roman"/>
          <w:color w:val="000000" w:themeColor="text1"/>
          <w14:textFill>
            <w14:solidFill>
              <w14:schemeClr w14:val="tx1"/>
            </w14:solidFill>
          </w14:textFill>
        </w:rPr>
        <w:t>4</w:t>
      </w:r>
      <w:r>
        <w:rPr>
          <w:rFonts w:ascii="Times New Roman" w:hAnsi="Times New Roman"/>
          <w:color w:val="000000" w:themeColor="text1"/>
          <w14:textFill>
            <w14:solidFill>
              <w14:schemeClr w14:val="tx1"/>
            </w14:solidFill>
          </w14:textFill>
        </w:rPr>
        <w:t>月至202</w:t>
      </w:r>
      <w:r>
        <w:rPr>
          <w:rFonts w:hint="eastAsia" w:ascii="Times New Roman" w:hAnsi="Times New Roman"/>
          <w:color w:val="000000" w:themeColor="text1"/>
          <w14:textFill>
            <w14:solidFill>
              <w14:schemeClr w14:val="tx1"/>
            </w14:solidFill>
          </w14:textFill>
        </w:rPr>
        <w:t>8</w:t>
      </w:r>
      <w:r>
        <w:rPr>
          <w:rFonts w:ascii="Times New Roman" w:hAnsi="Times New Roman"/>
          <w:color w:val="000000" w:themeColor="text1"/>
          <w14:textFill>
            <w14:solidFill>
              <w14:schemeClr w14:val="tx1"/>
            </w14:solidFill>
          </w14:textFill>
        </w:rPr>
        <w:t>年</w:t>
      </w:r>
      <w:r>
        <w:rPr>
          <w:rFonts w:hint="eastAsia" w:ascii="Times New Roman" w:hAnsi="Times New Roman"/>
          <w:color w:val="000000" w:themeColor="text1"/>
          <w14:textFill>
            <w14:solidFill>
              <w14:schemeClr w14:val="tx1"/>
            </w14:solidFill>
          </w14:textFill>
        </w:rPr>
        <w:t>4</w:t>
      </w:r>
      <w:r>
        <w:rPr>
          <w:rFonts w:ascii="Times New Roman" w:hAnsi="Times New Roman"/>
          <w:color w:val="000000" w:themeColor="text1"/>
          <w14:textFill>
            <w14:solidFill>
              <w14:schemeClr w14:val="tx1"/>
            </w14:solidFill>
          </w14:textFill>
        </w:rPr>
        <w:t>月。</w:t>
      </w:r>
    </w:p>
    <w:p>
      <w:pPr>
        <w:pStyle w:val="3"/>
        <w:spacing w:before="10" w:after="10"/>
        <w:rPr>
          <w:rFonts w:ascii="Times New Roman" w:hAnsi="Times New Roman" w:cs="Times New Roman"/>
          <w:color w:val="000000" w:themeColor="text1"/>
          <w14:textFill>
            <w14:solidFill>
              <w14:schemeClr w14:val="tx1"/>
            </w14:solidFill>
          </w14:textFill>
        </w:rPr>
      </w:pPr>
      <w:bookmarkStart w:id="191" w:name="_Toc6821"/>
      <w:bookmarkStart w:id="192" w:name="_Toc31680"/>
      <w:bookmarkStart w:id="193" w:name="_Toc503964918"/>
      <w:bookmarkStart w:id="194" w:name="_Toc277506932"/>
      <w:bookmarkStart w:id="195" w:name="_Toc117844402"/>
      <w:r>
        <w:rPr>
          <w:rFonts w:ascii="Times New Roman" w:hAnsi="Times New Roman" w:cs="Times New Roman"/>
          <w:color w:val="000000" w:themeColor="text1"/>
          <w14:textFill>
            <w14:solidFill>
              <w14:schemeClr w14:val="tx1"/>
            </w14:solidFill>
          </w14:textFill>
        </w:rPr>
        <w:t>3.2油田概况</w:t>
      </w:r>
      <w:bookmarkEnd w:id="191"/>
      <w:bookmarkEnd w:id="192"/>
    </w:p>
    <w:bookmarkEnd w:id="193"/>
    <w:bookmarkEnd w:id="194"/>
    <w:bookmarkEnd w:id="195"/>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3.2.1油气田范围</w:t>
      </w:r>
    </w:p>
    <w:p>
      <w:pPr>
        <w:adjustRightInd w:val="0"/>
        <w:snapToGrid w:val="0"/>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sectPr>
          <w:pgSz w:w="11906" w:h="16838"/>
          <w:pgMar w:top="1440" w:right="1800" w:bottom="1440" w:left="1800" w:header="851" w:footer="992" w:gutter="0"/>
          <w:cols w:space="720" w:num="1"/>
          <w:docGrid w:type="lines" w:linePitch="312" w:charSpace="0"/>
        </w:sectPr>
      </w:pPr>
      <w:r>
        <w:rPr>
          <w:rFonts w:ascii="Times New Roman" w:hAnsi="Times New Roman" w:cs="Times New Roman"/>
          <w:color w:val="000000" w:themeColor="text1"/>
          <w:sz w:val="24"/>
          <w14:textFill>
            <w14:solidFill>
              <w14:schemeClr w14:val="tx1"/>
            </w14:solidFill>
          </w14:textFill>
        </w:rPr>
        <w:t>陆梁油田陆9井区位于准噶尔盆地陆梁隆起三个泉凸起，行政隶属</w:t>
      </w:r>
      <w:r>
        <w:rPr>
          <w:rFonts w:hint="eastAsia" w:ascii="Times New Roman" w:hAnsi="Times New Roman" w:cs="Times New Roman"/>
          <w:color w:val="000000" w:themeColor="text1"/>
          <w:sz w:val="24"/>
          <w14:textFill>
            <w14:solidFill>
              <w14:schemeClr w14:val="tx1"/>
            </w14:solidFill>
          </w14:textFill>
        </w:rPr>
        <w:t>和布克赛尔蒙古自治县</w:t>
      </w:r>
      <w:r>
        <w:rPr>
          <w:rFonts w:ascii="Times New Roman" w:hAnsi="Times New Roman" w:cs="Times New Roman"/>
          <w:color w:val="000000" w:themeColor="text1"/>
          <w:sz w:val="24"/>
          <w14:textFill>
            <w14:solidFill>
              <w14:schemeClr w14:val="tx1"/>
            </w14:solidFill>
          </w14:textFill>
        </w:rPr>
        <w:t>管辖，距克拉玛依市以东约120km，位于已开发的石南油气田北约20km处</w:t>
      </w:r>
      <w:r>
        <w:rPr>
          <w:rFonts w:hint="eastAsia" w:ascii="Times New Roman" w:hAnsi="Times New Roman" w:cs="Times New Roman"/>
          <w:color w:val="000000" w:themeColor="text1"/>
          <w:sz w:val="24"/>
          <w14:textFill>
            <w14:solidFill>
              <w14:schemeClr w14:val="tx1"/>
            </w14:solidFill>
          </w14:textFill>
        </w:rPr>
        <w:t>。陆9井区已开发范围见图3.2-1</w:t>
      </w:r>
      <w:r>
        <w:rPr>
          <w:rFonts w:ascii="Times New Roman" w:hAnsi="Times New Roman" w:cs="Times New Roman"/>
          <w:color w:val="000000" w:themeColor="text1"/>
          <w:sz w:val="24"/>
          <w14:textFill>
            <w14:solidFill>
              <w14:schemeClr w14:val="tx1"/>
            </w14:solidFill>
          </w14:textFill>
        </w:rPr>
        <w:t>。</w:t>
      </w:r>
    </w:p>
    <w:p>
      <w:pPr>
        <w:adjustRightInd w:val="0"/>
        <w:snapToGrid w:val="0"/>
        <w:spacing w:line="360" w:lineRule="auto"/>
        <w:jc w:val="left"/>
        <w:rPr>
          <w:rFonts w:ascii="Times New Roman" w:hAnsi="Times New Roman" w:cs="Times New Roman"/>
          <w:color w:val="000000" w:themeColor="text1"/>
          <w14:textFill>
            <w14:solidFill>
              <w14:schemeClr w14:val="tx1"/>
            </w14:solidFill>
          </w14:textFill>
        </w:rPr>
      </w:pPr>
    </w:p>
    <w:p>
      <w:pPr>
        <w:adjustRightInd w:val="0"/>
        <w:snapToGrid w:val="0"/>
        <w:spacing w:line="360"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图3.2-1  陆9井区地理位置及范围图</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3.2.2勘探开发概况</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陆梁油田陆9井区位于准噶尔盆地腹部，行政隶属和布克赛尔蒙古自治县管辖，区域构造属准噶尔盆地陆梁隆起三个泉凸起。</w:t>
      </w:r>
    </w:p>
    <w:p>
      <w:pPr>
        <w:pStyle w:val="45"/>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2000年6月10日陆9井区首先发现了侏罗系西山窑组（J</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i/>
          <w:iCs/>
          <w:color w:val="000000" w:themeColor="text1"/>
          <w14:textFill>
            <w14:solidFill>
              <w14:schemeClr w14:val="tx1"/>
            </w14:solidFill>
          </w14:textFill>
        </w:rPr>
        <w:t>x</w:t>
      </w:r>
      <w:r>
        <w:rPr>
          <w:rFonts w:ascii="Times New Roman" w:hAnsi="Times New Roman" w:eastAsia="宋体" w:cs="Times New Roman"/>
          <w:color w:val="000000" w:themeColor="text1"/>
          <w:vertAlign w:val="subscript"/>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）油藏，后又相继发现西山窑组（J</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i/>
          <w:iCs/>
          <w:color w:val="000000" w:themeColor="text1"/>
          <w14:textFill>
            <w14:solidFill>
              <w14:schemeClr w14:val="tx1"/>
            </w14:solidFill>
          </w14:textFill>
        </w:rPr>
        <w:t>x</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）、头屯河组（J</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i/>
          <w:iCs/>
          <w:color w:val="000000" w:themeColor="text1"/>
          <w14:textFill>
            <w14:solidFill>
              <w14:schemeClr w14:val="tx1"/>
            </w14:solidFill>
          </w14:textFill>
        </w:rPr>
        <w:t>t</w:t>
      </w:r>
      <w:r>
        <w:rPr>
          <w:rFonts w:ascii="Times New Roman" w:hAnsi="Times New Roman" w:eastAsia="宋体" w:cs="Times New Roman"/>
          <w:color w:val="000000" w:themeColor="text1"/>
          <w14:textFill>
            <w14:solidFill>
              <w14:schemeClr w14:val="tx1"/>
            </w14:solidFill>
          </w14:textFill>
        </w:rPr>
        <w:t>）和白垩系呼图壁河组（K</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i/>
          <w:iCs/>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、K</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i/>
          <w:iCs/>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）油藏，2000年~2008年合计探明石油地质储量1.05×10</w:t>
      </w:r>
      <w:r>
        <w:rPr>
          <w:rFonts w:ascii="Times New Roman" w:hAnsi="Times New Roman" w:eastAsia="宋体" w:cs="Times New Roman"/>
          <w:color w:val="000000" w:themeColor="text1"/>
          <w:vertAlign w:val="superscript"/>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t，2012年10月复算探明石油地质储量</w:t>
      </w:r>
      <w:r>
        <w:rPr>
          <w:rFonts w:hint="eastAsia" w:ascii="Times New Roman" w:hAnsi="Times New Roman" w:eastAsia="宋体" w:cs="Times New Roman"/>
          <w:color w:val="000000" w:themeColor="text1"/>
          <w14:textFill>
            <w14:solidFill>
              <w14:schemeClr w14:val="tx1"/>
            </w14:solidFill>
          </w14:textFill>
        </w:rPr>
        <w:t>合</w:t>
      </w:r>
      <w:r>
        <w:rPr>
          <w:rFonts w:ascii="Times New Roman" w:hAnsi="Times New Roman" w:eastAsia="宋体" w:cs="Times New Roman"/>
          <w:color w:val="000000" w:themeColor="text1"/>
          <w14:textFill>
            <w14:solidFill>
              <w14:schemeClr w14:val="tx1"/>
            </w14:solidFill>
          </w14:textFill>
        </w:rPr>
        <w:t>计6158.49×10</w:t>
      </w:r>
      <w:r>
        <w:rPr>
          <w:rFonts w:ascii="Times New Roman" w:hAnsi="Times New Roman" w:eastAsia="宋体" w:cs="Times New Roman"/>
          <w:color w:val="000000" w:themeColor="text1"/>
          <w:vertAlign w:val="superscript"/>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t，其中白垩系呼图壁河组K</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i/>
          <w:iCs/>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vertAlign w:val="superscript"/>
          <w14:textFill>
            <w14:solidFill>
              <w14:schemeClr w14:val="tx1"/>
            </w14:solidFill>
          </w14:textFill>
        </w:rPr>
        <w:t>3-4</w:t>
      </w:r>
      <w:r>
        <w:rPr>
          <w:rFonts w:ascii="Times New Roman" w:hAnsi="Times New Roman" w:eastAsia="宋体" w:cs="Times New Roman"/>
          <w:color w:val="000000" w:themeColor="text1"/>
          <w14:textFill>
            <w14:solidFill>
              <w14:schemeClr w14:val="tx1"/>
            </w14:solidFill>
          </w14:textFill>
        </w:rPr>
        <w:t>油藏探明石油地质储量523.75×10</w:t>
      </w:r>
      <w:r>
        <w:rPr>
          <w:rFonts w:ascii="Times New Roman" w:hAnsi="Times New Roman" w:eastAsia="宋体" w:cs="Times New Roman"/>
          <w:color w:val="000000" w:themeColor="text1"/>
          <w:vertAlign w:val="superscript"/>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t，含油面积7.82km</w:t>
      </w:r>
      <w:r>
        <w:rPr>
          <w:rFonts w:ascii="Times New Roman" w:hAnsi="Times New Roman" w:eastAsia="宋体" w:cs="Times New Roman"/>
          <w:color w:val="000000" w:themeColor="text1"/>
          <w:vertAlign w:val="super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p>
    <w:p>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陆9井区呼图壁河组</w:t>
      </w:r>
      <w:r>
        <w:rPr>
          <w:rFonts w:ascii="Times New Roman" w:hAnsi="Times New Roman" w:eastAsia="宋体" w:cs="Times New Roman"/>
          <w:color w:val="000000" w:themeColor="text1"/>
          <w:kern w:val="0"/>
          <w:sz w:val="24"/>
          <w14:textFill>
            <w14:solidFill>
              <w14:schemeClr w14:val="tx1"/>
            </w14:solidFill>
          </w14:textFill>
        </w:rPr>
        <w:t>K</w:t>
      </w:r>
      <w:r>
        <w:rPr>
          <w:rFonts w:ascii="Times New Roman" w:hAnsi="Times New Roman" w:eastAsia="宋体" w:cs="Times New Roman"/>
          <w:color w:val="000000" w:themeColor="text1"/>
          <w:kern w:val="0"/>
          <w:sz w:val="24"/>
          <w:vertAlign w:val="subscript"/>
          <w14:textFill>
            <w14:solidFill>
              <w14:schemeClr w14:val="tx1"/>
            </w14:solidFill>
          </w14:textFill>
        </w:rPr>
        <w:t>1</w:t>
      </w:r>
      <w:r>
        <w:rPr>
          <w:rFonts w:ascii="Times New Roman" w:hAnsi="Times New Roman" w:eastAsia="宋体" w:cs="Times New Roman"/>
          <w:i/>
          <w:iCs/>
          <w:color w:val="000000" w:themeColor="text1"/>
          <w:kern w:val="0"/>
          <w:sz w:val="24"/>
          <w14:textFill>
            <w14:solidFill>
              <w14:schemeClr w14:val="tx1"/>
            </w14:solidFill>
          </w14:textFill>
        </w:rPr>
        <w:t>h</w:t>
      </w:r>
      <w:r>
        <w:rPr>
          <w:rFonts w:ascii="Times New Roman" w:hAnsi="Times New Roman" w:eastAsia="宋体" w:cs="Times New Roman"/>
          <w:color w:val="000000" w:themeColor="text1"/>
          <w:kern w:val="0"/>
          <w:sz w:val="24"/>
          <w:vertAlign w:val="subscript"/>
          <w14:textFill>
            <w14:solidFill>
              <w14:schemeClr w14:val="tx1"/>
            </w14:solidFill>
          </w14:textFill>
        </w:rPr>
        <w:t>2</w:t>
      </w:r>
      <w:r>
        <w:rPr>
          <w:rFonts w:ascii="Times New Roman" w:hAnsi="Times New Roman" w:eastAsia="宋体" w:cs="Times New Roman"/>
          <w:color w:val="000000" w:themeColor="text1"/>
          <w:kern w:val="0"/>
          <w:sz w:val="24"/>
          <w:vertAlign w:val="superscript"/>
          <w14:textFill>
            <w14:solidFill>
              <w14:schemeClr w14:val="tx1"/>
            </w14:solidFill>
          </w14:textFill>
        </w:rPr>
        <w:t>3-4</w:t>
      </w:r>
      <w:r>
        <w:rPr>
          <w:rFonts w:ascii="Times New Roman" w:hAnsi="Times New Roman" w:eastAsia="宋体" w:cs="Times New Roman"/>
          <w:color w:val="000000" w:themeColor="text1"/>
          <w:sz w:val="24"/>
          <w14:textFill>
            <w14:solidFill>
              <w14:schemeClr w14:val="tx1"/>
            </w14:solidFill>
          </w14:textFill>
        </w:rPr>
        <w:t>油藏2001年4月采用300m×425m井距反九点面积注水井网投入开发，2010年</w:t>
      </w:r>
      <w:r>
        <w:rPr>
          <w:rFonts w:hint="eastAsia" w:cs="Times New Roman"/>
          <w:color w:val="000000" w:themeColor="text1"/>
          <w:sz w:val="24"/>
          <w14:textFill>
            <w14:solidFill>
              <w14:schemeClr w14:val="tx1"/>
            </w14:solidFill>
          </w14:textFill>
        </w:rPr>
        <w:t>用</w:t>
      </w:r>
      <w:r>
        <w:rPr>
          <w:rFonts w:ascii="Times New Roman" w:hAnsi="Times New Roman" w:eastAsia="宋体" w:cs="Times New Roman"/>
          <w:color w:val="000000" w:themeColor="text1"/>
          <w:sz w:val="24"/>
          <w14:textFill>
            <w14:solidFill>
              <w14:schemeClr w14:val="tx1"/>
            </w14:solidFill>
          </w14:textFill>
        </w:rPr>
        <w:t>水平井扩边调整</w:t>
      </w:r>
      <w:r>
        <w:rPr>
          <w:rFonts w:hint="eastAsia" w:ascii="Times New Roman" w:hAnsi="Times New Roman" w:eastAsia="宋体" w:cs="Times New Roman"/>
          <w:color w:val="000000" w:themeColor="text1"/>
          <w:sz w:val="24"/>
          <w14:textFill>
            <w14:solidFill>
              <w14:schemeClr w14:val="tx1"/>
            </w14:solidFill>
          </w14:textFill>
        </w:rPr>
        <w:t>。2023年采用212m×300m反九点面积注水井网部署加密井56口，其中新钻采油井43口，老井利用（采转注）13口，产能3.87</w:t>
      </w:r>
      <w:r>
        <w:rPr>
          <w:rFonts w:ascii="Times New Roman" w:hAnsi="Times New Roman" w:eastAsia="宋体" w:cs="Times New Roman"/>
          <w:color w:val="000000" w:themeColor="text1"/>
          <w:sz w:val="24"/>
          <w:lang w:val="zh-CN"/>
          <w14:textFill>
            <w14:solidFill>
              <w14:schemeClr w14:val="tx1"/>
            </w14:solidFill>
          </w14:textFill>
        </w:rPr>
        <w:t>×10</w:t>
      </w:r>
      <w:r>
        <w:rPr>
          <w:rFonts w:ascii="Times New Roman" w:hAnsi="Times New Roman" w:eastAsia="宋体" w:cs="Times New Roman"/>
          <w:color w:val="000000" w:themeColor="text1"/>
          <w:sz w:val="24"/>
          <w:vertAlign w:val="superscript"/>
          <w:lang w:val="zh-CN"/>
          <w14:textFill>
            <w14:solidFill>
              <w14:schemeClr w14:val="tx1"/>
            </w14:solidFill>
          </w14:textFill>
        </w:rPr>
        <w:t>4</w:t>
      </w:r>
      <w:r>
        <w:rPr>
          <w:rFonts w:ascii="Times New Roman" w:hAnsi="Times New Roman" w:eastAsia="宋体" w:cs="Times New Roman"/>
          <w:color w:val="000000" w:themeColor="text1"/>
          <w:sz w:val="24"/>
          <w:lang w:val="zh-CN"/>
          <w14:textFill>
            <w14:solidFill>
              <w14:schemeClr w14:val="tx1"/>
            </w14:solidFill>
          </w14:textFill>
        </w:rPr>
        <w:t>t</w:t>
      </w:r>
      <w:r>
        <w:rPr>
          <w:rFonts w:hint="eastAsia" w:ascii="Times New Roman" w:hAnsi="Times New Roman" w:eastAsia="宋体" w:cs="Times New Roman"/>
          <w:color w:val="000000" w:themeColor="text1"/>
          <w:sz w:val="24"/>
          <w14:textFill>
            <w14:solidFill>
              <w14:schemeClr w14:val="tx1"/>
            </w14:solidFill>
          </w14:textFill>
        </w:rPr>
        <w:t>。2024年</w:t>
      </w:r>
      <w:r>
        <w:rPr>
          <w:rFonts w:hint="eastAsia" w:cs="Times New Roman"/>
          <w:color w:val="000000" w:themeColor="text1"/>
          <w:sz w:val="24"/>
          <w14:textFill>
            <w14:solidFill>
              <w14:schemeClr w14:val="tx1"/>
            </w14:solidFill>
          </w14:textFill>
        </w:rPr>
        <w:t>在</w:t>
      </w:r>
      <w:r>
        <w:rPr>
          <w:rFonts w:hint="eastAsia" w:ascii="Times New Roman" w:hAnsi="Times New Roman" w:eastAsia="宋体" w:cs="Times New Roman"/>
          <w:color w:val="000000" w:themeColor="text1"/>
          <w:sz w:val="24"/>
          <w14:textFill>
            <w14:solidFill>
              <w14:schemeClr w14:val="tx1"/>
            </w14:solidFill>
          </w14:textFill>
        </w:rPr>
        <w:t>剩余油饱和度相对低的</w:t>
      </w:r>
      <w:r>
        <w:rPr>
          <w:rFonts w:hint="eastAsia" w:cs="Times New Roman"/>
          <w:color w:val="000000" w:themeColor="text1"/>
          <w:sz w:val="24"/>
          <w14:textFill>
            <w14:solidFill>
              <w14:schemeClr w14:val="tx1"/>
            </w14:solidFill>
          </w14:textFill>
        </w:rPr>
        <w:t>油藏</w:t>
      </w:r>
      <w:r>
        <w:rPr>
          <w:rFonts w:hint="eastAsia" w:ascii="Times New Roman" w:hAnsi="Times New Roman" w:eastAsia="宋体" w:cs="Times New Roman"/>
          <w:color w:val="000000" w:themeColor="text1"/>
          <w:sz w:val="24"/>
          <w14:textFill>
            <w14:solidFill>
              <w14:schemeClr w14:val="tx1"/>
            </w14:solidFill>
          </w14:textFill>
        </w:rPr>
        <w:t>西部，实施加密井组4个，新钻采油井11口、老井转注2口。目前11口井已全部完钻，投产10口，老井转注1口，1口（LUD3253）完钻待投，投产井整体设计产能30t/d，目前日产油35.2t/d，达到设计产能。</w:t>
      </w:r>
    </w:p>
    <w:p>
      <w:pPr>
        <w:pStyle w:val="45"/>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w:t>
      </w:r>
      <w:r>
        <w:rPr>
          <w:rFonts w:hint="eastAsia" w:ascii="Times New Roman" w:hAnsi="Times New Roman" w:eastAsia="宋体" w:cs="Times New Roman"/>
          <w:color w:val="000000" w:themeColor="text1"/>
          <w14:textFill>
            <w14:solidFill>
              <w14:schemeClr w14:val="tx1"/>
            </w14:solidFill>
          </w14:textFill>
        </w:rPr>
        <w:t>至</w:t>
      </w:r>
      <w:r>
        <w:rPr>
          <w:rFonts w:ascii="Times New Roman" w:hAnsi="Times New Roman" w:eastAsia="宋体" w:cs="Times New Roman"/>
          <w:color w:val="000000" w:themeColor="text1"/>
          <w14:textFill>
            <w14:solidFill>
              <w14:schemeClr w14:val="tx1"/>
            </w14:solidFill>
          </w14:textFill>
        </w:rPr>
        <w:t>20</w:t>
      </w:r>
      <w:r>
        <w:rPr>
          <w:rFonts w:hint="eastAsia" w:ascii="Times New Roman" w:hAnsi="Times New Roman" w:eastAsia="宋体" w:cs="Times New Roman"/>
          <w:color w:val="000000" w:themeColor="text1"/>
          <w14:textFill>
            <w14:solidFill>
              <w14:schemeClr w14:val="tx1"/>
            </w14:solidFill>
          </w14:textFill>
        </w:rPr>
        <w:t>24</w:t>
      </w:r>
      <w:r>
        <w:rPr>
          <w:rFonts w:ascii="Times New Roman" w:hAnsi="Times New Roman" w:eastAsia="宋体" w:cs="Times New Roman"/>
          <w:color w:val="000000" w:themeColor="text1"/>
          <w14:textFill>
            <w14:solidFill>
              <w14:schemeClr w14:val="tx1"/>
            </w14:solidFill>
          </w14:textFill>
        </w:rPr>
        <w:t>年</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月，</w:t>
      </w:r>
      <w:r>
        <w:rPr>
          <w:rFonts w:ascii="Times New Roman" w:hAnsi="Times New Roman" w:eastAsia="宋体" w:cs="Times New Roman"/>
          <w:color w:val="000000" w:themeColor="text1"/>
          <w:lang w:val="zh-CN"/>
          <w14:textFill>
            <w14:solidFill>
              <w14:schemeClr w14:val="tx1"/>
            </w14:solidFill>
          </w14:textFill>
        </w:rPr>
        <w:t>该油藏共有采油井</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lang w:val="zh-CN"/>
          <w14:textFill>
            <w14:solidFill>
              <w14:schemeClr w14:val="tx1"/>
            </w14:solidFill>
          </w14:textFill>
        </w:rPr>
        <w:t>口，注水井</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lang w:val="zh-CN"/>
          <w14:textFill>
            <w14:solidFill>
              <w14:schemeClr w14:val="tx1"/>
            </w14:solidFill>
          </w14:textFill>
        </w:rPr>
        <w:t>口，累积产油</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76.94</w:t>
      </w:r>
      <w:r>
        <w:rPr>
          <w:rFonts w:ascii="Times New Roman" w:hAnsi="Times New Roman" w:eastAsia="宋体" w:cs="Times New Roman"/>
          <w:color w:val="000000" w:themeColor="text1"/>
          <w:lang w:val="zh-CN"/>
          <w14:textFill>
            <w14:solidFill>
              <w14:schemeClr w14:val="tx1"/>
            </w14:solidFill>
          </w14:textFill>
        </w:rPr>
        <w:t>×10</w:t>
      </w:r>
      <w:r>
        <w:rPr>
          <w:rFonts w:ascii="Times New Roman" w:hAnsi="Times New Roman" w:eastAsia="宋体" w:cs="Times New Roman"/>
          <w:color w:val="000000" w:themeColor="text1"/>
          <w:vertAlign w:val="superscript"/>
          <w:lang w:val="zh-CN"/>
          <w14:textFill>
            <w14:solidFill>
              <w14:schemeClr w14:val="tx1"/>
            </w14:solidFill>
          </w14:textFill>
        </w:rPr>
        <w:t>4</w:t>
      </w:r>
      <w:r>
        <w:rPr>
          <w:rFonts w:ascii="Times New Roman" w:hAnsi="Times New Roman" w:eastAsia="宋体" w:cs="Times New Roman"/>
          <w:color w:val="000000" w:themeColor="text1"/>
          <w:lang w:val="zh-CN"/>
          <w14:textFill>
            <w14:solidFill>
              <w14:schemeClr w14:val="tx1"/>
            </w14:solidFill>
          </w14:textFill>
        </w:rPr>
        <w:t>t，采出程度</w:t>
      </w:r>
      <w:r>
        <w:rPr>
          <w:rFonts w:hint="eastAsia" w:ascii="Times New Roman" w:hAnsi="Times New Roman" w:eastAsia="宋体" w:cs="Times New Roman"/>
          <w:color w:val="000000" w:themeColor="text1"/>
          <w14:textFill>
            <w14:solidFill>
              <w14:schemeClr w14:val="tx1"/>
            </w14:solidFill>
          </w14:textFill>
        </w:rPr>
        <w:t>33.8</w:t>
      </w:r>
      <w:r>
        <w:rPr>
          <w:rFonts w:ascii="Times New Roman" w:hAnsi="Times New Roman" w:eastAsia="宋体" w:cs="Times New Roman"/>
          <w:color w:val="000000" w:themeColor="text1"/>
          <w:lang w:val="zh-CN"/>
          <w14:textFill>
            <w14:solidFill>
              <w14:schemeClr w14:val="tx1"/>
            </w14:solidFill>
          </w14:textFill>
        </w:rPr>
        <w:t>%，累积注水</w:t>
      </w:r>
      <w:r>
        <w:rPr>
          <w:rFonts w:hint="eastAsia" w:ascii="Times New Roman" w:hAnsi="Times New Roman" w:eastAsia="宋体" w:cs="Times New Roman"/>
          <w:color w:val="000000" w:themeColor="text1"/>
          <w14:textFill>
            <w14:solidFill>
              <w14:schemeClr w14:val="tx1"/>
            </w14:solidFill>
          </w14:textFill>
        </w:rPr>
        <w:t>1074.30</w:t>
      </w:r>
      <w:r>
        <w:rPr>
          <w:rFonts w:ascii="Times New Roman" w:hAnsi="Times New Roman" w:eastAsia="宋体" w:cs="Times New Roman"/>
          <w:color w:val="000000" w:themeColor="text1"/>
          <w:lang w:val="zh-CN"/>
          <w14:textFill>
            <w14:solidFill>
              <w14:schemeClr w14:val="tx1"/>
            </w14:solidFill>
          </w14:textFill>
        </w:rPr>
        <w:t>×10</w:t>
      </w:r>
      <w:r>
        <w:rPr>
          <w:rFonts w:ascii="Times New Roman" w:hAnsi="Times New Roman" w:eastAsia="宋体" w:cs="Times New Roman"/>
          <w:color w:val="000000" w:themeColor="text1"/>
          <w:vertAlign w:val="superscript"/>
          <w:lang w:val="zh-CN"/>
          <w14:textFill>
            <w14:solidFill>
              <w14:schemeClr w14:val="tx1"/>
            </w14:solidFill>
          </w14:textFill>
        </w:rPr>
        <w:t>4</w:t>
      </w:r>
      <w:r>
        <w:rPr>
          <w:rFonts w:ascii="Times New Roman" w:hAnsi="Times New Roman" w:eastAsia="宋体" w:cs="Times New Roman"/>
          <w:color w:val="000000" w:themeColor="text1"/>
          <w:lang w:val="zh-CN"/>
          <w14:textFill>
            <w14:solidFill>
              <w14:schemeClr w14:val="tx1"/>
            </w14:solidFill>
          </w14:textFill>
        </w:rPr>
        <w:t>m</w:t>
      </w:r>
      <w:r>
        <w:rPr>
          <w:rFonts w:ascii="Times New Roman" w:hAnsi="Times New Roman" w:eastAsia="宋体" w:cs="Times New Roman"/>
          <w:color w:val="000000" w:themeColor="text1"/>
          <w:vertAlign w:val="superscript"/>
          <w:lang w:val="zh-CN"/>
          <w14:textFill>
            <w14:solidFill>
              <w14:schemeClr w14:val="tx1"/>
            </w14:solidFill>
          </w14:textFill>
        </w:rPr>
        <w:t>3</w:t>
      </w:r>
      <w:r>
        <w:rPr>
          <w:rFonts w:ascii="Times New Roman" w:hAnsi="Times New Roman" w:eastAsia="宋体" w:cs="Times New Roman"/>
          <w:color w:val="000000" w:themeColor="text1"/>
          <w:lang w:val="zh-CN"/>
          <w14:textFill>
            <w14:solidFill>
              <w14:schemeClr w14:val="tx1"/>
            </w14:solidFill>
          </w14:textFill>
        </w:rPr>
        <w:t>，累积注采比0.</w:t>
      </w:r>
      <w:r>
        <w:rPr>
          <w:rFonts w:hint="eastAsia" w:ascii="Times New Roman" w:hAnsi="Times New Roman" w:eastAsia="宋体" w:cs="Times New Roman"/>
          <w:color w:val="000000" w:themeColor="text1"/>
          <w14:textFill>
            <w14:solidFill>
              <w14:schemeClr w14:val="tx1"/>
            </w14:solidFill>
          </w14:textFill>
        </w:rPr>
        <w:t>86</w:t>
      </w:r>
      <w:r>
        <w:rPr>
          <w:rFonts w:ascii="Times New Roman" w:hAnsi="Times New Roman" w:eastAsia="宋体" w:cs="Times New Roman"/>
          <w:color w:val="000000" w:themeColor="text1"/>
          <w:lang w:val="zh-CN"/>
          <w14:textFill>
            <w14:solidFill>
              <w14:schemeClr w14:val="tx1"/>
            </w14:solidFill>
          </w14:textFill>
        </w:rPr>
        <w:t>。采油井开井数</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lang w:val="zh-CN"/>
          <w14:textFill>
            <w14:solidFill>
              <w14:schemeClr w14:val="tx1"/>
            </w14:solidFill>
          </w14:textFill>
        </w:rPr>
        <w:t>口，日产液</w:t>
      </w:r>
      <w:r>
        <w:rPr>
          <w:rFonts w:hint="eastAsia" w:ascii="Times New Roman" w:hAnsi="Times New Roman" w:eastAsia="宋体" w:cs="Times New Roman"/>
          <w:color w:val="000000" w:themeColor="text1"/>
          <w14:textFill>
            <w14:solidFill>
              <w14:schemeClr w14:val="tx1"/>
            </w14:solidFill>
          </w14:textFill>
        </w:rPr>
        <w:t>3183</w:t>
      </w:r>
      <w:r>
        <w:rPr>
          <w:rFonts w:ascii="Times New Roman" w:hAnsi="Times New Roman" w:eastAsia="宋体" w:cs="Times New Roman"/>
          <w:color w:val="000000" w:themeColor="text1"/>
          <w:lang w:val="zh-CN"/>
          <w14:textFill>
            <w14:solidFill>
              <w14:schemeClr w14:val="tx1"/>
            </w14:solidFill>
          </w14:textFill>
        </w:rPr>
        <w:t>t，日产油</w:t>
      </w:r>
      <w:r>
        <w:rPr>
          <w:rFonts w:hint="eastAsia" w:ascii="Times New Roman" w:hAnsi="Times New Roman" w:eastAsia="宋体" w:cs="Times New Roman"/>
          <w:color w:val="000000" w:themeColor="text1"/>
          <w14:textFill>
            <w14:solidFill>
              <w14:schemeClr w14:val="tx1"/>
            </w14:solidFill>
          </w14:textFill>
        </w:rPr>
        <w:t>198</w:t>
      </w:r>
      <w:r>
        <w:rPr>
          <w:rFonts w:ascii="Times New Roman" w:hAnsi="Times New Roman" w:eastAsia="宋体" w:cs="Times New Roman"/>
          <w:color w:val="000000" w:themeColor="text1"/>
          <w:lang w:val="zh-CN"/>
          <w14:textFill>
            <w14:solidFill>
              <w14:schemeClr w14:val="tx1"/>
            </w14:solidFill>
          </w14:textFill>
        </w:rPr>
        <w:t>t，综合含水率</w:t>
      </w:r>
      <w:r>
        <w:rPr>
          <w:rFonts w:hint="eastAsia" w:ascii="Times New Roman" w:hAnsi="Times New Roman" w:eastAsia="宋体" w:cs="Times New Roman"/>
          <w:color w:val="000000" w:themeColor="text1"/>
          <w14:textFill>
            <w14:solidFill>
              <w14:schemeClr w14:val="tx1"/>
            </w14:solidFill>
          </w14:textFill>
        </w:rPr>
        <w:t>93.8</w:t>
      </w:r>
      <w:r>
        <w:rPr>
          <w:rFonts w:ascii="Times New Roman" w:hAnsi="Times New Roman" w:eastAsia="宋体" w:cs="Times New Roman"/>
          <w:color w:val="000000" w:themeColor="text1"/>
          <w:lang w:val="zh-CN"/>
          <w14:textFill>
            <w14:solidFill>
              <w14:schemeClr w14:val="tx1"/>
            </w14:solidFill>
          </w14:textFill>
        </w:rPr>
        <w:t>%，采油速度</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lang w:val="zh-CN"/>
          <w14:textFill>
            <w14:solidFill>
              <w14:schemeClr w14:val="tx1"/>
            </w14:solidFill>
          </w14:textFill>
        </w:rPr>
        <w:t>%；注水井开井数</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lang w:val="zh-CN"/>
          <w14:textFill>
            <w14:solidFill>
              <w14:schemeClr w14:val="tx1"/>
            </w14:solidFill>
          </w14:textFill>
        </w:rPr>
        <w:t>口，日注水平</w:t>
      </w:r>
      <w:r>
        <w:rPr>
          <w:rFonts w:hint="eastAsia" w:ascii="Times New Roman" w:hAnsi="Times New Roman" w:eastAsia="宋体" w:cs="Times New Roman"/>
          <w:color w:val="000000" w:themeColor="text1"/>
          <w14:textFill>
            <w14:solidFill>
              <w14:schemeClr w14:val="tx1"/>
            </w14:solidFill>
          </w14:textFill>
        </w:rPr>
        <w:t>1934</w:t>
      </w:r>
      <w:r>
        <w:rPr>
          <w:rFonts w:ascii="Times New Roman" w:hAnsi="Times New Roman" w:eastAsia="宋体" w:cs="Times New Roman"/>
          <w:color w:val="000000" w:themeColor="text1"/>
          <w:lang w:val="zh-CN"/>
          <w14:textFill>
            <w14:solidFill>
              <w14:schemeClr w14:val="tx1"/>
            </w14:solidFill>
          </w14:textFill>
        </w:rPr>
        <w:t>m</w:t>
      </w:r>
      <w:r>
        <w:rPr>
          <w:rFonts w:ascii="Times New Roman" w:hAnsi="Times New Roman" w:eastAsia="宋体" w:cs="Times New Roman"/>
          <w:color w:val="000000" w:themeColor="text1"/>
          <w:vertAlign w:val="superscript"/>
          <w:lang w:val="zh-CN"/>
          <w14:textFill>
            <w14:solidFill>
              <w14:schemeClr w14:val="tx1"/>
            </w14:solidFill>
          </w14:textFill>
        </w:rPr>
        <w:t>3</w:t>
      </w:r>
      <w:r>
        <w:rPr>
          <w:rFonts w:ascii="Times New Roman" w:hAnsi="Times New Roman" w:eastAsia="宋体" w:cs="Times New Roman"/>
          <w:color w:val="000000" w:themeColor="text1"/>
          <w:lang w:val="zh-CN"/>
          <w14:textFill>
            <w14:solidFill>
              <w14:schemeClr w14:val="tx1"/>
            </w14:solidFill>
          </w14:textFill>
        </w:rPr>
        <w:t>，月注采比0.</w:t>
      </w:r>
      <w:r>
        <w:rPr>
          <w:rFonts w:hint="eastAsia" w:ascii="Times New Roman" w:hAnsi="Times New Roman" w:eastAsia="宋体" w:cs="Times New Roman"/>
          <w:color w:val="000000" w:themeColor="text1"/>
          <w14:textFill>
            <w14:solidFill>
              <w14:schemeClr w14:val="tx1"/>
            </w14:solidFill>
          </w14:textFill>
        </w:rPr>
        <w:t>60</w:t>
      </w:r>
      <w:r>
        <w:rPr>
          <w:rFonts w:ascii="Times New Roman" w:hAnsi="Times New Roman" w:eastAsia="宋体" w:cs="Times New Roman"/>
          <w:color w:val="000000" w:themeColor="text1"/>
          <w:lang w:val="zh-CN"/>
          <w14:textFill>
            <w14:solidFill>
              <w14:schemeClr w14:val="tx1"/>
            </w14:solidFill>
          </w14:textFill>
        </w:rPr>
        <w:t>。</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3.2.3地质层系</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根据钻井钻揭的地层剖面及地震层位标定追踪对比解释结果，陆9井区自下而上发育的地层为：石炭系（C）；三叠系克拉玛依组</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T</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i/>
          <w:iCs/>
          <w:color w:val="000000" w:themeColor="text1"/>
          <w:sz w:val="24"/>
          <w14:textFill>
            <w14:solidFill>
              <w14:schemeClr w14:val="tx1"/>
            </w14:solidFill>
          </w14:textFill>
        </w:rPr>
        <w:t>k</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、白碱滩组</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T</w:t>
      </w:r>
      <w:r>
        <w:rPr>
          <w:rFonts w:ascii="Times New Roman" w:hAnsi="Times New Roman" w:cs="Times New Roman"/>
          <w:color w:val="000000" w:themeColor="text1"/>
          <w:sz w:val="24"/>
          <w:vertAlign w:val="subscript"/>
          <w14:textFill>
            <w14:solidFill>
              <w14:schemeClr w14:val="tx1"/>
            </w14:solidFill>
          </w14:textFill>
        </w:rPr>
        <w:t>3</w:t>
      </w:r>
      <w:r>
        <w:rPr>
          <w:rFonts w:ascii="Times New Roman" w:hAnsi="Times New Roman" w:cs="Times New Roman"/>
          <w:i/>
          <w:iCs/>
          <w:color w:val="000000" w:themeColor="text1"/>
          <w:sz w:val="24"/>
          <w14:textFill>
            <w14:solidFill>
              <w14:schemeClr w14:val="tx1"/>
            </w14:solidFill>
          </w14:textFill>
        </w:rPr>
        <w:t>b</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；侏罗系八道湾组</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J</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b</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、三工河组</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J</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s</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、西山窑组</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J</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i/>
          <w:iCs/>
          <w:color w:val="000000" w:themeColor="text1"/>
          <w:sz w:val="24"/>
          <w14:textFill>
            <w14:solidFill>
              <w14:schemeClr w14:val="tx1"/>
            </w14:solidFill>
          </w14:textFill>
        </w:rPr>
        <w:t>x</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、头屯河组</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J</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i/>
          <w:iCs/>
          <w:color w:val="000000" w:themeColor="text1"/>
          <w:sz w:val="24"/>
          <w14:textFill>
            <w14:solidFill>
              <w14:schemeClr w14:val="tx1"/>
            </w14:solidFill>
          </w14:textFill>
        </w:rPr>
        <w:t>t</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；白垩系清水河组（K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q</w:t>
      </w:r>
      <w:r>
        <w:rPr>
          <w:rFonts w:ascii="Times New Roman" w:hAnsi="Times New Roman" w:cs="Times New Roman"/>
          <w:color w:val="000000" w:themeColor="text1"/>
          <w:sz w:val="24"/>
          <w14:textFill>
            <w14:solidFill>
              <w14:schemeClr w14:val="tx1"/>
            </w14:solidFill>
          </w14:textFill>
        </w:rPr>
        <w:t>）、呼图壁河组（K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14:textFill>
            <w14:solidFill>
              <w14:schemeClr w14:val="tx1"/>
            </w14:solidFill>
          </w14:textFill>
        </w:rPr>
        <w:t>）、胜金口组（K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s</w:t>
      </w:r>
      <w:r>
        <w:rPr>
          <w:rFonts w:ascii="Times New Roman" w:hAnsi="Times New Roman" w:cs="Times New Roman"/>
          <w:color w:val="000000" w:themeColor="text1"/>
          <w:sz w:val="24"/>
          <w14:textFill>
            <w14:solidFill>
              <w14:schemeClr w14:val="tx1"/>
            </w14:solidFill>
          </w14:textFill>
        </w:rPr>
        <w:t>）、连木沁组（K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l</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、艾里克湖组（K</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i/>
          <w:iCs/>
          <w:color w:val="000000" w:themeColor="text1"/>
          <w:sz w:val="24"/>
          <w14:textFill>
            <w14:solidFill>
              <w14:schemeClr w14:val="tx1"/>
            </w14:solidFill>
          </w14:textFill>
        </w:rPr>
        <w:t>a</w:t>
      </w:r>
      <w:r>
        <w:rPr>
          <w:rFonts w:ascii="Times New Roman" w:hAnsi="Times New Roman" w:cs="Times New Roman"/>
          <w:color w:val="000000" w:themeColor="text1"/>
          <w:sz w:val="24"/>
          <w14:textFill>
            <w14:solidFill>
              <w14:schemeClr w14:val="tx1"/>
            </w14:solidFill>
          </w14:textFill>
        </w:rPr>
        <w:t>）。缺失二叠系、三叠系下统及侏罗系上统、部分中统，其中石炭系与三叠系、侏罗系与白垩系为区域性不整合接触。</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呼图壁河组K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14:textFill>
            <w14:solidFill>
              <w14:schemeClr w14:val="tx1"/>
            </w14:solidFill>
          </w14:textFill>
        </w:rPr>
        <w:t>自下而上可以分为K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两段，K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自上而下可进一步划分为K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6</w:t>
      </w:r>
      <w:r>
        <w:rPr>
          <w:rFonts w:ascii="Times New Roman" w:hAnsi="Times New Roman" w:cs="Times New Roman"/>
          <w:color w:val="000000" w:themeColor="text1"/>
          <w:sz w:val="24"/>
          <w14:textFill>
            <w14:solidFill>
              <w14:schemeClr w14:val="tx1"/>
            </w14:solidFill>
          </w14:textFill>
        </w:rPr>
        <w:t>和K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7</w:t>
      </w:r>
      <w:r>
        <w:rPr>
          <w:rFonts w:ascii="Times New Roman" w:hAnsi="Times New Roman" w:cs="Times New Roman"/>
          <w:color w:val="000000" w:themeColor="text1"/>
          <w:sz w:val="24"/>
          <w14:textFill>
            <w14:solidFill>
              <w14:schemeClr w14:val="tx1"/>
            </w14:solidFill>
          </w14:textFill>
        </w:rPr>
        <w:t>七个砂层组。其中K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砂层组自上而下可进一步细分为K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3-1</w:t>
      </w:r>
      <w:r>
        <w:rPr>
          <w:rFonts w:ascii="Times New Roman" w:hAnsi="Times New Roman" w:cs="Times New Roman"/>
          <w:color w:val="000000" w:themeColor="text1"/>
          <w:sz w:val="24"/>
          <w14:textFill>
            <w14:solidFill>
              <w14:schemeClr w14:val="tx1"/>
            </w14:solidFill>
          </w14:textFill>
        </w:rPr>
        <w:t>、K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3-2</w:t>
      </w:r>
      <w:r>
        <w:rPr>
          <w:rFonts w:ascii="Times New Roman" w:hAnsi="Times New Roman" w:cs="Times New Roman"/>
          <w:color w:val="000000" w:themeColor="text1"/>
          <w:sz w:val="24"/>
          <w14:textFill>
            <w14:solidFill>
              <w14:schemeClr w14:val="tx1"/>
            </w14:solidFill>
          </w14:textFill>
        </w:rPr>
        <w:t>、K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3-3</w:t>
      </w:r>
      <w:r>
        <w:rPr>
          <w:rFonts w:ascii="Times New Roman" w:hAnsi="Times New Roman" w:cs="Times New Roman"/>
          <w:color w:val="000000" w:themeColor="text1"/>
          <w:sz w:val="24"/>
          <w14:textFill>
            <w14:solidFill>
              <w14:schemeClr w14:val="tx1"/>
            </w14:solidFill>
          </w14:textFill>
        </w:rPr>
        <w:t>和K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3-4</w:t>
      </w:r>
      <w:r>
        <w:rPr>
          <w:rFonts w:ascii="Times New Roman" w:hAnsi="Times New Roman" w:cs="Times New Roman"/>
          <w:color w:val="000000" w:themeColor="text1"/>
          <w:sz w:val="24"/>
          <w14:textFill>
            <w14:solidFill>
              <w14:schemeClr w14:val="tx1"/>
            </w14:solidFill>
          </w14:textFill>
        </w:rPr>
        <w:t>四个砂层（见表3.2-1）。</w:t>
      </w:r>
    </w:p>
    <w:p>
      <w:pPr>
        <w:adjustRightInd w:val="0"/>
        <w:snapToGrid w:val="0"/>
        <w:spacing w:line="360" w:lineRule="auto"/>
        <w:jc w:val="center"/>
        <w:rPr>
          <w:rFonts w:ascii="Times New Roman" w:hAnsi="Times New Roman" w:cs="Times New Roman"/>
          <w:b/>
          <w:color w:val="000000" w:themeColor="text1"/>
          <w:spacing w:val="6"/>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 xml:space="preserve">表3.2-1  </w:t>
      </w:r>
      <w:r>
        <w:rPr>
          <w:rFonts w:ascii="Times New Roman" w:hAnsi="Times New Roman" w:cs="Times New Roman"/>
          <w:b/>
          <w:color w:val="000000" w:themeColor="text1"/>
          <w:spacing w:val="6"/>
          <w:szCs w:val="21"/>
          <w14:textFill>
            <w14:solidFill>
              <w14:schemeClr w14:val="tx1"/>
            </w14:solidFill>
          </w14:textFill>
        </w:rPr>
        <w:t>陆9井区分层数据表</w:t>
      </w:r>
    </w:p>
    <w:tbl>
      <w:tblPr>
        <w:tblStyle w:val="23"/>
        <w:tblW w:w="83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3"/>
        <w:gridCol w:w="1434"/>
        <w:gridCol w:w="511"/>
        <w:gridCol w:w="513"/>
        <w:gridCol w:w="513"/>
        <w:gridCol w:w="516"/>
        <w:gridCol w:w="517"/>
        <w:gridCol w:w="648"/>
        <w:gridCol w:w="648"/>
        <w:gridCol w:w="649"/>
        <w:gridCol w:w="1271"/>
        <w:gridCol w:w="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513" w:type="dxa"/>
            <w:tcBorders>
              <w:tl2br w:val="nil"/>
              <w:tr2bl w:val="nil"/>
            </w:tcBorders>
            <w:noWrap/>
            <w:tcMar>
              <w:left w:w="28" w:type="dxa"/>
              <w:right w:w="28" w:type="dxa"/>
            </w:tcMar>
            <w:vAlign w:val="center"/>
          </w:tcPr>
          <w:p>
            <w:pPr>
              <w:autoSpaceDE w:val="0"/>
              <w:autoSpaceDN w:val="0"/>
              <w:adjustRightInd w:val="0"/>
              <w:snapToGrid w:val="0"/>
              <w:jc w:val="center"/>
              <w:textAlignment w:val="bottom"/>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井号</w:t>
            </w:r>
          </w:p>
        </w:tc>
        <w:tc>
          <w:tcPr>
            <w:tcW w:w="1434"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地层</w:t>
            </w:r>
          </w:p>
        </w:tc>
        <w:tc>
          <w:tcPr>
            <w:tcW w:w="511"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w:t>
            </w:r>
            <w:r>
              <w:rPr>
                <w:rFonts w:ascii="Times New Roman" w:hAnsi="Times New Roman" w:cs="Times New Roman"/>
                <w:b/>
                <w:bCs/>
                <w:color w:val="000000" w:themeColor="text1"/>
                <w:szCs w:val="21"/>
                <w:vertAlign w:val="subscript"/>
                <w14:textFill>
                  <w14:solidFill>
                    <w14:schemeClr w14:val="tx1"/>
                  </w14:solidFill>
                </w14:textFill>
              </w:rPr>
              <w:t>2</w:t>
            </w:r>
            <w:r>
              <w:rPr>
                <w:rFonts w:ascii="Times New Roman" w:hAnsi="Times New Roman" w:cs="Times New Roman"/>
                <w:b/>
                <w:bCs/>
                <w:i/>
                <w:color w:val="000000" w:themeColor="text1"/>
                <w:szCs w:val="21"/>
                <w14:textFill>
                  <w14:solidFill>
                    <w14:schemeClr w14:val="tx1"/>
                  </w14:solidFill>
                </w14:textFill>
              </w:rPr>
              <w:t>a</w:t>
            </w:r>
          </w:p>
        </w:tc>
        <w:tc>
          <w:tcPr>
            <w:tcW w:w="513"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w:t>
            </w:r>
            <w:r>
              <w:rPr>
                <w:rFonts w:ascii="Times New Roman" w:hAnsi="Times New Roman" w:cs="Times New Roman"/>
                <w:b/>
                <w:bCs/>
                <w:color w:val="000000" w:themeColor="text1"/>
                <w:szCs w:val="21"/>
                <w:vertAlign w:val="subscript"/>
                <w14:textFill>
                  <w14:solidFill>
                    <w14:schemeClr w14:val="tx1"/>
                  </w14:solidFill>
                </w14:textFill>
              </w:rPr>
              <w:t>1</w:t>
            </w:r>
            <w:r>
              <w:rPr>
                <w:rFonts w:ascii="Times New Roman" w:hAnsi="Times New Roman" w:cs="Times New Roman"/>
                <w:b/>
                <w:bCs/>
                <w:i/>
                <w:color w:val="000000" w:themeColor="text1"/>
                <w:szCs w:val="21"/>
                <w14:textFill>
                  <w14:solidFill>
                    <w14:schemeClr w14:val="tx1"/>
                  </w14:solidFill>
                </w14:textFill>
              </w:rPr>
              <w:t>l</w:t>
            </w:r>
          </w:p>
        </w:tc>
        <w:tc>
          <w:tcPr>
            <w:tcW w:w="513"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w:t>
            </w:r>
            <w:r>
              <w:rPr>
                <w:rFonts w:ascii="Times New Roman" w:hAnsi="Times New Roman" w:cs="Times New Roman"/>
                <w:b/>
                <w:bCs/>
                <w:color w:val="000000" w:themeColor="text1"/>
                <w:szCs w:val="21"/>
                <w:vertAlign w:val="subscript"/>
                <w14:textFill>
                  <w14:solidFill>
                    <w14:schemeClr w14:val="tx1"/>
                  </w14:solidFill>
                </w14:textFill>
              </w:rPr>
              <w:t>1</w:t>
            </w:r>
            <w:r>
              <w:rPr>
                <w:rFonts w:ascii="Times New Roman" w:hAnsi="Times New Roman" w:cs="Times New Roman"/>
                <w:b/>
                <w:bCs/>
                <w:i/>
                <w:color w:val="000000" w:themeColor="text1"/>
                <w:szCs w:val="21"/>
                <w14:textFill>
                  <w14:solidFill>
                    <w14:schemeClr w14:val="tx1"/>
                  </w14:solidFill>
                </w14:textFill>
              </w:rPr>
              <w:t>s</w:t>
            </w:r>
          </w:p>
        </w:tc>
        <w:tc>
          <w:tcPr>
            <w:tcW w:w="516"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w:t>
            </w:r>
            <w:r>
              <w:rPr>
                <w:rFonts w:ascii="Times New Roman" w:hAnsi="Times New Roman" w:cs="Times New Roman"/>
                <w:b/>
                <w:bCs/>
                <w:color w:val="000000" w:themeColor="text1"/>
                <w:szCs w:val="21"/>
                <w:vertAlign w:val="subscript"/>
                <w14:textFill>
                  <w14:solidFill>
                    <w14:schemeClr w14:val="tx1"/>
                  </w14:solidFill>
                </w14:textFill>
              </w:rPr>
              <w:t>1</w:t>
            </w:r>
            <w:r>
              <w:rPr>
                <w:rFonts w:ascii="Times New Roman" w:hAnsi="Times New Roman" w:cs="Times New Roman"/>
                <w:b/>
                <w:bCs/>
                <w:i/>
                <w:color w:val="000000" w:themeColor="text1"/>
                <w:szCs w:val="21"/>
                <w14:textFill>
                  <w14:solidFill>
                    <w14:schemeClr w14:val="tx1"/>
                  </w14:solidFill>
                </w14:textFill>
              </w:rPr>
              <w:t>h</w:t>
            </w:r>
            <w:r>
              <w:rPr>
                <w:rFonts w:ascii="Times New Roman" w:hAnsi="Times New Roman" w:cs="Times New Roman"/>
                <w:b/>
                <w:bCs/>
                <w:iCs/>
                <w:color w:val="000000" w:themeColor="text1"/>
                <w:szCs w:val="21"/>
                <w:vertAlign w:val="subscript"/>
                <w14:textFill>
                  <w14:solidFill>
                    <w14:schemeClr w14:val="tx1"/>
                  </w14:solidFill>
                </w14:textFill>
              </w:rPr>
              <w:t>2</w:t>
            </w:r>
            <w:r>
              <w:rPr>
                <w:rFonts w:ascii="Times New Roman" w:hAnsi="Times New Roman" w:cs="Times New Roman"/>
                <w:b/>
                <w:bCs/>
                <w:iCs/>
                <w:color w:val="000000" w:themeColor="text1"/>
                <w:szCs w:val="21"/>
                <w:vertAlign w:val="superscript"/>
                <w14:textFill>
                  <w14:solidFill>
                    <w14:schemeClr w14:val="tx1"/>
                  </w14:solidFill>
                </w14:textFill>
              </w:rPr>
              <w:t>1</w:t>
            </w:r>
          </w:p>
        </w:tc>
        <w:tc>
          <w:tcPr>
            <w:tcW w:w="517"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w:t>
            </w:r>
            <w:r>
              <w:rPr>
                <w:rFonts w:ascii="Times New Roman" w:hAnsi="Times New Roman" w:cs="Times New Roman"/>
                <w:b/>
                <w:bCs/>
                <w:color w:val="000000" w:themeColor="text1"/>
                <w:szCs w:val="21"/>
                <w:vertAlign w:val="subscript"/>
                <w14:textFill>
                  <w14:solidFill>
                    <w14:schemeClr w14:val="tx1"/>
                  </w14:solidFill>
                </w14:textFill>
              </w:rPr>
              <w:t>1</w:t>
            </w:r>
            <w:r>
              <w:rPr>
                <w:rFonts w:ascii="Times New Roman" w:hAnsi="Times New Roman" w:cs="Times New Roman"/>
                <w:b/>
                <w:bCs/>
                <w:i/>
                <w:color w:val="000000" w:themeColor="text1"/>
                <w:szCs w:val="21"/>
                <w14:textFill>
                  <w14:solidFill>
                    <w14:schemeClr w14:val="tx1"/>
                  </w14:solidFill>
                </w14:textFill>
              </w:rPr>
              <w:t>h</w:t>
            </w:r>
            <w:r>
              <w:rPr>
                <w:rFonts w:ascii="Times New Roman" w:hAnsi="Times New Roman" w:cs="Times New Roman"/>
                <w:b/>
                <w:bCs/>
                <w:iCs/>
                <w:color w:val="000000" w:themeColor="text1"/>
                <w:szCs w:val="21"/>
                <w:vertAlign w:val="subscript"/>
                <w14:textFill>
                  <w14:solidFill>
                    <w14:schemeClr w14:val="tx1"/>
                  </w14:solidFill>
                </w14:textFill>
              </w:rPr>
              <w:t>2</w:t>
            </w:r>
            <w:r>
              <w:rPr>
                <w:rFonts w:ascii="Times New Roman" w:hAnsi="Times New Roman" w:cs="Times New Roman"/>
                <w:b/>
                <w:bCs/>
                <w:iCs/>
                <w:color w:val="000000" w:themeColor="text1"/>
                <w:szCs w:val="21"/>
                <w:vertAlign w:val="superscript"/>
                <w14:textFill>
                  <w14:solidFill>
                    <w14:schemeClr w14:val="tx1"/>
                  </w14:solidFill>
                </w14:textFill>
              </w:rPr>
              <w:t>2</w:t>
            </w:r>
          </w:p>
        </w:tc>
        <w:tc>
          <w:tcPr>
            <w:tcW w:w="648"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w:t>
            </w:r>
            <w:r>
              <w:rPr>
                <w:rFonts w:ascii="Times New Roman" w:hAnsi="Times New Roman" w:cs="Times New Roman"/>
                <w:b/>
                <w:bCs/>
                <w:color w:val="000000" w:themeColor="text1"/>
                <w:szCs w:val="21"/>
                <w:vertAlign w:val="subscript"/>
                <w14:textFill>
                  <w14:solidFill>
                    <w14:schemeClr w14:val="tx1"/>
                  </w14:solidFill>
                </w14:textFill>
              </w:rPr>
              <w:t>1</w:t>
            </w:r>
            <w:r>
              <w:rPr>
                <w:rFonts w:ascii="Times New Roman" w:hAnsi="Times New Roman" w:cs="Times New Roman"/>
                <w:b/>
                <w:bCs/>
                <w:i/>
                <w:color w:val="000000" w:themeColor="text1"/>
                <w:szCs w:val="21"/>
                <w14:textFill>
                  <w14:solidFill>
                    <w14:schemeClr w14:val="tx1"/>
                  </w14:solidFill>
                </w14:textFill>
              </w:rPr>
              <w:t>h</w:t>
            </w:r>
            <w:r>
              <w:rPr>
                <w:rFonts w:ascii="Times New Roman" w:hAnsi="Times New Roman" w:cs="Times New Roman"/>
                <w:b/>
                <w:bCs/>
                <w:iCs/>
                <w:color w:val="000000" w:themeColor="text1"/>
                <w:szCs w:val="21"/>
                <w:vertAlign w:val="subscript"/>
                <w14:textFill>
                  <w14:solidFill>
                    <w14:schemeClr w14:val="tx1"/>
                  </w14:solidFill>
                </w14:textFill>
              </w:rPr>
              <w:t>2</w:t>
            </w:r>
            <w:r>
              <w:rPr>
                <w:rFonts w:ascii="Times New Roman" w:hAnsi="Times New Roman" w:cs="Times New Roman"/>
                <w:b/>
                <w:bCs/>
                <w:iCs/>
                <w:color w:val="000000" w:themeColor="text1"/>
                <w:szCs w:val="21"/>
                <w:vertAlign w:val="superscript"/>
                <w14:textFill>
                  <w14:solidFill>
                    <w14:schemeClr w14:val="tx1"/>
                  </w14:solidFill>
                </w14:textFill>
              </w:rPr>
              <w:t>3-1</w:t>
            </w:r>
          </w:p>
        </w:tc>
        <w:tc>
          <w:tcPr>
            <w:tcW w:w="648"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w:t>
            </w:r>
            <w:r>
              <w:rPr>
                <w:rFonts w:ascii="Times New Roman" w:hAnsi="Times New Roman" w:cs="Times New Roman"/>
                <w:b/>
                <w:bCs/>
                <w:color w:val="000000" w:themeColor="text1"/>
                <w:szCs w:val="21"/>
                <w:vertAlign w:val="subscript"/>
                <w14:textFill>
                  <w14:solidFill>
                    <w14:schemeClr w14:val="tx1"/>
                  </w14:solidFill>
                </w14:textFill>
              </w:rPr>
              <w:t>1</w:t>
            </w:r>
            <w:r>
              <w:rPr>
                <w:rFonts w:ascii="Times New Roman" w:hAnsi="Times New Roman" w:cs="Times New Roman"/>
                <w:b/>
                <w:bCs/>
                <w:i/>
                <w:color w:val="000000" w:themeColor="text1"/>
                <w:szCs w:val="21"/>
                <w14:textFill>
                  <w14:solidFill>
                    <w14:schemeClr w14:val="tx1"/>
                  </w14:solidFill>
                </w14:textFill>
              </w:rPr>
              <w:t>h</w:t>
            </w:r>
            <w:r>
              <w:rPr>
                <w:rFonts w:ascii="Times New Roman" w:hAnsi="Times New Roman" w:cs="Times New Roman"/>
                <w:b/>
                <w:bCs/>
                <w:iCs/>
                <w:color w:val="000000" w:themeColor="text1"/>
                <w:szCs w:val="21"/>
                <w:vertAlign w:val="subscript"/>
                <w14:textFill>
                  <w14:solidFill>
                    <w14:schemeClr w14:val="tx1"/>
                  </w14:solidFill>
                </w14:textFill>
              </w:rPr>
              <w:t>2</w:t>
            </w:r>
            <w:r>
              <w:rPr>
                <w:rFonts w:ascii="Times New Roman" w:hAnsi="Times New Roman" w:cs="Times New Roman"/>
                <w:b/>
                <w:bCs/>
                <w:iCs/>
                <w:color w:val="000000" w:themeColor="text1"/>
                <w:szCs w:val="21"/>
                <w:vertAlign w:val="superscript"/>
                <w14:textFill>
                  <w14:solidFill>
                    <w14:schemeClr w14:val="tx1"/>
                  </w14:solidFill>
                </w14:textFill>
              </w:rPr>
              <w:t>3-2</w:t>
            </w:r>
          </w:p>
        </w:tc>
        <w:tc>
          <w:tcPr>
            <w:tcW w:w="649"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w:t>
            </w:r>
            <w:r>
              <w:rPr>
                <w:rFonts w:ascii="Times New Roman" w:hAnsi="Times New Roman" w:cs="Times New Roman"/>
                <w:b/>
                <w:bCs/>
                <w:color w:val="000000" w:themeColor="text1"/>
                <w:szCs w:val="21"/>
                <w:vertAlign w:val="subscript"/>
                <w14:textFill>
                  <w14:solidFill>
                    <w14:schemeClr w14:val="tx1"/>
                  </w14:solidFill>
                </w14:textFill>
              </w:rPr>
              <w:t>1</w:t>
            </w:r>
            <w:r>
              <w:rPr>
                <w:rFonts w:ascii="Times New Roman" w:hAnsi="Times New Roman" w:cs="Times New Roman"/>
                <w:b/>
                <w:bCs/>
                <w:i/>
                <w:color w:val="000000" w:themeColor="text1"/>
                <w:szCs w:val="21"/>
                <w14:textFill>
                  <w14:solidFill>
                    <w14:schemeClr w14:val="tx1"/>
                  </w14:solidFill>
                </w14:textFill>
              </w:rPr>
              <w:t>h</w:t>
            </w:r>
            <w:r>
              <w:rPr>
                <w:rFonts w:ascii="Times New Roman" w:hAnsi="Times New Roman" w:cs="Times New Roman"/>
                <w:b/>
                <w:bCs/>
                <w:iCs/>
                <w:color w:val="000000" w:themeColor="text1"/>
                <w:szCs w:val="21"/>
                <w:vertAlign w:val="subscript"/>
                <w14:textFill>
                  <w14:solidFill>
                    <w14:schemeClr w14:val="tx1"/>
                  </w14:solidFill>
                </w14:textFill>
              </w:rPr>
              <w:t>2</w:t>
            </w:r>
            <w:r>
              <w:rPr>
                <w:rFonts w:ascii="Times New Roman" w:hAnsi="Times New Roman" w:cs="Times New Roman"/>
                <w:b/>
                <w:bCs/>
                <w:iCs/>
                <w:color w:val="000000" w:themeColor="text1"/>
                <w:szCs w:val="21"/>
                <w:vertAlign w:val="superscript"/>
                <w14:textFill>
                  <w14:solidFill>
                    <w14:schemeClr w14:val="tx1"/>
                  </w14:solidFill>
                </w14:textFill>
              </w:rPr>
              <w:t>3-3</w:t>
            </w:r>
          </w:p>
        </w:tc>
        <w:tc>
          <w:tcPr>
            <w:tcW w:w="1271"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w:t>
            </w:r>
            <w:r>
              <w:rPr>
                <w:rFonts w:ascii="Times New Roman" w:hAnsi="Times New Roman" w:cs="Times New Roman"/>
                <w:b/>
                <w:bCs/>
                <w:color w:val="000000" w:themeColor="text1"/>
                <w:szCs w:val="21"/>
                <w:vertAlign w:val="subscript"/>
                <w14:textFill>
                  <w14:solidFill>
                    <w14:schemeClr w14:val="tx1"/>
                  </w14:solidFill>
                </w14:textFill>
              </w:rPr>
              <w:t>1</w:t>
            </w:r>
            <w:r>
              <w:rPr>
                <w:rFonts w:ascii="Times New Roman" w:hAnsi="Times New Roman" w:cs="Times New Roman"/>
                <w:b/>
                <w:bCs/>
                <w:i/>
                <w:color w:val="000000" w:themeColor="text1"/>
                <w:szCs w:val="21"/>
                <w14:textFill>
                  <w14:solidFill>
                    <w14:schemeClr w14:val="tx1"/>
                  </w14:solidFill>
                </w14:textFill>
              </w:rPr>
              <w:t>h</w:t>
            </w:r>
            <w:r>
              <w:rPr>
                <w:rFonts w:ascii="Times New Roman" w:hAnsi="Times New Roman" w:cs="Times New Roman"/>
                <w:b/>
                <w:bCs/>
                <w:iCs/>
                <w:color w:val="000000" w:themeColor="text1"/>
                <w:szCs w:val="21"/>
                <w:vertAlign w:val="subscript"/>
                <w14:textFill>
                  <w14:solidFill>
                    <w14:schemeClr w14:val="tx1"/>
                  </w14:solidFill>
                </w14:textFill>
              </w:rPr>
              <w:t>2</w:t>
            </w:r>
            <w:r>
              <w:rPr>
                <w:rFonts w:ascii="Times New Roman" w:hAnsi="Times New Roman" w:cs="Times New Roman"/>
                <w:b/>
                <w:bCs/>
                <w:iCs/>
                <w:color w:val="000000" w:themeColor="text1"/>
                <w:szCs w:val="21"/>
                <w:vertAlign w:val="superscript"/>
                <w14:textFill>
                  <w14:solidFill>
                    <w14:schemeClr w14:val="tx1"/>
                  </w14:solidFill>
                </w14:textFill>
              </w:rPr>
              <w:t>3-4</w:t>
            </w:r>
          </w:p>
        </w:tc>
        <w:tc>
          <w:tcPr>
            <w:tcW w:w="599"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w:t>
            </w:r>
            <w:r>
              <w:rPr>
                <w:rFonts w:ascii="Times New Roman" w:hAnsi="Times New Roman" w:cs="Times New Roman"/>
                <w:b/>
                <w:bCs/>
                <w:color w:val="000000" w:themeColor="text1"/>
                <w:szCs w:val="21"/>
                <w:vertAlign w:val="subscript"/>
                <w14:textFill>
                  <w14:solidFill>
                    <w14:schemeClr w14:val="tx1"/>
                  </w14:solidFill>
                </w14:textFill>
              </w:rPr>
              <w:t>1</w:t>
            </w:r>
            <w:r>
              <w:rPr>
                <w:rFonts w:ascii="Times New Roman" w:hAnsi="Times New Roman" w:cs="Times New Roman"/>
                <w:b/>
                <w:bCs/>
                <w:i/>
                <w:color w:val="000000" w:themeColor="text1"/>
                <w:szCs w:val="21"/>
                <w14:textFill>
                  <w14:solidFill>
                    <w14:schemeClr w14:val="tx1"/>
                  </w14:solidFill>
                </w14:textFill>
              </w:rPr>
              <w:t>h</w:t>
            </w:r>
            <w:r>
              <w:rPr>
                <w:rFonts w:ascii="Times New Roman" w:hAnsi="Times New Roman" w:cs="Times New Roman"/>
                <w:b/>
                <w:bCs/>
                <w:iCs/>
                <w:color w:val="000000" w:themeColor="text1"/>
                <w:szCs w:val="21"/>
                <w:vertAlign w:val="subscript"/>
                <w14:textFill>
                  <w14:solidFill>
                    <w14:schemeClr w14:val="tx1"/>
                  </w14:solidFill>
                </w14:textFill>
              </w:rPr>
              <w:t>2</w:t>
            </w:r>
            <w:r>
              <w:rPr>
                <w:rFonts w:ascii="Times New Roman" w:hAnsi="Times New Roman" w:cs="Times New Roman"/>
                <w:b/>
                <w:bCs/>
                <w:iCs/>
                <w:color w:val="000000" w:themeColor="text1"/>
                <w:szCs w:val="21"/>
                <w:vertAlign w:val="superscript"/>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513" w:type="dxa"/>
            <w:vMerge w:val="restart"/>
            <w:tcBorders>
              <w:tl2br w:val="nil"/>
              <w:tr2bl w:val="nil"/>
            </w:tcBorders>
            <w:noWrap/>
            <w:tcMar>
              <w:left w:w="28" w:type="dxa"/>
              <w:right w:w="28" w:type="dxa"/>
            </w:tcMar>
            <w:vAlign w:val="center"/>
          </w:tcPr>
          <w:p>
            <w:pPr>
              <w:autoSpaceDE w:val="0"/>
              <w:autoSpaceDN w:val="0"/>
              <w:adjustRightInd w:val="0"/>
              <w:snapToGrid w:val="0"/>
              <w:jc w:val="center"/>
              <w:textAlignment w:val="bottom"/>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陆9</w:t>
            </w:r>
          </w:p>
        </w:tc>
        <w:tc>
          <w:tcPr>
            <w:tcW w:w="1434"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底部深度</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14:textFill>
                  <w14:solidFill>
                    <w14:schemeClr w14:val="tx1"/>
                  </w14:solidFill>
                </w14:textFill>
              </w:rPr>
              <w:t>）</w:t>
            </w:r>
          </w:p>
        </w:tc>
        <w:tc>
          <w:tcPr>
            <w:tcW w:w="511"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499</w:t>
            </w:r>
          </w:p>
        </w:tc>
        <w:tc>
          <w:tcPr>
            <w:tcW w:w="513" w:type="dxa"/>
            <w:tcBorders>
              <w:tl2br w:val="nil"/>
              <w:tr2bl w:val="nil"/>
            </w:tcBorders>
            <w:noWrap/>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985</w:t>
            </w:r>
          </w:p>
        </w:tc>
        <w:tc>
          <w:tcPr>
            <w:tcW w:w="513" w:type="dxa"/>
            <w:tcBorders>
              <w:tl2br w:val="nil"/>
              <w:tr2bl w:val="nil"/>
            </w:tcBorders>
            <w:noWrap/>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1031</w:t>
            </w:r>
          </w:p>
        </w:tc>
        <w:tc>
          <w:tcPr>
            <w:tcW w:w="516" w:type="dxa"/>
            <w:tcBorders>
              <w:tl2br w:val="nil"/>
              <w:tr2bl w:val="nil"/>
            </w:tcBorders>
            <w:noWrap/>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1063</w:t>
            </w:r>
          </w:p>
        </w:tc>
        <w:tc>
          <w:tcPr>
            <w:tcW w:w="517"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1109</w:t>
            </w:r>
          </w:p>
        </w:tc>
        <w:tc>
          <w:tcPr>
            <w:tcW w:w="648"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1132</w:t>
            </w:r>
          </w:p>
        </w:tc>
        <w:tc>
          <w:tcPr>
            <w:tcW w:w="648"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1152</w:t>
            </w:r>
          </w:p>
        </w:tc>
        <w:tc>
          <w:tcPr>
            <w:tcW w:w="649"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1173</w:t>
            </w:r>
          </w:p>
        </w:tc>
        <w:tc>
          <w:tcPr>
            <w:tcW w:w="1271"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1193</w:t>
            </w:r>
          </w:p>
        </w:tc>
        <w:tc>
          <w:tcPr>
            <w:tcW w:w="599"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513" w:type="dxa"/>
            <w:vMerge w:val="continue"/>
            <w:tcBorders>
              <w:tl2br w:val="nil"/>
              <w:tr2bl w:val="nil"/>
            </w:tcBorders>
            <w:noWrap/>
            <w:tcMar>
              <w:left w:w="28" w:type="dxa"/>
              <w:right w:w="28" w:type="dxa"/>
            </w:tcMar>
            <w:vAlign w:val="center"/>
          </w:tcPr>
          <w:p>
            <w:pPr>
              <w:jc w:val="center"/>
              <w:rPr>
                <w:rFonts w:ascii="Times New Roman" w:hAnsi="Times New Roman" w:cs="Times New Roman"/>
                <w:color w:val="000000" w:themeColor="text1"/>
                <w:sz w:val="20"/>
                <w:szCs w:val="20"/>
                <w14:textFill>
                  <w14:solidFill>
                    <w14:schemeClr w14:val="tx1"/>
                  </w14:solidFill>
                </w14:textFill>
              </w:rPr>
            </w:pPr>
          </w:p>
        </w:tc>
        <w:tc>
          <w:tcPr>
            <w:tcW w:w="1434"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厚度</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14:textFill>
                  <w14:solidFill>
                    <w14:schemeClr w14:val="tx1"/>
                  </w14:solidFill>
                </w14:textFill>
              </w:rPr>
              <w:t>）</w:t>
            </w:r>
          </w:p>
        </w:tc>
        <w:tc>
          <w:tcPr>
            <w:tcW w:w="511"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513"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486</w:t>
            </w:r>
          </w:p>
        </w:tc>
        <w:tc>
          <w:tcPr>
            <w:tcW w:w="513"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46</w:t>
            </w:r>
          </w:p>
        </w:tc>
        <w:tc>
          <w:tcPr>
            <w:tcW w:w="516"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32</w:t>
            </w:r>
          </w:p>
        </w:tc>
        <w:tc>
          <w:tcPr>
            <w:tcW w:w="517"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46</w:t>
            </w:r>
          </w:p>
        </w:tc>
        <w:tc>
          <w:tcPr>
            <w:tcW w:w="648"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23</w:t>
            </w:r>
          </w:p>
        </w:tc>
        <w:tc>
          <w:tcPr>
            <w:tcW w:w="648"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w:t>
            </w:r>
          </w:p>
        </w:tc>
        <w:tc>
          <w:tcPr>
            <w:tcW w:w="649"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21</w:t>
            </w:r>
          </w:p>
        </w:tc>
        <w:tc>
          <w:tcPr>
            <w:tcW w:w="1271"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w:t>
            </w:r>
          </w:p>
        </w:tc>
        <w:tc>
          <w:tcPr>
            <w:tcW w:w="599"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513" w:type="dxa"/>
            <w:vMerge w:val="continue"/>
            <w:tcBorders>
              <w:tl2br w:val="nil"/>
              <w:tr2bl w:val="nil"/>
            </w:tcBorders>
            <w:noWrap/>
            <w:tcMar>
              <w:left w:w="28" w:type="dxa"/>
              <w:right w:w="28" w:type="dxa"/>
            </w:tcMar>
            <w:vAlign w:val="center"/>
          </w:tcPr>
          <w:p>
            <w:pPr>
              <w:autoSpaceDE w:val="0"/>
              <w:autoSpaceDN w:val="0"/>
              <w:adjustRightInd w:val="0"/>
              <w:snapToGrid w:val="0"/>
              <w:jc w:val="center"/>
              <w:textAlignment w:val="bottom"/>
              <w:rPr>
                <w:rFonts w:ascii="Times New Roman" w:hAnsi="Times New Roman" w:cs="Times New Roman"/>
                <w:color w:val="000000" w:themeColor="text1"/>
                <w:sz w:val="20"/>
                <w:szCs w:val="20"/>
                <w14:textFill>
                  <w14:solidFill>
                    <w14:schemeClr w14:val="tx1"/>
                  </w14:solidFill>
                </w14:textFill>
              </w:rPr>
            </w:pPr>
          </w:p>
        </w:tc>
        <w:tc>
          <w:tcPr>
            <w:tcW w:w="1434"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地层</w:t>
            </w:r>
          </w:p>
        </w:tc>
        <w:tc>
          <w:tcPr>
            <w:tcW w:w="511"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i/>
                <w:color w:val="000000" w:themeColor="text1"/>
                <w:szCs w:val="21"/>
                <w14:textFill>
                  <w14:solidFill>
                    <w14:schemeClr w14:val="tx1"/>
                  </w14:solidFill>
                </w14:textFill>
              </w:rPr>
              <w:t>h</w:t>
            </w:r>
            <w:r>
              <w:rPr>
                <w:rFonts w:ascii="Times New Roman" w:hAnsi="Times New Roman" w:cs="Times New Roman"/>
                <w:iCs/>
                <w:color w:val="000000" w:themeColor="text1"/>
                <w:szCs w:val="21"/>
                <w:vertAlign w:val="subscript"/>
                <w14:textFill>
                  <w14:solidFill>
                    <w14:schemeClr w14:val="tx1"/>
                  </w14:solidFill>
                </w14:textFill>
              </w:rPr>
              <w:t>2</w:t>
            </w:r>
            <w:r>
              <w:rPr>
                <w:rFonts w:ascii="Times New Roman" w:hAnsi="Times New Roman" w:cs="Times New Roman"/>
                <w:iCs/>
                <w:color w:val="000000" w:themeColor="text1"/>
                <w:szCs w:val="21"/>
                <w:vertAlign w:val="superscript"/>
                <w14:textFill>
                  <w14:solidFill>
                    <w14:schemeClr w14:val="tx1"/>
                  </w14:solidFill>
                </w14:textFill>
              </w:rPr>
              <w:t>5</w:t>
            </w:r>
          </w:p>
        </w:tc>
        <w:tc>
          <w:tcPr>
            <w:tcW w:w="513"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i/>
                <w:color w:val="000000" w:themeColor="text1"/>
                <w:szCs w:val="21"/>
                <w14:textFill>
                  <w14:solidFill>
                    <w14:schemeClr w14:val="tx1"/>
                  </w14:solidFill>
                </w14:textFill>
              </w:rPr>
              <w:t>h</w:t>
            </w:r>
            <w:r>
              <w:rPr>
                <w:rFonts w:ascii="Times New Roman" w:hAnsi="Times New Roman" w:cs="Times New Roman"/>
                <w:iCs/>
                <w:color w:val="000000" w:themeColor="text1"/>
                <w:szCs w:val="21"/>
                <w:vertAlign w:val="subscript"/>
                <w14:textFill>
                  <w14:solidFill>
                    <w14:schemeClr w14:val="tx1"/>
                  </w14:solidFill>
                </w14:textFill>
              </w:rPr>
              <w:t>2</w:t>
            </w:r>
            <w:r>
              <w:rPr>
                <w:rFonts w:ascii="Times New Roman" w:hAnsi="Times New Roman" w:cs="Times New Roman"/>
                <w:iCs/>
                <w:color w:val="000000" w:themeColor="text1"/>
                <w:szCs w:val="21"/>
                <w:vertAlign w:val="superscript"/>
                <w14:textFill>
                  <w14:solidFill>
                    <w14:schemeClr w14:val="tx1"/>
                  </w14:solidFill>
                </w14:textFill>
              </w:rPr>
              <w:t>6</w:t>
            </w:r>
          </w:p>
        </w:tc>
        <w:tc>
          <w:tcPr>
            <w:tcW w:w="513"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i/>
                <w:color w:val="000000" w:themeColor="text1"/>
                <w:szCs w:val="21"/>
                <w14:textFill>
                  <w14:solidFill>
                    <w14:schemeClr w14:val="tx1"/>
                  </w14:solidFill>
                </w14:textFill>
              </w:rPr>
              <w:t>h</w:t>
            </w:r>
            <w:r>
              <w:rPr>
                <w:rFonts w:ascii="Times New Roman" w:hAnsi="Times New Roman" w:cs="Times New Roman"/>
                <w:iCs/>
                <w:color w:val="000000" w:themeColor="text1"/>
                <w:szCs w:val="21"/>
                <w:vertAlign w:val="subscript"/>
                <w14:textFill>
                  <w14:solidFill>
                    <w14:schemeClr w14:val="tx1"/>
                  </w14:solidFill>
                </w14:textFill>
              </w:rPr>
              <w:t>2</w:t>
            </w:r>
            <w:r>
              <w:rPr>
                <w:rFonts w:ascii="Times New Roman" w:hAnsi="Times New Roman" w:cs="Times New Roman"/>
                <w:iCs/>
                <w:color w:val="000000" w:themeColor="text1"/>
                <w:szCs w:val="21"/>
                <w:vertAlign w:val="superscript"/>
                <w14:textFill>
                  <w14:solidFill>
                    <w14:schemeClr w14:val="tx1"/>
                  </w14:solidFill>
                </w14:textFill>
              </w:rPr>
              <w:t>7</w:t>
            </w:r>
          </w:p>
        </w:tc>
        <w:tc>
          <w:tcPr>
            <w:tcW w:w="516"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i/>
                <w:color w:val="000000" w:themeColor="text1"/>
                <w:szCs w:val="21"/>
                <w14:textFill>
                  <w14:solidFill>
                    <w14:schemeClr w14:val="tx1"/>
                  </w14:solidFill>
                </w14:textFill>
              </w:rPr>
              <w:t>h</w:t>
            </w:r>
            <w:r>
              <w:rPr>
                <w:rFonts w:ascii="Times New Roman" w:hAnsi="Times New Roman" w:cs="Times New Roman"/>
                <w:iCs/>
                <w:color w:val="000000" w:themeColor="text1"/>
                <w:szCs w:val="21"/>
                <w:vertAlign w:val="subscript"/>
                <w14:textFill>
                  <w14:solidFill>
                    <w14:schemeClr w14:val="tx1"/>
                  </w14:solidFill>
                </w14:textFill>
              </w:rPr>
              <w:t>1</w:t>
            </w:r>
          </w:p>
        </w:tc>
        <w:tc>
          <w:tcPr>
            <w:tcW w:w="517"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i/>
                <w:color w:val="000000" w:themeColor="text1"/>
                <w:szCs w:val="21"/>
                <w14:textFill>
                  <w14:solidFill>
                    <w14:schemeClr w14:val="tx1"/>
                  </w14:solidFill>
                </w14:textFill>
              </w:rPr>
              <w:t>q</w:t>
            </w:r>
          </w:p>
        </w:tc>
        <w:tc>
          <w:tcPr>
            <w:tcW w:w="648"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J</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i/>
                <w:color w:val="000000" w:themeColor="text1"/>
                <w:szCs w:val="21"/>
                <w14:textFill>
                  <w14:solidFill>
                    <w14:schemeClr w14:val="tx1"/>
                  </w14:solidFill>
                </w14:textFill>
              </w:rPr>
              <w:t>t</w:t>
            </w:r>
          </w:p>
        </w:tc>
        <w:tc>
          <w:tcPr>
            <w:tcW w:w="648"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J</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i/>
                <w:iCs/>
                <w:color w:val="000000" w:themeColor="text1"/>
                <w:szCs w:val="21"/>
                <w14:textFill>
                  <w14:solidFill>
                    <w14:schemeClr w14:val="tx1"/>
                  </w14:solidFill>
                </w14:textFill>
              </w:rPr>
              <w:t>x</w:t>
            </w:r>
          </w:p>
        </w:tc>
        <w:tc>
          <w:tcPr>
            <w:tcW w:w="649"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J</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i/>
                <w:iCs/>
                <w:color w:val="000000" w:themeColor="text1"/>
                <w:szCs w:val="21"/>
                <w14:textFill>
                  <w14:solidFill>
                    <w14:schemeClr w14:val="tx1"/>
                  </w14:solidFill>
                </w14:textFill>
              </w:rPr>
              <w:t>s</w:t>
            </w:r>
          </w:p>
        </w:tc>
        <w:tc>
          <w:tcPr>
            <w:tcW w:w="1271"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J</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i/>
                <w:iCs/>
                <w:color w:val="000000" w:themeColor="text1"/>
                <w:szCs w:val="21"/>
                <w14:textFill>
                  <w14:solidFill>
                    <w14:schemeClr w14:val="tx1"/>
                  </w14:solidFill>
                </w14:textFill>
              </w:rPr>
              <w:t>b</w:t>
            </w:r>
          </w:p>
        </w:tc>
        <w:tc>
          <w:tcPr>
            <w:tcW w:w="599"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513" w:type="dxa"/>
            <w:vMerge w:val="continue"/>
            <w:tcBorders>
              <w:tl2br w:val="nil"/>
              <w:tr2bl w:val="nil"/>
            </w:tcBorders>
            <w:noWrap/>
            <w:tcMar>
              <w:left w:w="28" w:type="dxa"/>
              <w:right w:w="28" w:type="dxa"/>
            </w:tcMar>
            <w:vAlign w:val="center"/>
          </w:tcPr>
          <w:p>
            <w:pPr>
              <w:autoSpaceDE w:val="0"/>
              <w:autoSpaceDN w:val="0"/>
              <w:adjustRightInd w:val="0"/>
              <w:snapToGrid w:val="0"/>
              <w:jc w:val="center"/>
              <w:textAlignment w:val="bottom"/>
              <w:rPr>
                <w:rFonts w:ascii="Times New Roman" w:hAnsi="Times New Roman" w:cs="Times New Roman"/>
                <w:color w:val="000000" w:themeColor="text1"/>
                <w:sz w:val="20"/>
                <w:szCs w:val="20"/>
                <w14:textFill>
                  <w14:solidFill>
                    <w14:schemeClr w14:val="tx1"/>
                  </w14:solidFill>
                </w14:textFill>
              </w:rPr>
            </w:pPr>
          </w:p>
        </w:tc>
        <w:tc>
          <w:tcPr>
            <w:tcW w:w="1434"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底部深度</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14:textFill>
                  <w14:solidFill>
                    <w14:schemeClr w14:val="tx1"/>
                  </w14:solidFill>
                </w14:textFill>
              </w:rPr>
              <w:t>）</w:t>
            </w:r>
          </w:p>
        </w:tc>
        <w:tc>
          <w:tcPr>
            <w:tcW w:w="511" w:type="dxa"/>
            <w:tcBorders>
              <w:tl2br w:val="nil"/>
              <w:tr2bl w:val="nil"/>
            </w:tcBorders>
            <w:noWrap/>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1302</w:t>
            </w:r>
          </w:p>
        </w:tc>
        <w:tc>
          <w:tcPr>
            <w:tcW w:w="513" w:type="dxa"/>
            <w:tcBorders>
              <w:tl2br w:val="nil"/>
              <w:tr2bl w:val="nil"/>
            </w:tcBorders>
            <w:noWrap/>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1372</w:t>
            </w:r>
          </w:p>
        </w:tc>
        <w:tc>
          <w:tcPr>
            <w:tcW w:w="513" w:type="dxa"/>
            <w:tcBorders>
              <w:tl2br w:val="nil"/>
              <w:tr2bl w:val="nil"/>
            </w:tcBorders>
            <w:noWrap/>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1449</w:t>
            </w:r>
          </w:p>
        </w:tc>
        <w:tc>
          <w:tcPr>
            <w:tcW w:w="516"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1924</w:t>
            </w:r>
          </w:p>
        </w:tc>
        <w:tc>
          <w:tcPr>
            <w:tcW w:w="517"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2105</w:t>
            </w:r>
          </w:p>
        </w:tc>
        <w:tc>
          <w:tcPr>
            <w:tcW w:w="648"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2148</w:t>
            </w:r>
          </w:p>
        </w:tc>
        <w:tc>
          <w:tcPr>
            <w:tcW w:w="648"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2251</w:t>
            </w:r>
          </w:p>
        </w:tc>
        <w:tc>
          <w:tcPr>
            <w:tcW w:w="649"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2513</w:t>
            </w:r>
          </w:p>
        </w:tc>
        <w:tc>
          <w:tcPr>
            <w:tcW w:w="1271"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2820（未穿）</w:t>
            </w:r>
          </w:p>
        </w:tc>
        <w:tc>
          <w:tcPr>
            <w:tcW w:w="599" w:type="dxa"/>
            <w:tcBorders>
              <w:tl2br w:val="nil"/>
              <w:tr2bl w:val="nil"/>
            </w:tcBorders>
            <w:noWrap/>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513" w:type="dxa"/>
            <w:vMerge w:val="continue"/>
            <w:tcBorders>
              <w:tl2br w:val="nil"/>
              <w:tr2bl w:val="nil"/>
            </w:tcBorders>
            <w:noWrap/>
            <w:tcMar>
              <w:left w:w="28" w:type="dxa"/>
              <w:right w:w="28" w:type="dxa"/>
            </w:tcMar>
            <w:vAlign w:val="center"/>
          </w:tcPr>
          <w:p>
            <w:pPr>
              <w:jc w:val="center"/>
              <w:rPr>
                <w:rFonts w:ascii="Times New Roman" w:hAnsi="Times New Roman" w:cs="Times New Roman"/>
                <w:color w:val="000000" w:themeColor="text1"/>
                <w:sz w:val="20"/>
                <w:szCs w:val="20"/>
                <w14:textFill>
                  <w14:solidFill>
                    <w14:schemeClr w14:val="tx1"/>
                  </w14:solidFill>
                </w14:textFill>
              </w:rPr>
            </w:pPr>
          </w:p>
        </w:tc>
        <w:tc>
          <w:tcPr>
            <w:tcW w:w="1434" w:type="dxa"/>
            <w:tcBorders>
              <w:tl2br w:val="nil"/>
              <w:tr2bl w:val="nil"/>
            </w:tcBorders>
            <w:noWrap/>
            <w:vAlign w:val="center"/>
          </w:tcPr>
          <w:p>
            <w:pPr>
              <w:autoSpaceDE w:val="0"/>
              <w:autoSpaceDN w:val="0"/>
              <w:adjustRightInd w:val="0"/>
              <w:snapToGrid w:val="0"/>
              <w:jc w:val="center"/>
              <w:textAlignment w:val="bottom"/>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厚度</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14:textFill>
                  <w14:solidFill>
                    <w14:schemeClr w14:val="tx1"/>
                  </w14:solidFill>
                </w14:textFill>
              </w:rPr>
              <w:t>）</w:t>
            </w:r>
          </w:p>
        </w:tc>
        <w:tc>
          <w:tcPr>
            <w:tcW w:w="511"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54</w:t>
            </w:r>
          </w:p>
        </w:tc>
        <w:tc>
          <w:tcPr>
            <w:tcW w:w="513"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70</w:t>
            </w:r>
          </w:p>
        </w:tc>
        <w:tc>
          <w:tcPr>
            <w:tcW w:w="513"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77</w:t>
            </w:r>
          </w:p>
        </w:tc>
        <w:tc>
          <w:tcPr>
            <w:tcW w:w="516"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475</w:t>
            </w:r>
          </w:p>
        </w:tc>
        <w:tc>
          <w:tcPr>
            <w:tcW w:w="517"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181</w:t>
            </w:r>
          </w:p>
        </w:tc>
        <w:tc>
          <w:tcPr>
            <w:tcW w:w="648"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43</w:t>
            </w:r>
          </w:p>
        </w:tc>
        <w:tc>
          <w:tcPr>
            <w:tcW w:w="648"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103</w:t>
            </w:r>
          </w:p>
        </w:tc>
        <w:tc>
          <w:tcPr>
            <w:tcW w:w="649"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262</w:t>
            </w:r>
          </w:p>
        </w:tc>
        <w:tc>
          <w:tcPr>
            <w:tcW w:w="1271"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307</w:t>
            </w:r>
          </w:p>
        </w:tc>
        <w:tc>
          <w:tcPr>
            <w:tcW w:w="599" w:type="dxa"/>
            <w:tcBorders>
              <w:tl2br w:val="nil"/>
              <w:tr2bl w:val="nil"/>
            </w:tcBorders>
            <w:noWrap/>
            <w:vAlign w:val="center"/>
          </w:tcPr>
          <w:p>
            <w:pPr>
              <w:jc w:val="center"/>
              <w:rPr>
                <w:rFonts w:ascii="Times New Roman" w:hAnsi="Times New Roman" w:cs="Times New Roman"/>
                <w:color w:val="000000" w:themeColor="text1"/>
                <w:kern w:val="0"/>
                <w:szCs w:val="21"/>
                <w14:textFill>
                  <w14:solidFill>
                    <w14:schemeClr w14:val="tx1"/>
                  </w14:solidFill>
                </w14:textFill>
              </w:rPr>
            </w:pPr>
          </w:p>
        </w:tc>
      </w:tr>
    </w:tbl>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3.2.4构造特征</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陆9井区呼图壁河组K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i/>
          <w:iCs/>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vertAlign w:val="superscript"/>
          <w14:textFill>
            <w14:solidFill>
              <w14:schemeClr w14:val="tx1"/>
            </w14:solidFill>
          </w14:textFill>
        </w:rPr>
        <w:t>3-4</w:t>
      </w:r>
      <w:r>
        <w:rPr>
          <w:rFonts w:ascii="Times New Roman" w:hAnsi="Times New Roman" w:cs="Times New Roman"/>
          <w:color w:val="000000" w:themeColor="text1"/>
          <w:sz w:val="24"/>
          <w14:textFill>
            <w14:solidFill>
              <w14:schemeClr w14:val="tx1"/>
            </w14:solidFill>
          </w14:textFill>
        </w:rPr>
        <w:t>顶面构造呈近东西向低幅度短轴背斜形态，整体表现为背斜东部和北部较陡，南部和西部较缓，构造高点在LU3114井附近，海拔-668m。</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3.2.5储层特征</w:t>
      </w:r>
    </w:p>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bookmarkStart w:id="196" w:name="_Toc49264567"/>
      <w:bookmarkStart w:id="197" w:name="_Toc54716902"/>
      <w:bookmarkStart w:id="198" w:name="_Toc46916702"/>
      <w:bookmarkStart w:id="199" w:name="_Toc49264060"/>
      <w:bookmarkStart w:id="200" w:name="_Toc54716839"/>
      <w:r>
        <w:rPr>
          <w:rFonts w:hint="eastAsia" w:ascii="Times New Roman" w:hAnsi="Times New Roman" w:eastAsia="宋体" w:cs="Times New Roman"/>
          <w:color w:val="000000" w:themeColor="text1"/>
          <w:sz w:val="28"/>
          <w:szCs w:val="28"/>
          <w14:textFill>
            <w14:solidFill>
              <w14:schemeClr w14:val="tx1"/>
            </w14:solidFill>
          </w14:textFill>
        </w:rPr>
        <w:t>3.2.5.1</w:t>
      </w:r>
      <w:r>
        <w:rPr>
          <w:rFonts w:ascii="Times New Roman" w:hAnsi="Times New Roman" w:eastAsia="宋体" w:cs="Times New Roman"/>
          <w:color w:val="000000" w:themeColor="text1"/>
          <w:sz w:val="28"/>
          <w:szCs w:val="28"/>
          <w14:textFill>
            <w14:solidFill>
              <w14:schemeClr w14:val="tx1"/>
            </w14:solidFill>
          </w14:textFill>
        </w:rPr>
        <w:t>储层岩矿特征</w:t>
      </w:r>
      <w:bookmarkEnd w:id="196"/>
      <w:bookmarkEnd w:id="197"/>
      <w:bookmarkEnd w:id="198"/>
      <w:bookmarkEnd w:id="199"/>
      <w:bookmarkEnd w:id="200"/>
    </w:p>
    <w:p>
      <w:pPr>
        <w:adjustRightInd w:val="0"/>
        <w:snapToGrid w:val="0"/>
        <w:spacing w:line="360" w:lineRule="auto"/>
        <w:ind w:firstLine="496" w:firstLineChars="200"/>
        <w:rPr>
          <w:rFonts w:ascii="Times New Roman" w:hAnsi="Times New Roman" w:eastAsia="宋体" w:cs="Times New Roman"/>
          <w:color w:val="000000" w:themeColor="text1"/>
          <w:spacing w:val="4"/>
          <w:sz w:val="24"/>
          <w14:textFill>
            <w14:solidFill>
              <w14:schemeClr w14:val="tx1"/>
            </w14:solidFill>
          </w14:textFill>
        </w:rPr>
      </w:pPr>
      <w:r>
        <w:rPr>
          <w:rFonts w:ascii="Times New Roman" w:hAnsi="Times New Roman" w:eastAsia="宋体" w:cs="Times New Roman"/>
          <w:color w:val="000000" w:themeColor="text1"/>
          <w:spacing w:val="4"/>
          <w:sz w:val="24"/>
          <w14:textFill>
            <w14:solidFill>
              <w14:schemeClr w14:val="tx1"/>
            </w14:solidFill>
          </w14:textFill>
        </w:rPr>
        <w:t>呼图壁河组</w:t>
      </w:r>
      <w:r>
        <w:rPr>
          <w:rFonts w:ascii="Times New Roman" w:hAnsi="Times New Roman" w:eastAsia="宋体" w:cs="Times New Roman"/>
          <w:color w:val="000000" w:themeColor="text1"/>
          <w:sz w:val="24"/>
          <w14:textFill>
            <w14:solidFill>
              <w14:schemeClr w14:val="tx1"/>
            </w14:solidFill>
          </w14:textFill>
        </w:rPr>
        <w:t>K</w:t>
      </w:r>
      <w:r>
        <w:rPr>
          <w:rFonts w:ascii="Times New Roman" w:hAnsi="Times New Roman" w:eastAsia="宋体" w:cs="Times New Roman"/>
          <w:color w:val="000000" w:themeColor="text1"/>
          <w:sz w:val="24"/>
          <w:vertAlign w:val="subscript"/>
          <w14:textFill>
            <w14:solidFill>
              <w14:schemeClr w14:val="tx1"/>
            </w14:solidFill>
          </w14:textFill>
        </w:rPr>
        <w:t>1</w:t>
      </w:r>
      <w:r>
        <w:rPr>
          <w:rFonts w:ascii="Times New Roman" w:hAnsi="Times New Roman" w:eastAsia="宋体" w:cs="Times New Roman"/>
          <w:i/>
          <w:iCs/>
          <w:color w:val="000000" w:themeColor="text1"/>
          <w:sz w:val="24"/>
          <w14:textFill>
            <w14:solidFill>
              <w14:schemeClr w14:val="tx1"/>
            </w14:solidFill>
          </w14:textFill>
        </w:rPr>
        <w:t>h</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储层岩性主要为灰色中细粒岩屑砂岩，胶结物以方解石为主，方沸石为辅，胶结类型以孔隙型为主，压嵌</w:t>
      </w:r>
      <w:r>
        <w:rPr>
          <w:rFonts w:hint="eastAsia" w:ascii="Times New Roman" w:hAnsi="Times New Roman" w:eastAsia="宋体" w:cs="Times New Roman"/>
          <w:color w:val="000000" w:themeColor="text1"/>
          <w:spacing w:val="4"/>
          <w:sz w:val="24"/>
          <w14:textFill>
            <w14:solidFill>
              <w14:schemeClr w14:val="tx1"/>
            </w14:solidFill>
          </w14:textFill>
        </w:rPr>
        <w:t>~</w:t>
      </w:r>
      <w:r>
        <w:rPr>
          <w:rFonts w:ascii="Times New Roman" w:hAnsi="Times New Roman" w:eastAsia="宋体" w:cs="Times New Roman"/>
          <w:color w:val="000000" w:themeColor="text1"/>
          <w:spacing w:val="4"/>
          <w:sz w:val="24"/>
          <w14:textFill>
            <w14:solidFill>
              <w14:schemeClr w14:val="tx1"/>
            </w14:solidFill>
          </w14:textFill>
        </w:rPr>
        <w:t>孔隙型为辅。颗粒主要为次棱角状，部分为次棱角状</w:t>
      </w:r>
      <w:r>
        <w:rPr>
          <w:rFonts w:hint="eastAsia" w:ascii="Times New Roman" w:hAnsi="Times New Roman" w:eastAsia="宋体" w:cs="Times New Roman"/>
          <w:color w:val="000000" w:themeColor="text1"/>
          <w:spacing w:val="4"/>
          <w:sz w:val="24"/>
          <w14:textFill>
            <w14:solidFill>
              <w14:schemeClr w14:val="tx1"/>
            </w14:solidFill>
          </w14:textFill>
        </w:rPr>
        <w:t>~</w:t>
      </w:r>
      <w:r>
        <w:rPr>
          <w:rFonts w:ascii="Times New Roman" w:hAnsi="Times New Roman" w:eastAsia="宋体" w:cs="Times New Roman"/>
          <w:color w:val="000000" w:themeColor="text1"/>
          <w:spacing w:val="4"/>
          <w:sz w:val="24"/>
          <w14:textFill>
            <w14:solidFill>
              <w14:schemeClr w14:val="tx1"/>
            </w14:solidFill>
          </w14:textFill>
        </w:rPr>
        <w:t>次圆状。分选好</w:t>
      </w:r>
      <w:r>
        <w:rPr>
          <w:rFonts w:hint="eastAsia" w:ascii="Times New Roman" w:hAnsi="Times New Roman" w:eastAsia="宋体" w:cs="Times New Roman"/>
          <w:color w:val="000000" w:themeColor="text1"/>
          <w:spacing w:val="4"/>
          <w:sz w:val="24"/>
          <w14:textFill>
            <w14:solidFill>
              <w14:schemeClr w14:val="tx1"/>
            </w14:solidFill>
          </w14:textFill>
        </w:rPr>
        <w:t>~</w:t>
      </w:r>
      <w:r>
        <w:rPr>
          <w:rFonts w:ascii="Times New Roman" w:hAnsi="Times New Roman" w:eastAsia="宋体" w:cs="Times New Roman"/>
          <w:color w:val="000000" w:themeColor="text1"/>
          <w:spacing w:val="4"/>
          <w:sz w:val="24"/>
          <w14:textFill>
            <w14:solidFill>
              <w14:schemeClr w14:val="tx1"/>
            </w14:solidFill>
          </w14:textFill>
        </w:rPr>
        <w:t>中等。接触方式以点接触为主，线</w:t>
      </w:r>
      <w:r>
        <w:rPr>
          <w:rFonts w:hint="eastAsia" w:ascii="Times New Roman" w:hAnsi="Times New Roman" w:eastAsia="宋体" w:cs="Times New Roman"/>
          <w:color w:val="000000" w:themeColor="text1"/>
          <w:spacing w:val="4"/>
          <w:sz w:val="24"/>
          <w14:textFill>
            <w14:solidFill>
              <w14:schemeClr w14:val="tx1"/>
            </w14:solidFill>
          </w14:textFill>
        </w:rPr>
        <w:t>~</w:t>
      </w:r>
      <w:r>
        <w:rPr>
          <w:rFonts w:ascii="Times New Roman" w:hAnsi="Times New Roman" w:eastAsia="宋体" w:cs="Times New Roman"/>
          <w:color w:val="000000" w:themeColor="text1"/>
          <w:spacing w:val="4"/>
          <w:sz w:val="24"/>
          <w14:textFill>
            <w14:solidFill>
              <w14:schemeClr w14:val="tx1"/>
            </w14:solidFill>
          </w14:textFill>
        </w:rPr>
        <w:t>点接触为辅。</w:t>
      </w:r>
    </w:p>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bookmarkStart w:id="201" w:name="_Toc49264568"/>
      <w:bookmarkStart w:id="202" w:name="_Toc54716840"/>
      <w:bookmarkStart w:id="203" w:name="_Toc46916703"/>
      <w:bookmarkStart w:id="204" w:name="_Toc49264061"/>
      <w:bookmarkStart w:id="205" w:name="_Toc54716903"/>
      <w:r>
        <w:rPr>
          <w:rFonts w:hint="eastAsia" w:ascii="Times New Roman" w:hAnsi="Times New Roman" w:eastAsia="宋体" w:cs="Times New Roman"/>
          <w:color w:val="000000" w:themeColor="text1"/>
          <w:sz w:val="28"/>
          <w:szCs w:val="28"/>
          <w14:textFill>
            <w14:solidFill>
              <w14:schemeClr w14:val="tx1"/>
            </w14:solidFill>
          </w14:textFill>
        </w:rPr>
        <w:t>3.2.5.2</w:t>
      </w:r>
      <w:r>
        <w:rPr>
          <w:rFonts w:ascii="Times New Roman" w:hAnsi="Times New Roman" w:eastAsia="宋体" w:cs="Times New Roman"/>
          <w:color w:val="000000" w:themeColor="text1"/>
          <w:sz w:val="28"/>
          <w:szCs w:val="28"/>
          <w14:textFill>
            <w14:solidFill>
              <w14:schemeClr w14:val="tx1"/>
            </w14:solidFill>
          </w14:textFill>
        </w:rPr>
        <w:t>储集空间类型</w:t>
      </w:r>
      <w:bookmarkEnd w:id="201"/>
      <w:bookmarkEnd w:id="202"/>
      <w:bookmarkEnd w:id="203"/>
      <w:bookmarkEnd w:id="204"/>
      <w:bookmarkEnd w:id="205"/>
    </w:p>
    <w:p>
      <w:pPr>
        <w:adjustRightInd w:val="0"/>
        <w:snapToGrid w:val="0"/>
        <w:spacing w:line="360" w:lineRule="auto"/>
        <w:ind w:firstLine="496" w:firstLineChars="200"/>
        <w:rPr>
          <w:rFonts w:ascii="Times New Roman" w:hAnsi="Times New Roman" w:eastAsia="宋体" w:cs="Times New Roman"/>
          <w:color w:val="000000" w:themeColor="text1"/>
          <w:spacing w:val="4"/>
          <w:sz w:val="24"/>
          <w14:textFill>
            <w14:solidFill>
              <w14:schemeClr w14:val="tx1"/>
            </w14:solidFill>
          </w14:textFill>
        </w:rPr>
      </w:pPr>
      <w:bookmarkStart w:id="206" w:name="_Toc49264063"/>
      <w:bookmarkStart w:id="207" w:name="_Toc54716905"/>
      <w:bookmarkStart w:id="208" w:name="_Toc49264570"/>
      <w:bookmarkStart w:id="209" w:name="_Toc54716842"/>
      <w:bookmarkStart w:id="210" w:name="_Toc46916705"/>
      <w:r>
        <w:rPr>
          <w:rFonts w:ascii="Times New Roman" w:hAnsi="Times New Roman" w:eastAsia="宋体" w:cs="Times New Roman"/>
          <w:color w:val="000000" w:themeColor="text1"/>
          <w:spacing w:val="4"/>
          <w:sz w:val="24"/>
          <w14:textFill>
            <w14:solidFill>
              <w14:schemeClr w14:val="tx1"/>
            </w14:solidFill>
          </w14:textFill>
        </w:rPr>
        <w:t>据压汞资料分析，呼图壁河组K</w:t>
      </w:r>
      <w:r>
        <w:rPr>
          <w:rFonts w:ascii="Times New Roman" w:hAnsi="Times New Roman" w:eastAsia="宋体" w:cs="Times New Roman"/>
          <w:color w:val="000000" w:themeColor="text1"/>
          <w:spacing w:val="4"/>
          <w:sz w:val="24"/>
          <w:vertAlign w:val="subscript"/>
          <w14:textFill>
            <w14:solidFill>
              <w14:schemeClr w14:val="tx1"/>
            </w14:solidFill>
          </w14:textFill>
        </w:rPr>
        <w:t>1</w:t>
      </w:r>
      <w:r>
        <w:rPr>
          <w:rFonts w:ascii="Times New Roman" w:hAnsi="Times New Roman" w:eastAsia="宋体" w:cs="Times New Roman"/>
          <w:i/>
          <w:iCs/>
          <w:color w:val="000000" w:themeColor="text1"/>
          <w:spacing w:val="4"/>
          <w:sz w:val="24"/>
          <w14:textFill>
            <w14:solidFill>
              <w14:schemeClr w14:val="tx1"/>
            </w14:solidFill>
          </w14:textFill>
        </w:rPr>
        <w:t>h</w:t>
      </w:r>
      <w:r>
        <w:rPr>
          <w:rFonts w:ascii="Times New Roman" w:hAnsi="Times New Roman" w:eastAsia="宋体" w:cs="Times New Roman"/>
          <w:color w:val="000000" w:themeColor="text1"/>
          <w:spacing w:val="4"/>
          <w:sz w:val="24"/>
          <w:vertAlign w:val="subscript"/>
          <w14:textFill>
            <w14:solidFill>
              <w14:schemeClr w14:val="tx1"/>
            </w14:solidFill>
          </w14:textFill>
        </w:rPr>
        <w:t>2</w:t>
      </w:r>
      <w:r>
        <w:rPr>
          <w:rFonts w:ascii="Times New Roman" w:hAnsi="Times New Roman" w:eastAsia="宋体" w:cs="Times New Roman"/>
          <w:color w:val="000000" w:themeColor="text1"/>
          <w:spacing w:val="4"/>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储层的储集空间以原生粒间孔为主（83%），粒内溶蚀孔次之（17%），分选较好，孔隙发育且连通性好。孔喉配位数0.15</w:t>
      </w:r>
      <w:r>
        <w:rPr>
          <w:rFonts w:hint="eastAsia" w:ascii="Times New Roman" w:hAnsi="Times New Roman" w:eastAsia="宋体" w:cs="Times New Roman"/>
          <w:color w:val="000000" w:themeColor="text1"/>
          <w:spacing w:val="4"/>
          <w:sz w:val="24"/>
          <w14:textFill>
            <w14:solidFill>
              <w14:schemeClr w14:val="tx1"/>
            </w14:solidFill>
          </w14:textFill>
        </w:rPr>
        <w:t>~</w:t>
      </w:r>
      <w:r>
        <w:rPr>
          <w:rFonts w:ascii="Times New Roman" w:hAnsi="Times New Roman" w:eastAsia="宋体" w:cs="Times New Roman"/>
          <w:color w:val="000000" w:themeColor="text1"/>
          <w:spacing w:val="4"/>
          <w:sz w:val="24"/>
          <w14:textFill>
            <w14:solidFill>
              <w14:schemeClr w14:val="tx1"/>
            </w14:solidFill>
          </w14:textFill>
        </w:rPr>
        <w:t>0.38；平均孔隙直径50.39μm</w:t>
      </w:r>
      <w:r>
        <w:rPr>
          <w:rFonts w:hint="eastAsia" w:ascii="Times New Roman" w:hAnsi="Times New Roman" w:eastAsia="宋体" w:cs="Times New Roman"/>
          <w:color w:val="000000" w:themeColor="text1"/>
          <w:spacing w:val="4"/>
          <w:sz w:val="24"/>
          <w14:textFill>
            <w14:solidFill>
              <w14:schemeClr w14:val="tx1"/>
            </w14:solidFill>
          </w14:textFill>
        </w:rPr>
        <w:t>~</w:t>
      </w:r>
      <w:r>
        <w:rPr>
          <w:rFonts w:ascii="Times New Roman" w:hAnsi="Times New Roman" w:eastAsia="宋体" w:cs="Times New Roman"/>
          <w:color w:val="000000" w:themeColor="text1"/>
          <w:spacing w:val="4"/>
          <w:sz w:val="24"/>
          <w14:textFill>
            <w14:solidFill>
              <w14:schemeClr w14:val="tx1"/>
            </w14:solidFill>
          </w14:textFill>
        </w:rPr>
        <w:t>71.75μm；平均喉道宽度7.58μm</w:t>
      </w:r>
      <w:r>
        <w:rPr>
          <w:rFonts w:hint="eastAsia" w:ascii="Times New Roman" w:hAnsi="Times New Roman" w:eastAsia="宋体" w:cs="Times New Roman"/>
          <w:color w:val="000000" w:themeColor="text1"/>
          <w:spacing w:val="4"/>
          <w:sz w:val="24"/>
          <w14:textFill>
            <w14:solidFill>
              <w14:schemeClr w14:val="tx1"/>
            </w14:solidFill>
          </w14:textFill>
        </w:rPr>
        <w:t>~</w:t>
      </w:r>
      <w:r>
        <w:rPr>
          <w:rFonts w:ascii="Times New Roman" w:hAnsi="Times New Roman" w:eastAsia="宋体" w:cs="Times New Roman"/>
          <w:color w:val="000000" w:themeColor="text1"/>
          <w:spacing w:val="4"/>
          <w:sz w:val="24"/>
          <w14:textFill>
            <w14:solidFill>
              <w14:schemeClr w14:val="tx1"/>
            </w14:solidFill>
          </w14:textFill>
        </w:rPr>
        <w:t>18.42μm；最大孔喉半径7.54μm</w:t>
      </w:r>
      <w:r>
        <w:rPr>
          <w:rFonts w:hint="eastAsia" w:ascii="Times New Roman" w:hAnsi="Times New Roman" w:eastAsia="宋体" w:cs="Times New Roman"/>
          <w:color w:val="000000" w:themeColor="text1"/>
          <w:spacing w:val="4"/>
          <w:sz w:val="24"/>
          <w14:textFill>
            <w14:solidFill>
              <w14:schemeClr w14:val="tx1"/>
            </w14:solidFill>
          </w14:textFill>
        </w:rPr>
        <w:t>~</w:t>
      </w:r>
      <w:r>
        <w:rPr>
          <w:rFonts w:ascii="Times New Roman" w:hAnsi="Times New Roman" w:eastAsia="宋体" w:cs="Times New Roman"/>
          <w:color w:val="000000" w:themeColor="text1"/>
          <w:spacing w:val="4"/>
          <w:sz w:val="24"/>
          <w14:textFill>
            <w14:solidFill>
              <w14:schemeClr w14:val="tx1"/>
            </w14:solidFill>
          </w14:textFill>
        </w:rPr>
        <w:t>91.56μm，平均33.65μm；排驱压力0.01MPa</w:t>
      </w:r>
      <w:r>
        <w:rPr>
          <w:rFonts w:hint="eastAsia" w:ascii="Times New Roman" w:hAnsi="Times New Roman" w:eastAsia="宋体" w:cs="Times New Roman"/>
          <w:color w:val="000000" w:themeColor="text1"/>
          <w:spacing w:val="4"/>
          <w:sz w:val="24"/>
          <w14:textFill>
            <w14:solidFill>
              <w14:schemeClr w14:val="tx1"/>
            </w14:solidFill>
          </w14:textFill>
        </w:rPr>
        <w:t>~</w:t>
      </w:r>
      <w:r>
        <w:rPr>
          <w:rFonts w:ascii="Times New Roman" w:hAnsi="Times New Roman" w:eastAsia="宋体" w:cs="Times New Roman"/>
          <w:color w:val="000000" w:themeColor="text1"/>
          <w:spacing w:val="4"/>
          <w:sz w:val="24"/>
          <w14:textFill>
            <w14:solidFill>
              <w14:schemeClr w14:val="tx1"/>
            </w14:solidFill>
          </w14:textFill>
        </w:rPr>
        <w:t>0.1MPa，平均0.033MPa。</w:t>
      </w:r>
    </w:p>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3.2.5</w:t>
      </w:r>
      <w:r>
        <w:rPr>
          <w:rFonts w:ascii="Times New Roman" w:hAnsi="Times New Roman" w:eastAsia="宋体" w:cs="Times New Roman"/>
          <w:color w:val="000000" w:themeColor="text1"/>
          <w:sz w:val="28"/>
          <w:szCs w:val="28"/>
          <w14:textFill>
            <w14:solidFill>
              <w14:schemeClr w14:val="tx1"/>
            </w14:solidFill>
          </w14:textFill>
        </w:rPr>
        <w:t>.3粘土矿物成分</w:t>
      </w:r>
    </w:p>
    <w:p>
      <w:pPr>
        <w:tabs>
          <w:tab w:val="left" w:pos="5760"/>
        </w:tabs>
        <w:adjustRightInd w:val="0"/>
        <w:snapToGrid w:val="0"/>
        <w:spacing w:line="360" w:lineRule="auto"/>
        <w:ind w:firstLine="496" w:firstLineChars="200"/>
        <w:rPr>
          <w:rFonts w:ascii="Times New Roman" w:hAnsi="Times New Roman" w:eastAsia="宋体" w:cs="Times New Roman"/>
          <w:color w:val="000000" w:themeColor="text1"/>
          <w:spacing w:val="4"/>
          <w:sz w:val="24"/>
          <w14:textFill>
            <w14:solidFill>
              <w14:schemeClr w14:val="tx1"/>
            </w14:solidFill>
          </w14:textFill>
        </w:rPr>
      </w:pPr>
      <w:r>
        <w:rPr>
          <w:rFonts w:ascii="Times New Roman" w:hAnsi="Times New Roman" w:eastAsia="宋体" w:cs="Times New Roman"/>
          <w:color w:val="000000" w:themeColor="text1"/>
          <w:spacing w:val="4"/>
          <w:sz w:val="24"/>
          <w14:textFill>
            <w14:solidFill>
              <w14:schemeClr w14:val="tx1"/>
            </w14:solidFill>
          </w14:textFill>
        </w:rPr>
        <w:t>呼图壁河组K</w:t>
      </w:r>
      <w:r>
        <w:rPr>
          <w:rFonts w:ascii="Times New Roman" w:hAnsi="Times New Roman" w:eastAsia="宋体" w:cs="Times New Roman"/>
          <w:color w:val="000000" w:themeColor="text1"/>
          <w:spacing w:val="4"/>
          <w:sz w:val="24"/>
          <w:vertAlign w:val="subscript"/>
          <w14:textFill>
            <w14:solidFill>
              <w14:schemeClr w14:val="tx1"/>
            </w14:solidFill>
          </w14:textFill>
        </w:rPr>
        <w:t>1</w:t>
      </w:r>
      <w:r>
        <w:rPr>
          <w:rFonts w:ascii="Times New Roman" w:hAnsi="Times New Roman" w:eastAsia="宋体" w:cs="Times New Roman"/>
          <w:i/>
          <w:iCs/>
          <w:color w:val="000000" w:themeColor="text1"/>
          <w:spacing w:val="4"/>
          <w:sz w:val="24"/>
          <w14:textFill>
            <w14:solidFill>
              <w14:schemeClr w14:val="tx1"/>
            </w14:solidFill>
          </w14:textFill>
        </w:rPr>
        <w:t>h</w:t>
      </w:r>
      <w:r>
        <w:rPr>
          <w:rFonts w:ascii="Times New Roman" w:hAnsi="Times New Roman" w:eastAsia="宋体" w:cs="Times New Roman"/>
          <w:color w:val="000000" w:themeColor="text1"/>
          <w:spacing w:val="4"/>
          <w:sz w:val="24"/>
          <w:vertAlign w:val="subscript"/>
          <w14:textFill>
            <w14:solidFill>
              <w14:schemeClr w14:val="tx1"/>
            </w14:solidFill>
          </w14:textFill>
        </w:rPr>
        <w:t>2</w:t>
      </w:r>
      <w:r>
        <w:rPr>
          <w:rFonts w:ascii="Times New Roman" w:hAnsi="Times New Roman" w:eastAsia="宋体" w:cs="Times New Roman"/>
          <w:color w:val="000000" w:themeColor="text1"/>
          <w:spacing w:val="4"/>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粘土矿物以蜂窝状的伊/蒙混层矿物为主，酸敏性矿物绿泥石次之。</w:t>
      </w:r>
    </w:p>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3.2.5</w:t>
      </w:r>
      <w:r>
        <w:rPr>
          <w:rFonts w:ascii="Times New Roman" w:hAnsi="Times New Roman" w:eastAsia="宋体" w:cs="Times New Roman"/>
          <w:color w:val="000000" w:themeColor="text1"/>
          <w:sz w:val="28"/>
          <w:szCs w:val="28"/>
          <w14:textFill>
            <w14:solidFill>
              <w14:schemeClr w14:val="tx1"/>
            </w14:solidFill>
          </w14:textFill>
        </w:rPr>
        <w:t>.4储层物性特征</w:t>
      </w:r>
      <w:bookmarkEnd w:id="206"/>
      <w:bookmarkEnd w:id="207"/>
      <w:bookmarkEnd w:id="208"/>
      <w:bookmarkEnd w:id="209"/>
      <w:bookmarkEnd w:id="210"/>
    </w:p>
    <w:p>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（1）</w:t>
      </w:r>
      <w:r>
        <w:rPr>
          <w:rFonts w:ascii="Times New Roman" w:hAnsi="Times New Roman" w:eastAsia="宋体" w:cs="Times New Roman"/>
          <w:color w:val="000000" w:themeColor="text1"/>
          <w:sz w:val="24"/>
          <w14:textFill>
            <w14:solidFill>
              <w14:schemeClr w14:val="tx1"/>
            </w14:solidFill>
          </w14:textFill>
        </w:rPr>
        <w:t>孔隙度、渗透率分布</w:t>
      </w:r>
    </w:p>
    <w:p>
      <w:pPr>
        <w:adjustRightInd w:val="0"/>
        <w:snapToGrid w:val="0"/>
        <w:spacing w:line="360" w:lineRule="auto"/>
        <w:ind w:firstLine="496" w:firstLineChars="200"/>
        <w:rPr>
          <w:rFonts w:ascii="Times New Roman" w:hAnsi="Times New Roman" w:eastAsia="宋体" w:cs="Times New Roman"/>
          <w:color w:val="000000" w:themeColor="text1"/>
          <w:spacing w:val="4"/>
          <w:sz w:val="24"/>
          <w14:textFill>
            <w14:solidFill>
              <w14:schemeClr w14:val="tx1"/>
            </w14:solidFill>
          </w14:textFill>
        </w:rPr>
      </w:pPr>
      <w:r>
        <w:rPr>
          <w:rFonts w:ascii="Times New Roman" w:hAnsi="Times New Roman" w:eastAsia="宋体" w:cs="Times New Roman"/>
          <w:color w:val="000000" w:themeColor="text1"/>
          <w:spacing w:val="4"/>
          <w:sz w:val="24"/>
          <w14:textFill>
            <w14:solidFill>
              <w14:schemeClr w14:val="tx1"/>
            </w14:solidFill>
          </w14:textFill>
        </w:rPr>
        <w:t>据岩心常规物性分析资料统计，呼图壁河组K</w:t>
      </w:r>
      <w:r>
        <w:rPr>
          <w:rFonts w:ascii="Times New Roman" w:hAnsi="Times New Roman" w:eastAsia="宋体" w:cs="Times New Roman"/>
          <w:color w:val="000000" w:themeColor="text1"/>
          <w:spacing w:val="4"/>
          <w:sz w:val="24"/>
          <w:vertAlign w:val="subscript"/>
          <w14:textFill>
            <w14:solidFill>
              <w14:schemeClr w14:val="tx1"/>
            </w14:solidFill>
          </w14:textFill>
        </w:rPr>
        <w:t>1</w:t>
      </w:r>
      <w:r>
        <w:rPr>
          <w:rFonts w:ascii="Times New Roman" w:hAnsi="Times New Roman" w:eastAsia="宋体" w:cs="Times New Roman"/>
          <w:i/>
          <w:iCs/>
          <w:color w:val="000000" w:themeColor="text1"/>
          <w:spacing w:val="4"/>
          <w:sz w:val="24"/>
          <w14:textFill>
            <w14:solidFill>
              <w14:schemeClr w14:val="tx1"/>
            </w14:solidFill>
          </w14:textFill>
        </w:rPr>
        <w:t>h</w:t>
      </w:r>
      <w:r>
        <w:rPr>
          <w:rFonts w:ascii="Times New Roman" w:hAnsi="Times New Roman" w:eastAsia="宋体" w:cs="Times New Roman"/>
          <w:color w:val="000000" w:themeColor="text1"/>
          <w:spacing w:val="4"/>
          <w:sz w:val="24"/>
          <w:vertAlign w:val="subscript"/>
          <w14:textFill>
            <w14:solidFill>
              <w14:schemeClr w14:val="tx1"/>
            </w14:solidFill>
          </w14:textFill>
        </w:rPr>
        <w:t>2</w:t>
      </w:r>
      <w:r>
        <w:rPr>
          <w:rFonts w:ascii="Times New Roman" w:hAnsi="Times New Roman" w:eastAsia="宋体" w:cs="Times New Roman"/>
          <w:color w:val="000000" w:themeColor="text1"/>
          <w:spacing w:val="4"/>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岩样分析储层孔隙度分布范围24.4%～33.6%，平均30.3%，渗透率分布范围17.1mD～4760.0mD，平均1135.8mD；油层孔隙度分布范围24.4%～33.6%，平均30.5%，渗透率分布范围139.0mD～4760.0mD，平均1801.9mD，为高孔、高渗储集层。</w:t>
      </w:r>
    </w:p>
    <w:p>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孔隙度、渗透率关系</w:t>
      </w:r>
    </w:p>
    <w:p>
      <w:pPr>
        <w:adjustRightInd w:val="0"/>
        <w:snapToGrid w:val="0"/>
        <w:spacing w:line="360" w:lineRule="auto"/>
        <w:ind w:firstLine="496" w:firstLineChars="200"/>
        <w:rPr>
          <w:rFonts w:ascii="Times New Roman" w:hAnsi="Times New Roman" w:eastAsia="宋体" w:cs="Times New Roman"/>
          <w:color w:val="000000" w:themeColor="text1"/>
          <w:spacing w:val="4"/>
          <w:sz w:val="24"/>
          <w14:textFill>
            <w14:solidFill>
              <w14:schemeClr w14:val="tx1"/>
            </w14:solidFill>
          </w14:textFill>
        </w:rPr>
      </w:pPr>
      <w:r>
        <w:rPr>
          <w:rFonts w:ascii="Times New Roman" w:hAnsi="Times New Roman" w:eastAsia="宋体" w:cs="Times New Roman"/>
          <w:color w:val="000000" w:themeColor="text1"/>
          <w:spacing w:val="4"/>
          <w:sz w:val="24"/>
          <w14:textFill>
            <w14:solidFill>
              <w14:schemeClr w14:val="tx1"/>
            </w14:solidFill>
          </w14:textFill>
        </w:rPr>
        <w:t>利用岩心分析孔隙度资料，经深度归位后，建立呼图壁河组K</w:t>
      </w:r>
      <w:r>
        <w:rPr>
          <w:rFonts w:ascii="Times New Roman" w:hAnsi="Times New Roman" w:eastAsia="宋体" w:cs="Times New Roman"/>
          <w:color w:val="000000" w:themeColor="text1"/>
          <w:spacing w:val="4"/>
          <w:sz w:val="24"/>
          <w:vertAlign w:val="subscript"/>
          <w14:textFill>
            <w14:solidFill>
              <w14:schemeClr w14:val="tx1"/>
            </w14:solidFill>
          </w14:textFill>
        </w:rPr>
        <w:t>1</w:t>
      </w:r>
      <w:r>
        <w:rPr>
          <w:rFonts w:ascii="Times New Roman" w:hAnsi="Times New Roman" w:eastAsia="宋体" w:cs="Times New Roman"/>
          <w:i/>
          <w:iCs/>
          <w:color w:val="000000" w:themeColor="text1"/>
          <w:spacing w:val="4"/>
          <w:sz w:val="24"/>
          <w14:textFill>
            <w14:solidFill>
              <w14:schemeClr w14:val="tx1"/>
            </w14:solidFill>
          </w14:textFill>
        </w:rPr>
        <w:t>h</w:t>
      </w:r>
      <w:r>
        <w:rPr>
          <w:rFonts w:ascii="Times New Roman" w:hAnsi="Times New Roman" w:eastAsia="宋体" w:cs="Times New Roman"/>
          <w:color w:val="000000" w:themeColor="text1"/>
          <w:spacing w:val="4"/>
          <w:sz w:val="24"/>
          <w:vertAlign w:val="subscript"/>
          <w14:textFill>
            <w14:solidFill>
              <w14:schemeClr w14:val="tx1"/>
            </w14:solidFill>
          </w14:textFill>
        </w:rPr>
        <w:t>2</w:t>
      </w:r>
      <w:r>
        <w:rPr>
          <w:rFonts w:ascii="Times New Roman" w:hAnsi="Times New Roman" w:eastAsia="宋体" w:cs="Times New Roman"/>
          <w:color w:val="000000" w:themeColor="text1"/>
          <w:spacing w:val="4"/>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油藏的孔隙度与密度、孔隙度与渗透率关系式，其关系式为：</w:t>
      </w:r>
    </w:p>
    <w:p>
      <w:pPr>
        <w:adjustRightInd w:val="0"/>
        <w:snapToGrid w:val="0"/>
        <w:spacing w:line="360" w:lineRule="auto"/>
        <w:ind w:firstLine="480" w:firstLineChars="20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Ф=175.699-66.9507×ρ</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lgK=0.15551×Ф-1.96569</w:t>
      </w:r>
    </w:p>
    <w:p>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式中：Φ——有效孔隙度，%；ρ——密度，g/cm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；K——渗透率，×10</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μm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w:t>
      </w:r>
    </w:p>
    <w:p>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物性</w:t>
      </w:r>
      <w:r>
        <w:rPr>
          <w:rFonts w:hint="eastAsia" w:cs="Times New Roman"/>
          <w:color w:val="000000" w:themeColor="text1"/>
          <w:sz w:val="24"/>
          <w14:textFill>
            <w14:solidFill>
              <w14:schemeClr w14:val="tx1"/>
            </w14:solidFill>
          </w14:textFill>
        </w:rPr>
        <w:t>分</w:t>
      </w:r>
      <w:r>
        <w:rPr>
          <w:rFonts w:ascii="Times New Roman" w:hAnsi="Times New Roman" w:eastAsia="宋体" w:cs="Times New Roman"/>
          <w:color w:val="000000" w:themeColor="text1"/>
          <w:sz w:val="24"/>
          <w14:textFill>
            <w14:solidFill>
              <w14:schemeClr w14:val="tx1"/>
            </w14:solidFill>
          </w14:textFill>
        </w:rPr>
        <w:t>布特征</w:t>
      </w:r>
    </w:p>
    <w:p>
      <w:pPr>
        <w:adjustRightInd w:val="0"/>
        <w:snapToGrid w:val="0"/>
        <w:spacing w:line="360" w:lineRule="auto"/>
        <w:ind w:firstLine="496" w:firstLineChars="200"/>
        <w:rPr>
          <w:rFonts w:ascii="Times New Roman" w:hAnsi="Times New Roman" w:eastAsia="宋体" w:cs="Times New Roman"/>
          <w:color w:val="000000" w:themeColor="text1"/>
          <w:spacing w:val="4"/>
          <w:sz w:val="24"/>
          <w14:textFill>
            <w14:solidFill>
              <w14:schemeClr w14:val="tx1"/>
            </w14:solidFill>
          </w14:textFill>
        </w:rPr>
      </w:pPr>
      <w:r>
        <w:rPr>
          <w:rFonts w:ascii="Times New Roman" w:hAnsi="Times New Roman" w:eastAsia="宋体" w:cs="Times New Roman"/>
          <w:color w:val="000000" w:themeColor="text1"/>
          <w:spacing w:val="4"/>
          <w:sz w:val="24"/>
          <w14:textFill>
            <w14:solidFill>
              <w14:schemeClr w14:val="tx1"/>
            </w14:solidFill>
          </w14:textFill>
        </w:rPr>
        <w:t>根据上述关系式，对陆9井区</w:t>
      </w:r>
      <w:r>
        <w:rPr>
          <w:rFonts w:ascii="Times New Roman" w:hAnsi="Times New Roman" w:eastAsia="宋体" w:cs="Times New Roman"/>
          <w:color w:val="000000" w:themeColor="text1"/>
          <w:sz w:val="24"/>
          <w:szCs w:val="32"/>
          <w14:textFill>
            <w14:solidFill>
              <w14:schemeClr w14:val="tx1"/>
            </w14:solidFill>
          </w14:textFill>
        </w:rPr>
        <w:t>呼图壁河组</w:t>
      </w:r>
      <w:r>
        <w:rPr>
          <w:rFonts w:ascii="Times New Roman" w:hAnsi="Times New Roman" w:eastAsia="宋体" w:cs="Times New Roman"/>
          <w:color w:val="000000" w:themeColor="text1"/>
          <w:sz w:val="24"/>
          <w14:textFill>
            <w14:solidFill>
              <w14:schemeClr w14:val="tx1"/>
            </w14:solidFill>
          </w14:textFill>
        </w:rPr>
        <w:t>K</w:t>
      </w:r>
      <w:r>
        <w:rPr>
          <w:rFonts w:ascii="Times New Roman" w:hAnsi="Times New Roman" w:eastAsia="宋体" w:cs="Times New Roman"/>
          <w:color w:val="000000" w:themeColor="text1"/>
          <w:sz w:val="24"/>
          <w:vertAlign w:val="subscript"/>
          <w14:textFill>
            <w14:solidFill>
              <w14:schemeClr w14:val="tx1"/>
            </w14:solidFill>
          </w14:textFill>
        </w:rPr>
        <w:t>1</w:t>
      </w:r>
      <w:r>
        <w:rPr>
          <w:rFonts w:ascii="Times New Roman" w:hAnsi="Times New Roman" w:eastAsia="宋体" w:cs="Times New Roman"/>
          <w:i/>
          <w:iCs/>
          <w:color w:val="000000" w:themeColor="text1"/>
          <w:sz w:val="24"/>
          <w14:textFill>
            <w14:solidFill>
              <w14:schemeClr w14:val="tx1"/>
            </w14:solidFill>
          </w14:textFill>
        </w:rPr>
        <w:t>h</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油藏进行测井解释，编制了该油藏的孔隙度、渗透率平面分布图。</w:t>
      </w:r>
      <w:r>
        <w:rPr>
          <w:rFonts w:ascii="Times New Roman" w:hAnsi="Times New Roman" w:eastAsia="宋体" w:cs="Times New Roman"/>
          <w:color w:val="000000" w:themeColor="text1"/>
          <w:sz w:val="24"/>
          <w14:textFill>
            <w14:solidFill>
              <w14:schemeClr w14:val="tx1"/>
            </w14:solidFill>
          </w14:textFill>
        </w:rPr>
        <w:t>K</w:t>
      </w:r>
      <w:r>
        <w:rPr>
          <w:rFonts w:ascii="Times New Roman" w:hAnsi="Times New Roman" w:eastAsia="宋体" w:cs="Times New Roman"/>
          <w:color w:val="000000" w:themeColor="text1"/>
          <w:sz w:val="24"/>
          <w:vertAlign w:val="subscript"/>
          <w14:textFill>
            <w14:solidFill>
              <w14:schemeClr w14:val="tx1"/>
            </w14:solidFill>
          </w14:textFill>
        </w:rPr>
        <w:t>1</w:t>
      </w:r>
      <w:r>
        <w:rPr>
          <w:rFonts w:ascii="Times New Roman" w:hAnsi="Times New Roman" w:eastAsia="宋体" w:cs="Times New Roman"/>
          <w:i/>
          <w:iCs/>
          <w:color w:val="000000" w:themeColor="text1"/>
          <w:sz w:val="24"/>
          <w14:textFill>
            <w14:solidFill>
              <w14:schemeClr w14:val="tx1"/>
            </w14:solidFill>
          </w14:textFill>
        </w:rPr>
        <w:t>h</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油藏测井解释油层孔隙度平面分布范围29.1%~35.4%，平均32.5%，渗透率154.0mD</w:t>
      </w:r>
      <w:r>
        <w:rPr>
          <w:rFonts w:hint="eastAsia" w:ascii="Times New Roman" w:hAnsi="Times New Roman" w:eastAsia="宋体" w:cs="Times New Roman"/>
          <w:color w:val="000000" w:themeColor="text1"/>
          <w:spacing w:val="4"/>
          <w:sz w:val="24"/>
          <w14:textFill>
            <w14:solidFill>
              <w14:schemeClr w14:val="tx1"/>
            </w14:solidFill>
          </w14:textFill>
        </w:rPr>
        <w:t>~</w:t>
      </w:r>
      <w:r>
        <w:rPr>
          <w:rFonts w:ascii="Times New Roman" w:hAnsi="Times New Roman" w:eastAsia="宋体" w:cs="Times New Roman"/>
          <w:color w:val="000000" w:themeColor="text1"/>
          <w:spacing w:val="4"/>
          <w:sz w:val="24"/>
          <w14:textFill>
            <w14:solidFill>
              <w14:schemeClr w14:val="tx1"/>
            </w14:solidFill>
          </w14:textFill>
        </w:rPr>
        <w:t>4020.0mD，平均1684.2mD，整体上呈现油藏中部物性好于边部。</w:t>
      </w:r>
      <w:r>
        <w:rPr>
          <w:rFonts w:hint="eastAsia" w:ascii="Times New Roman" w:hAnsi="Times New Roman" w:eastAsia="宋体" w:cs="Times New Roman"/>
          <w:color w:val="000000" w:themeColor="text1"/>
          <w:spacing w:val="4"/>
          <w:sz w:val="24"/>
          <w14:textFill>
            <w14:solidFill>
              <w14:schemeClr w14:val="tx1"/>
            </w14:solidFill>
          </w14:textFill>
        </w:rPr>
        <w:t>水垂比为1.47，储层垂直渗透率</w:t>
      </w:r>
      <w:r>
        <w:rPr>
          <w:rFonts w:ascii="Times New Roman" w:hAnsi="Times New Roman" w:eastAsia="宋体" w:cs="Times New Roman"/>
          <w:color w:val="000000" w:themeColor="text1"/>
          <w:spacing w:val="4"/>
          <w:sz w:val="24"/>
          <w14:textFill>
            <w14:solidFill>
              <w14:schemeClr w14:val="tx1"/>
            </w14:solidFill>
          </w14:textFill>
        </w:rPr>
        <w:t>1</w:t>
      </w:r>
      <w:r>
        <w:rPr>
          <w:rFonts w:hint="eastAsia" w:ascii="Times New Roman" w:hAnsi="Times New Roman" w:eastAsia="宋体" w:cs="Times New Roman"/>
          <w:color w:val="000000" w:themeColor="text1"/>
          <w:spacing w:val="4"/>
          <w:sz w:val="24"/>
          <w14:textFill>
            <w14:solidFill>
              <w14:schemeClr w14:val="tx1"/>
            </w14:solidFill>
          </w14:textFill>
        </w:rPr>
        <w:t>145.7</w:t>
      </w:r>
      <w:r>
        <w:rPr>
          <w:rFonts w:ascii="Times New Roman" w:hAnsi="Times New Roman" w:eastAsia="宋体" w:cs="Times New Roman"/>
          <w:color w:val="000000" w:themeColor="text1"/>
          <w:spacing w:val="4"/>
          <w:sz w:val="24"/>
          <w14:textFill>
            <w14:solidFill>
              <w14:schemeClr w14:val="tx1"/>
            </w14:solidFill>
          </w14:textFill>
        </w:rPr>
        <w:t>mD</w:t>
      </w:r>
      <w:r>
        <w:rPr>
          <w:rFonts w:hint="eastAsia" w:ascii="Times New Roman" w:hAnsi="Times New Roman" w:eastAsia="宋体" w:cs="Times New Roman"/>
          <w:color w:val="000000" w:themeColor="text1"/>
          <w:spacing w:val="4"/>
          <w:sz w:val="24"/>
          <w14:textFill>
            <w14:solidFill>
              <w14:schemeClr w14:val="tx1"/>
            </w14:solidFill>
          </w14:textFill>
        </w:rPr>
        <w:t>。</w:t>
      </w:r>
    </w:p>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3.2.5</w:t>
      </w:r>
      <w:r>
        <w:rPr>
          <w:rFonts w:ascii="Times New Roman" w:hAnsi="Times New Roman" w:eastAsia="宋体" w:cs="Times New Roman"/>
          <w:color w:val="000000" w:themeColor="text1"/>
          <w:sz w:val="28"/>
          <w:szCs w:val="28"/>
          <w14:textFill>
            <w14:solidFill>
              <w14:schemeClr w14:val="tx1"/>
            </w14:solidFill>
          </w14:textFill>
        </w:rPr>
        <w:t>.5 储层非均质性特征</w:t>
      </w:r>
    </w:p>
    <w:p>
      <w:pPr>
        <w:adjustRightInd w:val="0"/>
        <w:snapToGrid w:val="0"/>
        <w:spacing w:line="360" w:lineRule="auto"/>
        <w:ind w:firstLine="496" w:firstLineChars="200"/>
        <w:rPr>
          <w:rFonts w:ascii="Times New Roman" w:hAnsi="Times New Roman" w:eastAsia="宋体" w:cs="Times New Roman"/>
          <w:color w:val="000000" w:themeColor="text1"/>
          <w:spacing w:val="4"/>
          <w:sz w:val="24"/>
          <w14:textFill>
            <w14:solidFill>
              <w14:schemeClr w14:val="tx1"/>
            </w14:solidFill>
          </w14:textFill>
        </w:rPr>
      </w:pPr>
      <w:r>
        <w:rPr>
          <w:rFonts w:ascii="Times New Roman" w:hAnsi="Times New Roman" w:eastAsia="宋体" w:cs="Times New Roman"/>
          <w:color w:val="000000" w:themeColor="text1"/>
          <w:spacing w:val="4"/>
          <w:sz w:val="24"/>
          <w14:textFill>
            <w14:solidFill>
              <w14:schemeClr w14:val="tx1"/>
            </w14:solidFill>
          </w14:textFill>
        </w:rPr>
        <w:t>据呼图壁河组K</w:t>
      </w:r>
      <w:r>
        <w:rPr>
          <w:rFonts w:ascii="Times New Roman" w:hAnsi="Times New Roman" w:eastAsia="宋体" w:cs="Times New Roman"/>
          <w:color w:val="000000" w:themeColor="text1"/>
          <w:spacing w:val="4"/>
          <w:sz w:val="24"/>
          <w:vertAlign w:val="subscript"/>
          <w14:textFill>
            <w14:solidFill>
              <w14:schemeClr w14:val="tx1"/>
            </w14:solidFill>
          </w14:textFill>
        </w:rPr>
        <w:t>1</w:t>
      </w:r>
      <w:r>
        <w:rPr>
          <w:rFonts w:ascii="Times New Roman" w:hAnsi="Times New Roman" w:eastAsia="宋体" w:cs="Times New Roman"/>
          <w:i/>
          <w:iCs/>
          <w:color w:val="000000" w:themeColor="text1"/>
          <w:spacing w:val="4"/>
          <w:sz w:val="24"/>
          <w14:textFill>
            <w14:solidFill>
              <w14:schemeClr w14:val="tx1"/>
            </w14:solidFill>
          </w14:textFill>
        </w:rPr>
        <w:t>h</w:t>
      </w:r>
      <w:r>
        <w:rPr>
          <w:rFonts w:ascii="Times New Roman" w:hAnsi="Times New Roman" w:eastAsia="宋体" w:cs="Times New Roman"/>
          <w:color w:val="000000" w:themeColor="text1"/>
          <w:spacing w:val="4"/>
          <w:sz w:val="24"/>
          <w:vertAlign w:val="subscript"/>
          <w14:textFill>
            <w14:solidFill>
              <w14:schemeClr w14:val="tx1"/>
            </w14:solidFill>
          </w14:textFill>
        </w:rPr>
        <w:t>2</w:t>
      </w:r>
      <w:r>
        <w:rPr>
          <w:rFonts w:ascii="Times New Roman" w:hAnsi="Times New Roman" w:eastAsia="宋体" w:cs="Times New Roman"/>
          <w:color w:val="000000" w:themeColor="text1"/>
          <w:spacing w:val="4"/>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层4口取心井岩心物性分析资料显示，储层变异系数在0.40~0.70之间，突进系数在1.51~2.45之间（见表</w:t>
      </w:r>
      <w:r>
        <w:rPr>
          <w:rFonts w:hint="eastAsia" w:ascii="Times New Roman" w:hAnsi="Times New Roman" w:eastAsia="宋体" w:cs="Times New Roman"/>
          <w:color w:val="000000" w:themeColor="text1"/>
          <w:spacing w:val="4"/>
          <w:sz w:val="24"/>
          <w14:textFill>
            <w14:solidFill>
              <w14:schemeClr w14:val="tx1"/>
            </w14:solidFill>
          </w14:textFill>
        </w:rPr>
        <w:t>3.</w:t>
      </w:r>
      <w:r>
        <w:rPr>
          <w:rFonts w:ascii="Times New Roman" w:hAnsi="Times New Roman" w:eastAsia="宋体" w:cs="Times New Roman"/>
          <w:color w:val="000000" w:themeColor="text1"/>
          <w:spacing w:val="4"/>
          <w:sz w:val="24"/>
          <w14:textFill>
            <w14:solidFill>
              <w14:schemeClr w14:val="tx1"/>
            </w14:solidFill>
          </w14:textFill>
        </w:rPr>
        <w:t>2-2）；测井解释储层平面变异系数在0.22~0.92之间，平均0.47，突进系数在0.73~3.95之间，平均2.15，整体表现为弱非均质性的特点。</w:t>
      </w:r>
    </w:p>
    <w:p>
      <w:pPr>
        <w:adjustRightInd w:val="0"/>
        <w:snapToGrid w:val="0"/>
        <w:spacing w:line="360" w:lineRule="auto"/>
        <w:ind w:firstLine="422" w:firstLineChars="200"/>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表</w:t>
      </w:r>
      <w:r>
        <w:rPr>
          <w:rFonts w:hint="eastAsia" w:ascii="Times New Roman" w:hAnsi="Times New Roman" w:eastAsia="宋体" w:cs="Times New Roman"/>
          <w:b/>
          <w:color w:val="000000" w:themeColor="text1"/>
          <w:szCs w:val="21"/>
          <w14:textFill>
            <w14:solidFill>
              <w14:schemeClr w14:val="tx1"/>
            </w14:solidFill>
          </w14:textFill>
        </w:rPr>
        <w:t>3.</w:t>
      </w:r>
      <w:r>
        <w:rPr>
          <w:rFonts w:ascii="Times New Roman" w:hAnsi="Times New Roman" w:eastAsia="宋体" w:cs="Times New Roman"/>
          <w:b/>
          <w:color w:val="000000" w:themeColor="text1"/>
          <w:szCs w:val="21"/>
          <w14:textFill>
            <w14:solidFill>
              <w14:schemeClr w14:val="tx1"/>
            </w14:solidFill>
          </w14:textFill>
        </w:rPr>
        <w:t>2-2  陆9井区呼图壁河组K</w:t>
      </w:r>
      <w:r>
        <w:rPr>
          <w:rFonts w:ascii="Times New Roman" w:hAnsi="Times New Roman" w:eastAsia="宋体" w:cs="Times New Roman"/>
          <w:b/>
          <w:color w:val="000000" w:themeColor="text1"/>
          <w:szCs w:val="21"/>
          <w:vertAlign w:val="subscript"/>
          <w14:textFill>
            <w14:solidFill>
              <w14:schemeClr w14:val="tx1"/>
            </w14:solidFill>
          </w14:textFill>
        </w:rPr>
        <w:t>1</w:t>
      </w:r>
      <w:r>
        <w:rPr>
          <w:rFonts w:ascii="Times New Roman" w:hAnsi="Times New Roman" w:eastAsia="宋体" w:cs="Times New Roman"/>
          <w:b/>
          <w:i/>
          <w:iCs/>
          <w:color w:val="000000" w:themeColor="text1"/>
          <w:szCs w:val="21"/>
          <w14:textFill>
            <w14:solidFill>
              <w14:schemeClr w14:val="tx1"/>
            </w14:solidFill>
          </w14:textFill>
        </w:rPr>
        <w:t>h</w:t>
      </w:r>
      <w:r>
        <w:rPr>
          <w:rFonts w:ascii="Times New Roman" w:hAnsi="Times New Roman" w:eastAsia="宋体" w:cs="Times New Roman"/>
          <w:b/>
          <w:color w:val="000000" w:themeColor="text1"/>
          <w:szCs w:val="21"/>
          <w:vertAlign w:val="subscript"/>
          <w14:textFill>
            <w14:solidFill>
              <w14:schemeClr w14:val="tx1"/>
            </w14:solidFill>
          </w14:textFill>
        </w:rPr>
        <w:t>2</w:t>
      </w:r>
      <w:r>
        <w:rPr>
          <w:rFonts w:ascii="Times New Roman" w:hAnsi="Times New Roman" w:eastAsia="宋体" w:cs="Times New Roman"/>
          <w:b/>
          <w:color w:val="000000" w:themeColor="text1"/>
          <w:szCs w:val="21"/>
          <w:vertAlign w:val="superscript"/>
          <w14:textFill>
            <w14:solidFill>
              <w14:schemeClr w14:val="tx1"/>
            </w14:solidFill>
          </w14:textFill>
        </w:rPr>
        <w:t>3-4</w:t>
      </w:r>
      <w:r>
        <w:rPr>
          <w:rFonts w:ascii="Times New Roman" w:hAnsi="Times New Roman" w:eastAsia="宋体" w:cs="Times New Roman"/>
          <w:b/>
          <w:color w:val="000000" w:themeColor="text1"/>
          <w:spacing w:val="4"/>
          <w:szCs w:val="21"/>
          <w14:textFill>
            <w14:solidFill>
              <w14:schemeClr w14:val="tx1"/>
            </w14:solidFill>
          </w14:textFill>
        </w:rPr>
        <w:t>油藏岩心非均质参数统计表</w:t>
      </w:r>
    </w:p>
    <w:tbl>
      <w:tblPr>
        <w:tblStyle w:val="23"/>
        <w:tblW w:w="84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
        <w:gridCol w:w="736"/>
        <w:gridCol w:w="816"/>
        <w:gridCol w:w="816"/>
        <w:gridCol w:w="816"/>
        <w:gridCol w:w="651"/>
        <w:gridCol w:w="688"/>
        <w:gridCol w:w="627"/>
        <w:gridCol w:w="758"/>
        <w:gridCol w:w="785"/>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883" w:type="dxa"/>
            <w:vMerge w:val="restart"/>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井号</w:t>
            </w:r>
          </w:p>
        </w:tc>
        <w:tc>
          <w:tcPr>
            <w:tcW w:w="736" w:type="dxa"/>
            <w:vMerge w:val="restart"/>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位于油藏位置</w:t>
            </w:r>
          </w:p>
        </w:tc>
        <w:tc>
          <w:tcPr>
            <w:tcW w:w="816" w:type="dxa"/>
            <w:vMerge w:val="restart"/>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pacing w:val="4"/>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渗透率</w:t>
            </w:r>
          </w:p>
          <w:p>
            <w:pPr>
              <w:widowControl/>
              <w:adjustRightInd w:val="0"/>
              <w:snapToGrid w:val="0"/>
              <w:jc w:val="center"/>
              <w:textAlignment w:val="top"/>
              <w:rPr>
                <w:rFonts w:ascii="Times New Roman" w:hAnsi="Times New Roman" w:eastAsia="宋体" w:cs="Times New Roman"/>
                <w:b/>
                <w:bCs/>
                <w:color w:val="000000" w:themeColor="text1"/>
                <w:spacing w:val="4"/>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最小值</w:t>
            </w:r>
          </w:p>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mD</w:t>
            </w:r>
          </w:p>
        </w:tc>
        <w:tc>
          <w:tcPr>
            <w:tcW w:w="816" w:type="dxa"/>
            <w:vMerge w:val="restart"/>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pacing w:val="4"/>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渗透率最大值</w:t>
            </w:r>
          </w:p>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mD</w:t>
            </w:r>
          </w:p>
        </w:tc>
        <w:tc>
          <w:tcPr>
            <w:tcW w:w="816" w:type="dxa"/>
            <w:vMerge w:val="restart"/>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pacing w:val="4"/>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渗透率</w:t>
            </w:r>
          </w:p>
          <w:p>
            <w:pPr>
              <w:widowControl/>
              <w:adjustRightInd w:val="0"/>
              <w:snapToGrid w:val="0"/>
              <w:jc w:val="center"/>
              <w:textAlignment w:val="top"/>
              <w:rPr>
                <w:rFonts w:ascii="Times New Roman" w:hAnsi="Times New Roman" w:eastAsia="宋体" w:cs="Times New Roman"/>
                <w:b/>
                <w:bCs/>
                <w:color w:val="000000" w:themeColor="text1"/>
                <w:spacing w:val="4"/>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平均值</w:t>
            </w:r>
          </w:p>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mD</w:t>
            </w:r>
          </w:p>
        </w:tc>
        <w:tc>
          <w:tcPr>
            <w:tcW w:w="651" w:type="dxa"/>
            <w:vMerge w:val="restart"/>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pacing w:val="4"/>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变异</w:t>
            </w:r>
          </w:p>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系数</w:t>
            </w:r>
          </w:p>
        </w:tc>
        <w:tc>
          <w:tcPr>
            <w:tcW w:w="688" w:type="dxa"/>
            <w:vMerge w:val="restart"/>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pacing w:val="4"/>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突进</w:t>
            </w:r>
          </w:p>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系数</w:t>
            </w:r>
          </w:p>
        </w:tc>
        <w:tc>
          <w:tcPr>
            <w:tcW w:w="627" w:type="dxa"/>
            <w:vMerge w:val="restart"/>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级差</w:t>
            </w:r>
          </w:p>
        </w:tc>
        <w:tc>
          <w:tcPr>
            <w:tcW w:w="1543" w:type="dxa"/>
            <w:gridSpan w:val="2"/>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非均质性评价</w:t>
            </w:r>
          </w:p>
        </w:tc>
        <w:tc>
          <w:tcPr>
            <w:tcW w:w="839" w:type="dxa"/>
            <w:vMerge w:val="restart"/>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883" w:type="dxa"/>
            <w:vMerge w:val="continue"/>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p>
        </w:tc>
        <w:tc>
          <w:tcPr>
            <w:tcW w:w="736" w:type="dxa"/>
            <w:vMerge w:val="continue"/>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p>
        </w:tc>
        <w:tc>
          <w:tcPr>
            <w:tcW w:w="816" w:type="dxa"/>
            <w:vMerge w:val="continue"/>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p>
        </w:tc>
        <w:tc>
          <w:tcPr>
            <w:tcW w:w="816" w:type="dxa"/>
            <w:vMerge w:val="continue"/>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p>
        </w:tc>
        <w:tc>
          <w:tcPr>
            <w:tcW w:w="816" w:type="dxa"/>
            <w:vMerge w:val="continue"/>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p>
        </w:tc>
        <w:tc>
          <w:tcPr>
            <w:tcW w:w="651" w:type="dxa"/>
            <w:vMerge w:val="continue"/>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p>
        </w:tc>
        <w:tc>
          <w:tcPr>
            <w:tcW w:w="688" w:type="dxa"/>
            <w:vMerge w:val="continue"/>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p>
        </w:tc>
        <w:tc>
          <w:tcPr>
            <w:tcW w:w="627" w:type="dxa"/>
            <w:vMerge w:val="continue"/>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p>
        </w:tc>
        <w:tc>
          <w:tcPr>
            <w:tcW w:w="758"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Vk</w:t>
            </w:r>
          </w:p>
        </w:tc>
        <w:tc>
          <w:tcPr>
            <w:tcW w:w="785"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Tk</w:t>
            </w:r>
          </w:p>
        </w:tc>
        <w:tc>
          <w:tcPr>
            <w:tcW w:w="839" w:type="dxa"/>
            <w:vMerge w:val="continue"/>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883"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陆102</w:t>
            </w:r>
          </w:p>
        </w:tc>
        <w:tc>
          <w:tcPr>
            <w:tcW w:w="73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西部</w:t>
            </w: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1010.0</w:t>
            </w: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4760.0</w:t>
            </w: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3146.0</w:t>
            </w:r>
          </w:p>
        </w:tc>
        <w:tc>
          <w:tcPr>
            <w:tcW w:w="651"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0.40</w:t>
            </w:r>
          </w:p>
        </w:tc>
        <w:tc>
          <w:tcPr>
            <w:tcW w:w="688"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1.51</w:t>
            </w:r>
          </w:p>
        </w:tc>
        <w:tc>
          <w:tcPr>
            <w:tcW w:w="627"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4.71</w:t>
            </w:r>
          </w:p>
        </w:tc>
        <w:tc>
          <w:tcPr>
            <w:tcW w:w="758"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均匀</w:t>
            </w:r>
          </w:p>
        </w:tc>
        <w:tc>
          <w:tcPr>
            <w:tcW w:w="785"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均匀</w:t>
            </w:r>
          </w:p>
        </w:tc>
        <w:tc>
          <w:tcPr>
            <w:tcW w:w="839"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陆102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883"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LU9095</w:t>
            </w:r>
          </w:p>
        </w:tc>
        <w:tc>
          <w:tcPr>
            <w:tcW w:w="736" w:type="dxa"/>
            <w:vMerge w:val="restart"/>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中部</w:t>
            </w: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682.0</w:t>
            </w: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3800.0</w:t>
            </w: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2173.3</w:t>
            </w:r>
          </w:p>
        </w:tc>
        <w:tc>
          <w:tcPr>
            <w:tcW w:w="651"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0.45</w:t>
            </w:r>
          </w:p>
        </w:tc>
        <w:tc>
          <w:tcPr>
            <w:tcW w:w="688"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1.75</w:t>
            </w:r>
          </w:p>
        </w:tc>
        <w:tc>
          <w:tcPr>
            <w:tcW w:w="627"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5.57</w:t>
            </w:r>
          </w:p>
        </w:tc>
        <w:tc>
          <w:tcPr>
            <w:tcW w:w="758"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均匀</w:t>
            </w:r>
          </w:p>
        </w:tc>
        <w:tc>
          <w:tcPr>
            <w:tcW w:w="785"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均匀</w:t>
            </w:r>
          </w:p>
        </w:tc>
        <w:tc>
          <w:tcPr>
            <w:tcW w:w="839"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LU9095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883"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陆检2</w:t>
            </w:r>
          </w:p>
        </w:tc>
        <w:tc>
          <w:tcPr>
            <w:tcW w:w="736" w:type="dxa"/>
            <w:vMerge w:val="continue"/>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191.0</w:t>
            </w: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4190.0</w:t>
            </w: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2412.1</w:t>
            </w:r>
          </w:p>
        </w:tc>
        <w:tc>
          <w:tcPr>
            <w:tcW w:w="651"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0.44</w:t>
            </w:r>
          </w:p>
        </w:tc>
        <w:tc>
          <w:tcPr>
            <w:tcW w:w="688"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1.74</w:t>
            </w:r>
          </w:p>
        </w:tc>
        <w:tc>
          <w:tcPr>
            <w:tcW w:w="627"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21.94</w:t>
            </w:r>
          </w:p>
        </w:tc>
        <w:tc>
          <w:tcPr>
            <w:tcW w:w="758"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均匀</w:t>
            </w:r>
          </w:p>
        </w:tc>
        <w:tc>
          <w:tcPr>
            <w:tcW w:w="785"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均匀</w:t>
            </w:r>
          </w:p>
        </w:tc>
        <w:tc>
          <w:tcPr>
            <w:tcW w:w="839"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陆检2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883"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LU2180</w:t>
            </w:r>
          </w:p>
        </w:tc>
        <w:tc>
          <w:tcPr>
            <w:tcW w:w="736" w:type="dxa"/>
            <w:vMerge w:val="continue"/>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139.0</w:t>
            </w: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4760.0</w:t>
            </w:r>
          </w:p>
        </w:tc>
        <w:tc>
          <w:tcPr>
            <w:tcW w:w="816"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1946.0</w:t>
            </w:r>
          </w:p>
        </w:tc>
        <w:tc>
          <w:tcPr>
            <w:tcW w:w="651"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0.70</w:t>
            </w:r>
          </w:p>
        </w:tc>
        <w:tc>
          <w:tcPr>
            <w:tcW w:w="688"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2.45</w:t>
            </w:r>
          </w:p>
        </w:tc>
        <w:tc>
          <w:tcPr>
            <w:tcW w:w="627"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34.24</w:t>
            </w:r>
          </w:p>
        </w:tc>
        <w:tc>
          <w:tcPr>
            <w:tcW w:w="758"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较均匀</w:t>
            </w:r>
          </w:p>
        </w:tc>
        <w:tc>
          <w:tcPr>
            <w:tcW w:w="785"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较均匀</w:t>
            </w:r>
          </w:p>
        </w:tc>
        <w:tc>
          <w:tcPr>
            <w:tcW w:w="839" w:type="dxa"/>
            <w:tcBorders>
              <w:tl2br w:val="nil"/>
              <w:tr2bl w:val="nil"/>
            </w:tcBorders>
            <w:tcMar>
              <w:top w:w="0" w:type="dxa"/>
              <w:left w:w="57" w:type="dxa"/>
              <w:bottom w:w="0" w:type="dxa"/>
              <w:right w:w="57" w:type="dxa"/>
            </w:tcMar>
            <w:vAlign w:val="center"/>
          </w:tcPr>
          <w:p>
            <w:pPr>
              <w:widowControl/>
              <w:adjustRightInd w:val="0"/>
              <w:snapToGrid w:val="0"/>
              <w:jc w:val="center"/>
              <w:textAlignment w:val="top"/>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LU2180</w:t>
            </w:r>
          </w:p>
        </w:tc>
      </w:tr>
    </w:tbl>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3.2.5</w:t>
      </w:r>
      <w:r>
        <w:rPr>
          <w:rFonts w:ascii="Times New Roman" w:hAnsi="Times New Roman" w:eastAsia="宋体" w:cs="Times New Roman"/>
          <w:color w:val="000000" w:themeColor="text1"/>
          <w:sz w:val="28"/>
          <w:szCs w:val="28"/>
          <w14:textFill>
            <w14:solidFill>
              <w14:schemeClr w14:val="tx1"/>
            </w14:solidFill>
          </w14:textFill>
        </w:rPr>
        <w:t>.6隔夹层特征</w:t>
      </w:r>
    </w:p>
    <w:p>
      <w:pPr>
        <w:spacing w:line="360" w:lineRule="auto"/>
        <w:ind w:firstLine="496" w:firstLineChars="200"/>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pacing w:val="4"/>
          <w:sz w:val="24"/>
          <w14:textFill>
            <w14:solidFill>
              <w14:schemeClr w14:val="tx1"/>
            </w14:solidFill>
          </w14:textFill>
        </w:rPr>
        <w:t>呼图壁河组K</w:t>
      </w:r>
      <w:r>
        <w:rPr>
          <w:rFonts w:ascii="Times New Roman" w:hAnsi="Times New Roman" w:eastAsia="宋体" w:cs="Times New Roman"/>
          <w:color w:val="000000" w:themeColor="text1"/>
          <w:spacing w:val="4"/>
          <w:sz w:val="24"/>
          <w:vertAlign w:val="subscript"/>
          <w14:textFill>
            <w14:solidFill>
              <w14:schemeClr w14:val="tx1"/>
            </w14:solidFill>
          </w14:textFill>
        </w:rPr>
        <w:t>1</w:t>
      </w:r>
      <w:r>
        <w:rPr>
          <w:rFonts w:ascii="Times New Roman" w:hAnsi="Times New Roman" w:eastAsia="宋体" w:cs="Times New Roman"/>
          <w:i/>
          <w:iCs/>
          <w:color w:val="000000" w:themeColor="text1"/>
          <w:spacing w:val="4"/>
          <w:sz w:val="24"/>
          <w14:textFill>
            <w14:solidFill>
              <w14:schemeClr w14:val="tx1"/>
            </w14:solidFill>
          </w14:textFill>
        </w:rPr>
        <w:t>h</w:t>
      </w:r>
      <w:r>
        <w:rPr>
          <w:rFonts w:ascii="Times New Roman" w:hAnsi="Times New Roman" w:eastAsia="宋体" w:cs="Times New Roman"/>
          <w:color w:val="000000" w:themeColor="text1"/>
          <w:spacing w:val="4"/>
          <w:sz w:val="24"/>
          <w:vertAlign w:val="subscript"/>
          <w14:textFill>
            <w14:solidFill>
              <w14:schemeClr w14:val="tx1"/>
            </w14:solidFill>
          </w14:textFill>
        </w:rPr>
        <w:t>2</w:t>
      </w:r>
      <w:r>
        <w:rPr>
          <w:rFonts w:ascii="Times New Roman" w:hAnsi="Times New Roman" w:eastAsia="宋体" w:cs="Times New Roman"/>
          <w:color w:val="000000" w:themeColor="text1"/>
          <w:spacing w:val="4"/>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隔夹层平面上呈透镜状零星分布，以钙质砂岩、泥岩为主，纵向厚度小于3m，大部分区域不发育。</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3.2.6油气藏流体性质</w:t>
      </w:r>
    </w:p>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3.2.6.1原油物性</w:t>
      </w:r>
    </w:p>
    <w:p>
      <w:pPr>
        <w:pStyle w:val="10"/>
        <w:spacing w:line="360" w:lineRule="auto"/>
        <w:ind w:left="-69" w:right="-107" w:firstLine="480"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根据陆9井区白垩系呼图壁河组油藏地面原油分析资料统计，K</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i/>
          <w:iCs/>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vertAlign w:val="superscript"/>
          <w14:textFill>
            <w14:solidFill>
              <w14:schemeClr w14:val="tx1"/>
            </w14:solidFill>
          </w14:textFill>
        </w:rPr>
        <w:t>3-4</w:t>
      </w:r>
      <w:r>
        <w:rPr>
          <w:rFonts w:ascii="Times New Roman" w:hAnsi="Times New Roman" w:eastAsia="宋体" w:cs="Times New Roman"/>
          <w:color w:val="000000" w:themeColor="text1"/>
          <w14:textFill>
            <w14:solidFill>
              <w14:schemeClr w14:val="tx1"/>
            </w14:solidFill>
          </w14:textFill>
        </w:rPr>
        <w:t>油藏原油密度0.8808g/cm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，50℃时粘度23.48mPa.s，含蜡量3.53%，凝固点-24.0℃，属于含蜡原油。</w:t>
      </w:r>
    </w:p>
    <w:p>
      <w:pPr>
        <w:pStyle w:val="10"/>
        <w:spacing w:line="360" w:lineRule="auto"/>
        <w:ind w:left="-69" w:right="-107"/>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kern w:val="0"/>
          <w:sz w:val="21"/>
          <w:szCs w:val="21"/>
          <w:lang w:bidi="ar"/>
          <w14:textFill>
            <w14:solidFill>
              <w14:schemeClr w14:val="tx1"/>
            </w14:solidFill>
          </w14:textFill>
        </w:rPr>
        <w:t>表</w:t>
      </w:r>
      <w:r>
        <w:rPr>
          <w:rFonts w:hint="eastAsia" w:ascii="Times New Roman" w:hAnsi="Times New Roman" w:eastAsia="宋体" w:cs="Times New Roman"/>
          <w:b/>
          <w:bCs/>
          <w:color w:val="000000" w:themeColor="text1"/>
          <w:kern w:val="0"/>
          <w:sz w:val="21"/>
          <w:szCs w:val="21"/>
          <w:lang w:bidi="ar"/>
          <w14:textFill>
            <w14:solidFill>
              <w14:schemeClr w14:val="tx1"/>
            </w14:solidFill>
          </w14:textFill>
        </w:rPr>
        <w:t>3.2-3</w:t>
      </w:r>
      <w:r>
        <w:rPr>
          <w:rFonts w:ascii="Times New Roman" w:hAnsi="Times New Roman" w:eastAsia="宋体" w:cs="Times New Roman"/>
          <w:b/>
          <w:bCs/>
          <w:color w:val="000000" w:themeColor="text1"/>
          <w:kern w:val="0"/>
          <w:sz w:val="21"/>
          <w:szCs w:val="21"/>
          <w:lang w:bidi="ar"/>
          <w14:textFill>
            <w14:solidFill>
              <w14:schemeClr w14:val="tx1"/>
            </w14:solidFill>
          </w14:textFill>
        </w:rPr>
        <w:t xml:space="preserve">  陆9井区白垩系呼图壁河组K</w:t>
      </w:r>
      <w:r>
        <w:rPr>
          <w:rFonts w:ascii="Times New Roman" w:hAnsi="Times New Roman" w:eastAsia="宋体" w:cs="Times New Roman"/>
          <w:b/>
          <w:bCs/>
          <w:color w:val="000000" w:themeColor="text1"/>
          <w:kern w:val="0"/>
          <w:sz w:val="21"/>
          <w:szCs w:val="21"/>
          <w:vertAlign w:val="subscript"/>
          <w:lang w:bidi="ar"/>
          <w14:textFill>
            <w14:solidFill>
              <w14:schemeClr w14:val="tx1"/>
            </w14:solidFill>
          </w14:textFill>
        </w:rPr>
        <w:t>1</w:t>
      </w:r>
      <w:r>
        <w:rPr>
          <w:rFonts w:ascii="Times New Roman" w:hAnsi="Times New Roman" w:eastAsia="宋体" w:cs="Times New Roman"/>
          <w:b/>
          <w:bCs/>
          <w:i/>
          <w:iCs/>
          <w:color w:val="000000" w:themeColor="text1"/>
          <w:kern w:val="0"/>
          <w:sz w:val="21"/>
          <w:szCs w:val="21"/>
          <w:lang w:bidi="ar"/>
          <w14:textFill>
            <w14:solidFill>
              <w14:schemeClr w14:val="tx1"/>
            </w14:solidFill>
          </w14:textFill>
        </w:rPr>
        <w:t>h</w:t>
      </w:r>
      <w:r>
        <w:rPr>
          <w:rFonts w:ascii="Times New Roman" w:hAnsi="Times New Roman" w:eastAsia="宋体" w:cs="Times New Roman"/>
          <w:b/>
          <w:bCs/>
          <w:color w:val="000000" w:themeColor="text1"/>
          <w:kern w:val="0"/>
          <w:sz w:val="21"/>
          <w:szCs w:val="21"/>
          <w:vertAlign w:val="subscript"/>
          <w:lang w:bidi="ar"/>
          <w14:textFill>
            <w14:solidFill>
              <w14:schemeClr w14:val="tx1"/>
            </w14:solidFill>
          </w14:textFill>
        </w:rPr>
        <w:t>2</w:t>
      </w:r>
      <w:r>
        <w:rPr>
          <w:rFonts w:ascii="Times New Roman" w:hAnsi="Times New Roman" w:eastAsia="宋体" w:cs="Times New Roman"/>
          <w:b/>
          <w:bCs/>
          <w:color w:val="000000" w:themeColor="text1"/>
          <w:kern w:val="0"/>
          <w:sz w:val="21"/>
          <w:szCs w:val="21"/>
          <w:vertAlign w:val="superscript"/>
          <w:lang w:bidi="ar"/>
          <w14:textFill>
            <w14:solidFill>
              <w14:schemeClr w14:val="tx1"/>
            </w14:solidFill>
          </w14:textFill>
        </w:rPr>
        <w:t>3-4</w:t>
      </w:r>
      <w:r>
        <w:rPr>
          <w:rFonts w:ascii="Times New Roman" w:hAnsi="Times New Roman" w:eastAsia="宋体" w:cs="Times New Roman"/>
          <w:b/>
          <w:bCs/>
          <w:color w:val="000000" w:themeColor="text1"/>
          <w:kern w:val="0"/>
          <w:sz w:val="21"/>
          <w:szCs w:val="21"/>
          <w:lang w:bidi="ar"/>
          <w14:textFill>
            <w14:solidFill>
              <w14:schemeClr w14:val="tx1"/>
            </w14:solidFill>
          </w14:textFill>
        </w:rPr>
        <w:t>油藏地面原油性质参数表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密度g/cm</w:t>
            </w:r>
            <w:r>
              <w:rPr>
                <w:rFonts w:ascii="Times New Roman" w:hAnsi="Times New Roman" w:eastAsia="宋体" w:cs="Times New Roman"/>
                <w:b/>
                <w:bCs/>
                <w:color w:val="000000" w:themeColor="text1"/>
                <w:kern w:val="0"/>
                <w:szCs w:val="21"/>
                <w:vertAlign w:val="superscript"/>
                <w:lang w:bidi="ar"/>
                <w14:textFill>
                  <w14:solidFill>
                    <w14:schemeClr w14:val="tx1"/>
                  </w14:solidFill>
                </w14:textFill>
              </w:rPr>
              <w:t>3</w:t>
            </w:r>
          </w:p>
        </w:tc>
        <w:tc>
          <w:tcPr>
            <w:tcW w:w="1704"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50℃粘度mPa.s</w:t>
            </w:r>
          </w:p>
        </w:tc>
        <w:tc>
          <w:tcPr>
            <w:tcW w:w="1704"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含蜡%</w:t>
            </w:r>
          </w:p>
        </w:tc>
        <w:tc>
          <w:tcPr>
            <w:tcW w:w="1705"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凝固点℃</w:t>
            </w:r>
          </w:p>
        </w:tc>
        <w:tc>
          <w:tcPr>
            <w:tcW w:w="1705" w:type="dxa"/>
            <w:vAlign w:val="center"/>
          </w:tcPr>
          <w:p>
            <w:pPr>
              <w:widowControl/>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初溜点℃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0.8808</w:t>
            </w:r>
          </w:p>
        </w:tc>
        <w:tc>
          <w:tcPr>
            <w:tcW w:w="1704"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23.48</w:t>
            </w:r>
          </w:p>
        </w:tc>
        <w:tc>
          <w:tcPr>
            <w:tcW w:w="1704"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3.53</w:t>
            </w:r>
          </w:p>
        </w:tc>
        <w:tc>
          <w:tcPr>
            <w:tcW w:w="1705"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-24</w:t>
            </w:r>
          </w:p>
        </w:tc>
        <w:tc>
          <w:tcPr>
            <w:tcW w:w="1705"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178</w:t>
            </w:r>
          </w:p>
        </w:tc>
      </w:tr>
    </w:tbl>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3.2.6.2天然气物性</w:t>
      </w:r>
    </w:p>
    <w:p>
      <w:pPr>
        <w:pStyle w:val="46"/>
        <w:ind w:firstLine="480"/>
        <w:rPr>
          <w:rFonts w:hint="default" w:ascii="Times New Roman" w:hAnsi="Times New Roman" w:eastAsia="宋体" w:cs="Times New Roman"/>
          <w:color w:val="000000" w:themeColor="text1"/>
          <w:spacing w:val="6"/>
          <w:sz w:val="24"/>
          <w:szCs w:val="20"/>
          <w:highlight w:val="none"/>
          <w14:textFill>
            <w14:solidFill>
              <w14:schemeClr w14:val="tx1"/>
            </w14:solidFill>
          </w14:textFill>
        </w:rPr>
      </w:pPr>
      <w:r>
        <w:rPr>
          <w:rFonts w:hint="eastAsia"/>
          <w:color w:val="000000" w:themeColor="text1"/>
          <w:lang w:val="en-US" w:eastAsia="zh-CN"/>
          <w14:textFill>
            <w14:solidFill>
              <w14:schemeClr w14:val="tx1"/>
            </w14:solidFill>
          </w14:textFill>
        </w:rPr>
        <w:t>根据地质方案，</w:t>
      </w:r>
      <w:r>
        <w:rPr>
          <w:rFonts w:hint="default" w:ascii="Times New Roman" w:hAnsi="Times New Roman" w:eastAsia="宋体" w:cs="Times New Roman"/>
          <w:color w:val="000000" w:themeColor="text1"/>
          <w:spacing w:val="6"/>
          <w:sz w:val="24"/>
          <w:szCs w:val="20"/>
          <w:highlight w:val="none"/>
          <w14:textFill>
            <w14:solidFill>
              <w14:schemeClr w14:val="tx1"/>
            </w14:solidFill>
          </w14:textFill>
        </w:rPr>
        <w:t>呼图壁河组油藏在钻井、投产时均未见</w:t>
      </w:r>
      <w:r>
        <w:rPr>
          <w:rFonts w:hint="default" w:ascii="Times New Roman" w:hAnsi="Times New Roman" w:eastAsia="宋体" w:cs="Times New Roman"/>
          <w:color w:val="000000" w:themeColor="text1"/>
          <w:sz w:val="24"/>
          <w:highlight w:val="none"/>
          <w14:textFill>
            <w14:solidFill>
              <w14:schemeClr w14:val="tx1"/>
            </w14:solidFill>
          </w14:textFill>
        </w:rPr>
        <w:t>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S</w:t>
      </w:r>
      <w:r>
        <w:rPr>
          <w:rFonts w:hint="default" w:ascii="Times New Roman" w:hAnsi="Times New Roman" w:eastAsia="宋体" w:cs="Times New Roman"/>
          <w:color w:val="000000" w:themeColor="text1"/>
          <w:spacing w:val="6"/>
          <w:sz w:val="24"/>
          <w:szCs w:val="20"/>
          <w:highlight w:val="none"/>
          <w14:textFill>
            <w14:solidFill>
              <w14:schemeClr w14:val="tx1"/>
            </w14:solidFill>
          </w14:textFill>
        </w:rPr>
        <w:t>显示，但注水开发过程中，部分采油井生产时检测出</w:t>
      </w:r>
      <w:r>
        <w:rPr>
          <w:rFonts w:hint="default" w:ascii="Times New Roman" w:hAnsi="Times New Roman" w:eastAsia="宋体" w:cs="Times New Roman"/>
          <w:color w:val="000000" w:themeColor="text1"/>
          <w:sz w:val="24"/>
          <w:highlight w:val="none"/>
          <w14:textFill>
            <w14:solidFill>
              <w14:schemeClr w14:val="tx1"/>
            </w14:solidFill>
          </w14:textFill>
        </w:rPr>
        <w:t>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S</w:t>
      </w:r>
      <w:r>
        <w:rPr>
          <w:rFonts w:hint="default" w:ascii="Times New Roman" w:hAnsi="Times New Roman" w:eastAsia="宋体" w:cs="Times New Roman"/>
          <w:color w:val="000000" w:themeColor="text1"/>
          <w:spacing w:val="6"/>
          <w:sz w:val="24"/>
          <w:szCs w:val="20"/>
          <w:highlight w:val="none"/>
          <w14:textFill>
            <w14:solidFill>
              <w14:schemeClr w14:val="tx1"/>
            </w14:solidFill>
          </w14:textFill>
        </w:rPr>
        <w:t>，含量在1ppm~5ppm之间。</w:t>
      </w:r>
    </w:p>
    <w:p>
      <w:pPr>
        <w:pStyle w:val="46"/>
        <w:ind w:firstLine="48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陆9井区白垩系呼图壁河组</w:t>
      </w:r>
      <w:r>
        <w:rPr>
          <w:rFonts w:ascii="Times New Roman" w:hAnsi="Times New Roman" w:eastAsia="宋体" w:cs="Times New Roman"/>
          <w:color w:val="000000" w:themeColor="text1"/>
          <w14:textFill>
            <w14:solidFill>
              <w14:schemeClr w14:val="tx1"/>
            </w14:solidFill>
          </w14:textFill>
        </w:rPr>
        <w:t>K</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i/>
          <w:iCs/>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vertAlign w:val="superscript"/>
          <w14:textFill>
            <w14:solidFill>
              <w14:schemeClr w14:val="tx1"/>
            </w14:solidFill>
          </w14:textFill>
        </w:rPr>
        <w:t>3-4</w:t>
      </w:r>
      <w:r>
        <w:rPr>
          <w:rFonts w:ascii="Times New Roman" w:hAnsi="Times New Roman" w:cs="Times New Roman"/>
          <w:color w:val="000000" w:themeColor="text1"/>
          <w:szCs w:val="24"/>
          <w14:textFill>
            <w14:solidFill>
              <w14:schemeClr w14:val="tx1"/>
            </w14:solidFill>
          </w14:textFill>
        </w:rPr>
        <w:t>油藏天然气为溶解气，天然气相对密度变化范围0.5664</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0.5781，平均0.5742，甲烷含量变化范围95.63%</w:t>
      </w:r>
      <w:r>
        <w:rPr>
          <w:rFonts w:hint="eastAsia" w:ascii="Times New Roman" w:hAnsi="Times New Roman" w:cs="Times New Roman"/>
          <w:color w:val="000000" w:themeColor="text1"/>
          <w:szCs w:val="24"/>
          <w14:textFill>
            <w14:solidFill>
              <w14:schemeClr w14:val="tx1"/>
            </w14:solidFill>
          </w14:textFill>
        </w:rPr>
        <w:t>~</w:t>
      </w:r>
      <w:r>
        <w:rPr>
          <w:rFonts w:ascii="Times New Roman" w:hAnsi="Times New Roman" w:cs="Times New Roman"/>
          <w:color w:val="000000" w:themeColor="text1"/>
          <w:szCs w:val="24"/>
          <w14:textFill>
            <w14:solidFill>
              <w14:schemeClr w14:val="tx1"/>
            </w14:solidFill>
          </w14:textFill>
        </w:rPr>
        <w:t>98.51%，平均96.32%。</w:t>
      </w:r>
    </w:p>
    <w:p>
      <w:pPr>
        <w:pStyle w:val="46"/>
        <w:ind w:firstLine="0" w:firstLineChars="0"/>
        <w:jc w:val="center"/>
        <w:rPr>
          <w:rFonts w:ascii="Times New Roman" w:hAnsi="Times New Roman" w:eastAsia="宋体" w:cs="Times New Roman"/>
          <w:b/>
          <w:bCs/>
          <w:color w:val="000000" w:themeColor="text1"/>
          <w:kern w:val="0"/>
          <w:sz w:val="21"/>
          <w:lang w:bidi="ar"/>
          <w14:textFill>
            <w14:solidFill>
              <w14:schemeClr w14:val="tx1"/>
            </w14:solidFill>
          </w14:textFill>
        </w:rPr>
      </w:pPr>
      <w:r>
        <w:rPr>
          <w:rFonts w:ascii="Times New Roman" w:hAnsi="Times New Roman" w:eastAsia="宋体" w:cs="Times New Roman"/>
          <w:b/>
          <w:bCs/>
          <w:color w:val="000000" w:themeColor="text1"/>
          <w:kern w:val="0"/>
          <w:sz w:val="21"/>
          <w:lang w:bidi="ar"/>
          <w14:textFill>
            <w14:solidFill>
              <w14:schemeClr w14:val="tx1"/>
            </w14:solidFill>
          </w14:textFill>
        </w:rPr>
        <w:t>表</w:t>
      </w:r>
      <w:r>
        <w:rPr>
          <w:rFonts w:hint="eastAsia" w:ascii="Times New Roman" w:hAnsi="Times New Roman" w:eastAsia="宋体" w:cs="Times New Roman"/>
          <w:b/>
          <w:bCs/>
          <w:color w:val="000000" w:themeColor="text1"/>
          <w:kern w:val="0"/>
          <w:sz w:val="21"/>
          <w:lang w:bidi="ar"/>
          <w14:textFill>
            <w14:solidFill>
              <w14:schemeClr w14:val="tx1"/>
            </w14:solidFill>
          </w14:textFill>
        </w:rPr>
        <w:t>3.2-4</w:t>
      </w:r>
      <w:r>
        <w:rPr>
          <w:rFonts w:ascii="Times New Roman" w:hAnsi="Times New Roman" w:eastAsia="宋体" w:cs="Times New Roman"/>
          <w:b/>
          <w:bCs/>
          <w:color w:val="000000" w:themeColor="text1"/>
          <w:kern w:val="0"/>
          <w:sz w:val="21"/>
          <w:lang w:bidi="ar"/>
          <w14:textFill>
            <w14:solidFill>
              <w14:schemeClr w14:val="tx1"/>
            </w14:solidFill>
          </w14:textFill>
        </w:rPr>
        <w:t xml:space="preserve">  陆9井区白垩系呼图壁河组K</w:t>
      </w:r>
      <w:r>
        <w:rPr>
          <w:rFonts w:ascii="Times New Roman" w:hAnsi="Times New Roman" w:eastAsia="宋体" w:cs="Times New Roman"/>
          <w:b/>
          <w:bCs/>
          <w:color w:val="000000" w:themeColor="text1"/>
          <w:kern w:val="0"/>
          <w:sz w:val="21"/>
          <w:vertAlign w:val="subscript"/>
          <w:lang w:bidi="ar"/>
          <w14:textFill>
            <w14:solidFill>
              <w14:schemeClr w14:val="tx1"/>
            </w14:solidFill>
          </w14:textFill>
        </w:rPr>
        <w:t>1</w:t>
      </w:r>
      <w:r>
        <w:rPr>
          <w:rFonts w:ascii="Times New Roman" w:hAnsi="Times New Roman" w:eastAsia="宋体" w:cs="Times New Roman"/>
          <w:b/>
          <w:bCs/>
          <w:i/>
          <w:iCs/>
          <w:color w:val="000000" w:themeColor="text1"/>
          <w:kern w:val="0"/>
          <w:sz w:val="21"/>
          <w:lang w:bidi="ar"/>
          <w14:textFill>
            <w14:solidFill>
              <w14:schemeClr w14:val="tx1"/>
            </w14:solidFill>
          </w14:textFill>
        </w:rPr>
        <w:t>h</w:t>
      </w:r>
      <w:r>
        <w:rPr>
          <w:rFonts w:ascii="Times New Roman" w:hAnsi="Times New Roman" w:eastAsia="宋体" w:cs="Times New Roman"/>
          <w:b/>
          <w:bCs/>
          <w:color w:val="000000" w:themeColor="text1"/>
          <w:kern w:val="0"/>
          <w:sz w:val="21"/>
          <w:vertAlign w:val="subscript"/>
          <w:lang w:bidi="ar"/>
          <w14:textFill>
            <w14:solidFill>
              <w14:schemeClr w14:val="tx1"/>
            </w14:solidFill>
          </w14:textFill>
        </w:rPr>
        <w:t>2</w:t>
      </w:r>
      <w:r>
        <w:rPr>
          <w:rFonts w:ascii="Times New Roman" w:hAnsi="Times New Roman" w:eastAsia="宋体" w:cs="Times New Roman"/>
          <w:b/>
          <w:bCs/>
          <w:color w:val="000000" w:themeColor="text1"/>
          <w:kern w:val="0"/>
          <w:sz w:val="21"/>
          <w:vertAlign w:val="superscript"/>
          <w:lang w:bidi="ar"/>
          <w14:textFill>
            <w14:solidFill>
              <w14:schemeClr w14:val="tx1"/>
            </w14:solidFill>
          </w14:textFill>
        </w:rPr>
        <w:t>3-4</w:t>
      </w:r>
      <w:r>
        <w:rPr>
          <w:rFonts w:ascii="Times New Roman" w:hAnsi="Times New Roman" w:eastAsia="宋体" w:cs="Times New Roman"/>
          <w:b/>
          <w:bCs/>
          <w:color w:val="000000" w:themeColor="text1"/>
          <w:kern w:val="0"/>
          <w:sz w:val="21"/>
          <w:lang w:bidi="ar"/>
          <w14:textFill>
            <w14:solidFill>
              <w14:schemeClr w14:val="tx1"/>
            </w14:solidFill>
          </w14:textFill>
        </w:rPr>
        <w:t>油藏天然气性质参数表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531"/>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pStyle w:val="10"/>
              <w:ind w:left="-69" w:right="-107"/>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密度</w:t>
            </w:r>
          </w:p>
        </w:tc>
        <w:tc>
          <w:tcPr>
            <w:tcW w:w="1420" w:type="dxa"/>
            <w:vAlign w:val="center"/>
          </w:tcPr>
          <w:p>
            <w:pPr>
              <w:pStyle w:val="10"/>
              <w:ind w:left="-69" w:right="-107"/>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甲烷含量%</w:t>
            </w:r>
          </w:p>
        </w:tc>
        <w:tc>
          <w:tcPr>
            <w:tcW w:w="1420" w:type="dxa"/>
            <w:vAlign w:val="center"/>
          </w:tcPr>
          <w:p>
            <w:pPr>
              <w:pStyle w:val="10"/>
              <w:ind w:left="-69" w:right="-107"/>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乙烷含量%</w:t>
            </w:r>
          </w:p>
        </w:tc>
        <w:tc>
          <w:tcPr>
            <w:tcW w:w="1420" w:type="dxa"/>
            <w:vAlign w:val="center"/>
          </w:tcPr>
          <w:p>
            <w:pPr>
              <w:pStyle w:val="10"/>
              <w:ind w:left="-69" w:right="-107"/>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丙烷含量%</w:t>
            </w:r>
          </w:p>
        </w:tc>
        <w:tc>
          <w:tcPr>
            <w:tcW w:w="1531" w:type="dxa"/>
            <w:vAlign w:val="center"/>
          </w:tcPr>
          <w:p>
            <w:pPr>
              <w:pStyle w:val="10"/>
              <w:ind w:left="-69" w:right="-107"/>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二氧化碳含量%</w:t>
            </w:r>
          </w:p>
        </w:tc>
        <w:tc>
          <w:tcPr>
            <w:tcW w:w="1311" w:type="dxa"/>
            <w:vAlign w:val="center"/>
          </w:tcPr>
          <w:p>
            <w:pPr>
              <w:pStyle w:val="10"/>
              <w:ind w:left="-69" w:right="-107"/>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氮气含量%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0.574</w:t>
            </w:r>
          </w:p>
        </w:tc>
        <w:tc>
          <w:tcPr>
            <w:tcW w:w="1420"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96.3</w:t>
            </w:r>
          </w:p>
        </w:tc>
        <w:tc>
          <w:tcPr>
            <w:tcW w:w="1420"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1.75</w:t>
            </w:r>
          </w:p>
        </w:tc>
        <w:tc>
          <w:tcPr>
            <w:tcW w:w="1420"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w:t>
            </w:r>
          </w:p>
        </w:tc>
        <w:tc>
          <w:tcPr>
            <w:tcW w:w="1531"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0.25</w:t>
            </w:r>
          </w:p>
        </w:tc>
        <w:tc>
          <w:tcPr>
            <w:tcW w:w="1311"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0.75</w:t>
            </w:r>
          </w:p>
        </w:tc>
      </w:tr>
    </w:tbl>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3.2.6.3地层水性质</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根据陆9井区呼图壁河组</w:t>
      </w:r>
      <w:r>
        <w:rPr>
          <w:rFonts w:ascii="Times New Roman" w:hAnsi="Times New Roman" w:eastAsia="宋体" w:cs="Times New Roman"/>
          <w:color w:val="000000" w:themeColor="text1"/>
          <w:sz w:val="24"/>
          <w14:textFill>
            <w14:solidFill>
              <w14:schemeClr w14:val="tx1"/>
            </w14:solidFill>
          </w14:textFill>
        </w:rPr>
        <w:t>K</w:t>
      </w:r>
      <w:r>
        <w:rPr>
          <w:rFonts w:ascii="Times New Roman" w:hAnsi="Times New Roman" w:eastAsia="宋体" w:cs="Times New Roman"/>
          <w:color w:val="000000" w:themeColor="text1"/>
          <w:sz w:val="24"/>
          <w:vertAlign w:val="subscript"/>
          <w14:textFill>
            <w14:solidFill>
              <w14:schemeClr w14:val="tx1"/>
            </w14:solidFill>
          </w14:textFill>
        </w:rPr>
        <w:t>1</w:t>
      </w:r>
      <w:r>
        <w:rPr>
          <w:rFonts w:ascii="Times New Roman" w:hAnsi="Times New Roman" w:eastAsia="宋体" w:cs="Times New Roman"/>
          <w:i/>
          <w:iCs/>
          <w:color w:val="000000" w:themeColor="text1"/>
          <w:sz w:val="24"/>
          <w14:textFill>
            <w14:solidFill>
              <w14:schemeClr w14:val="tx1"/>
            </w14:solidFill>
          </w14:textFill>
        </w:rPr>
        <w:t>h</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vertAlign w:val="superscript"/>
          <w14:textFill>
            <w14:solidFill>
              <w14:schemeClr w14:val="tx1"/>
            </w14:solidFill>
          </w14:textFill>
        </w:rPr>
        <w:t>3-4</w:t>
      </w:r>
      <w:r>
        <w:rPr>
          <w:rFonts w:ascii="Times New Roman" w:hAnsi="Times New Roman" w:eastAsia="宋体" w:cs="Times New Roman"/>
          <w:color w:val="000000" w:themeColor="text1"/>
          <w:kern w:val="0"/>
          <w:sz w:val="24"/>
          <w:lang w:bidi="ar"/>
          <w14:textFill>
            <w14:solidFill>
              <w14:schemeClr w14:val="tx1"/>
            </w14:solidFill>
          </w14:textFill>
        </w:rPr>
        <w:t>油藏地层水分析资料统计，油藏地层水密度变化范围1.0077g/cm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1.0231g/cm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，平均1.0154g/cm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，总矿化度变化范围7650mg/L</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11857mg/L，平均为8471mg/L，水型为CaCl</w:t>
      </w:r>
      <w:r>
        <w:rPr>
          <w:rFonts w:ascii="Times New Roman" w:hAnsi="Times New Roman" w:eastAsia="宋体" w:cs="Times New Roman"/>
          <w:color w:val="000000" w:themeColor="text1"/>
          <w:kern w:val="0"/>
          <w:sz w:val="24"/>
          <w:vertAlign w:val="sub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型。</w:t>
      </w:r>
    </w:p>
    <w:p>
      <w:pPr>
        <w:widowControl/>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表3.2-</w:t>
      </w:r>
      <w:r>
        <w:rPr>
          <w:rFonts w:hint="eastAsia" w:ascii="Times New Roman" w:hAnsi="Times New Roman" w:eastAsia="宋体" w:cs="Times New Roman"/>
          <w:b/>
          <w:bCs/>
          <w:color w:val="000000" w:themeColor="text1"/>
          <w:kern w:val="0"/>
          <w:szCs w:val="21"/>
          <w:lang w:bidi="ar"/>
          <w14:textFill>
            <w14:solidFill>
              <w14:schemeClr w14:val="tx1"/>
            </w14:solidFill>
          </w14:textFill>
        </w:rPr>
        <w:t>5</w:t>
      </w:r>
      <w:r>
        <w:rPr>
          <w:rFonts w:ascii="Times New Roman" w:hAnsi="Times New Roman" w:eastAsia="宋体" w:cs="Times New Roman"/>
          <w:b/>
          <w:bCs/>
          <w:color w:val="000000" w:themeColor="text1"/>
          <w:kern w:val="0"/>
          <w:szCs w:val="21"/>
          <w:lang w:bidi="ar"/>
          <w14:textFill>
            <w14:solidFill>
              <w14:schemeClr w14:val="tx1"/>
            </w14:solidFill>
          </w14:textFill>
        </w:rPr>
        <w:t xml:space="preserve">  陆9井区呼图壁河组</w:t>
      </w:r>
      <w:r>
        <w:rPr>
          <w:rFonts w:ascii="Times New Roman" w:hAnsi="Times New Roman" w:eastAsia="宋体" w:cs="Times New Roman"/>
          <w:b/>
          <w:bCs/>
          <w:color w:val="000000" w:themeColor="text1"/>
          <w:szCs w:val="21"/>
          <w14:textFill>
            <w14:solidFill>
              <w14:schemeClr w14:val="tx1"/>
            </w14:solidFill>
          </w14:textFill>
        </w:rPr>
        <w:t>K</w:t>
      </w:r>
      <w:r>
        <w:rPr>
          <w:rFonts w:ascii="Times New Roman" w:hAnsi="Times New Roman" w:eastAsia="宋体" w:cs="Times New Roman"/>
          <w:b/>
          <w:bCs/>
          <w:color w:val="000000" w:themeColor="text1"/>
          <w:szCs w:val="21"/>
          <w:vertAlign w:val="subscript"/>
          <w14:textFill>
            <w14:solidFill>
              <w14:schemeClr w14:val="tx1"/>
            </w14:solidFill>
          </w14:textFill>
        </w:rPr>
        <w:t>1</w:t>
      </w:r>
      <w:r>
        <w:rPr>
          <w:rFonts w:ascii="Times New Roman" w:hAnsi="Times New Roman" w:eastAsia="宋体" w:cs="Times New Roman"/>
          <w:b/>
          <w:bCs/>
          <w:i/>
          <w:iCs/>
          <w:color w:val="000000" w:themeColor="text1"/>
          <w:szCs w:val="21"/>
          <w14:textFill>
            <w14:solidFill>
              <w14:schemeClr w14:val="tx1"/>
            </w14:solidFill>
          </w14:textFill>
        </w:rPr>
        <w:t>h</w:t>
      </w:r>
      <w:r>
        <w:rPr>
          <w:rFonts w:ascii="Times New Roman" w:hAnsi="Times New Roman" w:eastAsia="宋体" w:cs="Times New Roman"/>
          <w:b/>
          <w:bCs/>
          <w:color w:val="000000" w:themeColor="text1"/>
          <w:szCs w:val="21"/>
          <w:vertAlign w:val="subscript"/>
          <w14:textFill>
            <w14:solidFill>
              <w14:schemeClr w14:val="tx1"/>
            </w14:solidFill>
          </w14:textFill>
        </w:rPr>
        <w:t>2</w:t>
      </w:r>
      <w:r>
        <w:rPr>
          <w:rFonts w:ascii="Times New Roman" w:hAnsi="Times New Roman" w:eastAsia="宋体" w:cs="Times New Roman"/>
          <w:b/>
          <w:bCs/>
          <w:color w:val="000000" w:themeColor="text1"/>
          <w:szCs w:val="21"/>
          <w:vertAlign w:val="superscript"/>
          <w14:textFill>
            <w14:solidFill>
              <w14:schemeClr w14:val="tx1"/>
            </w14:solidFill>
          </w14:textFill>
        </w:rPr>
        <w:t>3-4</w:t>
      </w:r>
      <w:r>
        <w:rPr>
          <w:rFonts w:ascii="Times New Roman" w:hAnsi="Times New Roman" w:eastAsia="宋体" w:cs="Times New Roman"/>
          <w:b/>
          <w:bCs/>
          <w:color w:val="000000" w:themeColor="text1"/>
          <w:kern w:val="0"/>
          <w:szCs w:val="21"/>
          <w:lang w:bidi="ar"/>
          <w14:textFill>
            <w14:solidFill>
              <w14:schemeClr w14:val="tx1"/>
            </w14:solidFill>
          </w14:textFill>
        </w:rPr>
        <w:t>油藏地层水性质参数表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pStyle w:val="10"/>
              <w:ind w:left="-69" w:right="-107"/>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层位</w:t>
            </w:r>
          </w:p>
        </w:tc>
        <w:tc>
          <w:tcPr>
            <w:tcW w:w="1704" w:type="dxa"/>
            <w:vAlign w:val="center"/>
          </w:tcPr>
          <w:p>
            <w:pPr>
              <w:pStyle w:val="10"/>
              <w:ind w:left="-69" w:right="-107"/>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密度</w:t>
            </w:r>
          </w:p>
        </w:tc>
        <w:tc>
          <w:tcPr>
            <w:tcW w:w="1704" w:type="dxa"/>
            <w:vAlign w:val="center"/>
          </w:tcPr>
          <w:p>
            <w:pPr>
              <w:pStyle w:val="10"/>
              <w:ind w:left="-69" w:right="-107"/>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氯离子（mg/L）</w:t>
            </w:r>
          </w:p>
        </w:tc>
        <w:tc>
          <w:tcPr>
            <w:tcW w:w="1705" w:type="dxa"/>
            <w:vAlign w:val="center"/>
          </w:tcPr>
          <w:p>
            <w:pPr>
              <w:pStyle w:val="10"/>
              <w:ind w:left="-69" w:right="-107"/>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总矿化度（mg/L）</w:t>
            </w:r>
          </w:p>
        </w:tc>
        <w:tc>
          <w:tcPr>
            <w:tcW w:w="1705" w:type="dxa"/>
            <w:vAlign w:val="center"/>
          </w:tcPr>
          <w:p>
            <w:pPr>
              <w:pStyle w:val="10"/>
              <w:ind w:left="-69" w:right="-107"/>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水型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K</w:t>
            </w:r>
            <w:r>
              <w:rPr>
                <w:rFonts w:ascii="Times New Roman" w:hAnsi="Times New Roman" w:cs="Times New Roman"/>
                <w:color w:val="000000" w:themeColor="text1"/>
                <w:sz w:val="21"/>
                <w:szCs w:val="21"/>
                <w:vertAlign w:val="subscript"/>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vertAlign w:val="superscript"/>
                <w14:textFill>
                  <w14:solidFill>
                    <w14:schemeClr w14:val="tx1"/>
                  </w14:solidFill>
                </w14:textFill>
              </w:rPr>
              <w:t>3-4</w:t>
            </w:r>
          </w:p>
        </w:tc>
        <w:tc>
          <w:tcPr>
            <w:tcW w:w="1704"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1.011</w:t>
            </w:r>
          </w:p>
        </w:tc>
        <w:tc>
          <w:tcPr>
            <w:tcW w:w="1704"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4960.8</w:t>
            </w:r>
          </w:p>
        </w:tc>
        <w:tc>
          <w:tcPr>
            <w:tcW w:w="1705"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8741</w:t>
            </w:r>
          </w:p>
        </w:tc>
        <w:tc>
          <w:tcPr>
            <w:tcW w:w="1705" w:type="dxa"/>
            <w:vAlign w:val="center"/>
          </w:tcPr>
          <w:p>
            <w:pPr>
              <w:pStyle w:val="10"/>
              <w:ind w:left="-69"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CaCl</w:t>
            </w:r>
            <w:r>
              <w:rPr>
                <w:rFonts w:ascii="Times New Roman" w:hAnsi="Times New Roman" w:cs="Times New Roman"/>
                <w:color w:val="000000" w:themeColor="text1"/>
                <w:sz w:val="21"/>
                <w:szCs w:val="21"/>
                <w:vertAlign w:val="subscript"/>
                <w14:textFill>
                  <w14:solidFill>
                    <w14:schemeClr w14:val="tx1"/>
                  </w14:solidFill>
                </w14:textFill>
              </w:rPr>
              <w:t>2</w:t>
            </w:r>
          </w:p>
        </w:tc>
      </w:tr>
    </w:tbl>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3.2.7油藏类型</w:t>
      </w:r>
      <w:r>
        <w:rPr>
          <w:rFonts w:hint="eastAsia" w:ascii="Times New Roman" w:hAnsi="Times New Roman" w:eastAsia="黑体" w:cs="Times New Roman"/>
          <w:b/>
          <w:color w:val="000000" w:themeColor="text1"/>
          <w:sz w:val="30"/>
          <w:szCs w:val="30"/>
          <w14:textFill>
            <w14:solidFill>
              <w14:schemeClr w14:val="tx1"/>
            </w14:solidFill>
          </w14:textFill>
        </w:rPr>
        <w:t>及油层分布</w:t>
      </w:r>
    </w:p>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bookmarkStart w:id="211" w:name="_Toc46916710"/>
      <w:bookmarkStart w:id="212" w:name="_Toc54716910"/>
      <w:bookmarkStart w:id="213" w:name="_Toc49264068"/>
      <w:bookmarkStart w:id="214" w:name="_Toc49264575"/>
      <w:bookmarkStart w:id="215" w:name="_Toc54716847"/>
      <w:r>
        <w:rPr>
          <w:rFonts w:hint="eastAsia" w:ascii="Times New Roman" w:hAnsi="Times New Roman" w:eastAsia="宋体" w:cs="Times New Roman"/>
          <w:color w:val="000000" w:themeColor="text1"/>
          <w:sz w:val="28"/>
          <w:szCs w:val="28"/>
          <w14:textFill>
            <w14:solidFill>
              <w14:schemeClr w14:val="tx1"/>
            </w14:solidFill>
          </w14:textFill>
        </w:rPr>
        <w:t>3.2.7.1</w:t>
      </w:r>
      <w:r>
        <w:rPr>
          <w:rFonts w:ascii="Times New Roman" w:hAnsi="Times New Roman" w:eastAsia="宋体" w:cs="Times New Roman"/>
          <w:color w:val="000000" w:themeColor="text1"/>
          <w:sz w:val="28"/>
          <w:szCs w:val="28"/>
          <w14:textFill>
            <w14:solidFill>
              <w14:schemeClr w14:val="tx1"/>
            </w14:solidFill>
          </w14:textFill>
        </w:rPr>
        <w:t>油藏类型</w:t>
      </w:r>
      <w:bookmarkEnd w:id="211"/>
      <w:bookmarkEnd w:id="212"/>
      <w:bookmarkEnd w:id="213"/>
      <w:bookmarkEnd w:id="214"/>
      <w:bookmarkEnd w:id="215"/>
    </w:p>
    <w:p>
      <w:pPr>
        <w:tabs>
          <w:tab w:val="left" w:pos="5760"/>
        </w:tabs>
        <w:adjustRightInd w:val="0"/>
        <w:snapToGrid w:val="0"/>
        <w:spacing w:line="360" w:lineRule="auto"/>
        <w:ind w:firstLine="496" w:firstLineChars="200"/>
        <w:rPr>
          <w:rFonts w:ascii="Times New Roman" w:hAnsi="Times New Roman" w:eastAsia="宋体" w:cs="Times New Roman"/>
          <w:color w:val="000000" w:themeColor="text1"/>
          <w:spacing w:val="4"/>
          <w:sz w:val="24"/>
          <w14:textFill>
            <w14:solidFill>
              <w14:schemeClr w14:val="tx1"/>
            </w14:solidFill>
          </w14:textFill>
        </w:rPr>
      </w:pPr>
      <w:r>
        <w:rPr>
          <w:rFonts w:ascii="Times New Roman" w:hAnsi="Times New Roman" w:eastAsia="宋体" w:cs="Times New Roman"/>
          <w:color w:val="000000" w:themeColor="text1"/>
          <w:spacing w:val="4"/>
          <w:sz w:val="24"/>
          <w14:textFill>
            <w14:solidFill>
              <w14:schemeClr w14:val="tx1"/>
            </w14:solidFill>
          </w14:textFill>
        </w:rPr>
        <w:t>陆9井区呼图壁河组K</w:t>
      </w:r>
      <w:r>
        <w:rPr>
          <w:rFonts w:ascii="Times New Roman" w:hAnsi="Times New Roman" w:eastAsia="宋体" w:cs="Times New Roman"/>
          <w:color w:val="000000" w:themeColor="text1"/>
          <w:spacing w:val="4"/>
          <w:sz w:val="24"/>
          <w:vertAlign w:val="subscript"/>
          <w14:textFill>
            <w14:solidFill>
              <w14:schemeClr w14:val="tx1"/>
            </w14:solidFill>
          </w14:textFill>
        </w:rPr>
        <w:t>1</w:t>
      </w:r>
      <w:r>
        <w:rPr>
          <w:rFonts w:ascii="Times New Roman" w:hAnsi="Times New Roman" w:eastAsia="宋体" w:cs="Times New Roman"/>
          <w:i/>
          <w:iCs/>
          <w:color w:val="000000" w:themeColor="text1"/>
          <w:spacing w:val="4"/>
          <w:sz w:val="24"/>
          <w14:textFill>
            <w14:solidFill>
              <w14:schemeClr w14:val="tx1"/>
            </w14:solidFill>
          </w14:textFill>
        </w:rPr>
        <w:t>h</w:t>
      </w:r>
      <w:r>
        <w:rPr>
          <w:rFonts w:ascii="Times New Roman" w:hAnsi="Times New Roman" w:eastAsia="宋体" w:cs="Times New Roman"/>
          <w:color w:val="000000" w:themeColor="text1"/>
          <w:spacing w:val="4"/>
          <w:sz w:val="24"/>
          <w:vertAlign w:val="subscript"/>
          <w14:textFill>
            <w14:solidFill>
              <w14:schemeClr w14:val="tx1"/>
            </w14:solidFill>
          </w14:textFill>
        </w:rPr>
        <w:t>2</w:t>
      </w:r>
      <w:r>
        <w:rPr>
          <w:rFonts w:ascii="Times New Roman" w:hAnsi="Times New Roman" w:eastAsia="宋体" w:cs="Times New Roman"/>
          <w:color w:val="000000" w:themeColor="text1"/>
          <w:spacing w:val="4"/>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油藏以构造控制为主，为具底水的构造油藏，油水界面为海拔-678m。</w:t>
      </w:r>
    </w:p>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bookmarkStart w:id="216" w:name="_Toc49264576"/>
      <w:bookmarkStart w:id="217" w:name="_Toc46916711"/>
      <w:bookmarkStart w:id="218" w:name="_Toc49264069"/>
      <w:bookmarkStart w:id="219" w:name="_Toc54716848"/>
      <w:bookmarkStart w:id="220" w:name="_Toc54716911"/>
      <w:r>
        <w:rPr>
          <w:rFonts w:hint="eastAsia" w:ascii="Times New Roman" w:hAnsi="Times New Roman" w:eastAsia="宋体" w:cs="Times New Roman"/>
          <w:color w:val="000000" w:themeColor="text1"/>
          <w:sz w:val="28"/>
          <w:szCs w:val="28"/>
          <w14:textFill>
            <w14:solidFill>
              <w14:schemeClr w14:val="tx1"/>
            </w14:solidFill>
          </w14:textFill>
        </w:rPr>
        <w:t>3.2.7.2</w:t>
      </w:r>
      <w:r>
        <w:rPr>
          <w:rFonts w:ascii="Times New Roman" w:hAnsi="Times New Roman" w:eastAsia="宋体" w:cs="Times New Roman"/>
          <w:color w:val="000000" w:themeColor="text1"/>
          <w:sz w:val="28"/>
          <w:szCs w:val="28"/>
          <w14:textFill>
            <w14:solidFill>
              <w14:schemeClr w14:val="tx1"/>
            </w14:solidFill>
          </w14:textFill>
        </w:rPr>
        <w:t>油层</w:t>
      </w:r>
      <w:r>
        <w:rPr>
          <w:rFonts w:hint="eastAsia" w:ascii="Times New Roman" w:hAnsi="Times New Roman" w:eastAsia="宋体" w:cs="Times New Roman"/>
          <w:color w:val="000000" w:themeColor="text1"/>
          <w:sz w:val="28"/>
          <w:szCs w:val="28"/>
          <w14:textFill>
            <w14:solidFill>
              <w14:schemeClr w14:val="tx1"/>
            </w14:solidFill>
          </w14:textFill>
        </w:rPr>
        <w:t>分</w:t>
      </w:r>
      <w:r>
        <w:rPr>
          <w:rFonts w:ascii="Times New Roman" w:hAnsi="Times New Roman" w:eastAsia="宋体" w:cs="Times New Roman"/>
          <w:color w:val="000000" w:themeColor="text1"/>
          <w:sz w:val="28"/>
          <w:szCs w:val="28"/>
          <w14:textFill>
            <w14:solidFill>
              <w14:schemeClr w14:val="tx1"/>
            </w14:solidFill>
          </w14:textFill>
        </w:rPr>
        <w:t>布</w:t>
      </w:r>
      <w:bookmarkEnd w:id="216"/>
      <w:bookmarkEnd w:id="217"/>
      <w:bookmarkEnd w:id="218"/>
      <w:bookmarkEnd w:id="219"/>
      <w:bookmarkEnd w:id="220"/>
    </w:p>
    <w:p>
      <w:pPr>
        <w:tabs>
          <w:tab w:val="left" w:pos="5760"/>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陆9井区</w:t>
      </w:r>
      <w:r>
        <w:rPr>
          <w:rFonts w:ascii="Times New Roman" w:hAnsi="Times New Roman" w:eastAsia="宋体" w:cs="Times New Roman"/>
          <w:color w:val="000000" w:themeColor="text1"/>
          <w:spacing w:val="4"/>
          <w:sz w:val="24"/>
          <w14:textFill>
            <w14:solidFill>
              <w14:schemeClr w14:val="tx1"/>
            </w14:solidFill>
          </w14:textFill>
        </w:rPr>
        <w:t>K</w:t>
      </w:r>
      <w:r>
        <w:rPr>
          <w:rFonts w:ascii="Times New Roman" w:hAnsi="Times New Roman" w:eastAsia="宋体" w:cs="Times New Roman"/>
          <w:color w:val="000000" w:themeColor="text1"/>
          <w:spacing w:val="4"/>
          <w:sz w:val="24"/>
          <w:vertAlign w:val="subscript"/>
          <w14:textFill>
            <w14:solidFill>
              <w14:schemeClr w14:val="tx1"/>
            </w14:solidFill>
          </w14:textFill>
        </w:rPr>
        <w:t>1</w:t>
      </w:r>
      <w:r>
        <w:rPr>
          <w:rFonts w:ascii="Times New Roman" w:hAnsi="Times New Roman" w:eastAsia="宋体" w:cs="Times New Roman"/>
          <w:i/>
          <w:iCs/>
          <w:color w:val="000000" w:themeColor="text1"/>
          <w:spacing w:val="4"/>
          <w:sz w:val="24"/>
          <w14:textFill>
            <w14:solidFill>
              <w14:schemeClr w14:val="tx1"/>
            </w14:solidFill>
          </w14:textFill>
        </w:rPr>
        <w:t>h</w:t>
      </w:r>
      <w:r>
        <w:rPr>
          <w:rFonts w:ascii="Times New Roman" w:hAnsi="Times New Roman" w:eastAsia="宋体" w:cs="Times New Roman"/>
          <w:color w:val="000000" w:themeColor="text1"/>
          <w:spacing w:val="4"/>
          <w:sz w:val="24"/>
          <w:vertAlign w:val="subscript"/>
          <w14:textFill>
            <w14:solidFill>
              <w14:schemeClr w14:val="tx1"/>
            </w14:solidFill>
          </w14:textFill>
        </w:rPr>
        <w:t>2</w:t>
      </w:r>
      <w:r>
        <w:rPr>
          <w:rFonts w:ascii="Times New Roman" w:hAnsi="Times New Roman" w:eastAsia="宋体" w:cs="Times New Roman"/>
          <w:color w:val="000000" w:themeColor="text1"/>
          <w:spacing w:val="4"/>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油藏</w:t>
      </w:r>
      <w:r>
        <w:rPr>
          <w:rFonts w:ascii="Times New Roman" w:hAnsi="Times New Roman" w:eastAsia="宋体" w:cs="Times New Roman"/>
          <w:color w:val="000000" w:themeColor="text1"/>
          <w:sz w:val="24"/>
          <w14:textFill>
            <w14:solidFill>
              <w14:schemeClr w14:val="tx1"/>
            </w14:solidFill>
          </w14:textFill>
        </w:rPr>
        <w:t>油层标准沿用2012年陆9井区储量复算时的标准：</w:t>
      </w:r>
    </w:p>
    <w:p>
      <w:pPr>
        <w:tabs>
          <w:tab w:val="left" w:pos="5760"/>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孔隙度（Φ）≥27.0%；电阻率（Rt）≥7.0Ω·m；含油饱和度（So）≥48%。</w:t>
      </w:r>
    </w:p>
    <w:p>
      <w:pPr>
        <w:tabs>
          <w:tab w:val="left" w:pos="5760"/>
        </w:tabs>
        <w:adjustRightInd w:val="0"/>
        <w:snapToGrid w:val="0"/>
        <w:spacing w:line="360" w:lineRule="auto"/>
        <w:ind w:firstLine="480" w:firstLineChars="200"/>
        <w:rPr>
          <w:rFonts w:ascii="Times New Roman" w:hAnsi="Times New Roman" w:eastAsia="宋体" w:cs="Times New Roman"/>
          <w:color w:val="000000" w:themeColor="text1"/>
          <w:spacing w:val="4"/>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通过穿层井</w:t>
      </w:r>
      <w:r>
        <w:rPr>
          <w:rFonts w:hint="eastAsia" w:ascii="Times New Roman" w:hAnsi="Times New Roman" w:eastAsia="宋体" w:cs="Times New Roman"/>
          <w:color w:val="000000" w:themeColor="text1"/>
          <w:sz w:val="24"/>
          <w14:textFill>
            <w14:solidFill>
              <w14:schemeClr w14:val="tx1"/>
            </w14:solidFill>
          </w14:textFill>
        </w:rPr>
        <w:t>测井</w:t>
      </w:r>
      <w:r>
        <w:rPr>
          <w:rFonts w:ascii="Times New Roman" w:hAnsi="Times New Roman" w:eastAsia="宋体" w:cs="Times New Roman"/>
          <w:color w:val="000000" w:themeColor="text1"/>
          <w:sz w:val="24"/>
          <w14:textFill>
            <w14:solidFill>
              <w14:schemeClr w14:val="tx1"/>
            </w14:solidFill>
          </w14:textFill>
        </w:rPr>
        <w:t>解释，K</w:t>
      </w:r>
      <w:r>
        <w:rPr>
          <w:rFonts w:ascii="Times New Roman" w:hAnsi="Times New Roman" w:eastAsia="宋体" w:cs="Times New Roman"/>
          <w:color w:val="000000" w:themeColor="text1"/>
          <w:sz w:val="24"/>
          <w:vertAlign w:val="subscript"/>
          <w14:textFill>
            <w14:solidFill>
              <w14:schemeClr w14:val="tx1"/>
            </w14:solidFill>
          </w14:textFill>
        </w:rPr>
        <w:t>1</w:t>
      </w:r>
      <w:r>
        <w:rPr>
          <w:rFonts w:ascii="Times New Roman" w:hAnsi="Times New Roman" w:eastAsia="宋体" w:cs="Times New Roman"/>
          <w:i/>
          <w:iCs/>
          <w:color w:val="000000" w:themeColor="text1"/>
          <w:sz w:val="24"/>
          <w14:textFill>
            <w14:solidFill>
              <w14:schemeClr w14:val="tx1"/>
            </w14:solidFill>
          </w14:textFill>
        </w:rPr>
        <w:t>h</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油层横向发育稳定、连通性好，有效厚度在0~9.5m之间，平均4.1m，</w:t>
      </w:r>
      <w:r>
        <w:rPr>
          <w:rFonts w:ascii="Times New Roman" w:hAnsi="Times New Roman" w:eastAsia="宋体" w:cs="Times New Roman"/>
          <w:color w:val="000000" w:themeColor="text1"/>
          <w:sz w:val="24"/>
          <w14:textFill>
            <w14:solidFill>
              <w14:schemeClr w14:val="tx1"/>
            </w14:solidFill>
          </w14:textFill>
        </w:rPr>
        <w:t>整体呈现</w:t>
      </w:r>
      <w:r>
        <w:rPr>
          <w:rFonts w:ascii="Times New Roman" w:hAnsi="Times New Roman" w:eastAsia="宋体" w:cs="Times New Roman"/>
          <w:color w:val="000000" w:themeColor="text1"/>
          <w:spacing w:val="4"/>
          <w:sz w:val="24"/>
          <w14:textFill>
            <w14:solidFill>
              <w14:schemeClr w14:val="tx1"/>
            </w14:solidFill>
          </w14:textFill>
        </w:rPr>
        <w:t>中部厚、向四周减薄的特征。</w:t>
      </w:r>
    </w:p>
    <w:p>
      <w:pPr>
        <w:spacing w:line="360" w:lineRule="auto"/>
        <w:outlineLvl w:val="3"/>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3.2.7.3</w:t>
      </w:r>
      <w:r>
        <w:rPr>
          <w:rFonts w:ascii="Times New Roman" w:hAnsi="Times New Roman" w:eastAsia="宋体" w:cs="Times New Roman"/>
          <w:color w:val="000000" w:themeColor="text1"/>
          <w:sz w:val="28"/>
          <w:szCs w:val="28"/>
          <w14:textFill>
            <w14:solidFill>
              <w14:schemeClr w14:val="tx1"/>
            </w14:solidFill>
          </w14:textFill>
        </w:rPr>
        <w:t>水体分布</w:t>
      </w:r>
    </w:p>
    <w:p>
      <w:pPr>
        <w:tabs>
          <w:tab w:val="left" w:pos="5760"/>
        </w:tabs>
        <w:adjustRightInd w:val="0"/>
        <w:snapToGrid w:val="0"/>
        <w:spacing w:line="360" w:lineRule="auto"/>
        <w:ind w:firstLine="480" w:firstLineChars="200"/>
        <w:rPr>
          <w:rFonts w:ascii="Times New Roman" w:hAnsi="Times New Roman" w:eastAsia="宋体" w:cs="Times New Roman"/>
          <w:color w:val="000000" w:themeColor="text1"/>
          <w:spacing w:val="4"/>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K</w:t>
      </w:r>
      <w:r>
        <w:rPr>
          <w:rFonts w:ascii="Times New Roman" w:hAnsi="Times New Roman" w:eastAsia="宋体" w:cs="Times New Roman"/>
          <w:color w:val="000000" w:themeColor="text1"/>
          <w:sz w:val="24"/>
          <w:vertAlign w:val="subscript"/>
          <w14:textFill>
            <w14:solidFill>
              <w14:schemeClr w14:val="tx1"/>
            </w14:solidFill>
          </w14:textFill>
        </w:rPr>
        <w:t>1</w:t>
      </w:r>
      <w:r>
        <w:rPr>
          <w:rFonts w:ascii="Times New Roman" w:hAnsi="Times New Roman" w:eastAsia="宋体" w:cs="Times New Roman"/>
          <w:i/>
          <w:iCs/>
          <w:color w:val="000000" w:themeColor="text1"/>
          <w:sz w:val="24"/>
          <w14:textFill>
            <w14:solidFill>
              <w14:schemeClr w14:val="tx1"/>
            </w14:solidFill>
          </w14:textFill>
        </w:rPr>
        <w:t>h</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vertAlign w:val="superscript"/>
          <w14:textFill>
            <w14:solidFill>
              <w14:schemeClr w14:val="tx1"/>
            </w14:solidFill>
          </w14:textFill>
        </w:rPr>
        <w:t>3-4</w:t>
      </w:r>
      <w:r>
        <w:rPr>
          <w:rFonts w:ascii="Times New Roman" w:hAnsi="Times New Roman" w:eastAsia="宋体" w:cs="Times New Roman"/>
          <w:color w:val="000000" w:themeColor="text1"/>
          <w:spacing w:val="4"/>
          <w:sz w:val="24"/>
          <w14:textFill>
            <w14:solidFill>
              <w14:schemeClr w14:val="tx1"/>
            </w14:solidFill>
          </w14:textFill>
        </w:rPr>
        <w:t>油藏普遍发育底水，仅在中东部局部不发育，油藏北部、西部、南部因构造降低，底水厚度逐渐增大，厚度在0m~9m之间。</w:t>
      </w:r>
    </w:p>
    <w:p>
      <w:pPr>
        <w:pStyle w:val="3"/>
        <w:spacing w:before="10" w:after="10"/>
        <w:rPr>
          <w:rFonts w:ascii="Times New Roman" w:hAnsi="Times New Roman" w:cs="Times New Roman"/>
          <w:color w:val="000000" w:themeColor="text1"/>
          <w14:textFill>
            <w14:solidFill>
              <w14:schemeClr w14:val="tx1"/>
            </w14:solidFill>
          </w14:textFill>
        </w:rPr>
      </w:pPr>
      <w:bookmarkStart w:id="221" w:name="_Toc23452"/>
      <w:bookmarkStart w:id="222" w:name="_Toc15077"/>
      <w:r>
        <w:rPr>
          <w:rFonts w:ascii="Times New Roman" w:hAnsi="Times New Roman" w:cs="Times New Roman"/>
          <w:color w:val="000000" w:themeColor="text1"/>
          <w14:textFill>
            <w14:solidFill>
              <w14:schemeClr w14:val="tx1"/>
            </w14:solidFill>
          </w14:textFill>
        </w:rPr>
        <w:t>3.3工程组成</w:t>
      </w:r>
      <w:bookmarkEnd w:id="221"/>
      <w:bookmarkEnd w:id="222"/>
    </w:p>
    <w:p>
      <w:pPr>
        <w:pStyle w:val="30"/>
        <w:spacing w:line="360" w:lineRule="auto"/>
        <w:rPr>
          <w:rFonts w:cs="Times New Roman"/>
          <w:color w:val="000000" w:themeColor="text1"/>
          <w:kern w:val="0"/>
          <w:sz w:val="24"/>
          <w:szCs w:val="24"/>
          <w14:textFill>
            <w14:solidFill>
              <w14:schemeClr w14:val="tx1"/>
            </w14:solidFill>
          </w14:textFill>
        </w:rPr>
      </w:pPr>
      <w:bookmarkStart w:id="223" w:name="_Hlk91843507"/>
      <w:r>
        <w:rPr>
          <w:rFonts w:hint="eastAsia" w:cs="Times New Roman"/>
          <w:color w:val="000000" w:themeColor="text1"/>
          <w:sz w:val="24"/>
          <w:szCs w:val="24"/>
          <w14:textFill>
            <w14:solidFill>
              <w14:schemeClr w14:val="tx1"/>
            </w14:solidFill>
          </w14:textFill>
        </w:rPr>
        <w:t>根据设计方案，</w:t>
      </w:r>
      <w:r>
        <w:rPr>
          <w:rFonts w:cs="Times New Roman"/>
          <w:color w:val="000000" w:themeColor="text1"/>
          <w:sz w:val="24"/>
          <w:szCs w:val="24"/>
          <w14:textFill>
            <w14:solidFill>
              <w14:schemeClr w14:val="tx1"/>
            </w14:solidFill>
          </w14:textFill>
        </w:rPr>
        <w:t>本工程计划在陆9井区部署调整井37口，包括新钻采油井28口，老井转注9口。设计单井产能3.0t/d，新建产能2.52×10</w:t>
      </w:r>
      <w:r>
        <w:rPr>
          <w:rFonts w:cs="Times New Roman"/>
          <w:color w:val="000000" w:themeColor="text1"/>
          <w:sz w:val="24"/>
          <w:szCs w:val="24"/>
          <w:vertAlign w:val="superscript"/>
          <w14:textFill>
            <w14:solidFill>
              <w14:schemeClr w14:val="tx1"/>
            </w14:solidFill>
          </w14:textFill>
        </w:rPr>
        <w:t>4</w:t>
      </w:r>
      <w:r>
        <w:rPr>
          <w:rFonts w:cs="Times New Roman"/>
          <w:color w:val="000000" w:themeColor="text1"/>
          <w:sz w:val="24"/>
          <w:szCs w:val="24"/>
          <w14:textFill>
            <w14:solidFill>
              <w14:schemeClr w14:val="tx1"/>
            </w14:solidFill>
          </w14:textFill>
        </w:rPr>
        <w:t>t</w:t>
      </w:r>
      <w:r>
        <w:rPr>
          <w:rFonts w:hint="eastAsia" w:cs="Times New Roman"/>
          <w:color w:val="000000" w:themeColor="text1"/>
          <w:sz w:val="24"/>
          <w:szCs w:val="24"/>
          <w14:textFill>
            <w14:solidFill>
              <w14:schemeClr w14:val="tx1"/>
            </w14:solidFill>
          </w14:textFill>
        </w:rPr>
        <w:t>、</w:t>
      </w:r>
      <w:r>
        <w:rPr>
          <w:rFonts w:hint="eastAsia" w:cs="Times New Roman"/>
          <w:color w:val="000000" w:themeColor="text1"/>
          <w:kern w:val="0"/>
          <w:sz w:val="24"/>
          <w:szCs w:val="24"/>
          <w14:textFill>
            <w14:solidFill>
              <w14:schemeClr w14:val="tx1"/>
            </w14:solidFill>
          </w14:textFill>
        </w:rPr>
        <w:t>产气80.11</w:t>
      </w:r>
      <w:r>
        <w:rPr>
          <w:rFonts w:cs="Times New Roman"/>
          <w:color w:val="000000" w:themeColor="text1"/>
          <w:kern w:val="0"/>
          <w:sz w:val="24"/>
          <w:szCs w:val="24"/>
          <w14:textFill>
            <w14:solidFill>
              <w14:schemeClr w14:val="tx1"/>
            </w14:solidFill>
          </w14:textFill>
        </w:rPr>
        <w:t>×10</w:t>
      </w:r>
      <w:r>
        <w:rPr>
          <w:rFonts w:cs="Times New Roman"/>
          <w:color w:val="000000" w:themeColor="text1"/>
          <w:kern w:val="0"/>
          <w:sz w:val="24"/>
          <w:szCs w:val="24"/>
          <w:vertAlign w:val="superscript"/>
          <w14:textFill>
            <w14:solidFill>
              <w14:schemeClr w14:val="tx1"/>
            </w14:solidFill>
          </w14:textFill>
        </w:rPr>
        <w:t>4</w:t>
      </w:r>
      <w:r>
        <w:rPr>
          <w:rFonts w:hint="eastAsia" w:cs="Times New Roman"/>
          <w:color w:val="000000" w:themeColor="text1"/>
          <w:kern w:val="0"/>
          <w:sz w:val="24"/>
          <w:szCs w:val="24"/>
          <w14:textFill>
            <w14:solidFill>
              <w14:schemeClr w14:val="tx1"/>
            </w14:solidFill>
          </w14:textFill>
        </w:rPr>
        <w:t>m</w:t>
      </w:r>
      <w:r>
        <w:rPr>
          <w:rFonts w:hint="eastAsia" w:cs="Times New Roman"/>
          <w:color w:val="000000" w:themeColor="text1"/>
          <w:kern w:val="0"/>
          <w:sz w:val="24"/>
          <w:szCs w:val="24"/>
          <w:vertAlign w:val="superscript"/>
          <w14:textFill>
            <w14:solidFill>
              <w14:schemeClr w14:val="tx1"/>
            </w14:solidFill>
          </w14:textFill>
        </w:rPr>
        <w:t>3</w:t>
      </w:r>
      <w:r>
        <w:rPr>
          <w:rFonts w:cs="Times New Roman"/>
          <w:color w:val="000000" w:themeColor="text1"/>
          <w:kern w:val="0"/>
          <w:sz w:val="24"/>
          <w:szCs w:val="24"/>
          <w14:textFill>
            <w14:solidFill>
              <w14:schemeClr w14:val="tx1"/>
            </w14:solidFill>
          </w14:textFill>
        </w:rPr>
        <w:t>/a，单井</w:t>
      </w:r>
      <w:r>
        <w:rPr>
          <w:rFonts w:hint="eastAsia" w:cs="Times New Roman"/>
          <w:color w:val="000000" w:themeColor="text1"/>
          <w:kern w:val="0"/>
          <w:sz w:val="24"/>
          <w:szCs w:val="24"/>
          <w14:textFill>
            <w14:solidFill>
              <w14:schemeClr w14:val="tx1"/>
            </w14:solidFill>
          </w14:textFill>
        </w:rPr>
        <w:t>最大</w:t>
      </w:r>
      <w:r>
        <w:rPr>
          <w:rFonts w:cs="Times New Roman"/>
          <w:color w:val="000000" w:themeColor="text1"/>
          <w:kern w:val="0"/>
          <w:sz w:val="24"/>
          <w:szCs w:val="24"/>
          <w14:textFill>
            <w14:solidFill>
              <w14:schemeClr w14:val="tx1"/>
            </w14:solidFill>
          </w14:textFill>
        </w:rPr>
        <w:t>注水量</w:t>
      </w:r>
      <w:r>
        <w:rPr>
          <w:rFonts w:hint="eastAsia" w:cs="Times New Roman"/>
          <w:color w:val="000000" w:themeColor="text1"/>
          <w:kern w:val="0"/>
          <w:sz w:val="24"/>
          <w:szCs w:val="24"/>
          <w14:textFill>
            <w14:solidFill>
              <w14:schemeClr w14:val="tx1"/>
            </w14:solidFill>
          </w14:textFill>
        </w:rPr>
        <w:t>150</w:t>
      </w:r>
      <w:r>
        <w:rPr>
          <w:rFonts w:cs="Times New Roman"/>
          <w:color w:val="000000" w:themeColor="text1"/>
          <w:kern w:val="0"/>
          <w:sz w:val="24"/>
          <w:szCs w:val="24"/>
          <w14:textFill>
            <w14:solidFill>
              <w14:schemeClr w14:val="tx1"/>
            </w14:solidFill>
          </w14:textFill>
        </w:rPr>
        <w:t>m</w:t>
      </w:r>
      <w:r>
        <w:rPr>
          <w:rFonts w:cs="Times New Roman"/>
          <w:color w:val="000000" w:themeColor="text1"/>
          <w:kern w:val="0"/>
          <w:sz w:val="24"/>
          <w:szCs w:val="24"/>
          <w:vertAlign w:val="superscript"/>
          <w14:textFill>
            <w14:solidFill>
              <w14:schemeClr w14:val="tx1"/>
            </w14:solidFill>
          </w14:textFill>
        </w:rPr>
        <w:t>3</w:t>
      </w:r>
      <w:r>
        <w:rPr>
          <w:rFonts w:cs="Times New Roman"/>
          <w:color w:val="000000" w:themeColor="text1"/>
          <w:kern w:val="0"/>
          <w:sz w:val="24"/>
          <w:szCs w:val="24"/>
          <w14:textFill>
            <w14:solidFill>
              <w14:schemeClr w14:val="tx1"/>
            </w14:solidFill>
          </w14:textFill>
        </w:rPr>
        <w:t>/d。</w:t>
      </w:r>
      <w:r>
        <w:rPr>
          <w:rFonts w:hint="eastAsia" w:cs="Times New Roman"/>
          <w:color w:val="000000" w:themeColor="text1"/>
          <w:kern w:val="0"/>
          <w:sz w:val="24"/>
          <w:szCs w:val="24"/>
          <w14:textFill>
            <w14:solidFill>
              <w14:schemeClr w14:val="tx1"/>
            </w14:solidFill>
          </w14:textFill>
        </w:rPr>
        <w:t>新建计量站5座、配水撬3座。新建37口井的单井出油管道10.33km、集油支线3.6km、集油干线2.1km，单井注水管道4.52km、注水干线2.12km、注水支线1.77km。</w:t>
      </w:r>
      <w:bookmarkEnd w:id="223"/>
      <w:r>
        <w:rPr>
          <w:rFonts w:cs="Times New Roman"/>
          <w:color w:val="000000" w:themeColor="text1"/>
          <w:kern w:val="0"/>
          <w:sz w:val="24"/>
          <w:szCs w:val="24"/>
          <w14:textFill>
            <w14:solidFill>
              <w14:schemeClr w14:val="tx1"/>
            </w14:solidFill>
          </w14:textFill>
        </w:rPr>
        <w:t>配套建设供配电及仪表自动化等地面工程。</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工程项目组成见表3.3-1。</w:t>
      </w:r>
    </w:p>
    <w:p>
      <w:pPr>
        <w:adjustRightInd w:val="0"/>
        <w:snapToGrid w:val="0"/>
        <w:spacing w:after="156" w:afterLines="5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表3.3-1  本项目主要工程组成一览表</w:t>
      </w:r>
    </w:p>
    <w:tbl>
      <w:tblPr>
        <w:tblStyle w:val="23"/>
        <w:tblW w:w="8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65"/>
        <w:gridCol w:w="362"/>
        <w:gridCol w:w="561"/>
        <w:gridCol w:w="1128"/>
        <w:gridCol w:w="859"/>
        <w:gridCol w:w="4518"/>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tblHeader/>
          <w:jc w:val="center"/>
        </w:trPr>
        <w:tc>
          <w:tcPr>
            <w:tcW w:w="465" w:type="dxa"/>
            <w:vAlign w:val="center"/>
          </w:tcPr>
          <w:p>
            <w:pPr>
              <w:pStyle w:val="35"/>
              <w:rPr>
                <w:rFonts w:cs="Times New Roman"/>
                <w:b/>
                <w:bCs/>
                <w:color w:val="000000" w:themeColor="text1"/>
                <w14:textFill>
                  <w14:solidFill>
                    <w14:schemeClr w14:val="tx1"/>
                  </w14:solidFill>
                </w14:textFill>
              </w:rPr>
            </w:pPr>
            <w:bookmarkStart w:id="224" w:name="_Hlk41383849"/>
            <w:bookmarkStart w:id="225" w:name="_Hlk25328642"/>
            <w:bookmarkStart w:id="226" w:name="_Hlk512468806"/>
            <w:r>
              <w:rPr>
                <w:rFonts w:cs="Times New Roman"/>
                <w:b/>
                <w:bCs/>
                <w:color w:val="000000" w:themeColor="text1"/>
                <w14:textFill>
                  <w14:solidFill>
                    <w14:schemeClr w14:val="tx1"/>
                  </w14:solidFill>
                </w14:textFill>
              </w:rPr>
              <w:t>类别</w:t>
            </w:r>
          </w:p>
        </w:tc>
        <w:tc>
          <w:tcPr>
            <w:tcW w:w="923" w:type="dxa"/>
            <w:gridSpan w:val="2"/>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名称</w:t>
            </w:r>
          </w:p>
        </w:tc>
        <w:tc>
          <w:tcPr>
            <w:tcW w:w="1987" w:type="dxa"/>
            <w:gridSpan w:val="2"/>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工程量</w:t>
            </w:r>
          </w:p>
        </w:tc>
        <w:tc>
          <w:tcPr>
            <w:tcW w:w="4518"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建设内容</w:t>
            </w:r>
          </w:p>
        </w:tc>
        <w:tc>
          <w:tcPr>
            <w:tcW w:w="524"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主体工程</w:t>
            </w:r>
          </w:p>
        </w:tc>
        <w:tc>
          <w:tcPr>
            <w:tcW w:w="2910" w:type="dxa"/>
            <w:gridSpan w:val="4"/>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钻前工程</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钻井前准备工作，包括井场平整、设备基础修建等，均在井场临时占地范围内实施。</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钻井工程</w:t>
            </w:r>
          </w:p>
        </w:tc>
        <w:tc>
          <w:tcPr>
            <w:tcW w:w="112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采油井</w:t>
            </w:r>
          </w:p>
        </w:tc>
        <w:tc>
          <w:tcPr>
            <w:tcW w:w="85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28</w:t>
            </w:r>
            <w:r>
              <w:rPr>
                <w:rFonts w:cs="Times New Roman"/>
                <w:color w:val="000000" w:themeColor="text1"/>
                <w14:textFill>
                  <w14:solidFill>
                    <w14:schemeClr w14:val="tx1"/>
                  </w14:solidFill>
                </w14:textFill>
              </w:rPr>
              <w:t>口</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新钻采油井</w:t>
            </w:r>
            <w:r>
              <w:rPr>
                <w:rFonts w:hint="eastAsia" w:cs="Times New Roman"/>
                <w:color w:val="000000" w:themeColor="text1"/>
                <w14:textFill>
                  <w14:solidFill>
                    <w14:schemeClr w14:val="tx1"/>
                  </w14:solidFill>
                </w14:textFill>
              </w:rPr>
              <w:t>28</w:t>
            </w:r>
            <w:r>
              <w:rPr>
                <w:rFonts w:cs="Times New Roman"/>
                <w:color w:val="000000" w:themeColor="text1"/>
                <w14:textFill>
                  <w14:solidFill>
                    <w14:schemeClr w14:val="tx1"/>
                  </w14:solidFill>
                </w14:textFill>
              </w:rPr>
              <w:t>口，均为二开井身结构、定向井。钻井总进尺</w:t>
            </w:r>
            <w:r>
              <w:rPr>
                <w:rFonts w:hint="eastAsia" w:cs="Times New Roman"/>
                <w:color w:val="000000" w:themeColor="text1"/>
                <w14:textFill>
                  <w14:solidFill>
                    <w14:schemeClr w14:val="tx1"/>
                  </w14:solidFill>
                </w14:textFill>
              </w:rPr>
              <w:t>3.36</w:t>
            </w:r>
            <w:r>
              <w:rPr>
                <w:rFonts w:ascii="Arial" w:hAnsi="Arial" w:cs="Arial"/>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10</w:t>
            </w:r>
            <w:r>
              <w:rPr>
                <w:rFonts w:hint="eastAsia" w:cs="Times New Roman"/>
                <w:color w:val="000000" w:themeColor="text1"/>
                <w:vertAlign w:val="superscript"/>
                <w14:textFill>
                  <w14:solidFill>
                    <w14:schemeClr w14:val="tx1"/>
                  </w14:solidFill>
                </w14:textFill>
              </w:rPr>
              <w:t>4</w:t>
            </w:r>
            <w:r>
              <w:rPr>
                <w:rFonts w:cs="Times New Roman"/>
                <w:color w:val="000000" w:themeColor="text1"/>
                <w14:textFill>
                  <w14:solidFill>
                    <w14:schemeClr w14:val="tx1"/>
                  </w14:solidFill>
                </w14:textFill>
              </w:rPr>
              <w:t>m，累计施工</w:t>
            </w:r>
            <w:r>
              <w:rPr>
                <w:rFonts w:hint="eastAsia" w:cs="Times New Roman"/>
                <w:color w:val="000000" w:themeColor="text1"/>
                <w14:textFill>
                  <w14:solidFill>
                    <w14:schemeClr w14:val="tx1"/>
                  </w14:solidFill>
                </w14:textFill>
              </w:rPr>
              <w:t>322</w:t>
            </w:r>
            <w:r>
              <w:rPr>
                <w:rFonts w:cs="Times New Roman"/>
                <w:color w:val="000000" w:themeColor="text1"/>
                <w14:textFill>
                  <w14:solidFill>
                    <w14:schemeClr w14:val="tx1"/>
                  </w14:solidFill>
                </w14:textFill>
              </w:rPr>
              <w:t>天，施工人数为20人。本项目采用水基钻井液。</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修井工程</w:t>
            </w:r>
          </w:p>
        </w:tc>
        <w:tc>
          <w:tcPr>
            <w:tcW w:w="112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老井转注</w:t>
            </w:r>
          </w:p>
        </w:tc>
        <w:tc>
          <w:tcPr>
            <w:tcW w:w="85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w:t>
            </w:r>
            <w:r>
              <w:rPr>
                <w:rFonts w:cs="Times New Roman"/>
                <w:color w:val="000000" w:themeColor="text1"/>
                <w14:textFill>
                  <w14:solidFill>
                    <w14:schemeClr w14:val="tx1"/>
                  </w14:solidFill>
                </w14:textFill>
              </w:rPr>
              <w:t>口</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w:t>
            </w:r>
            <w:r>
              <w:rPr>
                <w:rFonts w:hint="eastAsia" w:cs="Times New Roman"/>
                <w:color w:val="000000" w:themeColor="text1"/>
                <w14:textFill>
                  <w14:solidFill>
                    <w14:schemeClr w14:val="tx1"/>
                  </w14:solidFill>
                </w14:textFill>
              </w:rPr>
              <w:t>9</w:t>
            </w:r>
            <w:r>
              <w:rPr>
                <w:rFonts w:cs="Times New Roman"/>
                <w:color w:val="000000" w:themeColor="text1"/>
                <w14:textFill>
                  <w14:solidFill>
                    <w14:schemeClr w14:val="tx1"/>
                  </w14:solidFill>
                </w14:textFill>
              </w:rPr>
              <w:t>口井为老井转注，主要修井内容包括：校井口、试压、提结构、探井底、通井、试压、下结构、射孔、试压、完井等。累计施工</w:t>
            </w:r>
            <w:r>
              <w:rPr>
                <w:rFonts w:hint="eastAsia" w:cs="Times New Roman"/>
                <w:color w:val="000000" w:themeColor="text1"/>
                <w14:textFill>
                  <w14:solidFill>
                    <w14:schemeClr w14:val="tx1"/>
                  </w14:solidFill>
                </w14:textFill>
              </w:rPr>
              <w:t>103.5</w:t>
            </w:r>
            <w:r>
              <w:rPr>
                <w:rFonts w:cs="Times New Roman"/>
                <w:color w:val="000000" w:themeColor="text1"/>
                <w14:textFill>
                  <w14:solidFill>
                    <w14:schemeClr w14:val="tx1"/>
                  </w14:solidFill>
                </w14:textFill>
              </w:rPr>
              <w:t>天，施工人数为20人。</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01"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储层改造工程</w:t>
            </w:r>
          </w:p>
        </w:tc>
        <w:tc>
          <w:tcPr>
            <w:tcW w:w="1987"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射孔</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陆9井区呼图壁组油藏属高孔、高渗储集层，射孔后直接转机抽生产，本项目储层改造不涉及压裂和酸化工艺。采油井采用油管传输射孔，注水井采用电缆传输射孔。</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采油工程</w:t>
            </w:r>
          </w:p>
        </w:tc>
        <w:tc>
          <w:tcPr>
            <w:tcW w:w="112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采油井井口装置</w:t>
            </w:r>
          </w:p>
        </w:tc>
        <w:tc>
          <w:tcPr>
            <w:tcW w:w="85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28</w:t>
            </w:r>
            <w:r>
              <w:rPr>
                <w:rFonts w:cs="Times New Roman"/>
                <w:color w:val="000000" w:themeColor="text1"/>
                <w14:textFill>
                  <w14:solidFill>
                    <w14:schemeClr w14:val="tx1"/>
                  </w14:solidFill>
                </w14:textFill>
              </w:rPr>
              <w:t>口</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新建水平井采油井场</w:t>
            </w:r>
            <w:r>
              <w:rPr>
                <w:rFonts w:hint="eastAsia" w:cs="Times New Roman"/>
                <w:color w:val="000000" w:themeColor="text1"/>
                <w14:textFill>
                  <w14:solidFill>
                    <w14:schemeClr w14:val="tx1"/>
                  </w14:solidFill>
                </w14:textFill>
              </w:rPr>
              <w:t>28</w:t>
            </w:r>
            <w:r>
              <w:rPr>
                <w:rFonts w:cs="Times New Roman"/>
                <w:color w:val="000000" w:themeColor="text1"/>
                <w14:textFill>
                  <w14:solidFill>
                    <w14:schemeClr w14:val="tx1"/>
                  </w14:solidFill>
                </w14:textFill>
              </w:rPr>
              <w:t>座，其中19座采用30</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80m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的防腐防垢变频潜油电泵机组，配套电机功率27kW，8座采用8型节能抽油机，配套电机功率18.5kW，1座采用10型抽油机，配套电机22kW，井口均设置保温盒保温，保温盒内设0.25kW防爆电加热器，压力表置于保温盒内。</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Merge w:val="continue"/>
            <w:vAlign w:val="center"/>
          </w:tcPr>
          <w:p>
            <w:pPr>
              <w:pStyle w:val="35"/>
              <w:rPr>
                <w:rFonts w:cs="Times New Roman"/>
                <w:color w:val="000000" w:themeColor="text1"/>
                <w14:textFill>
                  <w14:solidFill>
                    <w14:schemeClr w14:val="tx1"/>
                  </w14:solidFill>
                </w14:textFill>
              </w:rPr>
            </w:pPr>
          </w:p>
        </w:tc>
        <w:tc>
          <w:tcPr>
            <w:tcW w:w="112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计量站</w:t>
            </w:r>
          </w:p>
        </w:tc>
        <w:tc>
          <w:tcPr>
            <w:tcW w:w="85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座</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w:t>
            </w:r>
            <w:r>
              <w:rPr>
                <w:rFonts w:hint="eastAsia" w:cs="Times New Roman"/>
                <w:color w:val="000000" w:themeColor="text1"/>
                <w14:textFill>
                  <w14:solidFill>
                    <w14:schemeClr w14:val="tx1"/>
                  </w14:solidFill>
                </w14:textFill>
              </w:rPr>
              <w:t>新建4</w:t>
            </w:r>
            <w:r>
              <w:rPr>
                <w:rFonts w:cs="Times New Roman"/>
                <w:color w:val="000000" w:themeColor="text1"/>
                <w14:textFill>
                  <w14:solidFill>
                    <w14:schemeClr w14:val="tx1"/>
                  </w14:solidFill>
                </w14:textFill>
              </w:rPr>
              <w:t>座12井式一体化选井计量装置</w:t>
            </w:r>
            <w:r>
              <w:rPr>
                <w:rFonts w:hint="eastAsia" w:cs="Times New Roman"/>
                <w:color w:val="000000" w:themeColor="text1"/>
                <w:lang w:eastAsia="zh-CN"/>
                <w14:textFill>
                  <w14:solidFill>
                    <w14:schemeClr w14:val="tx1"/>
                  </w14:solidFill>
                </w14:textFill>
              </w:rPr>
              <w:t>、</w:t>
            </w:r>
            <w:r>
              <w:rPr>
                <w:rFonts w:cs="Times New Roman"/>
                <w:color w:val="000000" w:themeColor="text1"/>
                <w14:textFill>
                  <w14:solidFill>
                    <w14:schemeClr w14:val="tx1"/>
                  </w14:solidFill>
                </w14:textFill>
              </w:rPr>
              <w:t>1座8井式一体化选井计量装置。</w:t>
            </w:r>
          </w:p>
        </w:tc>
        <w:tc>
          <w:tcPr>
            <w:tcW w:w="524"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bookmarkStart w:id="227" w:name="_Hlk24891032"/>
            <w:bookmarkStart w:id="228" w:name="_Hlk25515925"/>
          </w:p>
        </w:tc>
        <w:tc>
          <w:tcPr>
            <w:tcW w:w="923" w:type="dxa"/>
            <w:gridSpan w:val="2"/>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注水工程</w:t>
            </w:r>
          </w:p>
        </w:tc>
        <w:tc>
          <w:tcPr>
            <w:tcW w:w="112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注水井井口装置</w:t>
            </w:r>
          </w:p>
        </w:tc>
        <w:tc>
          <w:tcPr>
            <w:tcW w:w="85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9座</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本次部署注水井</w:t>
            </w:r>
            <w:r>
              <w:rPr>
                <w:rFonts w:hint="eastAsia" w:cs="Times New Roman"/>
                <w:color w:val="000000" w:themeColor="text1"/>
                <w14:textFill>
                  <w14:solidFill>
                    <w14:schemeClr w14:val="tx1"/>
                  </w14:solidFill>
                </w14:textFill>
              </w:rPr>
              <w:t>9</w:t>
            </w:r>
            <w:r>
              <w:rPr>
                <w:rFonts w:cs="Times New Roman"/>
                <w:color w:val="000000" w:themeColor="text1"/>
                <w14:textFill>
                  <w14:solidFill>
                    <w14:schemeClr w14:val="tx1"/>
                  </w14:solidFill>
                </w14:textFill>
              </w:rPr>
              <w:t>口，新建16MPa注水井场</w:t>
            </w:r>
            <w:r>
              <w:rPr>
                <w:rFonts w:hint="eastAsia" w:cs="Times New Roman"/>
                <w:color w:val="000000" w:themeColor="text1"/>
                <w14:textFill>
                  <w14:solidFill>
                    <w14:schemeClr w14:val="tx1"/>
                  </w14:solidFill>
                </w14:textFill>
              </w:rPr>
              <w:t>9</w:t>
            </w:r>
            <w:r>
              <w:rPr>
                <w:rFonts w:cs="Times New Roman"/>
                <w:color w:val="000000" w:themeColor="text1"/>
                <w14:textFill>
                  <w14:solidFill>
                    <w14:schemeClr w14:val="tx1"/>
                  </w14:solidFill>
                </w14:textFill>
              </w:rPr>
              <w:t>座，井口</w:t>
            </w:r>
            <w:r>
              <w:rPr>
                <w:rFonts w:hint="eastAsia" w:cs="Times New Roman"/>
                <w:color w:val="000000" w:themeColor="text1"/>
                <w14:textFill>
                  <w14:solidFill>
                    <w14:schemeClr w14:val="tx1"/>
                  </w14:solidFill>
                </w14:textFill>
              </w:rPr>
              <w:t>最大</w:t>
            </w:r>
            <w:r>
              <w:rPr>
                <w:rFonts w:cs="Times New Roman"/>
                <w:color w:val="000000" w:themeColor="text1"/>
                <w14:textFill>
                  <w14:solidFill>
                    <w14:schemeClr w14:val="tx1"/>
                  </w14:solidFill>
                </w14:textFill>
              </w:rPr>
              <w:t>注入压力为</w:t>
            </w:r>
            <w:r>
              <w:rPr>
                <w:rFonts w:hint="eastAsia" w:cs="Times New Roman"/>
                <w:color w:val="000000" w:themeColor="text1"/>
                <w14:textFill>
                  <w14:solidFill>
                    <w14:schemeClr w14:val="tx1"/>
                  </w14:solidFill>
                </w14:textFill>
              </w:rPr>
              <w:t>12</w:t>
            </w:r>
            <w:r>
              <w:rPr>
                <w:rFonts w:cs="Times New Roman"/>
                <w:color w:val="000000" w:themeColor="text1"/>
                <w14:textFill>
                  <w14:solidFill>
                    <w14:schemeClr w14:val="tx1"/>
                  </w14:solidFill>
                </w14:textFill>
              </w:rPr>
              <w:t>MPa。</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Merge w:val="continue"/>
            <w:vAlign w:val="center"/>
          </w:tcPr>
          <w:p>
            <w:pPr>
              <w:pStyle w:val="35"/>
              <w:rPr>
                <w:rFonts w:cs="Times New Roman"/>
                <w:color w:val="000000" w:themeColor="text1"/>
                <w14:textFill>
                  <w14:solidFill>
                    <w14:schemeClr w14:val="tx1"/>
                  </w14:solidFill>
                </w14:textFill>
              </w:rPr>
            </w:pPr>
          </w:p>
        </w:tc>
        <w:tc>
          <w:tcPr>
            <w:tcW w:w="1128"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配水撬</w:t>
            </w:r>
          </w:p>
        </w:tc>
        <w:tc>
          <w:tcPr>
            <w:tcW w:w="85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3座</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新建3座6井式16MPa配水撬。</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bookmarkEnd w:id="224"/>
      <w:bookmarkEnd w:id="22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油气集输工程</w:t>
            </w:r>
          </w:p>
        </w:tc>
        <w:tc>
          <w:tcPr>
            <w:tcW w:w="112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单井管线</w:t>
            </w:r>
          </w:p>
        </w:tc>
        <w:tc>
          <w:tcPr>
            <w:tcW w:w="859" w:type="dxa"/>
            <w:vAlign w:val="center"/>
          </w:tcPr>
          <w:p>
            <w:pPr>
              <w:pStyle w:val="35"/>
              <w:rPr>
                <w:rFonts w:cs="Times New Roman"/>
                <w:color w:val="000000" w:themeColor="text1"/>
                <w:spacing w:val="-20"/>
                <w14:textFill>
                  <w14:solidFill>
                    <w14:schemeClr w14:val="tx1"/>
                  </w14:solidFill>
                </w14:textFill>
              </w:rPr>
            </w:pPr>
            <w:r>
              <w:rPr>
                <w:rFonts w:hint="eastAsia" w:cs="Times New Roman"/>
                <w:color w:val="000000" w:themeColor="text1"/>
                <w14:textFill>
                  <w14:solidFill>
                    <w14:schemeClr w14:val="tx1"/>
                  </w14:solidFill>
                </w14:textFill>
              </w:rPr>
              <w:t>10.33</w:t>
            </w:r>
            <w:r>
              <w:rPr>
                <w:rFonts w:cs="Times New Roman"/>
                <w:color w:val="000000" w:themeColor="text1"/>
                <w14:textFill>
                  <w14:solidFill>
                    <w14:schemeClr w14:val="tx1"/>
                  </w14:solidFill>
                </w14:textFill>
              </w:rPr>
              <w:t>km</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本工程新建单井出油管道采用DN50 2.5MPa塑料合金防腐蚀复合管，长度</w:t>
            </w:r>
            <w:r>
              <w:rPr>
                <w:rFonts w:hint="eastAsia" w:cs="Times New Roman"/>
                <w:color w:val="000000" w:themeColor="text1"/>
                <w14:textFill>
                  <w14:solidFill>
                    <w14:schemeClr w14:val="tx1"/>
                  </w14:solidFill>
                </w14:textFill>
              </w:rPr>
              <w:t>10.33</w:t>
            </w:r>
            <w:r>
              <w:rPr>
                <w:rFonts w:cs="Times New Roman"/>
                <w:color w:val="000000" w:themeColor="text1"/>
                <w14:textFill>
                  <w14:solidFill>
                    <w14:schemeClr w14:val="tx1"/>
                  </w14:solidFill>
                </w14:textFill>
              </w:rPr>
              <w:t>km，保温埋地敷设，管底标高-1.70m。</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bookmarkEnd w:id="22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Merge w:val="continue"/>
            <w:vAlign w:val="center"/>
          </w:tcPr>
          <w:p>
            <w:pPr>
              <w:pStyle w:val="35"/>
              <w:rPr>
                <w:rFonts w:cs="Times New Roman"/>
                <w:color w:val="000000" w:themeColor="text1"/>
                <w14:textFill>
                  <w14:solidFill>
                    <w14:schemeClr w14:val="tx1"/>
                  </w14:solidFill>
                </w14:textFill>
              </w:rPr>
            </w:pPr>
          </w:p>
        </w:tc>
        <w:tc>
          <w:tcPr>
            <w:tcW w:w="112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集油支线</w:t>
            </w:r>
          </w:p>
        </w:tc>
        <w:tc>
          <w:tcPr>
            <w:tcW w:w="85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3.6k</w:t>
            </w:r>
            <w:r>
              <w:rPr>
                <w:rFonts w:cs="Times New Roman"/>
                <w:color w:val="000000" w:themeColor="text1"/>
                <w14:textFill>
                  <w14:solidFill>
                    <w14:schemeClr w14:val="tx1"/>
                  </w14:solidFill>
                </w14:textFill>
              </w:rPr>
              <w:t>m</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集油支线</w:t>
            </w:r>
            <w:r>
              <w:rPr>
                <w:rFonts w:hint="eastAsia" w:cs="Times New Roman"/>
                <w:color w:val="000000" w:themeColor="text1"/>
                <w14:textFill>
                  <w14:solidFill>
                    <w14:schemeClr w14:val="tx1"/>
                  </w14:solidFill>
                </w14:textFill>
              </w:rPr>
              <w:t>由新建计量站至新建的集油干线，</w:t>
            </w:r>
            <w:r>
              <w:rPr>
                <w:rFonts w:cs="Times New Roman"/>
                <w:color w:val="000000" w:themeColor="text1"/>
                <w14:textFill>
                  <w14:solidFill>
                    <w14:schemeClr w14:val="tx1"/>
                  </w14:solidFill>
                </w14:textFill>
              </w:rPr>
              <w:t>管道采用DN1</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0 2.5MPa塑料内衬玻璃钢复合管，长度</w:t>
            </w:r>
            <w:r>
              <w:rPr>
                <w:rFonts w:hint="eastAsia" w:cs="Times New Roman"/>
                <w:color w:val="000000" w:themeColor="text1"/>
                <w14:textFill>
                  <w14:solidFill>
                    <w14:schemeClr w14:val="tx1"/>
                  </w14:solidFill>
                </w14:textFill>
              </w:rPr>
              <w:t>3.6k</w:t>
            </w:r>
            <w:r>
              <w:rPr>
                <w:rFonts w:cs="Times New Roman"/>
                <w:color w:val="000000" w:themeColor="text1"/>
                <w14:textFill>
                  <w14:solidFill>
                    <w14:schemeClr w14:val="tx1"/>
                  </w14:solidFill>
                </w14:textFill>
              </w:rPr>
              <w:t>m，保温埋地敷设，管底标高-1.</w:t>
            </w:r>
            <w:r>
              <w:rPr>
                <w:rFonts w:hint="eastAsia" w:cs="Times New Roman"/>
                <w:color w:val="000000" w:themeColor="text1"/>
                <w14:textFill>
                  <w14:solidFill>
                    <w14:schemeClr w14:val="tx1"/>
                  </w14:solidFill>
                </w14:textFill>
              </w:rPr>
              <w:t>9</w:t>
            </w:r>
            <w:r>
              <w:rPr>
                <w:rFonts w:cs="Times New Roman"/>
                <w:color w:val="000000" w:themeColor="text1"/>
                <w14:textFill>
                  <w14:solidFill>
                    <w14:schemeClr w14:val="tx1"/>
                  </w14:solidFill>
                </w14:textFill>
              </w:rPr>
              <w:t>0m。</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Merge w:val="continue"/>
            <w:vAlign w:val="center"/>
          </w:tcPr>
          <w:p>
            <w:pPr>
              <w:pStyle w:val="35"/>
              <w:rPr>
                <w:rFonts w:cs="Times New Roman"/>
                <w:color w:val="000000" w:themeColor="text1"/>
                <w14:textFill>
                  <w14:solidFill>
                    <w14:schemeClr w14:val="tx1"/>
                  </w14:solidFill>
                </w14:textFill>
              </w:rPr>
            </w:pPr>
          </w:p>
        </w:tc>
        <w:tc>
          <w:tcPr>
            <w:tcW w:w="1128"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集油干线</w:t>
            </w:r>
          </w:p>
        </w:tc>
        <w:tc>
          <w:tcPr>
            <w:tcW w:w="85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2.1km</w:t>
            </w:r>
          </w:p>
        </w:tc>
        <w:tc>
          <w:tcPr>
            <w:tcW w:w="4518"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集油干线</w:t>
            </w:r>
            <w:r>
              <w:rPr>
                <w:rFonts w:cs="Times New Roman"/>
                <w:color w:val="000000" w:themeColor="text1"/>
                <w14:textFill>
                  <w14:solidFill>
                    <w14:schemeClr w14:val="tx1"/>
                  </w14:solidFill>
                </w14:textFill>
              </w:rPr>
              <w:t>DN1</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0 2.5MPa塑料内衬玻璃钢复合管，长度</w:t>
            </w:r>
            <w:r>
              <w:rPr>
                <w:rFonts w:hint="eastAsia" w:cs="Times New Roman"/>
                <w:color w:val="000000" w:themeColor="text1"/>
                <w14:textFill>
                  <w14:solidFill>
                    <w14:schemeClr w14:val="tx1"/>
                  </w14:solidFill>
                </w14:textFill>
              </w:rPr>
              <w:t>2.1k</w:t>
            </w:r>
            <w:r>
              <w:rPr>
                <w:rFonts w:cs="Times New Roman"/>
                <w:color w:val="000000" w:themeColor="text1"/>
                <w14:textFill>
                  <w14:solidFill>
                    <w14:schemeClr w14:val="tx1"/>
                  </w14:solidFill>
                </w14:textFill>
              </w:rPr>
              <w:t>m，保温埋地敷设，管底标高-1.</w:t>
            </w:r>
            <w:r>
              <w:rPr>
                <w:rFonts w:hint="eastAsia" w:cs="Times New Roman"/>
                <w:color w:val="000000" w:themeColor="text1"/>
                <w14:textFill>
                  <w14:solidFill>
                    <w14:schemeClr w14:val="tx1"/>
                  </w14:solidFill>
                </w14:textFill>
              </w:rPr>
              <w:t>9</w:t>
            </w:r>
            <w:r>
              <w:rPr>
                <w:rFonts w:cs="Times New Roman"/>
                <w:color w:val="000000" w:themeColor="text1"/>
                <w14:textFill>
                  <w14:solidFill>
                    <w14:schemeClr w14:val="tx1"/>
                  </w14:solidFill>
                </w14:textFill>
              </w:rPr>
              <w:t>0m。</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注水管线工程</w:t>
            </w:r>
          </w:p>
        </w:tc>
        <w:tc>
          <w:tcPr>
            <w:tcW w:w="112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单井注水管线</w:t>
            </w:r>
          </w:p>
        </w:tc>
        <w:tc>
          <w:tcPr>
            <w:tcW w:w="85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4.52</w:t>
            </w:r>
            <w:r>
              <w:rPr>
                <w:rFonts w:cs="Times New Roman"/>
                <w:color w:val="000000" w:themeColor="text1"/>
                <w14:textFill>
                  <w14:solidFill>
                    <w14:schemeClr w14:val="tx1"/>
                  </w14:solidFill>
                </w14:textFill>
              </w:rPr>
              <w:t>km</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单井注水管道选DN50 16MPa塑料合金防腐蚀复合管，长度</w:t>
            </w:r>
            <w:r>
              <w:rPr>
                <w:rFonts w:hint="eastAsia" w:cs="Times New Roman"/>
                <w:color w:val="000000" w:themeColor="text1"/>
                <w14:textFill>
                  <w14:solidFill>
                    <w14:schemeClr w14:val="tx1"/>
                  </w14:solidFill>
                </w14:textFill>
              </w:rPr>
              <w:t>4.52</w:t>
            </w:r>
            <w:r>
              <w:rPr>
                <w:rFonts w:cs="Times New Roman"/>
                <w:color w:val="000000" w:themeColor="text1"/>
                <w14:textFill>
                  <w14:solidFill>
                    <w14:schemeClr w14:val="tx1"/>
                  </w14:solidFill>
                </w14:textFill>
              </w:rPr>
              <w:t>km，埋地不保温敷设，管线埋深-1.80m。</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Merge w:val="continue"/>
            <w:vAlign w:val="center"/>
          </w:tcPr>
          <w:p>
            <w:pPr>
              <w:pStyle w:val="35"/>
              <w:rPr>
                <w:rFonts w:cs="Times New Roman"/>
                <w:color w:val="000000" w:themeColor="text1"/>
                <w14:textFill>
                  <w14:solidFill>
                    <w14:schemeClr w14:val="tx1"/>
                  </w14:solidFill>
                </w14:textFill>
              </w:rPr>
            </w:pPr>
          </w:p>
        </w:tc>
        <w:tc>
          <w:tcPr>
            <w:tcW w:w="112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注水支线</w:t>
            </w:r>
          </w:p>
        </w:tc>
        <w:tc>
          <w:tcPr>
            <w:tcW w:w="85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1.77k</w:t>
            </w:r>
            <w:r>
              <w:rPr>
                <w:rFonts w:cs="Times New Roman"/>
                <w:color w:val="000000" w:themeColor="text1"/>
                <w14:textFill>
                  <w14:solidFill>
                    <w14:schemeClr w14:val="tx1"/>
                  </w14:solidFill>
                </w14:textFill>
              </w:rPr>
              <w:t>m</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新建单井注水支线选DN100 16MPa塑料合金防腐蚀复合管，长度</w:t>
            </w:r>
            <w:r>
              <w:rPr>
                <w:rFonts w:hint="eastAsia" w:cs="Times New Roman"/>
                <w:color w:val="000000" w:themeColor="text1"/>
                <w14:textFill>
                  <w14:solidFill>
                    <w14:schemeClr w14:val="tx1"/>
                  </w14:solidFill>
                </w14:textFill>
              </w:rPr>
              <w:t>1.77</w:t>
            </w:r>
            <w:r>
              <w:rPr>
                <w:rFonts w:cs="Times New Roman"/>
                <w:color w:val="000000" w:themeColor="text1"/>
                <w14:textFill>
                  <w14:solidFill>
                    <w14:schemeClr w14:val="tx1"/>
                  </w14:solidFill>
                </w14:textFill>
              </w:rPr>
              <w:t>km，埋地不保温敷设，管线埋深-2.0m。</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Merge w:val="continue"/>
            <w:vAlign w:val="center"/>
          </w:tcPr>
          <w:p>
            <w:pPr>
              <w:pStyle w:val="35"/>
              <w:rPr>
                <w:rFonts w:cs="Times New Roman"/>
                <w:color w:val="000000" w:themeColor="text1"/>
                <w14:textFill>
                  <w14:solidFill>
                    <w14:schemeClr w14:val="tx1"/>
                  </w14:solidFill>
                </w14:textFill>
              </w:rPr>
            </w:pPr>
          </w:p>
        </w:tc>
        <w:tc>
          <w:tcPr>
            <w:tcW w:w="1128"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注水干线</w:t>
            </w:r>
          </w:p>
        </w:tc>
        <w:tc>
          <w:tcPr>
            <w:tcW w:w="859"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2.12km</w:t>
            </w:r>
          </w:p>
        </w:tc>
        <w:tc>
          <w:tcPr>
            <w:tcW w:w="45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新建单井注水</w:t>
            </w:r>
            <w:r>
              <w:rPr>
                <w:rFonts w:hint="eastAsia" w:cs="Times New Roman"/>
                <w:color w:val="000000" w:themeColor="text1"/>
                <w14:textFill>
                  <w14:solidFill>
                    <w14:schemeClr w14:val="tx1"/>
                  </w14:solidFill>
                </w14:textFill>
              </w:rPr>
              <w:t>干</w:t>
            </w:r>
            <w:r>
              <w:rPr>
                <w:rFonts w:cs="Times New Roman"/>
                <w:color w:val="000000" w:themeColor="text1"/>
                <w14:textFill>
                  <w14:solidFill>
                    <w14:schemeClr w14:val="tx1"/>
                  </w14:solidFill>
                </w14:textFill>
              </w:rPr>
              <w:t>线选DN150 16MPa塑料合金防腐蚀复合管，长度</w:t>
            </w:r>
            <w:r>
              <w:rPr>
                <w:rFonts w:hint="eastAsia" w:cs="Times New Roman"/>
                <w:color w:val="000000" w:themeColor="text1"/>
                <w14:textFill>
                  <w14:solidFill>
                    <w14:schemeClr w14:val="tx1"/>
                  </w14:solidFill>
                </w14:textFill>
              </w:rPr>
              <w:t>2.12</w:t>
            </w:r>
            <w:r>
              <w:rPr>
                <w:rFonts w:cs="Times New Roman"/>
                <w:color w:val="000000" w:themeColor="text1"/>
                <w14:textFill>
                  <w14:solidFill>
                    <w14:schemeClr w14:val="tx1"/>
                  </w14:solidFill>
                </w14:textFill>
              </w:rPr>
              <w:t>km，埋地不保温敷设，管线埋深-2.0m。</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bookmarkEnd w:id="22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公</w:t>
            </w:r>
            <w:r>
              <w:rPr>
                <w:rFonts w:hint="eastAsia" w:cs="Times New Roman"/>
                <w:color w:val="000000" w:themeColor="text1"/>
                <w14:textFill>
                  <w14:solidFill>
                    <w14:schemeClr w14:val="tx1"/>
                  </w14:solidFill>
                </w14:textFill>
              </w:rPr>
              <w:t>辅</w:t>
            </w:r>
            <w:r>
              <w:rPr>
                <w:rFonts w:cs="Times New Roman"/>
                <w:color w:val="000000" w:themeColor="text1"/>
                <w14:textFill>
                  <w14:solidFill>
                    <w14:schemeClr w14:val="tx1"/>
                  </w14:solidFill>
                </w14:textFill>
              </w:rPr>
              <w:t>工程</w:t>
            </w: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供配电</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新建10kV架空线路引自110kV变电站新建10kV出线柜，共计约4.5km，导线采用JL/G1A-95/20型导线。</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r>
              <w:rPr>
                <w:rFonts w:hint="eastAsia" w:cs="Times New Roman"/>
                <w:color w:val="000000" w:themeColor="text1"/>
                <w14:textFill>
                  <w14:solidFill>
                    <w14:schemeClr w14:val="tx1"/>
                  </w14:solidFill>
                </w14:textFill>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供水</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本项目施工期、运营期所需新鲜水由</w:t>
            </w:r>
            <w:r>
              <w:rPr>
                <w:rFonts w:hint="eastAsia" w:cs="Times New Roman"/>
                <w:color w:val="000000" w:themeColor="text1"/>
                <w14:textFill>
                  <w14:solidFill>
                    <w14:schemeClr w14:val="tx1"/>
                  </w14:solidFill>
                </w14:textFill>
              </w:rPr>
              <w:t>陆梁油田作业区</w:t>
            </w:r>
            <w:r>
              <w:rPr>
                <w:rFonts w:cs="Times New Roman"/>
                <w:color w:val="000000" w:themeColor="text1"/>
                <w14:textFill>
                  <w14:solidFill>
                    <w14:schemeClr w14:val="tx1"/>
                  </w14:solidFill>
                </w14:textFill>
              </w:rPr>
              <w:t>供应，可满足用水需求。</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供热</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项目冬季不施工，不涉及供热，营运期井口加热采用电加热。</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道路</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依托已建道路。</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环保工程</w:t>
            </w:r>
          </w:p>
        </w:tc>
        <w:tc>
          <w:tcPr>
            <w:tcW w:w="362"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w:t>
            </w:r>
          </w:p>
        </w:tc>
        <w:tc>
          <w:tcPr>
            <w:tcW w:w="561"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施工扬尘：材料及临时土方采用防尘布覆盖，逸散性材料运输用苫布遮盖。</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柴油发电机燃油燃烧废气：采用高效设备，定期维护，采用符合国家标准的柴油，并添加柴油助燃剂等措施。</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车辆尾气：使用国家合格燃油，间断不连续排放。</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运营</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无组织排放的非甲烷总烃：本项目采用密闭集输工艺，集输过程无组织排放，加强巡检及设备的维护、检修。</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硫化氢：</w:t>
            </w:r>
            <w:r>
              <w:rPr>
                <w:rFonts w:hint="eastAsia" w:cs="Times New Roman"/>
                <w:color w:val="000000" w:themeColor="text1"/>
                <w14:textFill>
                  <w14:solidFill>
                    <w14:schemeClr w14:val="tx1"/>
                  </w14:solidFill>
                </w14:textFill>
              </w:rPr>
              <w:t>无组织排放</w:t>
            </w:r>
            <w:r>
              <w:rPr>
                <w:rFonts w:cs="Times New Roman"/>
                <w:color w:val="000000" w:themeColor="text1"/>
                <w14:textFill>
                  <w14:solidFill>
                    <w14:schemeClr w14:val="tx1"/>
                  </w14:solidFill>
                </w14:textFill>
              </w:rPr>
              <w:t>。</w:t>
            </w:r>
          </w:p>
        </w:tc>
        <w:tc>
          <w:tcPr>
            <w:tcW w:w="524"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19"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w:t>
            </w:r>
          </w:p>
        </w:tc>
        <w:tc>
          <w:tcPr>
            <w:tcW w:w="561"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射孔液：射孔液与采出液一起管输至陆梁集中处理站处理，不外排。</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施工生活污水：施工期不新建生活营地，施工人员食宿依托陆梁公寓，施工现场无生活污水产生。</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管道试压废水：采用中性洁净水，试压结束后用于区域绿化和洒水抑尘。</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运营</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期</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井下作业废水：采用专用收集罐收集后拉至陆梁集中处理站处理达标后回注油藏，不外排。</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采出水：管输至陆梁集中处理站处理达标后回注油藏，不外排。</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tc>
        <w:tc>
          <w:tcPr>
            <w:tcW w:w="5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采用低噪声设备，定期维护，装设基础减振和设置隔声罩，合理安排施工时间，高噪声施工设备减少夜间使用或禁止使用。</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运营期</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①尽量选用低噪声设备；②采取减噪措施；③尽量将发声源集中统一布置；④切合实际地提高工艺过程自动化水平；⑤定时保养设备。</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86"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固废</w:t>
            </w:r>
          </w:p>
        </w:tc>
        <w:tc>
          <w:tcPr>
            <w:tcW w:w="561"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钻井岩屑：水基岩屑经不落地系统处置后进罐收集，委托</w:t>
            </w:r>
            <w:r>
              <w:rPr>
                <w:rFonts w:hint="eastAsia" w:cs="Times New Roman"/>
                <w:color w:val="000000" w:themeColor="text1"/>
                <w14:textFill>
                  <w14:solidFill>
                    <w14:schemeClr w14:val="tx1"/>
                  </w14:solidFill>
                </w14:textFill>
              </w:rPr>
              <w:t>岩屑处置单位</w:t>
            </w:r>
            <w:r>
              <w:rPr>
                <w:rFonts w:cs="Times New Roman"/>
                <w:color w:val="000000" w:themeColor="text1"/>
                <w14:textFill>
                  <w14:solidFill>
                    <w14:schemeClr w14:val="tx1"/>
                  </w14:solidFill>
                </w14:textFill>
              </w:rPr>
              <w:t>合规处理。</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施工土方：施工结束后回填管堤之上，实施压实平整水土保持措施。</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废弃防渗膜、机械设备废油：直接拉运，委托有资质的单位拉运并进行无害化处置，不在井场内暂存。</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生活垃圾：经陆梁公寓集中收集后拉运至</w:t>
            </w:r>
            <w:r>
              <w:rPr>
                <w:rFonts w:hint="eastAsia" w:cs="Times New Roman"/>
                <w:color w:val="000000" w:themeColor="text1"/>
                <w:lang w:val="en-US" w:eastAsia="zh-CN"/>
                <w14:textFill>
                  <w14:solidFill>
                    <w14:schemeClr w14:val="tx1"/>
                  </w14:solidFill>
                </w14:textFill>
              </w:rPr>
              <w:t>乌尔禾</w:t>
            </w:r>
            <w:r>
              <w:rPr>
                <w:rFonts w:cs="Times New Roman"/>
                <w:color w:val="000000" w:themeColor="text1"/>
                <w14:textFill>
                  <w14:solidFill>
                    <w14:schemeClr w14:val="tx1"/>
                  </w14:solidFill>
                </w14:textFill>
              </w:rPr>
              <w:t>生活垃圾填埋场处理。</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lang w:val="en-GB"/>
                <w14:textFill>
                  <w14:solidFill>
                    <w14:schemeClr w14:val="tx1"/>
                  </w14:solidFill>
                </w14:textFill>
              </w:rPr>
            </w:pPr>
            <w:r>
              <w:rPr>
                <w:rFonts w:cs="Times New Roman"/>
                <w:color w:val="000000" w:themeColor="text1"/>
                <w14:textFill>
                  <w14:solidFill>
                    <w14:schemeClr w14:val="tx1"/>
                  </w14:solidFill>
                </w14:textFill>
              </w:rPr>
              <w:t>建筑垃圾：</w:t>
            </w:r>
            <w:r>
              <w:rPr>
                <w:rFonts w:cs="Times New Roman"/>
                <w:color w:val="000000" w:themeColor="text1"/>
                <w:lang w:val="en-GB"/>
                <w14:textFill>
                  <w14:solidFill>
                    <w14:schemeClr w14:val="tx1"/>
                  </w14:solidFill>
                </w14:textFill>
              </w:rPr>
              <w:t>施工废包装材料尽量回收利用，建筑垃圾由施工单位清运。</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运营期</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含油污泥：定期委托有危险废物处置资质的单位处置。</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落地油：井下作业时带罐作业，落地油100%回收，回收后的落地油运至陆梁集中处理站处理。</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清管废渣、废防渗膜：委托有危废处置资质单位进行处置</w:t>
            </w:r>
            <w:r>
              <w:rPr>
                <w:rFonts w:hint="eastAsia" w:cs="Times New Roman"/>
                <w:color w:val="000000" w:themeColor="text1"/>
                <w14:textFill>
                  <w14:solidFill>
                    <w14:schemeClr w14:val="tx1"/>
                  </w14:solidFill>
                </w14:textFill>
              </w:rPr>
              <w:t>。</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362" w:type="dxa"/>
            <w:vMerge w:val="continue"/>
            <w:vAlign w:val="center"/>
          </w:tcPr>
          <w:p>
            <w:pPr>
              <w:pStyle w:val="35"/>
              <w:rPr>
                <w:rFonts w:cs="Times New Roman"/>
                <w:color w:val="000000" w:themeColor="text1"/>
                <w14:textFill>
                  <w14:solidFill>
                    <w14:schemeClr w14:val="tx1"/>
                  </w14:solidFill>
                </w14:textFill>
              </w:rPr>
            </w:pPr>
          </w:p>
        </w:tc>
        <w:tc>
          <w:tcPr>
            <w:tcW w:w="561" w:type="dxa"/>
            <w:vMerge w:val="continue"/>
            <w:vAlign w:val="center"/>
          </w:tcPr>
          <w:p>
            <w:pPr>
              <w:pStyle w:val="35"/>
              <w:rPr>
                <w:rFonts w:cs="Times New Roman"/>
                <w:color w:val="000000" w:themeColor="text1"/>
                <w14:textFill>
                  <w14:solidFill>
                    <w14:schemeClr w14:val="tx1"/>
                  </w14:solidFill>
                </w14:textFill>
              </w:rPr>
            </w:pP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废润滑油</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回收后</w:t>
            </w:r>
            <w:r>
              <w:rPr>
                <w:rFonts w:hint="eastAsia" w:cs="Times New Roman"/>
                <w:color w:val="000000" w:themeColor="text1"/>
                <w14:textFill>
                  <w14:solidFill>
                    <w14:schemeClr w14:val="tx1"/>
                  </w14:solidFill>
                </w14:textFill>
              </w:rPr>
              <w:t>运至</w:t>
            </w:r>
            <w:r>
              <w:rPr>
                <w:rFonts w:cs="Times New Roman"/>
                <w:color w:val="000000" w:themeColor="text1"/>
                <w14:textFill>
                  <w14:solidFill>
                    <w14:schemeClr w14:val="tx1"/>
                  </w14:solidFill>
                </w14:textFill>
              </w:rPr>
              <w:t>陆梁集中处理站</w:t>
            </w:r>
            <w:r>
              <w:rPr>
                <w:rFonts w:hint="eastAsia" w:cs="Times New Roman"/>
                <w:color w:val="000000" w:themeColor="text1"/>
                <w14:textFill>
                  <w14:solidFill>
                    <w14:schemeClr w14:val="tx1"/>
                  </w14:solidFill>
                </w14:textFill>
              </w:rPr>
              <w:t>原油处理站系统</w:t>
            </w:r>
            <w:r>
              <w:rPr>
                <w:rFonts w:cs="Times New Roman"/>
                <w:color w:val="000000" w:themeColor="text1"/>
                <w14:textFill>
                  <w14:solidFill>
                    <w14:schemeClr w14:val="tx1"/>
                  </w14:solidFill>
                </w14:textFill>
              </w:rPr>
              <w:t>处理</w:t>
            </w:r>
            <w:r>
              <w:rPr>
                <w:rFonts w:hint="eastAsia" w:cs="Times New Roman"/>
                <w:color w:val="000000" w:themeColor="text1"/>
                <w14:textFill>
                  <w14:solidFill>
                    <w14:schemeClr w14:val="tx1"/>
                  </w14:solidFill>
                </w14:textFill>
              </w:rPr>
              <w:t>。</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环境风险</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①安装防喷器和井控装置等</w:t>
            </w:r>
            <w:r>
              <w:rPr>
                <w:rFonts w:cs="Times New Roman"/>
                <w:snapToGrid w:val="0"/>
                <w:color w:val="000000" w:themeColor="text1"/>
                <w14:textFill>
                  <w14:solidFill>
                    <w14:schemeClr w14:val="tx1"/>
                  </w14:solidFill>
                </w14:textFill>
              </w:rPr>
              <w:t>安全措施</w:t>
            </w:r>
            <w:r>
              <w:rPr>
                <w:rFonts w:cs="Times New Roman"/>
                <w:color w:val="000000" w:themeColor="text1"/>
                <w14:textFill>
                  <w14:solidFill>
                    <w14:schemeClr w14:val="tx1"/>
                  </w14:solidFill>
                </w14:textFill>
              </w:rPr>
              <w:t>；②按消防规定配备灭火器、消防铁锹和其他消防器材；③井下作业配备回收罐。</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生态恢复</w:t>
            </w:r>
          </w:p>
        </w:tc>
        <w:tc>
          <w:tcPr>
            <w:tcW w:w="6505" w:type="dxa"/>
            <w:gridSpan w:val="3"/>
            <w:vAlign w:val="center"/>
          </w:tcPr>
          <w:p>
            <w:pPr>
              <w:pStyle w:val="35"/>
              <w:rPr>
                <w:rFonts w:cs="Times New Roman"/>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①严格控制占地范围；②开挖时分层开挖、分层回填；③施工结束后，恢复地表原状，将施工迹地平整压实；④永久占地地面硬化；⑤对临时占地进行平整，实施砾石覆盖等措施。</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依托工程</w:t>
            </w: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陆梁集中处理站</w:t>
            </w:r>
          </w:p>
        </w:tc>
        <w:tc>
          <w:tcPr>
            <w:tcW w:w="6505" w:type="dxa"/>
            <w:gridSpan w:val="3"/>
            <w:vAlign w:val="center"/>
          </w:tcPr>
          <w:p>
            <w:pPr>
              <w:pStyle w:val="35"/>
              <w:jc w:val="both"/>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陆梁集中处理站原油处理设计规模为</w:t>
            </w:r>
            <w:r>
              <w:rPr>
                <w:rFonts w:hint="eastAsia" w:cs="Times New Roman"/>
                <w:snapToGrid w:val="0"/>
                <w:color w:val="000000" w:themeColor="text1"/>
                <w14:textFill>
                  <w14:solidFill>
                    <w14:schemeClr w14:val="tx1"/>
                  </w14:solidFill>
                </w14:textFill>
              </w:rPr>
              <w:t>7</w:t>
            </w:r>
            <w:r>
              <w:rPr>
                <w:rFonts w:cs="Times New Roman"/>
                <w:snapToGrid w:val="0"/>
                <w:color w:val="000000" w:themeColor="text1"/>
                <w14:textFill>
                  <w14:solidFill>
                    <w14:schemeClr w14:val="tx1"/>
                  </w14:solidFill>
                </w14:textFill>
              </w:rPr>
              <w:t>0×10</w:t>
            </w:r>
            <w:r>
              <w:rPr>
                <w:rFonts w:cs="Times New Roman"/>
                <w:snapToGrid w:val="0"/>
                <w:color w:val="000000" w:themeColor="text1"/>
                <w:vertAlign w:val="superscript"/>
                <w14:textFill>
                  <w14:solidFill>
                    <w14:schemeClr w14:val="tx1"/>
                  </w14:solidFill>
                </w14:textFill>
              </w:rPr>
              <w:t>4</w:t>
            </w:r>
            <w:r>
              <w:rPr>
                <w:rFonts w:cs="Times New Roman"/>
                <w:snapToGrid w:val="0"/>
                <w:color w:val="000000" w:themeColor="text1"/>
                <w14:textFill>
                  <w14:solidFill>
                    <w14:schemeClr w14:val="tx1"/>
                  </w14:solidFill>
                </w14:textFill>
              </w:rPr>
              <w:t>t/a，天然气处理站设计处理规模1</w:t>
            </w:r>
            <w:r>
              <w:rPr>
                <w:rFonts w:hint="eastAsia" w:cs="Times New Roman"/>
                <w:snapToGrid w:val="0"/>
                <w:color w:val="000000" w:themeColor="text1"/>
                <w14:textFill>
                  <w14:solidFill>
                    <w14:schemeClr w14:val="tx1"/>
                  </w14:solidFill>
                </w14:textFill>
              </w:rPr>
              <w:t>5</w:t>
            </w:r>
            <w:r>
              <w:rPr>
                <w:rFonts w:cs="Times New Roman"/>
                <w:snapToGrid w:val="0"/>
                <w:color w:val="000000" w:themeColor="text1"/>
                <w14:textFill>
                  <w14:solidFill>
                    <w14:schemeClr w14:val="tx1"/>
                  </w14:solidFill>
                </w14:textFill>
              </w:rPr>
              <w:t>×10</w:t>
            </w:r>
            <w:r>
              <w:rPr>
                <w:rFonts w:cs="Times New Roman"/>
                <w:snapToGrid w:val="0"/>
                <w:color w:val="000000" w:themeColor="text1"/>
                <w:vertAlign w:val="superscript"/>
                <w14:textFill>
                  <w14:solidFill>
                    <w14:schemeClr w14:val="tx1"/>
                  </w14:solidFill>
                </w14:textFill>
              </w:rPr>
              <w:t>4</w:t>
            </w:r>
            <w:r>
              <w:rPr>
                <w:rFonts w:cs="Times New Roman"/>
                <w:snapToGrid w:val="0"/>
                <w:color w:val="000000" w:themeColor="text1"/>
                <w14:textFill>
                  <w14:solidFill>
                    <w14:schemeClr w14:val="tx1"/>
                  </w14:solidFill>
                </w14:textFill>
              </w:rPr>
              <w:t>Nm</w:t>
            </w:r>
            <w:r>
              <w:rPr>
                <w:rFonts w:cs="Times New Roman"/>
                <w:snapToGrid w:val="0"/>
                <w:color w:val="000000" w:themeColor="text1"/>
                <w:vertAlign w:val="superscript"/>
                <w14:textFill>
                  <w14:solidFill>
                    <w14:schemeClr w14:val="tx1"/>
                  </w14:solidFill>
                </w14:textFill>
              </w:rPr>
              <w:t>3</w:t>
            </w:r>
            <w:r>
              <w:rPr>
                <w:rFonts w:cs="Times New Roman"/>
                <w:snapToGrid w:val="0"/>
                <w:color w:val="000000" w:themeColor="text1"/>
                <w14:textFill>
                  <w14:solidFill>
                    <w14:schemeClr w14:val="tx1"/>
                  </w14:solidFill>
                </w14:textFill>
              </w:rPr>
              <w:t>/d；污水处理系统处理规模2.0×10</w:t>
            </w:r>
            <w:r>
              <w:rPr>
                <w:rFonts w:cs="Times New Roman"/>
                <w:snapToGrid w:val="0"/>
                <w:color w:val="000000" w:themeColor="text1"/>
                <w:vertAlign w:val="superscript"/>
                <w14:textFill>
                  <w14:solidFill>
                    <w14:schemeClr w14:val="tx1"/>
                  </w14:solidFill>
                </w14:textFill>
              </w:rPr>
              <w:t>4</w:t>
            </w:r>
            <w:r>
              <w:rPr>
                <w:rFonts w:cs="Times New Roman"/>
                <w:snapToGrid w:val="0"/>
                <w:color w:val="000000" w:themeColor="text1"/>
                <w14:textFill>
                  <w14:solidFill>
                    <w14:schemeClr w14:val="tx1"/>
                  </w14:solidFill>
                </w14:textFill>
              </w:rPr>
              <w:t>m</w:t>
            </w:r>
            <w:r>
              <w:rPr>
                <w:rFonts w:cs="Times New Roman"/>
                <w:snapToGrid w:val="0"/>
                <w:color w:val="000000" w:themeColor="text1"/>
                <w:vertAlign w:val="superscript"/>
                <w14:textFill>
                  <w14:solidFill>
                    <w14:schemeClr w14:val="tx1"/>
                  </w14:solidFill>
                </w14:textFill>
              </w:rPr>
              <w:t>3</w:t>
            </w:r>
            <w:r>
              <w:rPr>
                <w:rFonts w:cs="Times New Roman"/>
                <w:snapToGrid w:val="0"/>
                <w:color w:val="000000" w:themeColor="text1"/>
                <w14:textFill>
                  <w14:solidFill>
                    <w14:schemeClr w14:val="tx1"/>
                  </w14:solidFill>
                </w14:textFill>
              </w:rPr>
              <w:t>/d（根据设计方案，</w:t>
            </w:r>
            <w:r>
              <w:rPr>
                <w:rFonts w:cs="Times New Roman"/>
                <w:color w:val="000000" w:themeColor="text1"/>
                <w14:textFill>
                  <w14:solidFill>
                    <w14:schemeClr w14:val="tx1"/>
                  </w14:solidFill>
                </w14:textFill>
              </w:rPr>
              <w:t>污水处理系统有操作弹性，最大污水处理量约为</w:t>
            </w:r>
            <w:r>
              <w:rPr>
                <w:rFonts w:cs="Times New Roman"/>
                <w:snapToGrid w:val="0"/>
                <w:color w:val="000000" w:themeColor="text1"/>
                <w14:textFill>
                  <w14:solidFill>
                    <w14:schemeClr w14:val="tx1"/>
                  </w14:solidFill>
                </w14:textFill>
              </w:rPr>
              <w:t>2.3×10</w:t>
            </w:r>
            <w:r>
              <w:rPr>
                <w:rFonts w:cs="Times New Roman"/>
                <w:snapToGrid w:val="0"/>
                <w:color w:val="000000" w:themeColor="text1"/>
                <w:vertAlign w:val="superscript"/>
                <w14:textFill>
                  <w14:solidFill>
                    <w14:schemeClr w14:val="tx1"/>
                  </w14:solidFill>
                </w14:textFill>
              </w:rPr>
              <w:t>4</w:t>
            </w:r>
            <w:r>
              <w:rPr>
                <w:rFonts w:cs="Times New Roman"/>
                <w:snapToGrid w:val="0"/>
                <w:color w:val="000000" w:themeColor="text1"/>
                <w14:textFill>
                  <w14:solidFill>
                    <w14:schemeClr w14:val="tx1"/>
                  </w14:solidFill>
                </w14:textFill>
              </w:rPr>
              <w:t>m</w:t>
            </w:r>
            <w:r>
              <w:rPr>
                <w:rFonts w:cs="Times New Roman"/>
                <w:snapToGrid w:val="0"/>
                <w:color w:val="000000" w:themeColor="text1"/>
                <w:vertAlign w:val="superscript"/>
                <w14:textFill>
                  <w14:solidFill>
                    <w14:schemeClr w14:val="tx1"/>
                  </w14:solidFill>
                </w14:textFill>
              </w:rPr>
              <w:t>3</w:t>
            </w:r>
            <w:r>
              <w:rPr>
                <w:rFonts w:cs="Times New Roman"/>
                <w:snapToGrid w:val="0"/>
                <w:color w:val="000000" w:themeColor="text1"/>
                <w14:textFill>
                  <w14:solidFill>
                    <w14:schemeClr w14:val="tx1"/>
                  </w14:solidFill>
                </w14:textFill>
              </w:rPr>
              <w:t>/d）。目前实际原油处理能力48.67×10</w:t>
            </w:r>
            <w:r>
              <w:rPr>
                <w:rFonts w:cs="Times New Roman"/>
                <w:snapToGrid w:val="0"/>
                <w:color w:val="000000" w:themeColor="text1"/>
                <w:vertAlign w:val="superscript"/>
                <w14:textFill>
                  <w14:solidFill>
                    <w14:schemeClr w14:val="tx1"/>
                  </w14:solidFill>
                </w14:textFill>
              </w:rPr>
              <w:t>4</w:t>
            </w:r>
            <w:r>
              <w:rPr>
                <w:rFonts w:cs="Times New Roman"/>
                <w:snapToGrid w:val="0"/>
                <w:color w:val="000000" w:themeColor="text1"/>
                <w14:textFill>
                  <w14:solidFill>
                    <w14:schemeClr w14:val="tx1"/>
                  </w14:solidFill>
                </w14:textFill>
              </w:rPr>
              <w:t>t/a，天然气处理站处理规模11×10</w:t>
            </w:r>
            <w:r>
              <w:rPr>
                <w:rFonts w:cs="Times New Roman"/>
                <w:snapToGrid w:val="0"/>
                <w:color w:val="000000" w:themeColor="text1"/>
                <w:vertAlign w:val="superscript"/>
                <w14:textFill>
                  <w14:solidFill>
                    <w14:schemeClr w14:val="tx1"/>
                  </w14:solidFill>
                </w14:textFill>
              </w:rPr>
              <w:t>4</w:t>
            </w:r>
            <w:r>
              <w:rPr>
                <w:rFonts w:cs="Times New Roman"/>
                <w:snapToGrid w:val="0"/>
                <w:color w:val="000000" w:themeColor="text1"/>
                <w14:textFill>
                  <w14:solidFill>
                    <w14:schemeClr w14:val="tx1"/>
                  </w14:solidFill>
                </w14:textFill>
              </w:rPr>
              <w:t>m</w:t>
            </w:r>
            <w:r>
              <w:rPr>
                <w:rFonts w:cs="Times New Roman"/>
                <w:snapToGrid w:val="0"/>
                <w:color w:val="000000" w:themeColor="text1"/>
                <w:vertAlign w:val="superscript"/>
                <w14:textFill>
                  <w14:solidFill>
                    <w14:schemeClr w14:val="tx1"/>
                  </w14:solidFill>
                </w14:textFill>
              </w:rPr>
              <w:t>3</w:t>
            </w:r>
            <w:r>
              <w:rPr>
                <w:rFonts w:cs="Times New Roman"/>
                <w:snapToGrid w:val="0"/>
                <w:color w:val="000000" w:themeColor="text1"/>
                <w14:textFill>
                  <w14:solidFill>
                    <w14:schemeClr w14:val="tx1"/>
                  </w14:solidFill>
                </w14:textFill>
              </w:rPr>
              <w:t>/d；污水处理系统实际处理量1.89×10</w:t>
            </w:r>
            <w:r>
              <w:rPr>
                <w:rFonts w:cs="Times New Roman"/>
                <w:snapToGrid w:val="0"/>
                <w:color w:val="000000" w:themeColor="text1"/>
                <w:vertAlign w:val="superscript"/>
                <w14:textFill>
                  <w14:solidFill>
                    <w14:schemeClr w14:val="tx1"/>
                  </w14:solidFill>
                </w14:textFill>
              </w:rPr>
              <w:t>4</w:t>
            </w:r>
            <w:r>
              <w:rPr>
                <w:rFonts w:cs="Times New Roman"/>
                <w:snapToGrid w:val="0"/>
                <w:color w:val="000000" w:themeColor="text1"/>
                <w14:textFill>
                  <w14:solidFill>
                    <w14:schemeClr w14:val="tx1"/>
                  </w14:solidFill>
                </w14:textFill>
              </w:rPr>
              <w:t>m</w:t>
            </w:r>
            <w:r>
              <w:rPr>
                <w:rFonts w:cs="Times New Roman"/>
                <w:snapToGrid w:val="0"/>
                <w:color w:val="000000" w:themeColor="text1"/>
                <w:vertAlign w:val="superscript"/>
                <w14:textFill>
                  <w14:solidFill>
                    <w14:schemeClr w14:val="tx1"/>
                  </w14:solidFill>
                </w14:textFill>
              </w:rPr>
              <w:t>3</w:t>
            </w:r>
            <w:r>
              <w:rPr>
                <w:rFonts w:cs="Times New Roman"/>
                <w:snapToGrid w:val="0"/>
                <w:color w:val="000000" w:themeColor="text1"/>
                <w14:textFill>
                  <w14:solidFill>
                    <w14:schemeClr w14:val="tx1"/>
                  </w14:solidFill>
                </w14:textFill>
              </w:rPr>
              <w:t>/d。陆梁集中处理站原油处理系统剩余量21.31×10</w:t>
            </w:r>
            <w:r>
              <w:rPr>
                <w:rFonts w:cs="Times New Roman"/>
                <w:snapToGrid w:val="0"/>
                <w:color w:val="000000" w:themeColor="text1"/>
                <w:vertAlign w:val="superscript"/>
                <w14:textFill>
                  <w14:solidFill>
                    <w14:schemeClr w14:val="tx1"/>
                  </w14:solidFill>
                </w14:textFill>
              </w:rPr>
              <w:t>4</w:t>
            </w:r>
            <w:r>
              <w:rPr>
                <w:rFonts w:cs="Times New Roman"/>
                <w:snapToGrid w:val="0"/>
                <w:color w:val="000000" w:themeColor="text1"/>
                <w14:textFill>
                  <w14:solidFill>
                    <w14:schemeClr w14:val="tx1"/>
                  </w14:solidFill>
                </w14:textFill>
              </w:rPr>
              <w:t>t/a，天然气处理系统剩余量4×10</w:t>
            </w:r>
            <w:r>
              <w:rPr>
                <w:rFonts w:cs="Times New Roman"/>
                <w:snapToGrid w:val="0"/>
                <w:color w:val="000000" w:themeColor="text1"/>
                <w:vertAlign w:val="superscript"/>
                <w14:textFill>
                  <w14:solidFill>
                    <w14:schemeClr w14:val="tx1"/>
                  </w14:solidFill>
                </w14:textFill>
              </w:rPr>
              <w:t>4</w:t>
            </w:r>
            <w:r>
              <w:rPr>
                <w:rFonts w:cs="Times New Roman"/>
                <w:snapToGrid w:val="0"/>
                <w:color w:val="000000" w:themeColor="text1"/>
                <w14:textFill>
                  <w14:solidFill>
                    <w14:schemeClr w14:val="tx1"/>
                  </w14:solidFill>
                </w14:textFill>
              </w:rPr>
              <w:t>m</w:t>
            </w:r>
            <w:r>
              <w:rPr>
                <w:rFonts w:cs="Times New Roman"/>
                <w:snapToGrid w:val="0"/>
                <w:color w:val="000000" w:themeColor="text1"/>
                <w:vertAlign w:val="superscript"/>
                <w14:textFill>
                  <w14:solidFill>
                    <w14:schemeClr w14:val="tx1"/>
                  </w14:solidFill>
                </w14:textFill>
              </w:rPr>
              <w:t>3</w:t>
            </w:r>
            <w:r>
              <w:rPr>
                <w:rFonts w:cs="Times New Roman"/>
                <w:snapToGrid w:val="0"/>
                <w:color w:val="000000" w:themeColor="text1"/>
                <w14:textFill>
                  <w14:solidFill>
                    <w14:schemeClr w14:val="tx1"/>
                  </w14:solidFill>
                </w14:textFill>
              </w:rPr>
              <w:t>/d，污水处理系统剩余量4100m</w:t>
            </w:r>
            <w:r>
              <w:rPr>
                <w:rFonts w:cs="Times New Roman"/>
                <w:snapToGrid w:val="0"/>
                <w:color w:val="000000" w:themeColor="text1"/>
                <w:vertAlign w:val="superscript"/>
                <w14:textFill>
                  <w14:solidFill>
                    <w14:schemeClr w14:val="tx1"/>
                  </w14:solidFill>
                </w14:textFill>
              </w:rPr>
              <w:t>3</w:t>
            </w:r>
            <w:r>
              <w:rPr>
                <w:rFonts w:cs="Times New Roman"/>
                <w:snapToGrid w:val="0"/>
                <w:color w:val="000000" w:themeColor="text1"/>
                <w14:textFill>
                  <w14:solidFill>
                    <w14:schemeClr w14:val="tx1"/>
                  </w14:solidFill>
                </w14:textFill>
              </w:rPr>
              <w:t>/d。本项目年产油量2.52×l0</w:t>
            </w:r>
            <w:r>
              <w:rPr>
                <w:rFonts w:cs="Times New Roman"/>
                <w:snapToGrid w:val="0"/>
                <w:color w:val="000000" w:themeColor="text1"/>
                <w:vertAlign w:val="superscript"/>
                <w14:textFill>
                  <w14:solidFill>
                    <w14:schemeClr w14:val="tx1"/>
                  </w14:solidFill>
                </w14:textFill>
              </w:rPr>
              <w:t>4</w:t>
            </w:r>
            <w:r>
              <w:rPr>
                <w:rFonts w:cs="Times New Roman"/>
                <w:snapToGrid w:val="0"/>
                <w:color w:val="000000" w:themeColor="text1"/>
                <w14:textFill>
                  <w14:solidFill>
                    <w14:schemeClr w14:val="tx1"/>
                  </w14:solidFill>
                </w14:textFill>
              </w:rPr>
              <w:t>t，年产气量80.11×l0</w:t>
            </w:r>
            <w:r>
              <w:rPr>
                <w:rFonts w:cs="Times New Roman"/>
                <w:snapToGrid w:val="0"/>
                <w:color w:val="000000" w:themeColor="text1"/>
                <w:vertAlign w:val="superscript"/>
                <w14:textFill>
                  <w14:solidFill>
                    <w14:schemeClr w14:val="tx1"/>
                  </w14:solidFill>
                </w14:textFill>
              </w:rPr>
              <w:t>4</w:t>
            </w:r>
            <w:r>
              <w:rPr>
                <w:rFonts w:cs="Times New Roman"/>
                <w:snapToGrid w:val="0"/>
                <w:color w:val="000000" w:themeColor="text1"/>
                <w14:textFill>
                  <w14:solidFill>
                    <w14:schemeClr w14:val="tx1"/>
                  </w14:solidFill>
                </w14:textFill>
              </w:rPr>
              <w:t>m</w:t>
            </w:r>
            <w:r>
              <w:rPr>
                <w:rFonts w:cs="Times New Roman"/>
                <w:snapToGrid w:val="0"/>
                <w:color w:val="000000" w:themeColor="text1"/>
                <w:vertAlign w:val="superscript"/>
                <w14:textFill>
                  <w14:solidFill>
                    <w14:schemeClr w14:val="tx1"/>
                  </w14:solidFill>
                </w14:textFill>
              </w:rPr>
              <w:t>3</w:t>
            </w:r>
            <w:r>
              <w:rPr>
                <w:rFonts w:cs="Times New Roman"/>
                <w:snapToGrid w:val="0"/>
                <w:color w:val="000000" w:themeColor="text1"/>
                <w14:textFill>
                  <w14:solidFill>
                    <w14:schemeClr w14:val="tx1"/>
                  </w14:solidFill>
                </w14:textFill>
              </w:rPr>
              <w:t>（2194.8m</w:t>
            </w:r>
            <w:r>
              <w:rPr>
                <w:rFonts w:cs="Times New Roman"/>
                <w:snapToGrid w:val="0"/>
                <w:color w:val="000000" w:themeColor="text1"/>
                <w:vertAlign w:val="superscript"/>
                <w14:textFill>
                  <w14:solidFill>
                    <w14:schemeClr w14:val="tx1"/>
                  </w14:solidFill>
                </w14:textFill>
              </w:rPr>
              <w:t>3</w:t>
            </w:r>
            <w:r>
              <w:rPr>
                <w:rFonts w:cs="Times New Roman"/>
                <w:snapToGrid w:val="0"/>
                <w:color w:val="000000" w:themeColor="text1"/>
                <w14:textFill>
                  <w14:solidFill>
                    <w14:schemeClr w14:val="tx1"/>
                  </w14:solidFill>
                </w14:textFill>
              </w:rPr>
              <w:t>/d），</w:t>
            </w:r>
            <w:r>
              <w:rPr>
                <w:rFonts w:cs="Times New Roman"/>
                <w:snapToGrid w:val="0"/>
                <w:color w:val="000000" w:themeColor="text1"/>
                <w:highlight w:val="none"/>
                <w14:textFill>
                  <w14:solidFill>
                    <w14:schemeClr w14:val="tx1"/>
                  </w14:solidFill>
                </w14:textFill>
              </w:rPr>
              <w:t>年产水量（包含井下作业废水、采出水和废洗井液）</w:t>
            </w:r>
            <w:r>
              <w:rPr>
                <w:rFonts w:hint="eastAsia" w:cs="Times New Roman"/>
                <w:snapToGrid w:val="0"/>
                <w:color w:val="000000" w:themeColor="text1"/>
                <w:highlight w:val="none"/>
                <w:lang w:val="en-US" w:eastAsia="zh-CN"/>
                <w14:textFill>
                  <w14:solidFill>
                    <w14:schemeClr w14:val="tx1"/>
                  </w14:solidFill>
                </w14:textFill>
              </w:rPr>
              <w:t>409560.86</w:t>
            </w:r>
            <w:r>
              <w:rPr>
                <w:rFonts w:cs="Times New Roman"/>
                <w:snapToGrid w:val="0"/>
                <w:color w:val="000000" w:themeColor="text1"/>
                <w:highlight w:val="none"/>
                <w14:textFill>
                  <w14:solidFill>
                    <w14:schemeClr w14:val="tx1"/>
                  </w14:solidFill>
                </w14:textFill>
              </w:rPr>
              <w:t>m</w:t>
            </w:r>
            <w:r>
              <w:rPr>
                <w:rFonts w:cs="Times New Roman"/>
                <w:snapToGrid w:val="0"/>
                <w:color w:val="000000" w:themeColor="text1"/>
                <w:highlight w:val="none"/>
                <w:vertAlign w:val="superscript"/>
                <w14:textFill>
                  <w14:solidFill>
                    <w14:schemeClr w14:val="tx1"/>
                  </w14:solidFill>
                </w14:textFill>
              </w:rPr>
              <w:t>3</w:t>
            </w:r>
            <w:r>
              <w:rPr>
                <w:rFonts w:cs="Times New Roman"/>
                <w:snapToGrid w:val="0"/>
                <w:color w:val="000000" w:themeColor="text1"/>
                <w:highlight w:val="none"/>
                <w14:textFill>
                  <w14:solidFill>
                    <w14:schemeClr w14:val="tx1"/>
                  </w14:solidFill>
                </w14:textFill>
              </w:rPr>
              <w:t>（</w:t>
            </w:r>
            <w:r>
              <w:rPr>
                <w:rFonts w:hint="eastAsia" w:cs="Times New Roman"/>
                <w:snapToGrid w:val="0"/>
                <w:color w:val="000000" w:themeColor="text1"/>
                <w:highlight w:val="none"/>
                <w14:textFill>
                  <w14:solidFill>
                    <w14:schemeClr w14:val="tx1"/>
                  </w14:solidFill>
                </w14:textFill>
              </w:rPr>
              <w:t>约</w:t>
            </w:r>
            <w:r>
              <w:rPr>
                <w:rFonts w:cs="Times New Roman"/>
                <w:snapToGrid w:val="0"/>
                <w:color w:val="000000" w:themeColor="text1"/>
                <w:highlight w:val="none"/>
                <w14:textFill>
                  <w14:solidFill>
                    <w14:schemeClr w14:val="tx1"/>
                  </w14:solidFill>
                </w14:textFill>
              </w:rPr>
              <w:t>11</w:t>
            </w:r>
            <w:r>
              <w:rPr>
                <w:rFonts w:hint="eastAsia" w:cs="Times New Roman"/>
                <w:snapToGrid w:val="0"/>
                <w:color w:val="000000" w:themeColor="text1"/>
                <w:highlight w:val="none"/>
                <w14:textFill>
                  <w14:solidFill>
                    <w14:schemeClr w14:val="tx1"/>
                  </w14:solidFill>
                </w14:textFill>
              </w:rPr>
              <w:t>2</w:t>
            </w:r>
            <w:r>
              <w:rPr>
                <w:rFonts w:hint="eastAsia" w:cs="Times New Roman"/>
                <w:snapToGrid w:val="0"/>
                <w:color w:val="000000" w:themeColor="text1"/>
                <w:highlight w:val="none"/>
                <w:lang w:val="en-US" w:eastAsia="zh-CN"/>
                <w14:textFill>
                  <w14:solidFill>
                    <w14:schemeClr w14:val="tx1"/>
                  </w14:solidFill>
                </w14:textFill>
              </w:rPr>
              <w:t>2.08</w:t>
            </w:r>
            <w:r>
              <w:rPr>
                <w:rFonts w:cs="Times New Roman"/>
                <w:snapToGrid w:val="0"/>
                <w:color w:val="000000" w:themeColor="text1"/>
                <w:highlight w:val="none"/>
                <w14:textFill>
                  <w14:solidFill>
                    <w14:schemeClr w14:val="tx1"/>
                  </w14:solidFill>
                </w14:textFill>
              </w:rPr>
              <w:t>m</w:t>
            </w:r>
            <w:r>
              <w:rPr>
                <w:rFonts w:cs="Times New Roman"/>
                <w:snapToGrid w:val="0"/>
                <w:color w:val="000000" w:themeColor="text1"/>
                <w:highlight w:val="none"/>
                <w:vertAlign w:val="superscript"/>
                <w14:textFill>
                  <w14:solidFill>
                    <w14:schemeClr w14:val="tx1"/>
                  </w14:solidFill>
                </w14:textFill>
              </w:rPr>
              <w:t>3</w:t>
            </w:r>
            <w:r>
              <w:rPr>
                <w:rFonts w:cs="Times New Roman"/>
                <w:snapToGrid w:val="0"/>
                <w:color w:val="000000" w:themeColor="text1"/>
                <w:highlight w:val="none"/>
                <w14:textFill>
                  <w14:solidFill>
                    <w14:schemeClr w14:val="tx1"/>
                  </w14:solidFill>
                </w14:textFill>
              </w:rPr>
              <w:t>/d），</w:t>
            </w:r>
            <w:r>
              <w:rPr>
                <w:rFonts w:cs="Times New Roman"/>
                <w:bCs/>
                <w:color w:val="000000" w:themeColor="text1"/>
                <w14:textFill>
                  <w14:solidFill>
                    <w14:schemeClr w14:val="tx1"/>
                  </w14:solidFill>
                </w14:textFill>
              </w:rPr>
              <w:t>可满足本工程处理需求，依托可行。</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陆梁注水站</w:t>
            </w:r>
          </w:p>
        </w:tc>
        <w:tc>
          <w:tcPr>
            <w:tcW w:w="6505" w:type="dxa"/>
            <w:gridSpan w:val="3"/>
            <w:vAlign w:val="center"/>
          </w:tcPr>
          <w:p>
            <w:pPr>
              <w:widowControl/>
              <w:jc w:val="left"/>
              <w:rPr>
                <w:rFonts w:cs="Times New Roman"/>
                <w:snapToGrid w:val="0"/>
                <w:color w:val="000000" w:themeColor="text1"/>
                <w14:textFill>
                  <w14:solidFill>
                    <w14:schemeClr w14:val="tx1"/>
                  </w14:solidFill>
                </w14:textFill>
              </w:rPr>
            </w:pPr>
            <w:r>
              <w:rPr>
                <w:rFonts w:hint="eastAsia" w:cs="Times New Roman"/>
                <w:color w:val="000000" w:themeColor="text1"/>
                <w:szCs w:val="21"/>
                <w14:textFill>
                  <w14:solidFill>
                    <w14:schemeClr w14:val="tx1"/>
                  </w14:solidFill>
                </w14:textFill>
              </w:rPr>
              <w:t>本项目注水来源于</w:t>
            </w:r>
            <w:r>
              <w:rPr>
                <w:rFonts w:cs="Times New Roman"/>
                <w:color w:val="000000" w:themeColor="text1"/>
                <w:szCs w:val="21"/>
                <w14:textFill>
                  <w14:solidFill>
                    <w14:schemeClr w14:val="tx1"/>
                  </w14:solidFill>
                </w14:textFill>
              </w:rPr>
              <w:t>陆梁油田注水站</w:t>
            </w:r>
            <w:r>
              <w:rPr>
                <w:rFonts w:hint="eastAsia" w:cs="Times New Roman"/>
                <w:color w:val="000000" w:themeColor="text1"/>
                <w:szCs w:val="21"/>
                <w14:textFill>
                  <w14:solidFill>
                    <w14:schemeClr w14:val="tx1"/>
                  </w14:solidFill>
                </w14:textFill>
              </w:rPr>
              <w:t>高压系统，</w:t>
            </w:r>
            <w:r>
              <w:rPr>
                <w:rFonts w:ascii="Times New Roman" w:hAnsi="Times New Roman" w:cs="Times New Roman"/>
                <w:color w:val="000000" w:themeColor="text1"/>
                <w:szCs w:val="21"/>
                <w14:textFill>
                  <w14:solidFill>
                    <w14:schemeClr w14:val="tx1"/>
                  </w14:solidFill>
                </w14:textFill>
              </w:rPr>
              <w:t>2020年对高压系统进行了改造，改造后高压系统设计注水规模为10800m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/d。目前16MPa高压注水系统管辖150口注水井，运行现状为</w:t>
            </w:r>
            <w:r>
              <w:rPr>
                <w:rFonts w:hint="eastAsia" w:ascii="Times New Roman" w:hAnsi="Times New Roman" w:cs="Times New Roman"/>
                <w:color w:val="000000" w:themeColor="text1"/>
                <w:szCs w:val="21"/>
                <w14:textFill>
                  <w14:solidFill>
                    <w14:schemeClr w14:val="tx1"/>
                  </w14:solidFill>
                </w14:textFill>
              </w:rPr>
              <w:t>7230</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/d，剩余注水</w:t>
            </w:r>
            <w:r>
              <w:rPr>
                <w:rFonts w:hint="eastAsia" w:ascii="Times New Roman" w:hAnsi="Times New Roman" w:cs="Times New Roman"/>
                <w:color w:val="000000" w:themeColor="text1"/>
                <w:szCs w:val="21"/>
                <w14:textFill>
                  <w14:solidFill>
                    <w14:schemeClr w14:val="tx1"/>
                  </w14:solidFill>
                </w14:textFill>
              </w:rPr>
              <w:t>3570</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/d。</w:t>
            </w:r>
            <w:r>
              <w:rPr>
                <w:rFonts w:ascii="Times New Roman" w:hAnsi="Times New Roman" w:eastAsia="宋体" w:cs="Times New Roman"/>
                <w:color w:val="000000" w:themeColor="text1"/>
                <w:kern w:val="0"/>
                <w:szCs w:val="21"/>
                <w:lang w:bidi="ar"/>
                <w14:textFill>
                  <w14:solidFill>
                    <w14:schemeClr w14:val="tx1"/>
                  </w14:solidFill>
                </w14:textFill>
              </w:rPr>
              <w:t>本次</w:t>
            </w:r>
            <w:r>
              <w:rPr>
                <w:rFonts w:hint="eastAsia" w:ascii="Times New Roman" w:hAnsi="Times New Roman" w:eastAsia="宋体" w:cs="Times New Roman"/>
                <w:color w:val="000000" w:themeColor="text1"/>
                <w:kern w:val="0"/>
                <w:szCs w:val="21"/>
                <w:lang w:bidi="ar"/>
                <w14:textFill>
                  <w14:solidFill>
                    <w14:schemeClr w14:val="tx1"/>
                  </w14:solidFill>
                </w14:textFill>
              </w:rPr>
              <w:t>老井转注9口井，单井最大注水量150m</w:t>
            </w:r>
            <w:r>
              <w:rPr>
                <w:rFonts w:hint="eastAsia" w:ascii="Times New Roman" w:hAnsi="Times New Roman" w:eastAsia="宋体" w:cs="Times New Roman"/>
                <w:color w:val="000000" w:themeColor="text1"/>
                <w:kern w:val="0"/>
                <w:szCs w:val="21"/>
                <w:vertAlign w:val="superscript"/>
                <w:lang w:bidi="ar"/>
                <w14:textFill>
                  <w14:solidFill>
                    <w14:schemeClr w14:val="tx1"/>
                  </w14:solidFill>
                </w14:textFill>
              </w:rPr>
              <w:t>3</w:t>
            </w:r>
            <w:r>
              <w:rPr>
                <w:rFonts w:hint="eastAsia" w:ascii="Times New Roman" w:hAnsi="Times New Roman" w:eastAsia="宋体" w:cs="Times New Roman"/>
                <w:color w:val="000000" w:themeColor="text1"/>
                <w:kern w:val="0"/>
                <w:szCs w:val="21"/>
                <w:lang w:bidi="ar"/>
                <w14:textFill>
                  <w14:solidFill>
                    <w14:schemeClr w14:val="tx1"/>
                  </w14:solidFill>
                </w14:textFill>
              </w:rPr>
              <w:t>/d，合计每天最大注水量为1350m</w:t>
            </w:r>
            <w:r>
              <w:rPr>
                <w:rFonts w:hint="eastAsia" w:ascii="Times New Roman" w:hAnsi="Times New Roman" w:eastAsia="宋体" w:cs="Times New Roman"/>
                <w:color w:val="000000" w:themeColor="text1"/>
                <w:kern w:val="0"/>
                <w:szCs w:val="21"/>
                <w:vertAlign w:val="superscript"/>
                <w:lang w:bidi="ar"/>
                <w14:textFill>
                  <w14:solidFill>
                    <w14:schemeClr w14:val="tx1"/>
                  </w14:solidFill>
                </w14:textFill>
              </w:rPr>
              <w:t>3</w:t>
            </w:r>
            <w:r>
              <w:rPr>
                <w:rFonts w:hint="eastAsia" w:ascii="Times New Roman" w:hAnsi="Times New Roman" w:eastAsia="宋体" w:cs="Times New Roman"/>
                <w:color w:val="000000" w:themeColor="text1"/>
                <w:kern w:val="0"/>
                <w:szCs w:val="21"/>
                <w:lang w:bidi="ar"/>
                <w14:textFill>
                  <w14:solidFill>
                    <w14:schemeClr w14:val="tx1"/>
                  </w14:solidFill>
                </w14:textFill>
              </w:rPr>
              <w:t>，陆梁注水站注水规模满足本项目注水量需求，依托可行。</w:t>
            </w:r>
          </w:p>
        </w:tc>
        <w:tc>
          <w:tcPr>
            <w:tcW w:w="524"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克拉玛依博达生态环保科技有限责任公司</w:t>
            </w:r>
          </w:p>
        </w:tc>
        <w:tc>
          <w:tcPr>
            <w:tcW w:w="6505" w:type="dxa"/>
            <w:gridSpan w:val="3"/>
            <w:vAlign w:val="center"/>
          </w:tcPr>
          <w:p>
            <w:pPr>
              <w:snapToGrid w:val="0"/>
              <w:jc w:val="center"/>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运营期含油污泥委托克拉玛依博达生态环保科技有限责任公司处置。</w:t>
            </w:r>
            <w:r>
              <w:rPr>
                <w:rFonts w:ascii="Times New Roman" w:hAnsi="Times New Roman" w:cs="Times New Roman"/>
                <w:bCs/>
                <w:color w:val="000000" w:themeColor="text1"/>
                <w:szCs w:val="21"/>
                <w14:textFill>
                  <w14:solidFill>
                    <w14:schemeClr w14:val="tx1"/>
                  </w14:solidFill>
                </w14:textFill>
              </w:rPr>
              <w:t>克拉玛依博达生态环保科技有限责任公司的经营范围有劳务输出；收集、处置利用危险废物种类为HW08（矿物油）；污水治理及其再生利用，危货运输；容器（储油罐）清洗等。现有含油污泥处理线采用水—助溶剂萃取法对含油污泥进行无害化处理。设计年处理能力为</w:t>
            </w:r>
            <w:r>
              <w:rPr>
                <w:rFonts w:hint="eastAsia" w:ascii="Times New Roman" w:hAnsi="Times New Roman" w:cs="Times New Roman"/>
                <w:bCs/>
                <w:color w:val="000000" w:themeColor="text1"/>
                <w:szCs w:val="21"/>
                <w14:textFill>
                  <w14:solidFill>
                    <w14:schemeClr w14:val="tx1"/>
                  </w14:solidFill>
                </w14:textFill>
              </w:rPr>
              <w:t>118.5</w:t>
            </w:r>
            <w:r>
              <w:rPr>
                <w:rFonts w:ascii="Times New Roman" w:hAnsi="Times New Roman" w:cs="Times New Roman"/>
                <w:bCs/>
                <w:color w:val="000000" w:themeColor="text1"/>
                <w:szCs w:val="21"/>
                <w14:textFill>
                  <w14:solidFill>
                    <w14:schemeClr w14:val="tx1"/>
                  </w14:solidFill>
                </w14:textFill>
              </w:rPr>
              <w:t>×10</w:t>
            </w:r>
            <w:r>
              <w:rPr>
                <w:rFonts w:ascii="Times New Roman" w:hAnsi="Times New Roman" w:cs="Times New Roman"/>
                <w:bCs/>
                <w:color w:val="000000" w:themeColor="text1"/>
                <w:szCs w:val="21"/>
                <w:vertAlign w:val="superscript"/>
                <w14:textFill>
                  <w14:solidFill>
                    <w14:schemeClr w14:val="tx1"/>
                  </w14:solidFill>
                </w14:textFill>
              </w:rPr>
              <w:t>4</w:t>
            </w:r>
            <w:r>
              <w:rPr>
                <w:rFonts w:ascii="Times New Roman" w:hAnsi="Times New Roman" w:cs="Times New Roman"/>
                <w:bCs/>
                <w:color w:val="000000" w:themeColor="text1"/>
                <w:szCs w:val="21"/>
                <w14:textFill>
                  <w14:solidFill>
                    <w14:schemeClr w14:val="tx1"/>
                  </w14:solidFill>
                </w14:textFill>
              </w:rPr>
              <w:t>t/a，实际处理量35×10</w:t>
            </w:r>
            <w:r>
              <w:rPr>
                <w:rFonts w:ascii="Times New Roman" w:hAnsi="Times New Roman" w:cs="Times New Roman"/>
                <w:bCs/>
                <w:color w:val="000000" w:themeColor="text1"/>
                <w:szCs w:val="21"/>
                <w:vertAlign w:val="superscript"/>
                <w14:textFill>
                  <w14:solidFill>
                    <w14:schemeClr w14:val="tx1"/>
                  </w14:solidFill>
                </w14:textFill>
              </w:rPr>
              <w:t>4</w:t>
            </w:r>
            <w:r>
              <w:rPr>
                <w:rFonts w:ascii="Times New Roman" w:hAnsi="Times New Roman" w:cs="Times New Roman"/>
                <w:bCs/>
                <w:color w:val="000000" w:themeColor="text1"/>
                <w:szCs w:val="21"/>
                <w14:textFill>
                  <w14:solidFill>
                    <w14:schemeClr w14:val="tx1"/>
                  </w14:solidFill>
                </w14:textFill>
              </w:rPr>
              <w:t>t/a，剩余处理能力</w:t>
            </w:r>
            <w:r>
              <w:rPr>
                <w:rFonts w:hint="eastAsia" w:ascii="Times New Roman" w:hAnsi="Times New Roman" w:cs="Times New Roman"/>
                <w:bCs/>
                <w:color w:val="000000" w:themeColor="text1"/>
                <w:szCs w:val="21"/>
                <w14:textFill>
                  <w14:solidFill>
                    <w14:schemeClr w14:val="tx1"/>
                  </w14:solidFill>
                </w14:textFill>
              </w:rPr>
              <w:t>83.5</w:t>
            </w:r>
            <w:r>
              <w:rPr>
                <w:rFonts w:ascii="Times New Roman" w:hAnsi="Times New Roman" w:cs="Times New Roman"/>
                <w:bCs/>
                <w:color w:val="000000" w:themeColor="text1"/>
                <w:szCs w:val="21"/>
                <w14:textFill>
                  <w14:solidFill>
                    <w14:schemeClr w14:val="tx1"/>
                  </w14:solidFill>
                </w14:textFill>
              </w:rPr>
              <w:t>×10</w:t>
            </w:r>
            <w:r>
              <w:rPr>
                <w:rFonts w:ascii="Times New Roman" w:hAnsi="Times New Roman" w:cs="Times New Roman"/>
                <w:bCs/>
                <w:color w:val="000000" w:themeColor="text1"/>
                <w:szCs w:val="21"/>
                <w:vertAlign w:val="superscript"/>
                <w14:textFill>
                  <w14:solidFill>
                    <w14:schemeClr w14:val="tx1"/>
                  </w14:solidFill>
                </w14:textFill>
              </w:rPr>
              <w:t>4</w:t>
            </w:r>
            <w:r>
              <w:rPr>
                <w:rFonts w:ascii="Times New Roman" w:hAnsi="Times New Roman" w:cs="Times New Roman"/>
                <w:bCs/>
                <w:color w:val="000000" w:themeColor="text1"/>
                <w:szCs w:val="21"/>
                <w14:textFill>
                  <w14:solidFill>
                    <w14:schemeClr w14:val="tx1"/>
                  </w14:solidFill>
                </w14:textFill>
              </w:rPr>
              <w:t>t/a，本项目</w:t>
            </w:r>
            <w:r>
              <w:rPr>
                <w:rFonts w:hint="eastAsia" w:ascii="Times New Roman" w:hAnsi="Times New Roman" w:cs="Times New Roman"/>
                <w:bCs/>
                <w:color w:val="000000" w:themeColor="text1"/>
                <w:szCs w:val="21"/>
                <w14:textFill>
                  <w14:solidFill>
                    <w14:schemeClr w14:val="tx1"/>
                  </w14:solidFill>
                </w14:textFill>
              </w:rPr>
              <w:t>28</w:t>
            </w:r>
            <w:r>
              <w:rPr>
                <w:rFonts w:ascii="Times New Roman" w:hAnsi="Times New Roman" w:cs="Times New Roman"/>
                <w:bCs/>
                <w:color w:val="000000" w:themeColor="text1"/>
                <w:szCs w:val="21"/>
                <w14:textFill>
                  <w14:solidFill>
                    <w14:schemeClr w14:val="tx1"/>
                  </w14:solidFill>
                </w14:textFill>
              </w:rPr>
              <w:t>口采油井全部投产后预计年含油污泥最大产生量为</w:t>
            </w:r>
            <w:r>
              <w:rPr>
                <w:rFonts w:hint="eastAsia" w:ascii="Times New Roman" w:hAnsi="Times New Roman" w:cs="Times New Roman"/>
                <w:bCs/>
                <w:color w:val="000000" w:themeColor="text1"/>
                <w:szCs w:val="21"/>
                <w14:textFill>
                  <w14:solidFill>
                    <w14:schemeClr w14:val="tx1"/>
                  </w14:solidFill>
                </w14:textFill>
              </w:rPr>
              <w:t>228.72</w:t>
            </w:r>
            <w:r>
              <w:rPr>
                <w:rFonts w:ascii="Times New Roman" w:hAnsi="Times New Roman" w:cs="Times New Roman"/>
                <w:bCs/>
                <w:color w:val="000000" w:themeColor="text1"/>
                <w:szCs w:val="21"/>
                <w14:textFill>
                  <w14:solidFill>
                    <w14:schemeClr w14:val="tx1"/>
                  </w14:solidFill>
                </w14:textFill>
              </w:rPr>
              <w:t>t/a，可满足本工程处理需求，依托可行。</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乌尔禾生活垃圾填埋场</w:t>
            </w:r>
          </w:p>
        </w:tc>
        <w:tc>
          <w:tcPr>
            <w:tcW w:w="6505" w:type="dxa"/>
            <w:gridSpan w:val="3"/>
            <w:vAlign w:val="center"/>
          </w:tcPr>
          <w:p>
            <w:pPr>
              <w:rPr>
                <w:rFonts w:ascii="Times New Roman" w:hAnsi="Times New Roman" w:cs="Times New Roman"/>
                <w:snapToGrid w:val="0"/>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乌尔禾区生活垃圾填埋场占地面积11.31ha，填埋场设计总库容为77万m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。服务年限为2018年至2030年。近期（2023年）生活垃圾日清运处置87t，累计处理量23.56万t；远期（2030年）生活垃圾日清运处置98t，累计处理量47.64万t。本项目整个钻井期生活垃圾量</w:t>
            </w:r>
            <w:r>
              <w:rPr>
                <w:rFonts w:hint="eastAsia" w:ascii="Times New Roman" w:hAnsi="Times New Roman" w:cs="Times New Roman"/>
                <w:color w:val="000000" w:themeColor="text1"/>
                <w:sz w:val="21"/>
                <w:szCs w:val="21"/>
                <w:lang w:val="en-US" w:eastAsia="zh-CN"/>
                <w14:textFill>
                  <w14:solidFill>
                    <w14:schemeClr w14:val="tx1"/>
                  </w14:solidFill>
                </w14:textFill>
              </w:rPr>
              <w:t>11.66</w:t>
            </w:r>
            <w:r>
              <w:rPr>
                <w:rFonts w:hint="default" w:ascii="Times New Roman" w:hAnsi="Times New Roman" w:cs="Times New Roman"/>
                <w:color w:val="000000" w:themeColor="text1"/>
                <w:sz w:val="21"/>
                <w:szCs w:val="21"/>
                <w14:textFill>
                  <w14:solidFill>
                    <w14:schemeClr w14:val="tx1"/>
                  </w14:solidFill>
                </w14:textFill>
              </w:rPr>
              <w:t>t，占比很小，依托可行。</w:t>
            </w:r>
          </w:p>
        </w:tc>
        <w:tc>
          <w:tcPr>
            <w:tcW w:w="524" w:type="dxa"/>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465" w:type="dxa"/>
            <w:vMerge w:val="continue"/>
            <w:vAlign w:val="center"/>
          </w:tcPr>
          <w:p>
            <w:pPr>
              <w:pStyle w:val="35"/>
              <w:rPr>
                <w:rFonts w:cs="Times New Roman"/>
                <w:color w:val="000000" w:themeColor="text1"/>
                <w14:textFill>
                  <w14:solidFill>
                    <w14:schemeClr w14:val="tx1"/>
                  </w14:solidFill>
                </w14:textFill>
              </w:rPr>
            </w:pPr>
          </w:p>
        </w:tc>
        <w:tc>
          <w:tcPr>
            <w:tcW w:w="923"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陆梁公寓</w:t>
            </w:r>
          </w:p>
        </w:tc>
        <w:tc>
          <w:tcPr>
            <w:tcW w:w="6505" w:type="dxa"/>
            <w:gridSpan w:val="3"/>
            <w:vAlign w:val="center"/>
          </w:tcPr>
          <w:p>
            <w:pPr>
              <w:pStyle w:val="35"/>
              <w:rPr>
                <w:rFonts w:cs="Times New Roman"/>
                <w:snapToGrid w:val="0"/>
                <w:color w:val="000000" w:themeColor="text1"/>
                <w14:textFill>
                  <w14:solidFill>
                    <w14:schemeClr w14:val="tx1"/>
                  </w14:solidFill>
                </w14:textFill>
              </w:rPr>
            </w:pPr>
            <w:r>
              <w:rPr>
                <w:rFonts w:cs="Times New Roman"/>
                <w:color w:val="000000" w:themeColor="text1"/>
                <w14:textFill>
                  <w14:solidFill>
                    <w14:schemeClr w14:val="tx1"/>
                  </w14:solidFill>
                </w14:textFill>
              </w:rPr>
              <w:t>陆梁公寓生活污水处理设施建于2002年，设计规模为168m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污水处理流程为：生活污水→集水池→一元化污水处理装置→外排，该设施投产初期出水水质良好，后期由于装置腐蚀、污水泵堵塞、自动化程度低、管理不便等系列问题导致出水逐渐超标，因此作业区于2014年对该装置进行了提标改造，设计处理规模提升至350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/d。陆梁公寓生活污水一体化处理装置设计处理能力为350m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/d，目前实际处理量约为100m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/d，仍有较大的余量，本项目施工期</w:t>
            </w:r>
            <w:r>
              <w:rPr>
                <w:rFonts w:hint="eastAsia" w:cs="Times New Roman"/>
                <w:color w:val="000000" w:themeColor="text1"/>
                <w14:textFill>
                  <w14:solidFill>
                    <w14:schemeClr w14:val="tx1"/>
                  </w14:solidFill>
                </w14:textFill>
              </w:rPr>
              <w:t>生活污水</w:t>
            </w:r>
            <w:r>
              <w:rPr>
                <w:rFonts w:cs="Times New Roman"/>
                <w:color w:val="000000" w:themeColor="text1"/>
                <w14:textFill>
                  <w14:solidFill>
                    <w14:schemeClr w14:val="tx1"/>
                  </w14:solidFill>
                </w14:textFill>
              </w:rPr>
              <w:t>产生量约为</w:t>
            </w:r>
            <w:r>
              <w:rPr>
                <w:rFonts w:hint="eastAsia" w:cs="Times New Roman"/>
                <w:color w:val="000000" w:themeColor="text1"/>
                <w14:textFill>
                  <w14:solidFill>
                    <w14:schemeClr w14:val="tx1"/>
                  </w14:solidFill>
                </w14:textFill>
              </w:rPr>
              <w:t>4.09</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/d，依托可行。</w:t>
            </w:r>
          </w:p>
        </w:tc>
        <w:tc>
          <w:tcPr>
            <w:tcW w:w="52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依托</w:t>
            </w:r>
          </w:p>
        </w:tc>
      </w:tr>
      <w:bookmarkEnd w:id="226"/>
    </w:tbl>
    <w:p>
      <w:pPr>
        <w:pStyle w:val="3"/>
        <w:spacing w:before="10" w:after="10"/>
        <w:rPr>
          <w:rFonts w:ascii="Times New Roman" w:hAnsi="Times New Roman" w:cs="Times New Roman"/>
          <w:color w:val="000000" w:themeColor="text1"/>
          <w14:textFill>
            <w14:solidFill>
              <w14:schemeClr w14:val="tx1"/>
            </w14:solidFill>
          </w14:textFill>
        </w:rPr>
      </w:pPr>
      <w:bookmarkStart w:id="229" w:name="_Toc24250"/>
      <w:bookmarkStart w:id="230" w:name="_Toc2158"/>
      <w:r>
        <w:rPr>
          <w:rFonts w:ascii="Times New Roman" w:hAnsi="Times New Roman" w:cs="Times New Roman"/>
          <w:color w:val="000000" w:themeColor="text1"/>
          <w14:textFill>
            <w14:solidFill>
              <w14:schemeClr w14:val="tx1"/>
            </w14:solidFill>
          </w14:textFill>
        </w:rPr>
        <w:t>3.4工程方案</w:t>
      </w:r>
      <w:bookmarkEnd w:id="229"/>
      <w:bookmarkEnd w:id="230"/>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3.4.1部署情况</w:t>
      </w:r>
    </w:p>
    <w:p>
      <w:pPr>
        <w:spacing w:line="360" w:lineRule="auto"/>
        <w:ind w:firstLine="480" w:firstLineChars="200"/>
        <w:rPr>
          <w:rFonts w:ascii="Times New Roman" w:hAnsi="Times New Roman"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根据《</w:t>
      </w:r>
      <w:r>
        <w:rPr>
          <w:rFonts w:ascii="Times New Roman" w:hAnsi="Times New Roman" w:cs="Times New Roman"/>
          <w:color w:val="000000" w:themeColor="text1"/>
          <w:sz w:val="24"/>
          <w14:textFill>
            <w14:solidFill>
              <w14:schemeClr w14:val="tx1"/>
            </w14:solidFill>
          </w14:textFill>
        </w:rPr>
        <w:t>陆9井区白垩系呼图壁河组油藏加密调整工程</w:t>
      </w:r>
      <w:r>
        <w:rPr>
          <w:rFonts w:ascii="Times New Roman" w:hAnsi="Times New Roman" w:eastAsia="宋体" w:cs="Times New Roman"/>
          <w:color w:val="000000" w:themeColor="text1"/>
          <w:kern w:val="0"/>
          <w:sz w:val="24"/>
          <w:lang w:bidi="ar"/>
          <w14:textFill>
            <w14:solidFill>
              <w14:schemeClr w14:val="tx1"/>
            </w14:solidFill>
          </w14:textFill>
        </w:rPr>
        <w:t>》部署结果，陆9井区K</w:t>
      </w:r>
      <w:r>
        <w:rPr>
          <w:rFonts w:ascii="Times New Roman" w:hAnsi="Times New Roman" w:eastAsia="宋体" w:cs="Times New Roman"/>
          <w:color w:val="000000" w:themeColor="text1"/>
          <w:kern w:val="0"/>
          <w:sz w:val="24"/>
          <w:vertAlign w:val="subscript"/>
          <w:lang w:bidi="ar"/>
          <w14:textFill>
            <w14:solidFill>
              <w14:schemeClr w14:val="tx1"/>
            </w14:solidFill>
          </w14:textFill>
        </w:rPr>
        <w:t>1</w:t>
      </w:r>
      <w:r>
        <w:rPr>
          <w:rFonts w:ascii="Times New Roman" w:hAnsi="Times New Roman" w:eastAsia="宋体" w:cs="Times New Roman"/>
          <w:i/>
          <w:iCs/>
          <w:color w:val="000000" w:themeColor="text1"/>
          <w:kern w:val="0"/>
          <w:sz w:val="24"/>
          <w:lang w:bidi="ar"/>
          <w14:textFill>
            <w14:solidFill>
              <w14:schemeClr w14:val="tx1"/>
            </w14:solidFill>
          </w14:textFill>
        </w:rPr>
        <w:t>h</w:t>
      </w:r>
      <w:r>
        <w:rPr>
          <w:rFonts w:ascii="Times New Roman" w:hAnsi="Times New Roman" w:eastAsia="宋体" w:cs="Times New Roman"/>
          <w:color w:val="000000" w:themeColor="text1"/>
          <w:kern w:val="0"/>
          <w:sz w:val="24"/>
          <w:vertAlign w:val="subscript"/>
          <w:lang w:bidi="ar"/>
          <w14:textFill>
            <w14:solidFill>
              <w14:schemeClr w14:val="tx1"/>
            </w14:solidFill>
          </w14:textFill>
        </w:rPr>
        <w:t>2</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3-4</w:t>
      </w:r>
      <w:r>
        <w:rPr>
          <w:rFonts w:ascii="Times New Roman" w:hAnsi="Times New Roman" w:cs="Times New Roman"/>
          <w:color w:val="000000" w:themeColor="text1"/>
          <w:sz w:val="24"/>
          <w14:textFill>
            <w14:solidFill>
              <w14:schemeClr w14:val="tx1"/>
            </w14:solidFill>
          </w14:textFill>
        </w:rPr>
        <w:t>共部署调整井37口，包括新钻采油井28口，老井转注9口。设计单井进尺1200m，钻井总进尺</w:t>
      </w:r>
      <w:r>
        <w:rPr>
          <w:rFonts w:hint="eastAsia" w:ascii="Times New Roman" w:hAnsi="Times New Roman" w:cs="Times New Roman"/>
          <w:color w:val="000000" w:themeColor="text1"/>
          <w:sz w:val="24"/>
          <w14:textFill>
            <w14:solidFill>
              <w14:schemeClr w14:val="tx1"/>
            </w14:solidFill>
          </w14:textFill>
        </w:rPr>
        <w:t>3.36</w:t>
      </w:r>
      <w:r>
        <w:rPr>
          <w:rFonts w:ascii="Times New Roman" w:hAnsi="Times New Roman" w:cs="Times New Roman"/>
          <w:color w:val="000000" w:themeColor="text1"/>
          <w:sz w:val="24"/>
          <w14:textFill>
            <w14:solidFill>
              <w14:schemeClr w14:val="tx1"/>
            </w14:solidFill>
          </w14:textFill>
        </w:rPr>
        <w:t>×10</w:t>
      </w:r>
      <w:r>
        <w:rPr>
          <w:rFonts w:ascii="Times New Roman" w:hAnsi="Times New Roman" w:cs="Times New Roman"/>
          <w:color w:val="000000" w:themeColor="text1"/>
          <w:sz w:val="24"/>
          <w:vertAlign w:val="super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m，设计单井产能3.0t/d，新建产能</w:t>
      </w:r>
      <w:r>
        <w:rPr>
          <w:rFonts w:hint="eastAsia" w:ascii="Times New Roman" w:hAnsi="Times New Roman" w:cs="Times New Roman"/>
          <w:color w:val="000000" w:themeColor="text1"/>
          <w:sz w:val="24"/>
          <w14:textFill>
            <w14:solidFill>
              <w14:schemeClr w14:val="tx1"/>
            </w14:solidFill>
          </w14:textFill>
        </w:rPr>
        <w:t>2.52</w:t>
      </w:r>
      <w:r>
        <w:rPr>
          <w:rFonts w:ascii="Times New Roman" w:hAnsi="Times New Roman" w:cs="Times New Roman"/>
          <w:color w:val="000000" w:themeColor="text1"/>
          <w:sz w:val="24"/>
          <w14:textFill>
            <w14:solidFill>
              <w14:schemeClr w14:val="tx1"/>
            </w14:solidFill>
          </w14:textFill>
        </w:rPr>
        <w:t>×10</w:t>
      </w:r>
      <w:r>
        <w:rPr>
          <w:rFonts w:ascii="Times New Roman" w:hAnsi="Times New Roman" w:cs="Times New Roman"/>
          <w:color w:val="000000" w:themeColor="text1"/>
          <w:sz w:val="24"/>
          <w:vertAlign w:val="super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t</w:t>
      </w:r>
      <w:r>
        <w:rPr>
          <w:rFonts w:ascii="Times New Roman" w:hAnsi="Times New Roman" w:cs="Times New Roman"/>
          <w:color w:val="000000" w:themeColor="text1"/>
          <w:kern w:val="0"/>
          <w:sz w:val="24"/>
          <w14:textFill>
            <w14:solidFill>
              <w14:schemeClr w14:val="tx1"/>
            </w14:solidFill>
          </w14:textFill>
        </w:rPr>
        <w:t>、产气</w:t>
      </w:r>
      <w:r>
        <w:rPr>
          <w:rFonts w:hint="eastAsia" w:ascii="Times New Roman" w:hAnsi="Times New Roman" w:cs="Times New Roman"/>
          <w:color w:val="000000" w:themeColor="text1"/>
          <w:kern w:val="0"/>
          <w:sz w:val="24"/>
          <w14:textFill>
            <w14:solidFill>
              <w14:schemeClr w14:val="tx1"/>
            </w14:solidFill>
          </w14:textFill>
        </w:rPr>
        <w:t>80.11</w:t>
      </w:r>
      <w:r>
        <w:rPr>
          <w:rFonts w:ascii="Times New Roman" w:hAnsi="Times New Roman" w:cs="Times New Roman"/>
          <w:color w:val="000000" w:themeColor="text1"/>
          <w:kern w:val="0"/>
          <w:sz w:val="24"/>
          <w14:textFill>
            <w14:solidFill>
              <w14:schemeClr w14:val="tx1"/>
            </w14:solidFill>
          </w14:textFill>
        </w:rPr>
        <w:t>×10</w:t>
      </w:r>
      <w:r>
        <w:rPr>
          <w:rFonts w:ascii="Times New Roman" w:hAnsi="Times New Roman" w:cs="Times New Roman"/>
          <w:color w:val="000000" w:themeColor="text1"/>
          <w:kern w:val="0"/>
          <w:sz w:val="24"/>
          <w:vertAlign w:val="superscript"/>
          <w14:textFill>
            <w14:solidFill>
              <w14:schemeClr w14:val="tx1"/>
            </w14:solidFill>
          </w14:textFill>
        </w:rPr>
        <w:t>4</w:t>
      </w:r>
      <w:r>
        <w:rPr>
          <w:rFonts w:ascii="Times New Roman" w:hAnsi="Times New Roman" w:cs="Times New Roman"/>
          <w:color w:val="000000" w:themeColor="text1"/>
          <w:kern w:val="0"/>
          <w:sz w:val="24"/>
          <w14:textFill>
            <w14:solidFill>
              <w14:schemeClr w14:val="tx1"/>
            </w14:solidFill>
          </w14:textFill>
        </w:rPr>
        <w:t>m</w:t>
      </w:r>
      <w:r>
        <w:rPr>
          <w:rFonts w:ascii="Times New Roman" w:hAnsi="Times New Roman" w:cs="Times New Roman"/>
          <w:color w:val="000000" w:themeColor="text1"/>
          <w:kern w:val="0"/>
          <w:sz w:val="24"/>
          <w:vertAlign w:val="superscript"/>
          <w14:textFill>
            <w14:solidFill>
              <w14:schemeClr w14:val="tx1"/>
            </w14:solidFill>
          </w14:textFill>
        </w:rPr>
        <w:t>3</w:t>
      </w:r>
      <w:r>
        <w:rPr>
          <w:rFonts w:ascii="Times New Roman" w:hAnsi="Times New Roman" w:cs="Times New Roman"/>
          <w:color w:val="000000" w:themeColor="text1"/>
          <w:kern w:val="0"/>
          <w:sz w:val="24"/>
          <w14:textFill>
            <w14:solidFill>
              <w14:schemeClr w14:val="tx1"/>
            </w14:solidFill>
          </w14:textFill>
        </w:rPr>
        <w:t>/a</w:t>
      </w:r>
      <w:r>
        <w:rPr>
          <w:rFonts w:hint="eastAsia" w:ascii="Times New Roman" w:hAnsi="Times New Roman" w:cs="Times New Roman"/>
          <w:color w:val="000000" w:themeColor="text1"/>
          <w:kern w:val="0"/>
          <w:sz w:val="24"/>
          <w14:textFill>
            <w14:solidFill>
              <w14:schemeClr w14:val="tx1"/>
            </w14:solidFill>
          </w14:textFill>
        </w:rPr>
        <w:t>，</w:t>
      </w:r>
      <w:r>
        <w:rPr>
          <w:rFonts w:hint="eastAsia" w:ascii="Times New Roman" w:hAnsi="Times New Roman" w:eastAsia="宋体" w:cs="Times New Roman"/>
          <w:color w:val="000000" w:themeColor="text1"/>
          <w:kern w:val="0"/>
          <w:sz w:val="24"/>
          <w14:textFill>
            <w14:solidFill>
              <w14:schemeClr w14:val="tx1"/>
            </w14:solidFill>
          </w14:textFill>
        </w:rPr>
        <w:t>单井最大注水量为150m</w:t>
      </w:r>
      <w:r>
        <w:rPr>
          <w:rFonts w:hint="eastAsia" w:ascii="Times New Roman" w:hAnsi="Times New Roman" w:eastAsia="宋体" w:cs="Times New Roman"/>
          <w:color w:val="000000" w:themeColor="text1"/>
          <w:kern w:val="0"/>
          <w:sz w:val="24"/>
          <w:vertAlign w:val="superscript"/>
          <w14:textFill>
            <w14:solidFill>
              <w14:schemeClr w14:val="tx1"/>
            </w14:solidFill>
          </w14:textFill>
        </w:rPr>
        <w:t>3</w:t>
      </w:r>
      <w:r>
        <w:rPr>
          <w:rFonts w:hint="eastAsia" w:ascii="Times New Roman" w:hAnsi="Times New Roman" w:eastAsia="宋体" w:cs="Times New Roman"/>
          <w:color w:val="000000" w:themeColor="text1"/>
          <w:kern w:val="0"/>
          <w:sz w:val="24"/>
          <w14:textFill>
            <w14:solidFill>
              <w14:schemeClr w14:val="tx1"/>
            </w14:solidFill>
          </w14:textFill>
        </w:rPr>
        <w:t>/d</w:t>
      </w:r>
      <w:r>
        <w:rPr>
          <w:rFonts w:ascii="Times New Roman" w:hAnsi="Times New Roman" w:cs="Times New Roman"/>
          <w:color w:val="000000" w:themeColor="text1"/>
          <w:sz w:val="24"/>
          <w14:textFill>
            <w14:solidFill>
              <w14:schemeClr w14:val="tx1"/>
            </w14:solidFill>
          </w14:textFill>
        </w:rPr>
        <w:t>。</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bookmarkStart w:id="348" w:name="_GoBack"/>
      <w:bookmarkEnd w:id="348"/>
      <w:r>
        <w:rPr>
          <w:rFonts w:ascii="Times New Roman" w:hAnsi="Times New Roman" w:eastAsia="黑体" w:cs="Times New Roman"/>
          <w:b/>
          <w:color w:val="000000" w:themeColor="text1"/>
          <w:sz w:val="30"/>
          <w:szCs w:val="30"/>
          <w14:textFill>
            <w14:solidFill>
              <w14:schemeClr w14:val="tx1"/>
            </w14:solidFill>
          </w14:textFill>
        </w:rPr>
        <w:t>3.4.</w:t>
      </w:r>
      <w:r>
        <w:rPr>
          <w:rFonts w:hint="eastAsia" w:ascii="Times New Roman" w:hAnsi="Times New Roman" w:eastAsia="黑体" w:cs="Times New Roman"/>
          <w:b/>
          <w:color w:val="000000" w:themeColor="text1"/>
          <w:sz w:val="30"/>
          <w:szCs w:val="30"/>
          <w14:textFill>
            <w14:solidFill>
              <w14:schemeClr w14:val="tx1"/>
            </w14:solidFill>
          </w14:textFill>
        </w:rPr>
        <w:t>4</w:t>
      </w:r>
      <w:r>
        <w:rPr>
          <w:rFonts w:ascii="Times New Roman" w:hAnsi="Times New Roman" w:eastAsia="黑体" w:cs="Times New Roman"/>
          <w:b/>
          <w:color w:val="000000" w:themeColor="text1"/>
          <w:sz w:val="30"/>
          <w:szCs w:val="30"/>
          <w14:textFill>
            <w14:solidFill>
              <w14:schemeClr w14:val="tx1"/>
            </w14:solidFill>
          </w14:textFill>
        </w:rPr>
        <w:t>总体布局</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项目的主要建设内容包括：K</w:t>
      </w:r>
      <w:r>
        <w:rPr>
          <w:rFonts w:cs="Times New Roman"/>
          <w:color w:val="000000" w:themeColor="text1"/>
          <w:sz w:val="24"/>
          <w:szCs w:val="24"/>
          <w:vertAlign w:val="subscript"/>
          <w14:textFill>
            <w14:solidFill>
              <w14:schemeClr w14:val="tx1"/>
            </w14:solidFill>
          </w14:textFill>
        </w:rPr>
        <w:t>1</w:t>
      </w:r>
      <w:r>
        <w:rPr>
          <w:rFonts w:cs="Times New Roman"/>
          <w:i/>
          <w:iCs/>
          <w:color w:val="000000" w:themeColor="text1"/>
          <w:sz w:val="24"/>
          <w:szCs w:val="24"/>
          <w14:textFill>
            <w14:solidFill>
              <w14:schemeClr w14:val="tx1"/>
            </w14:solidFill>
          </w14:textFill>
        </w:rPr>
        <w:t>h</w:t>
      </w:r>
      <w:r>
        <w:rPr>
          <w:rFonts w:cs="Times New Roman"/>
          <w:color w:val="000000" w:themeColor="text1"/>
          <w:sz w:val="24"/>
          <w:szCs w:val="24"/>
          <w:vertAlign w:val="subscript"/>
          <w14:textFill>
            <w14:solidFill>
              <w14:schemeClr w14:val="tx1"/>
            </w14:solidFill>
          </w14:textFill>
        </w:rPr>
        <w:t>2</w:t>
      </w:r>
      <w:r>
        <w:rPr>
          <w:rFonts w:cs="Times New Roman"/>
          <w:color w:val="000000" w:themeColor="text1"/>
          <w:sz w:val="24"/>
          <w:szCs w:val="24"/>
          <w:vertAlign w:val="superscript"/>
          <w14:textFill>
            <w14:solidFill>
              <w14:schemeClr w14:val="tx1"/>
            </w14:solidFill>
          </w14:textFill>
        </w:rPr>
        <w:t>3-4</w:t>
      </w:r>
      <w:r>
        <w:rPr>
          <w:rFonts w:cs="Times New Roman"/>
          <w:color w:val="000000" w:themeColor="text1"/>
          <w:sz w:val="24"/>
          <w:szCs w:val="24"/>
          <w14:textFill>
            <w14:solidFill>
              <w14:schemeClr w14:val="tx1"/>
            </w14:solidFill>
          </w14:textFill>
        </w:rPr>
        <w:t>油藏试验区共部署调整井</w:t>
      </w:r>
      <w:r>
        <w:rPr>
          <w:rFonts w:hint="eastAsia" w:cs="Times New Roman"/>
          <w:color w:val="000000" w:themeColor="text1"/>
          <w:sz w:val="24"/>
          <w:szCs w:val="24"/>
          <w14:textFill>
            <w14:solidFill>
              <w14:schemeClr w14:val="tx1"/>
            </w14:solidFill>
          </w14:textFill>
        </w:rPr>
        <w:t>37</w:t>
      </w:r>
      <w:r>
        <w:rPr>
          <w:rFonts w:cs="Times New Roman"/>
          <w:color w:val="000000" w:themeColor="text1"/>
          <w:sz w:val="24"/>
          <w:szCs w:val="24"/>
          <w14:textFill>
            <w14:solidFill>
              <w14:schemeClr w14:val="tx1"/>
            </w14:solidFill>
          </w14:textFill>
        </w:rPr>
        <w:t>口，</w:t>
      </w:r>
      <w:r>
        <w:rPr>
          <w:rFonts w:cs="Times New Roman"/>
          <w:color w:val="000000" w:themeColor="text1"/>
          <w:kern w:val="0"/>
          <w:sz w:val="24"/>
          <w:szCs w:val="24"/>
          <w14:textFill>
            <w14:solidFill>
              <w14:schemeClr w14:val="tx1"/>
            </w14:solidFill>
          </w14:textFill>
        </w:rPr>
        <w:t>包括新钻采油井28口，老井转注9口</w:t>
      </w:r>
      <w:r>
        <w:rPr>
          <w:rFonts w:hint="eastAsia" w:cs="Times New Roman"/>
          <w:color w:val="000000" w:themeColor="text1"/>
          <w:kern w:val="0"/>
          <w:sz w:val="24"/>
          <w:szCs w:val="24"/>
          <w14:textFill>
            <w14:solidFill>
              <w14:schemeClr w14:val="tx1"/>
            </w14:solidFill>
          </w14:textFill>
        </w:rPr>
        <w:t>。新建计量站5座、配水撬3座。新建37口井的单井出油管道10.33km、集油支线3.6km、集油干线2.1km，单井注水管道4.52km、注水干线2.12km、注水支线1.77km。</w:t>
      </w:r>
      <w:r>
        <w:rPr>
          <w:rFonts w:cs="Times New Roman"/>
          <w:color w:val="000000" w:themeColor="text1"/>
          <w:sz w:val="24"/>
          <w:szCs w:val="24"/>
          <w14:textFill>
            <w14:solidFill>
              <w14:schemeClr w14:val="tx1"/>
            </w14:solidFill>
          </w14:textFill>
        </w:rPr>
        <w:t>巡检道路依托已有道路。</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根据开发方案部署，结合目前生产情况，陆9井区呼图壁组油藏新建一体化计量站、高压（16MPa）配水撬与已建计量站合建，集输系统结合西山窑组油藏，地面共部署2条集油管道，本工程建设其中1条（I线），管辖新建一体化计量站5座；注水系统共部署16MPa高压注水管道1条，管辖新建配水撬3座</w:t>
      </w:r>
      <w:r>
        <w:rPr>
          <w:rFonts w:hint="eastAsia" w:cs="Times New Roman"/>
          <w:color w:val="000000" w:themeColor="text1"/>
          <w:sz w:val="24"/>
          <w:szCs w:val="24"/>
          <w14:textFill>
            <w14:solidFill>
              <w14:schemeClr w14:val="tx1"/>
            </w14:solidFill>
          </w14:textFill>
        </w:rPr>
        <w:t>。</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w:t>
      </w:r>
      <w:r>
        <w:rPr>
          <w:rFonts w:hint="eastAsia" w:cs="Times New Roman"/>
          <w:color w:val="000000" w:themeColor="text1"/>
          <w:sz w:val="24"/>
          <w:szCs w:val="24"/>
          <w14:textFill>
            <w14:solidFill>
              <w14:schemeClr w14:val="tx1"/>
            </w14:solidFill>
          </w14:textFill>
        </w:rPr>
        <w:t>总体布局情况见表3.4-6，</w:t>
      </w:r>
      <w:r>
        <w:rPr>
          <w:rFonts w:cs="Times New Roman"/>
          <w:color w:val="000000" w:themeColor="text1"/>
          <w:sz w:val="24"/>
          <w:szCs w:val="24"/>
          <w14:textFill>
            <w14:solidFill>
              <w14:schemeClr w14:val="tx1"/>
            </w14:solidFill>
          </w14:textFill>
        </w:rPr>
        <w:t>总平面布置图见图3.4-1。</w:t>
      </w:r>
      <w:r>
        <w:rPr>
          <w:rFonts w:hint="eastAsia" w:cs="Times New Roman"/>
          <w:color w:val="000000" w:themeColor="text1"/>
          <w:sz w:val="24"/>
          <w:szCs w:val="24"/>
          <w14:textFill>
            <w14:solidFill>
              <w14:schemeClr w14:val="tx1"/>
            </w14:solidFill>
          </w14:textFill>
        </w:rPr>
        <w:t>项目集输管线见图3.4-2。</w:t>
      </w:r>
    </w:p>
    <w:p>
      <w:pPr>
        <w:adjustRightInd w:val="0"/>
        <w:snapToGrid w:val="0"/>
        <w:spacing w:after="156" w:afterLines="50"/>
        <w:jc w:val="center"/>
        <w:rPr>
          <w:rFonts w:ascii="Times New Roman" w:hAnsi="Times New Roman" w:eastAsia="宋体" w:cs="Times New Roman"/>
          <w:b/>
          <w:bCs/>
          <w:color w:val="000000" w:themeColor="text1"/>
          <w:szCs w:val="21"/>
          <w14:textFill>
            <w14:solidFill>
              <w14:schemeClr w14:val="tx1"/>
            </w14:solidFill>
          </w14:textFill>
        </w:rPr>
        <w:sectPr>
          <w:pgSz w:w="11906" w:h="16838"/>
          <w:pgMar w:top="1440" w:right="1800" w:bottom="1440" w:left="1800" w:header="851" w:footer="992" w:gutter="0"/>
          <w:cols w:space="720" w:num="1"/>
          <w:docGrid w:type="lines" w:linePitch="312" w:charSpace="0"/>
        </w:sectPr>
      </w:pPr>
      <w:bookmarkStart w:id="231" w:name="_Toc22733"/>
      <w:bookmarkStart w:id="232" w:name="_Toc22297"/>
    </w:p>
    <w:p>
      <w:pPr>
        <w:adjustRightInd w:val="0"/>
        <w:snapToGrid w:val="0"/>
        <w:spacing w:after="156" w:afterLines="5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表3</w:t>
      </w:r>
      <w:r>
        <w:rPr>
          <w:rFonts w:hint="eastAsia" w:ascii="Times New Roman" w:hAnsi="Times New Roman" w:eastAsia="宋体" w:cs="Times New Roman"/>
          <w:b/>
          <w:bCs/>
          <w:color w:val="000000" w:themeColor="text1"/>
          <w:szCs w:val="21"/>
          <w14:textFill>
            <w14:solidFill>
              <w14:schemeClr w14:val="tx1"/>
            </w14:solidFill>
          </w14:textFill>
        </w:rPr>
        <w:t>.4-6</w:t>
      </w:r>
      <w:r>
        <w:rPr>
          <w:rFonts w:ascii="Times New Roman" w:hAnsi="Times New Roman" w:eastAsia="宋体" w:cs="Times New Roman"/>
          <w:b/>
          <w:bCs/>
          <w:color w:val="000000" w:themeColor="text1"/>
          <w:szCs w:val="21"/>
          <w14:textFill>
            <w14:solidFill>
              <w14:schemeClr w14:val="tx1"/>
            </w14:solidFill>
          </w14:textFill>
        </w:rPr>
        <w:t xml:space="preserve">  </w:t>
      </w:r>
      <w:r>
        <w:rPr>
          <w:rFonts w:hint="eastAsia" w:ascii="Times New Roman" w:hAnsi="Times New Roman" w:eastAsia="宋体" w:cs="Times New Roman"/>
          <w:b/>
          <w:bCs/>
          <w:color w:val="000000" w:themeColor="text1"/>
          <w:szCs w:val="21"/>
          <w14:textFill>
            <w14:solidFill>
              <w14:schemeClr w14:val="tx1"/>
            </w14:solidFill>
          </w14:textFill>
        </w:rPr>
        <w:t>本项目总体布局情况表</w:t>
      </w:r>
    </w:p>
    <w:tbl>
      <w:tblPr>
        <w:tblStyle w:val="24"/>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163"/>
        <w:gridCol w:w="1275"/>
        <w:gridCol w:w="1075"/>
        <w:gridCol w:w="1137"/>
        <w:gridCol w:w="2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序号</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层位</w:t>
            </w:r>
          </w:p>
        </w:tc>
        <w:tc>
          <w:tcPr>
            <w:tcW w:w="1275"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井号</w:t>
            </w:r>
          </w:p>
        </w:tc>
        <w:tc>
          <w:tcPr>
            <w:tcW w:w="1075"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井别</w:t>
            </w:r>
          </w:p>
        </w:tc>
        <w:tc>
          <w:tcPr>
            <w:tcW w:w="1137"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性质</w:t>
            </w:r>
          </w:p>
        </w:tc>
        <w:tc>
          <w:tcPr>
            <w:tcW w:w="2998"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所进/出计量站/计量配水站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LUD3334</w:t>
            </w:r>
          </w:p>
        </w:tc>
        <w:tc>
          <w:tcPr>
            <w:tcW w:w="1075" w:type="dxa"/>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shd w:val="clear" w:color="auto" w:fill="auto"/>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依托</w:t>
            </w:r>
            <w:r>
              <w:rPr>
                <w:rFonts w:ascii="Times New Roman" w:hAnsi="Times New Roman" w:eastAsia="宋体" w:cs="Times New Roman"/>
                <w:color w:val="000000" w:themeColor="text1"/>
                <w:szCs w:val="21"/>
                <w14:textFill>
                  <w14:solidFill>
                    <w14:schemeClr w14:val="tx1"/>
                  </w14:solidFill>
                </w14:textFill>
              </w:rPr>
              <w:t>陆9井区2号计量配水站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LUD3325</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依托</w:t>
            </w:r>
            <w:r>
              <w:rPr>
                <w:rFonts w:ascii="Times New Roman" w:hAnsi="Times New Roman" w:eastAsia="宋体" w:cs="Times New Roman"/>
                <w:color w:val="000000" w:themeColor="text1"/>
                <w:szCs w:val="21"/>
                <w14:textFill>
                  <w14:solidFill>
                    <w14:schemeClr w14:val="tx1"/>
                  </w14:solidFill>
                </w14:textFill>
              </w:rPr>
              <w:t>陆9井区4号计量配水站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LUD3274</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依托</w:t>
            </w:r>
            <w:r>
              <w:rPr>
                <w:rFonts w:ascii="Times New Roman" w:hAnsi="Times New Roman" w:eastAsia="宋体" w:cs="Times New Roman"/>
                <w:color w:val="000000" w:themeColor="text1"/>
                <w:szCs w:val="21"/>
                <w14:textFill>
                  <w14:solidFill>
                    <w14:schemeClr w14:val="tx1"/>
                  </w14:solidFill>
                </w14:textFill>
              </w:rPr>
              <w:t>陆9井区8号计量配水站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4</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LUD3312</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扩建1座12井式一体化自动选井计量装置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5</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LUD3313</w:t>
            </w:r>
          </w:p>
        </w:tc>
        <w:tc>
          <w:tcPr>
            <w:tcW w:w="1075" w:type="dxa"/>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6</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LUD3323</w:t>
            </w:r>
          </w:p>
        </w:tc>
        <w:tc>
          <w:tcPr>
            <w:tcW w:w="1075" w:type="dxa"/>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7</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LUD3333</w:t>
            </w:r>
          </w:p>
        </w:tc>
        <w:tc>
          <w:tcPr>
            <w:tcW w:w="1075" w:type="dxa"/>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8</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LUD3332</w:t>
            </w:r>
          </w:p>
        </w:tc>
        <w:tc>
          <w:tcPr>
            <w:tcW w:w="1075" w:type="dxa"/>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9</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LUD3304</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扩建1座12井式一体化自动选井计量装置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10</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LUD3305</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11</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LUD3314</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LUD3315</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13</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LUD3324</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14</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LUD3282</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扩建1座12井式一体化自动选井计量装置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15</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LUD3283</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16</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LUD3292</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17</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LUD3293</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18</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LUD3302</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19</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LUD3303</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20</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LUD3275</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扩建1座12井式一体化自动选井计量装置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21</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LUD3284</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22</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LUD3285</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23</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LUD3286</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24</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LUD3294</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25</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LUD3295</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26</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LUD3272</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扩建1座8井式一体化自动选井计量装置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27</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LUD3273</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28</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LUD3263</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113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29</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LU3073</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注水井</w:t>
            </w:r>
          </w:p>
        </w:tc>
        <w:tc>
          <w:tcPr>
            <w:tcW w:w="1137"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老井转注</w:t>
            </w:r>
          </w:p>
        </w:tc>
        <w:tc>
          <w:tcPr>
            <w:tcW w:w="2998" w:type="dxa"/>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扩建1座6井式配水撬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30</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LU3093</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注水井</w:t>
            </w:r>
          </w:p>
        </w:tc>
        <w:tc>
          <w:tcPr>
            <w:tcW w:w="1137"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老井转注</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31</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LU3133</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注水井</w:t>
            </w:r>
          </w:p>
        </w:tc>
        <w:tc>
          <w:tcPr>
            <w:tcW w:w="1137"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老井转注</w:t>
            </w:r>
          </w:p>
        </w:tc>
        <w:tc>
          <w:tcPr>
            <w:tcW w:w="2998" w:type="dxa"/>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扩建1座6井式配水撬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32</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LU3113</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注水井</w:t>
            </w:r>
          </w:p>
        </w:tc>
        <w:tc>
          <w:tcPr>
            <w:tcW w:w="1137"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老井转注</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33</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LU3095</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注水井</w:t>
            </w:r>
          </w:p>
        </w:tc>
        <w:tc>
          <w:tcPr>
            <w:tcW w:w="1137"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老井转注</w:t>
            </w:r>
          </w:p>
        </w:tc>
        <w:tc>
          <w:tcPr>
            <w:tcW w:w="2998" w:type="dxa"/>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扩建1座6井式配水撬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34</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LU3115</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注水井</w:t>
            </w:r>
          </w:p>
        </w:tc>
        <w:tc>
          <w:tcPr>
            <w:tcW w:w="1137"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老井转注</w:t>
            </w:r>
          </w:p>
        </w:tc>
        <w:tc>
          <w:tcPr>
            <w:tcW w:w="2998"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35</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LU3075</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注水井</w:t>
            </w:r>
          </w:p>
        </w:tc>
        <w:tc>
          <w:tcPr>
            <w:tcW w:w="1137"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老井转注</w:t>
            </w:r>
          </w:p>
        </w:tc>
        <w:tc>
          <w:tcPr>
            <w:tcW w:w="2998"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依托</w:t>
            </w:r>
            <w:r>
              <w:rPr>
                <w:rFonts w:ascii="Times New Roman" w:hAnsi="Times New Roman" w:eastAsia="宋体" w:cs="Times New Roman"/>
                <w:color w:val="000000" w:themeColor="text1"/>
                <w:szCs w:val="21"/>
                <w14:textFill>
                  <w14:solidFill>
                    <w14:schemeClr w14:val="tx1"/>
                  </w14:solidFill>
                </w14:textFill>
              </w:rPr>
              <w:t>陆9井区8号计量配水站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36</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LUD3334</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注水井</w:t>
            </w:r>
          </w:p>
        </w:tc>
        <w:tc>
          <w:tcPr>
            <w:tcW w:w="1137"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老井转注</w:t>
            </w:r>
          </w:p>
        </w:tc>
        <w:tc>
          <w:tcPr>
            <w:tcW w:w="2998"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依托</w:t>
            </w:r>
            <w:r>
              <w:rPr>
                <w:rFonts w:ascii="Times New Roman" w:hAnsi="Times New Roman" w:eastAsia="宋体" w:cs="Times New Roman"/>
                <w:color w:val="000000" w:themeColor="text1"/>
                <w:szCs w:val="21"/>
                <w14:textFill>
                  <w14:solidFill>
                    <w14:schemeClr w14:val="tx1"/>
                  </w14:solidFill>
                </w14:textFill>
              </w:rPr>
              <w:t>陆9井区2号计量配水站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2" w:type="dxa"/>
            <w:vAlign w:val="center"/>
          </w:tcPr>
          <w:p>
            <w:pPr>
              <w:adjustRightInd w:val="0"/>
              <w:snapToGrid w:val="0"/>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37</w:t>
            </w:r>
          </w:p>
        </w:tc>
        <w:tc>
          <w:tcPr>
            <w:tcW w:w="1163" w:type="dxa"/>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27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LU3053</w:t>
            </w:r>
          </w:p>
        </w:tc>
        <w:tc>
          <w:tcPr>
            <w:tcW w:w="1075"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注水井</w:t>
            </w:r>
          </w:p>
        </w:tc>
        <w:tc>
          <w:tcPr>
            <w:tcW w:w="1137" w:type="dxa"/>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老井转注</w:t>
            </w:r>
          </w:p>
        </w:tc>
        <w:tc>
          <w:tcPr>
            <w:tcW w:w="2998"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依托</w:t>
            </w:r>
            <w:r>
              <w:rPr>
                <w:rFonts w:ascii="Times New Roman" w:hAnsi="Times New Roman" w:eastAsia="宋体" w:cs="Times New Roman"/>
                <w:color w:val="000000" w:themeColor="text1"/>
                <w:szCs w:val="21"/>
                <w14:textFill>
                  <w14:solidFill>
                    <w14:schemeClr w14:val="tx1"/>
                  </w14:solidFill>
                </w14:textFill>
              </w:rPr>
              <w:t>陆9井区9号计量配水站</w:t>
            </w:r>
          </w:p>
        </w:tc>
      </w:tr>
    </w:tbl>
    <w:p>
      <w:pPr>
        <w:pStyle w:val="3"/>
        <w:spacing w:before="10" w:after="1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3.5主要建设内容</w:t>
      </w:r>
      <w:bookmarkEnd w:id="231"/>
      <w:bookmarkEnd w:id="232"/>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3.5.1钻前工程</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钻前工程主要包括井场地面平整夯实，布设安装井场设备，包括钻机、钻台，以及配料罐、泥浆泵、钢制泥浆槽等工作内容，并对设备进行调试，保证正常运行。</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①钻前整理场地，按照表土保护，分区防渗工作要求，对场地进行施工，剥离表层土，平整土地后，柴油罐区、钻井液材料房及泥浆循环罐区、泥浆罐区处属于重点防渗区，采用底层2mm厚高密度聚乙烯膜进行防渗；钻井泵、钻台、材料房做一般防渗处理，采用1.5mm土工布进行防渗。临时占地内划分作业带，建设柴油储罐基础及机房等临时工程，尽量减少临时占地。钻前整理场地，并保证全套钻井设备达到相关的安装标准。</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②钻机安装，注意保护原井口设备。</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③开钻前必须校正天车、转盘和井口，以保证三者中心偏差不大于10mm。</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④设备运转正常，安全装置灵活好用。各种仪器仪表准确灵敏好用。</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⑤设备安装</w:t>
      </w:r>
      <w:r>
        <w:rPr>
          <w:rFonts w:hint="eastAsia" w:ascii="Times New Roman" w:hAnsi="Times New Roman" w:cs="Times New Roman"/>
          <w:color w:val="000000" w:themeColor="text1"/>
          <w:kern w:val="0"/>
          <w:sz w:val="24"/>
          <w14:textFill>
            <w14:solidFill>
              <w14:schemeClr w14:val="tx1"/>
            </w14:solidFill>
          </w14:textFill>
        </w:rPr>
        <w:t>完成</w:t>
      </w:r>
      <w:r>
        <w:rPr>
          <w:rFonts w:ascii="Times New Roman" w:hAnsi="Times New Roman" w:cs="Times New Roman"/>
          <w:color w:val="000000" w:themeColor="text1"/>
          <w:kern w:val="0"/>
          <w:sz w:val="24"/>
          <w14:textFill>
            <w14:solidFill>
              <w14:schemeClr w14:val="tx1"/>
            </w14:solidFill>
          </w14:textFill>
        </w:rPr>
        <w:t>后，进行整机试运转，连续运转90min，各部件工作正常，性能可靠。然后进行高压循环系统试压，钻机试压25.0MPa，运转30min以上，所有管线不刺不漏，油气水路畅通。</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3.5.2钻井工程</w:t>
      </w:r>
    </w:p>
    <w:p>
      <w:pPr>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本项目钻井工程包括钻进、录井、测井、固井、完井，本项目钻井工程涉及射孔作业。本项目生产井通过井组优化，井型为定向井。</w:t>
      </w:r>
    </w:p>
    <w:p>
      <w:pPr>
        <w:spacing w:line="360" w:lineRule="auto"/>
        <w:outlineLvl w:val="3"/>
        <w:rPr>
          <w:rFonts w:ascii="Times New Roman" w:hAnsi="Times New Roman" w:eastAsia="宋体" w:cs="Times New Roman"/>
          <w:bCs/>
          <w:snapToGrid w:val="0"/>
          <w:color w:val="000000" w:themeColor="text1"/>
          <w:kern w:val="0"/>
          <w:sz w:val="28"/>
          <w:szCs w:val="28"/>
          <w14:textFill>
            <w14:solidFill>
              <w14:schemeClr w14:val="tx1"/>
            </w14:solidFill>
          </w14:textFill>
        </w:rPr>
      </w:pPr>
      <w:r>
        <w:rPr>
          <w:rFonts w:ascii="Times New Roman" w:hAnsi="Times New Roman" w:eastAsia="宋体" w:cs="Times New Roman"/>
          <w:bCs/>
          <w:snapToGrid w:val="0"/>
          <w:color w:val="000000" w:themeColor="text1"/>
          <w:kern w:val="0"/>
          <w:sz w:val="28"/>
          <w:szCs w:val="28"/>
          <w14:textFill>
            <w14:solidFill>
              <w14:schemeClr w14:val="tx1"/>
            </w14:solidFill>
          </w14:textFill>
        </w:rPr>
        <w:t>3.5.2.1钻井设计</w:t>
      </w:r>
    </w:p>
    <w:p>
      <w:pPr>
        <w:adjustRightInd w:val="0"/>
        <w:snapToGrid w:val="0"/>
        <w:spacing w:line="360" w:lineRule="auto"/>
        <w:ind w:firstLine="480" w:firstLineChars="200"/>
        <w:rPr>
          <w:rFonts w:ascii="Times New Roman" w:hAnsi="Times New Roman"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kern w:val="0"/>
          <w:sz w:val="24"/>
          <w:lang w:bidi="ar"/>
          <w14:textFill>
            <w14:solidFill>
              <w14:schemeClr w14:val="tx1"/>
            </w14:solidFill>
          </w14:textFill>
        </w:rPr>
        <w:t>本次新钻</w:t>
      </w:r>
      <w:r>
        <w:rPr>
          <w:rFonts w:hint="eastAsia" w:ascii="Times New Roman" w:hAnsi="Times New Roman" w:cs="Times New Roman"/>
          <w:color w:val="000000" w:themeColor="text1"/>
          <w:kern w:val="0"/>
          <w:sz w:val="24"/>
          <w:lang w:bidi="ar"/>
          <w14:textFill>
            <w14:solidFill>
              <w14:schemeClr w14:val="tx1"/>
            </w14:solidFill>
          </w14:textFill>
        </w:rPr>
        <w:t>28</w:t>
      </w:r>
      <w:r>
        <w:rPr>
          <w:rFonts w:ascii="Times New Roman" w:hAnsi="Times New Roman" w:cs="Times New Roman"/>
          <w:color w:val="000000" w:themeColor="text1"/>
          <w:kern w:val="0"/>
          <w:sz w:val="24"/>
          <w:lang w:bidi="ar"/>
          <w14:textFill>
            <w14:solidFill>
              <w14:schemeClr w14:val="tx1"/>
            </w14:solidFill>
          </w14:textFill>
        </w:rPr>
        <w:t>口采油井，井型均为定向井。井号、井身结构、设计井深及井型详见表3.5-1。</w:t>
      </w:r>
    </w:p>
    <w:p>
      <w:pPr>
        <w:adjustRightInd w:val="0"/>
        <w:snapToGrid w:val="0"/>
        <w:spacing w:after="156" w:afterLines="5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表3.5-1  钻井基本参数</w:t>
      </w:r>
    </w:p>
    <w:tbl>
      <w:tblPr>
        <w:tblStyle w:val="23"/>
        <w:tblW w:w="8522" w:type="dxa"/>
        <w:tblInd w:w="0" w:type="dxa"/>
        <w:tblLayout w:type="fixed"/>
        <w:tblCellMar>
          <w:top w:w="0" w:type="dxa"/>
          <w:left w:w="108" w:type="dxa"/>
          <w:bottom w:w="0" w:type="dxa"/>
          <w:right w:w="108" w:type="dxa"/>
        </w:tblCellMar>
      </w:tblPr>
      <w:tblGrid>
        <w:gridCol w:w="529"/>
        <w:gridCol w:w="1000"/>
        <w:gridCol w:w="1315"/>
        <w:gridCol w:w="937"/>
        <w:gridCol w:w="888"/>
        <w:gridCol w:w="862"/>
        <w:gridCol w:w="1004"/>
        <w:gridCol w:w="900"/>
        <w:gridCol w:w="1087"/>
      </w:tblGrid>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序号</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层位</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井号</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井别</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井型</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井身结构</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设计井深（m）</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钻井周期（d）</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备注</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LUD3263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LUD3272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LUD3273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LUD3274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LUD3275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LUD3282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LUD3283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LUD3284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9</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LUD3285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LUD3286</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LUD3292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LUD3293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LUD3294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LUD3295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LUD3302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LUD3303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LUD3304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LUD3305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19</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LUD3312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LUD3313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LUD3314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LUD3323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LUD3324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LUD3325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LUD3332</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LUD3333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LUD3334</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定向井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二开</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1200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新钻</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29</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LU3053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注水井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老井专注</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LU3073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注水井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老井专注</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LU3075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注水井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老井专注</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LU3093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注水井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老井专注</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LU3095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注水井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老井专注</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LU3113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注水井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老井专注</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LU3115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注水井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老井专注</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LU3133</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注水井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老井专注</w:t>
            </w:r>
          </w:p>
        </w:tc>
      </w:tr>
      <w:tr>
        <w:tblPrEx>
          <w:tblLayout w:type="fixed"/>
          <w:tblCellMar>
            <w:top w:w="0" w:type="dxa"/>
            <w:left w:w="108" w:type="dxa"/>
            <w:bottom w:w="0" w:type="dxa"/>
            <w:right w:w="108" w:type="dxa"/>
          </w:tblCellMar>
        </w:tblPrEx>
        <w:trPr>
          <w:trHeight w:val="312"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K</w:t>
            </w:r>
            <w:r>
              <w:rPr>
                <w:rStyle w:val="51"/>
                <w:rFonts w:eastAsia="宋体"/>
                <w:color w:val="000000" w:themeColor="text1"/>
                <w:sz w:val="21"/>
                <w:szCs w:val="21"/>
                <w:lang w:bidi="ar"/>
                <w14:textFill>
                  <w14:solidFill>
                    <w14:schemeClr w14:val="tx1"/>
                  </w14:solidFill>
                </w14:textFill>
              </w:rPr>
              <w:t>1</w:t>
            </w:r>
            <w:r>
              <w:rPr>
                <w:rStyle w:val="52"/>
                <w:rFonts w:eastAsia="宋体"/>
                <w:color w:val="000000" w:themeColor="text1"/>
                <w:sz w:val="21"/>
                <w:szCs w:val="21"/>
                <w:lang w:bidi="ar"/>
                <w14:textFill>
                  <w14:solidFill>
                    <w14:schemeClr w14:val="tx1"/>
                  </w14:solidFill>
                </w14:textFill>
              </w:rPr>
              <w:t>h</w:t>
            </w:r>
            <w:r>
              <w:rPr>
                <w:rStyle w:val="51"/>
                <w:rFonts w:eastAsia="宋体"/>
                <w:color w:val="000000" w:themeColor="text1"/>
                <w:sz w:val="21"/>
                <w:szCs w:val="21"/>
                <w:lang w:bidi="ar"/>
                <w14:textFill>
                  <w14:solidFill>
                    <w14:schemeClr w14:val="tx1"/>
                  </w14:solidFill>
                </w14:textFill>
              </w:rPr>
              <w:t>2</w:t>
            </w:r>
            <w:r>
              <w:rPr>
                <w:rStyle w:val="53"/>
                <w:rFonts w:eastAsia="宋体"/>
                <w:color w:val="000000" w:themeColor="text1"/>
                <w:sz w:val="21"/>
                <w:szCs w:val="21"/>
                <w:lang w:bidi="ar"/>
                <w14:textFill>
                  <w14:solidFill>
                    <w14:schemeClr w14:val="tx1"/>
                  </w14:solidFill>
                </w14:textFill>
              </w:rPr>
              <w:t>3-4</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LU3135</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注水井</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老井专注</w:t>
            </w:r>
          </w:p>
        </w:tc>
      </w:tr>
      <w:tr>
        <w:tblPrEx>
          <w:tblLayout w:type="fixed"/>
          <w:tblCellMar>
            <w:top w:w="0" w:type="dxa"/>
            <w:left w:w="108" w:type="dxa"/>
            <w:bottom w:w="0" w:type="dxa"/>
            <w:right w:w="108" w:type="dxa"/>
          </w:tblCellMar>
        </w:tblPrEx>
        <w:trPr>
          <w:trHeight w:val="312" w:hRule="atLeast"/>
        </w:trPr>
        <w:tc>
          <w:tcPr>
            <w:tcW w:w="55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合计</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3.36</w:t>
            </w:r>
            <w:r>
              <w:rPr>
                <w:rFonts w:ascii="Times New Roman" w:hAnsi="Times New Roman" w:eastAsia="宋体" w:cs="Times New Roman"/>
                <w:color w:val="000000" w:themeColor="text1"/>
                <w:kern w:val="0"/>
                <w:szCs w:val="21"/>
                <w:lang w:bidi="ar"/>
                <w14:textFill>
                  <w14:solidFill>
                    <w14:schemeClr w14:val="tx1"/>
                  </w14:solidFill>
                </w14:textFill>
              </w:rPr>
              <w:t>×</w:t>
            </w:r>
            <w:r>
              <w:rPr>
                <w:rFonts w:hint="eastAsia" w:ascii="Times New Roman" w:hAnsi="Times New Roman" w:eastAsia="宋体" w:cs="Times New Roman"/>
                <w:color w:val="000000" w:themeColor="text1"/>
                <w:kern w:val="0"/>
                <w:szCs w:val="21"/>
                <w:lang w:bidi="ar"/>
                <w14:textFill>
                  <w14:solidFill>
                    <w14:schemeClr w14:val="tx1"/>
                  </w14:solidFill>
                </w14:textFill>
              </w:rPr>
              <w:t>10</w:t>
            </w:r>
            <w:r>
              <w:rPr>
                <w:rFonts w:hint="eastAsia" w:ascii="Times New Roman" w:hAnsi="Times New Roman" w:eastAsia="宋体" w:cs="Times New Roman"/>
                <w:color w:val="000000" w:themeColor="text1"/>
                <w:kern w:val="0"/>
                <w:szCs w:val="21"/>
                <w:vertAlign w:val="superscript"/>
                <w:lang w:bidi="ar"/>
                <w14:textFill>
                  <w14:solidFill>
                    <w14:schemeClr w14:val="tx1"/>
                  </w14:solidFill>
                </w14:textFill>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425.5</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bl>
    <w:p>
      <w:pPr>
        <w:spacing w:line="360" w:lineRule="auto"/>
        <w:outlineLvl w:val="3"/>
        <w:rPr>
          <w:rFonts w:ascii="Times New Roman" w:hAnsi="Times New Roman" w:eastAsia="宋体" w:cs="Times New Roman"/>
          <w:bCs/>
          <w:snapToGrid w:val="0"/>
          <w:color w:val="000000" w:themeColor="text1"/>
          <w:kern w:val="0"/>
          <w:sz w:val="28"/>
          <w:szCs w:val="28"/>
          <w14:textFill>
            <w14:solidFill>
              <w14:schemeClr w14:val="tx1"/>
            </w14:solidFill>
          </w14:textFill>
        </w:rPr>
      </w:pPr>
      <w:r>
        <w:rPr>
          <w:rFonts w:ascii="Times New Roman" w:hAnsi="Times New Roman" w:eastAsia="宋体" w:cs="Times New Roman"/>
          <w:bCs/>
          <w:snapToGrid w:val="0"/>
          <w:color w:val="000000" w:themeColor="text1"/>
          <w:kern w:val="0"/>
          <w:sz w:val="28"/>
          <w:szCs w:val="28"/>
          <w14:textFill>
            <w14:solidFill>
              <w14:schemeClr w14:val="tx1"/>
            </w14:solidFill>
          </w14:textFill>
        </w:rPr>
        <w:t>3.5.2.2井身结构</w:t>
      </w:r>
    </w:p>
    <w:p>
      <w:pPr>
        <w:pStyle w:val="55"/>
        <w:adjustRightInd w:val="0"/>
        <w:snapToGrid w:val="0"/>
        <w:spacing w:line="360" w:lineRule="auto"/>
        <w:ind w:firstLine="480"/>
        <w:rPr>
          <w:rFonts w:ascii="Times New Roman" w:hAnsi="Times New Roman" w:cs="Times New Roman"/>
          <w:color w:val="000000" w:themeColor="text1"/>
          <w:lang w:bidi="ar"/>
          <w14:textFill>
            <w14:solidFill>
              <w14:schemeClr w14:val="tx1"/>
            </w14:solidFill>
          </w14:textFill>
        </w:rPr>
      </w:pPr>
      <w:r>
        <w:rPr>
          <w:rFonts w:ascii="Times New Roman" w:hAnsi="Times New Roman" w:cs="Times New Roman"/>
          <w:color w:val="000000" w:themeColor="text1"/>
          <w:lang w:bidi="ar"/>
          <w14:textFill>
            <w14:solidFill>
              <w14:schemeClr w14:val="tx1"/>
            </w14:solidFill>
          </w14:textFill>
        </w:rPr>
        <w:t>（1）定向井</w:t>
      </w:r>
    </w:p>
    <w:p>
      <w:pPr>
        <w:pStyle w:val="55"/>
        <w:adjustRightInd w:val="0"/>
        <w:snapToGrid w:val="0"/>
        <w:spacing w:line="360" w:lineRule="auto"/>
        <w:ind w:firstLine="48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color w:val="000000" w:themeColor="text1"/>
          <w:lang w:bidi="ar"/>
          <w14:textFill>
            <w14:solidFill>
              <w14:schemeClr w14:val="tx1"/>
            </w14:solidFill>
          </w14:textFill>
        </w:rPr>
        <w:t>拟部署</w:t>
      </w:r>
      <w:r>
        <w:rPr>
          <w:rFonts w:hint="eastAsia" w:ascii="Times New Roman" w:hAnsi="Times New Roman" w:cs="Times New Roman"/>
          <w:color w:val="000000" w:themeColor="text1"/>
          <w:lang w:bidi="ar"/>
          <w14:textFill>
            <w14:solidFill>
              <w14:schemeClr w14:val="tx1"/>
            </w14:solidFill>
          </w14:textFill>
        </w:rPr>
        <w:t>28</w:t>
      </w:r>
      <w:r>
        <w:rPr>
          <w:rFonts w:ascii="Times New Roman" w:hAnsi="Times New Roman" w:cs="Times New Roman"/>
          <w:color w:val="000000" w:themeColor="text1"/>
          <w:lang w:bidi="ar"/>
          <w14:textFill>
            <w14:solidFill>
              <w14:schemeClr w14:val="tx1"/>
            </w14:solidFill>
          </w14:textFill>
        </w:rPr>
        <w:t>口定向井均采用二开井身结构，井身结构设计见表3.5-2、图3.5-1。</w:t>
      </w:r>
    </w:p>
    <w:p>
      <w:pPr>
        <w:adjustRightInd w:val="0"/>
        <w:snapToGrid w:val="0"/>
        <w:spacing w:after="156" w:afterLines="5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表3.5-2  井身结构设计说明</w:t>
      </w:r>
    </w:p>
    <w:tbl>
      <w:tblPr>
        <w:tblStyle w:val="23"/>
        <w:tblW w:w="85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6"/>
        <w:gridCol w:w="1101"/>
        <w:gridCol w:w="2"/>
        <w:gridCol w:w="971"/>
        <w:gridCol w:w="5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6" w:type="dxa"/>
            <w:vAlign w:val="center"/>
          </w:tcPr>
          <w:p>
            <w:pPr>
              <w:pStyle w:val="34"/>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开钻</w:t>
            </w:r>
          </w:p>
          <w:p>
            <w:pPr>
              <w:pStyle w:val="34"/>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次数</w:t>
            </w:r>
          </w:p>
        </w:tc>
        <w:tc>
          <w:tcPr>
            <w:tcW w:w="1101" w:type="dxa"/>
            <w:vAlign w:val="center"/>
          </w:tcPr>
          <w:p>
            <w:pPr>
              <w:pStyle w:val="34"/>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钻头尺寸</w:t>
            </w:r>
          </w:p>
          <w:p>
            <w:pPr>
              <w:pStyle w:val="34"/>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（mm）</w:t>
            </w:r>
          </w:p>
        </w:tc>
        <w:tc>
          <w:tcPr>
            <w:tcW w:w="973" w:type="dxa"/>
            <w:gridSpan w:val="2"/>
            <w:vAlign w:val="center"/>
          </w:tcPr>
          <w:p>
            <w:pPr>
              <w:pStyle w:val="34"/>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套管尺寸</w:t>
            </w:r>
          </w:p>
          <w:p>
            <w:pPr>
              <w:pStyle w:val="34"/>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（mm）</w:t>
            </w:r>
          </w:p>
        </w:tc>
        <w:tc>
          <w:tcPr>
            <w:tcW w:w="5758" w:type="dxa"/>
            <w:vAlign w:val="center"/>
          </w:tcPr>
          <w:p>
            <w:pPr>
              <w:pStyle w:val="34"/>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设计说明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6" w:type="dxa"/>
            <w:vAlign w:val="center"/>
          </w:tcPr>
          <w:p>
            <w:pPr>
              <w:pStyle w:val="3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一开</w:t>
            </w:r>
          </w:p>
        </w:tc>
        <w:tc>
          <w:tcPr>
            <w:tcW w:w="1101" w:type="dxa"/>
            <w:vAlign w:val="center"/>
          </w:tcPr>
          <w:p>
            <w:pPr>
              <w:pStyle w:val="3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sym w:font="Symbol" w:char="F046"/>
            </w:r>
            <w:r>
              <w:rPr>
                <w:rFonts w:ascii="Times New Roman" w:hAnsi="Times New Roman"/>
                <w:color w:val="000000" w:themeColor="text1"/>
                <w14:textFill>
                  <w14:solidFill>
                    <w14:schemeClr w14:val="tx1"/>
                  </w14:solidFill>
                </w14:textFill>
              </w:rPr>
              <w:t>311.2</w:t>
            </w:r>
          </w:p>
        </w:tc>
        <w:tc>
          <w:tcPr>
            <w:tcW w:w="973" w:type="dxa"/>
            <w:gridSpan w:val="2"/>
            <w:vAlign w:val="center"/>
          </w:tcPr>
          <w:p>
            <w:pPr>
              <w:pStyle w:val="3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sym w:font="Symbol" w:char="F046"/>
            </w:r>
            <w:r>
              <w:rPr>
                <w:rFonts w:ascii="Times New Roman" w:hAnsi="Times New Roman"/>
                <w:color w:val="000000" w:themeColor="text1"/>
                <w14:textFill>
                  <w14:solidFill>
                    <w14:schemeClr w14:val="tx1"/>
                  </w14:solidFill>
                </w14:textFill>
              </w:rPr>
              <w:t>244.5</w:t>
            </w:r>
          </w:p>
        </w:tc>
        <w:tc>
          <w:tcPr>
            <w:tcW w:w="5758"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pacing w:val="4"/>
                <w:szCs w:val="21"/>
                <w14:textFill>
                  <w14:solidFill>
                    <w14:schemeClr w14:val="tx1"/>
                  </w14:solidFill>
                </w14:textFill>
              </w:rPr>
              <w:t>采用Φ311.2mm钻头钻至井深450m（钻穿地表流沙层，进入稳定泥岩地层），下入Φ244.5mm表层套管，固井水泥浆返至地面，</w:t>
            </w:r>
            <w:r>
              <w:rPr>
                <w:rFonts w:ascii="Times New Roman" w:hAnsi="Times New Roman"/>
                <w:color w:val="000000" w:themeColor="text1"/>
                <w:szCs w:val="21"/>
                <w14:textFill>
                  <w14:solidFill>
                    <w14:schemeClr w14:val="tx1"/>
                  </w14:solidFill>
                </w14:textFill>
              </w:rPr>
              <w:t>封隔上部胶结松散地层为安装井口装置和后续安全钻井创造条件。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6" w:type="dxa"/>
            <w:vAlign w:val="center"/>
          </w:tcPr>
          <w:p>
            <w:pPr>
              <w:pStyle w:val="3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二开</w:t>
            </w:r>
          </w:p>
        </w:tc>
        <w:tc>
          <w:tcPr>
            <w:tcW w:w="1101" w:type="dxa"/>
            <w:vAlign w:val="center"/>
          </w:tcPr>
          <w:p>
            <w:pPr>
              <w:pStyle w:val="3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sym w:font="Symbol" w:char="F046"/>
            </w:r>
            <w:r>
              <w:rPr>
                <w:rFonts w:ascii="Times New Roman" w:hAnsi="Times New Roman"/>
                <w:color w:val="000000" w:themeColor="text1"/>
                <w14:textFill>
                  <w14:solidFill>
                    <w14:schemeClr w14:val="tx1"/>
                  </w14:solidFill>
                </w14:textFill>
              </w:rPr>
              <w:t>215.9</w:t>
            </w:r>
          </w:p>
        </w:tc>
        <w:tc>
          <w:tcPr>
            <w:tcW w:w="973" w:type="dxa"/>
            <w:gridSpan w:val="2"/>
            <w:vAlign w:val="center"/>
          </w:tcPr>
          <w:p>
            <w:pPr>
              <w:pStyle w:val="3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sym w:font="Symbol" w:char="F046"/>
            </w:r>
            <w:r>
              <w:rPr>
                <w:rFonts w:ascii="Times New Roman" w:hAnsi="Times New Roman"/>
                <w:color w:val="000000" w:themeColor="text1"/>
                <w14:textFill>
                  <w14:solidFill>
                    <w14:schemeClr w14:val="tx1"/>
                  </w14:solidFill>
                </w14:textFill>
              </w:rPr>
              <w:t>139.7</w:t>
            </w:r>
          </w:p>
        </w:tc>
        <w:tc>
          <w:tcPr>
            <w:tcW w:w="5758" w:type="dxa"/>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pacing w:val="4"/>
                <w:szCs w:val="21"/>
                <w14:textFill>
                  <w14:solidFill>
                    <w14:schemeClr w14:val="tx1"/>
                  </w14:solidFill>
                </w14:textFill>
              </w:rPr>
              <w:t>采用Φ215.9mm钻头钻至</w:t>
            </w:r>
            <w:r>
              <w:rPr>
                <w:rFonts w:ascii="Times New Roman" w:hAnsi="Times New Roman"/>
                <w:color w:val="000000" w:themeColor="text1"/>
                <w:szCs w:val="21"/>
                <w14:textFill>
                  <w14:solidFill>
                    <w14:schemeClr w14:val="tx1"/>
                  </w14:solidFill>
                </w14:textFill>
              </w:rPr>
              <w:t>设计完钻井深，</w:t>
            </w:r>
            <w:r>
              <w:rPr>
                <w:rFonts w:ascii="Times New Roman" w:hAnsi="Times New Roman"/>
                <w:color w:val="000000" w:themeColor="text1"/>
                <w:spacing w:val="4"/>
                <w:szCs w:val="21"/>
                <w14:textFill>
                  <w14:solidFill>
                    <w14:schemeClr w14:val="tx1"/>
                  </w14:solidFill>
                </w14:textFill>
              </w:rPr>
              <w:t>下入Φ139.7mm油层套管，固井水泥浆返至地面。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1" w:hRule="atLeast"/>
          <w:jc w:val="center"/>
        </w:trPr>
        <w:tc>
          <w:tcPr>
            <w:tcW w:w="1789" w:type="dxa"/>
            <w:gridSpan w:val="3"/>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地层</w:t>
            </w:r>
          </w:p>
        </w:tc>
        <w:tc>
          <w:tcPr>
            <w:tcW w:w="6729" w:type="dxa"/>
            <w:gridSpan w:val="2"/>
            <w:vAlign w:val="center"/>
          </w:tcPr>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定向井井身结构图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37" w:hRule="atLeast"/>
          <w:jc w:val="center"/>
        </w:trPr>
        <w:tc>
          <w:tcPr>
            <w:tcW w:w="1789" w:type="dxa"/>
            <w:gridSpan w:val="3"/>
            <w:tcBorders>
              <w:bottom w:val="single" w:color="auto" w:sz="4" w:space="0"/>
            </w:tcBorders>
            <w:vAlign w:val="center"/>
          </w:tcPr>
          <w:p>
            <w:pPr>
              <w:ind w:left="-105" w:leftChars="-50" w:right="-105" w:right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艾里克湖组</w:t>
            </w:r>
          </w:p>
          <w:p>
            <w:pPr>
              <w:ind w:left="-105" w:leftChars="-50" w:right="-105" w:right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i/>
                <w:color w:val="000000" w:themeColor="text1"/>
                <w:szCs w:val="21"/>
                <w14:textFill>
                  <w14:solidFill>
                    <w14:schemeClr w14:val="tx1"/>
                  </w14:solidFill>
                </w14:textFill>
              </w:rPr>
              <w:t>a</w:t>
            </w:r>
          </w:p>
        </w:tc>
        <w:tc>
          <w:tcPr>
            <w:tcW w:w="6729" w:type="dxa"/>
            <w:gridSpan w:val="2"/>
            <w:vMerge w:val="restart"/>
            <w:vAlign w:val="center"/>
          </w:tcPr>
          <w:p>
            <w:pPr>
              <w:spacing w:line="360" w:lineRule="auto"/>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2216150</wp:posOffset>
                      </wp:positionH>
                      <wp:positionV relativeFrom="paragraph">
                        <wp:posOffset>3602355</wp:posOffset>
                      </wp:positionV>
                      <wp:extent cx="1760220" cy="764540"/>
                      <wp:effectExtent l="0" t="0" r="0" b="0"/>
                      <wp:wrapNone/>
                      <wp:docPr id="15" name="文本框 182"/>
                      <wp:cNvGraphicFramePr/>
                      <a:graphic xmlns:a="http://schemas.openxmlformats.org/drawingml/2006/main">
                        <a:graphicData uri="http://schemas.microsoft.com/office/word/2010/wordprocessingShape">
                          <wps:wsp>
                            <wps:cNvSpPr txBox="1"/>
                            <wps:spPr>
                              <a:xfrm>
                                <a:off x="0" y="0"/>
                                <a:ext cx="1760220" cy="621665"/>
                              </a:xfrm>
                              <a:prstGeom prst="rect">
                                <a:avLst/>
                              </a:prstGeom>
                              <a:noFill/>
                              <a:ln w="12700">
                                <a:noFill/>
                              </a:ln>
                              <a:effectLst/>
                            </wps:spPr>
                            <wps:txbx>
                              <w:txbxContent>
                                <w:p>
                                  <w:pPr>
                                    <w:rPr>
                                      <w:rFonts w:ascii="Times New Roman" w:hAnsi="Times New Roman" w:cs="Times New Roman"/>
                                      <w:color w:val="000000"/>
                                      <w:szCs w:val="21"/>
                                    </w:rPr>
                                  </w:pPr>
                                  <w:r>
                                    <w:rPr>
                                      <w:rFonts w:ascii="Times New Roman" w:hAnsi="Times New Roman" w:cs="Times New Roman"/>
                                      <w:color w:val="000000"/>
                                      <w:szCs w:val="21"/>
                                    </w:rPr>
                                    <w:sym w:font="Symbol" w:char="F046"/>
                                  </w:r>
                                  <w:r>
                                    <w:rPr>
                                      <w:rFonts w:ascii="Times New Roman" w:hAnsi="Times New Roman" w:cs="Times New Roman"/>
                                      <w:color w:val="000000"/>
                                      <w:szCs w:val="21"/>
                                    </w:rPr>
                                    <w:t>215.9mm钻头</w:t>
                                  </w:r>
                                  <w:r>
                                    <w:rPr>
                                      <w:rFonts w:ascii="Times New Roman" w:hAnsi="Times New Roman" w:cs="Times New Roman"/>
                                      <w:color w:val="000000"/>
                                      <w:szCs w:val="21"/>
                                    </w:rPr>
                                    <w:sym w:font="Symbol" w:char="F0B4"/>
                                  </w:r>
                                  <w:r>
                                    <w:rPr>
                                      <w:rFonts w:hint="eastAsia" w:ascii="Times New Roman" w:hAnsi="Times New Roman" w:cs="Times New Roman"/>
                                      <w:color w:val="000000"/>
                                      <w:szCs w:val="21"/>
                                    </w:rPr>
                                    <w:t>完钻井深</w:t>
                                  </w:r>
                                </w:p>
                                <w:p>
                                  <w:pPr>
                                    <w:rPr>
                                      <w:rFonts w:ascii="Times New Roman" w:hAnsi="Times New Roman" w:cs="Times New Roman"/>
                                      <w:szCs w:val="21"/>
                                    </w:rPr>
                                  </w:pPr>
                                  <w:r>
                                    <w:rPr>
                                      <w:rFonts w:ascii="Times New Roman" w:hAnsi="Times New Roman" w:cs="Times New Roman"/>
                                      <w:szCs w:val="21"/>
                                    </w:rPr>
                                    <w:sym w:font="Symbol" w:char="F046"/>
                                  </w:r>
                                  <w:r>
                                    <w:rPr>
                                      <w:rFonts w:ascii="Times New Roman" w:hAnsi="Times New Roman" w:cs="Times New Roman"/>
                                      <w:szCs w:val="21"/>
                                    </w:rPr>
                                    <w:t>139.7mm油套</w:t>
                                  </w:r>
                                  <w:r>
                                    <w:rPr>
                                      <w:rFonts w:ascii="Times New Roman" w:hAnsi="Times New Roman" w:cs="Times New Roman"/>
                                      <w:szCs w:val="21"/>
                                    </w:rPr>
                                    <w:sym w:font="Symbol" w:char="F0B4"/>
                                  </w:r>
                                  <w:r>
                                    <w:rPr>
                                      <w:rFonts w:hint="eastAsia" w:ascii="Times New Roman" w:hAnsi="Times New Roman" w:cs="Times New Roman"/>
                                      <w:szCs w:val="21"/>
                                    </w:rPr>
                                    <w:t>完钻井深</w:t>
                                  </w:r>
                                </w:p>
                                <w:p>
                                  <w:pPr>
                                    <w:rPr>
                                      <w:rFonts w:ascii="Times New Roman" w:hAnsi="Times New Roman" w:cs="Times New Roman"/>
                                      <w:szCs w:val="21"/>
                                    </w:rPr>
                                  </w:pPr>
                                  <w:r>
                                    <w:rPr>
                                      <w:rFonts w:ascii="Times New Roman" w:hAnsi="Times New Roman" w:cs="Times New Roman"/>
                                      <w:szCs w:val="21"/>
                                    </w:rPr>
                                    <w:t>固井水泥浆返至地面</w:t>
                                  </w:r>
                                </w:p>
                                <w:p>
                                  <w:pPr>
                                    <w:ind w:right="-57"/>
                                    <w:rPr>
                                      <w:rFonts w:ascii="Arial" w:hAnsi="Arial"/>
                                      <w:color w:val="000000"/>
                                      <w:szCs w:val="21"/>
                                    </w:rPr>
                                  </w:pPr>
                                </w:p>
                                <w:p>
                                  <w:pPr>
                                    <w:ind w:right="-57"/>
                                    <w:rPr>
                                      <w:rFonts w:ascii="Arial" w:hAnsi="Arial"/>
                                      <w:color w:val="000000"/>
                                      <w:szCs w:val="21"/>
                                    </w:rPr>
                                  </w:pPr>
                                </w:p>
                              </w:txbxContent>
                            </wps:txbx>
                            <wps:bodyPr lIns="18000" tIns="45720" rIns="18000" bIns="45720" upright="1"/>
                          </wps:wsp>
                        </a:graphicData>
                      </a:graphic>
                    </wp:anchor>
                  </w:drawing>
                </mc:Choice>
                <mc:Fallback>
                  <w:pict>
                    <v:shape id="文本框 182" o:spid="_x0000_s1026" o:spt="202" type="#_x0000_t202" style="position:absolute;left:0pt;margin-left:174.5pt;margin-top:283.65pt;height:60.2pt;width:138.6pt;z-index:251664384;mso-width-relative:page;mso-height-relative:page;" filled="f" stroked="f" coordsize="21600,21600" o:gfxdata="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dwBwtwAAAALAQAADwAAAAAAAAABACAAAAAiAAAAZHJzL2Rvd25yZXYueG1sUEsBAhQA&#10;FAAAAAgAh07iQJqob1W1AQAATwMAAA4AAAAAAAAAAQAgAAAAKwEAAGRycy9lMm9Eb2MueG1sUEsF&#10;BgAAAAAGAAYAWQEAAFIFAAAAAA==&#10;">
                      <v:fill on="f" focussize="0,0"/>
                      <v:stroke on="f" weight="1pt"/>
                      <v:imagedata o:title=""/>
                      <o:lock v:ext="edit" aspectratio="f"/>
                      <v:textbox inset="0.5mm,1.27mm,0.5mm,1.27mm">
                        <w:txbxContent>
                          <w:p>
                            <w:pPr>
                              <w:rPr>
                                <w:rFonts w:ascii="Times New Roman" w:hAnsi="Times New Roman" w:cs="Times New Roman"/>
                                <w:color w:val="000000"/>
                                <w:szCs w:val="21"/>
                              </w:rPr>
                            </w:pPr>
                            <w:r>
                              <w:rPr>
                                <w:rFonts w:ascii="Times New Roman" w:hAnsi="Times New Roman" w:cs="Times New Roman"/>
                                <w:color w:val="000000"/>
                                <w:szCs w:val="21"/>
                              </w:rPr>
                              <w:sym w:font="Symbol" w:char="F046"/>
                            </w:r>
                            <w:r>
                              <w:rPr>
                                <w:rFonts w:ascii="Times New Roman" w:hAnsi="Times New Roman" w:cs="Times New Roman"/>
                                <w:color w:val="000000"/>
                                <w:szCs w:val="21"/>
                              </w:rPr>
                              <w:t>215.9mm钻头</w:t>
                            </w:r>
                            <w:r>
                              <w:rPr>
                                <w:rFonts w:ascii="Times New Roman" w:hAnsi="Times New Roman" w:cs="Times New Roman"/>
                                <w:color w:val="000000"/>
                                <w:szCs w:val="21"/>
                              </w:rPr>
                              <w:sym w:font="Symbol" w:char="F0B4"/>
                            </w:r>
                            <w:r>
                              <w:rPr>
                                <w:rFonts w:hint="eastAsia" w:ascii="Times New Roman" w:hAnsi="Times New Roman" w:cs="Times New Roman"/>
                                <w:color w:val="000000"/>
                                <w:szCs w:val="21"/>
                              </w:rPr>
                              <w:t>完钻井深</w:t>
                            </w:r>
                          </w:p>
                          <w:p>
                            <w:pPr>
                              <w:rPr>
                                <w:rFonts w:ascii="Times New Roman" w:hAnsi="Times New Roman" w:cs="Times New Roman"/>
                                <w:szCs w:val="21"/>
                              </w:rPr>
                            </w:pPr>
                            <w:r>
                              <w:rPr>
                                <w:rFonts w:ascii="Times New Roman" w:hAnsi="Times New Roman" w:cs="Times New Roman"/>
                                <w:szCs w:val="21"/>
                              </w:rPr>
                              <w:sym w:font="Symbol" w:char="F046"/>
                            </w:r>
                            <w:r>
                              <w:rPr>
                                <w:rFonts w:ascii="Times New Roman" w:hAnsi="Times New Roman" w:cs="Times New Roman"/>
                                <w:szCs w:val="21"/>
                              </w:rPr>
                              <w:t>139.7mm油套</w:t>
                            </w:r>
                            <w:r>
                              <w:rPr>
                                <w:rFonts w:ascii="Times New Roman" w:hAnsi="Times New Roman" w:cs="Times New Roman"/>
                                <w:szCs w:val="21"/>
                              </w:rPr>
                              <w:sym w:font="Symbol" w:char="F0B4"/>
                            </w:r>
                            <w:r>
                              <w:rPr>
                                <w:rFonts w:hint="eastAsia" w:ascii="Times New Roman" w:hAnsi="Times New Roman" w:cs="Times New Roman"/>
                                <w:szCs w:val="21"/>
                              </w:rPr>
                              <w:t>完钻井深</w:t>
                            </w:r>
                          </w:p>
                          <w:p>
                            <w:pPr>
                              <w:rPr>
                                <w:rFonts w:ascii="Times New Roman" w:hAnsi="Times New Roman" w:cs="Times New Roman"/>
                                <w:szCs w:val="21"/>
                              </w:rPr>
                            </w:pPr>
                            <w:r>
                              <w:rPr>
                                <w:rFonts w:ascii="Times New Roman" w:hAnsi="Times New Roman" w:cs="Times New Roman"/>
                                <w:szCs w:val="21"/>
                              </w:rPr>
                              <w:t>固井水泥浆返至地面</w:t>
                            </w:r>
                          </w:p>
                          <w:p>
                            <w:pPr>
                              <w:ind w:right="-57"/>
                              <w:rPr>
                                <w:rFonts w:ascii="Arial" w:hAnsi="Arial"/>
                                <w:color w:val="000000"/>
                                <w:szCs w:val="21"/>
                              </w:rPr>
                            </w:pPr>
                          </w:p>
                          <w:p>
                            <w:pPr>
                              <w:ind w:right="-57"/>
                              <w:rPr>
                                <w:rFonts w:ascii="Arial" w:hAnsi="Arial"/>
                                <w:color w:val="000000"/>
                                <w:szCs w:val="21"/>
                              </w:rPr>
                            </w:pPr>
                          </w:p>
                        </w:txbxContent>
                      </v:textbox>
                    </v:shape>
                  </w:pict>
                </mc:Fallback>
              </mc:AlternateContent>
            </w: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2208530</wp:posOffset>
                      </wp:positionH>
                      <wp:positionV relativeFrom="paragraph">
                        <wp:posOffset>3876040</wp:posOffset>
                      </wp:positionV>
                      <wp:extent cx="1612900" cy="0"/>
                      <wp:effectExtent l="0" t="6350" r="0" b="6350"/>
                      <wp:wrapNone/>
                      <wp:docPr id="18" name="直线 181"/>
                      <wp:cNvGraphicFramePr/>
                      <a:graphic xmlns:a="http://schemas.openxmlformats.org/drawingml/2006/main">
                        <a:graphicData uri="http://schemas.microsoft.com/office/word/2010/wordprocessingShape">
                          <wps:wsp>
                            <wps:cNvCnPr/>
                            <wps:spPr>
                              <a:xfrm>
                                <a:off x="0" y="0"/>
                                <a:ext cx="16129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181" o:spid="_x0000_s1026" o:spt="20" style="position:absolute;left:0pt;margin-left:173.9pt;margin-top:305.2pt;height:0pt;width:127pt;z-index:251662336;mso-width-relative:page;mso-height-relative:page;" filled="f" stroked="t" coordsize="21600,21600" o:gfxdata="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FcGQh2AAAAAsBAAAPAAAAAAAAAAEAIAAAACIAAABkcnMvZG93bnJl&#10;di54bWxQSwECFAAUAAAACACHTuJAq7vkrcQBAACFAwAADgAAAAAAAAABACAAAAAnAQAAZHJzL2Uy&#10;b0RvYy54bWxQSwUGAAAAAAYABgBZAQAAXQUAAAAA&#10;">
                      <v:fill on="f" focussize="0,0"/>
                      <v:stroke weight="1pt" color="#000000" joinstyle="round"/>
                      <v:imagedata o:title=""/>
                      <o:lock v:ext="edit" aspectratio="f"/>
                    </v:line>
                  </w:pict>
                </mc:Fallback>
              </mc:AlternateContent>
            </w: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1739900</wp:posOffset>
                      </wp:positionH>
                      <wp:positionV relativeFrom="paragraph">
                        <wp:posOffset>795655</wp:posOffset>
                      </wp:positionV>
                      <wp:extent cx="1875155" cy="802005"/>
                      <wp:effectExtent l="0" t="0" r="0" b="0"/>
                      <wp:wrapNone/>
                      <wp:docPr id="16" name="文本框 180"/>
                      <wp:cNvGraphicFramePr/>
                      <a:graphic xmlns:a="http://schemas.openxmlformats.org/drawingml/2006/main">
                        <a:graphicData uri="http://schemas.microsoft.com/office/word/2010/wordprocessingShape">
                          <wps:wsp>
                            <wps:cNvSpPr txBox="1"/>
                            <wps:spPr>
                              <a:xfrm>
                                <a:off x="0" y="0"/>
                                <a:ext cx="1875155" cy="802005"/>
                              </a:xfrm>
                              <a:prstGeom prst="rect">
                                <a:avLst/>
                              </a:prstGeom>
                              <a:noFill/>
                              <a:ln w="12700">
                                <a:noFill/>
                              </a:ln>
                            </wps:spPr>
                            <wps:txbx>
                              <w:txbxContent>
                                <w:p>
                                  <w:pPr>
                                    <w:rPr>
                                      <w:rFonts w:ascii="Times New Roman" w:hAnsi="Times New Roman" w:cs="Times New Roman"/>
                                      <w:szCs w:val="21"/>
                                    </w:rPr>
                                  </w:pPr>
                                  <w:r>
                                    <w:rPr>
                                      <w:rFonts w:ascii="Times New Roman" w:hAnsi="Times New Roman" w:cs="Times New Roman"/>
                                      <w:szCs w:val="21"/>
                                    </w:rPr>
                                    <w:sym w:font="Symbol" w:char="F046"/>
                                  </w:r>
                                  <w:r>
                                    <w:rPr>
                                      <w:rFonts w:ascii="Times New Roman" w:hAnsi="Times New Roman" w:cs="Times New Roman"/>
                                      <w:szCs w:val="21"/>
                                    </w:rPr>
                                    <w:t>311.2mm钻头</w:t>
                                  </w:r>
                                  <w:r>
                                    <w:rPr>
                                      <w:rFonts w:ascii="Times New Roman" w:hAnsi="Times New Roman" w:cs="Times New Roman"/>
                                      <w:szCs w:val="21"/>
                                    </w:rPr>
                                    <w:sym w:font="Symbol" w:char="F0B4"/>
                                  </w:r>
                                  <w:r>
                                    <w:rPr>
                                      <w:rFonts w:ascii="Times New Roman" w:hAnsi="Times New Roman" w:cs="Times New Roman"/>
                                      <w:szCs w:val="21"/>
                                    </w:rPr>
                                    <w:t>450m</w:t>
                                  </w:r>
                                </w:p>
                                <w:p>
                                  <w:pPr>
                                    <w:rPr>
                                      <w:rFonts w:ascii="Times New Roman" w:hAnsi="Times New Roman" w:cs="Times New Roman"/>
                                      <w:szCs w:val="21"/>
                                    </w:rPr>
                                  </w:pPr>
                                  <w:r>
                                    <w:rPr>
                                      <w:rFonts w:ascii="Times New Roman" w:hAnsi="Times New Roman" w:cs="Times New Roman"/>
                                      <w:szCs w:val="21"/>
                                    </w:rPr>
                                    <w:sym w:font="Symbol" w:char="F046"/>
                                  </w:r>
                                  <w:r>
                                    <w:rPr>
                                      <w:rFonts w:ascii="Times New Roman" w:hAnsi="Times New Roman" w:cs="Times New Roman"/>
                                      <w:szCs w:val="21"/>
                                    </w:rPr>
                                    <w:t>244.5mm表套</w:t>
                                  </w:r>
                                  <w:r>
                                    <w:rPr>
                                      <w:rFonts w:ascii="Times New Roman" w:hAnsi="Times New Roman" w:cs="Times New Roman"/>
                                      <w:szCs w:val="21"/>
                                    </w:rPr>
                                    <w:sym w:font="Symbol" w:char="F0B4"/>
                                  </w:r>
                                  <w:r>
                                    <w:rPr>
                                      <w:rFonts w:ascii="Times New Roman" w:hAnsi="Times New Roman" w:cs="Times New Roman"/>
                                      <w:szCs w:val="21"/>
                                    </w:rPr>
                                    <w:t>450m</w:t>
                                  </w:r>
                                </w:p>
                                <w:p>
                                  <w:pPr>
                                    <w:rPr>
                                      <w:rFonts w:ascii="Arial" w:hAnsi="Arial"/>
                                      <w:szCs w:val="21"/>
                                    </w:rPr>
                                  </w:pPr>
                                  <w:r>
                                    <w:rPr>
                                      <w:rFonts w:hint="eastAsia" w:ascii="Arial" w:hAnsi="Arial"/>
                                      <w:szCs w:val="21"/>
                                    </w:rPr>
                                    <w:t>水泥返至地面</w:t>
                                  </w:r>
                                </w:p>
                              </w:txbxContent>
                            </wps:txbx>
                            <wps:bodyPr upright="1"/>
                          </wps:wsp>
                        </a:graphicData>
                      </a:graphic>
                    </wp:anchor>
                  </w:drawing>
                </mc:Choice>
                <mc:Fallback>
                  <w:pict>
                    <v:shape id="文本框 180" o:spid="_x0000_s1026" o:spt="202" type="#_x0000_t202" style="position:absolute;left:0pt;margin-left:137pt;margin-top:62.65pt;height:63.15pt;width:147.65pt;z-index:251661312;mso-width-relative:page;mso-height-relative:page;" filled="f" stroked="f" coordsize="21600,21600" o:gfxdata="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w/bb4dgAAAALAQAADwAAAAAAAAABACAAAAAiAAAA&#10;ZHJzL2Rvd25yZXYueG1sUEsBAhQAFAAAAAgAh07iQIcNAHmVAQAADQMAAA4AAAAAAAAAAQAgAAAA&#10;JwEAAGRycy9lMm9Eb2MueG1sUEsFBgAAAAAGAAYAWQEAAC4FAAAAAA==&#10;">
                      <v:fill on="f" focussize="0,0"/>
                      <v:stroke on="f" weight="1pt"/>
                      <v:imagedata o:title=""/>
                      <o:lock v:ext="edit" aspectratio="f"/>
                      <v:textbox>
                        <w:txbxContent>
                          <w:p>
                            <w:pPr>
                              <w:rPr>
                                <w:rFonts w:ascii="Times New Roman" w:hAnsi="Times New Roman" w:cs="Times New Roman"/>
                                <w:szCs w:val="21"/>
                              </w:rPr>
                            </w:pPr>
                            <w:r>
                              <w:rPr>
                                <w:rFonts w:ascii="Times New Roman" w:hAnsi="Times New Roman" w:cs="Times New Roman"/>
                                <w:szCs w:val="21"/>
                              </w:rPr>
                              <w:sym w:font="Symbol" w:char="F046"/>
                            </w:r>
                            <w:r>
                              <w:rPr>
                                <w:rFonts w:ascii="Times New Roman" w:hAnsi="Times New Roman" w:cs="Times New Roman"/>
                                <w:szCs w:val="21"/>
                              </w:rPr>
                              <w:t>311.2mm钻头</w:t>
                            </w:r>
                            <w:r>
                              <w:rPr>
                                <w:rFonts w:ascii="Times New Roman" w:hAnsi="Times New Roman" w:cs="Times New Roman"/>
                                <w:szCs w:val="21"/>
                              </w:rPr>
                              <w:sym w:font="Symbol" w:char="F0B4"/>
                            </w:r>
                            <w:r>
                              <w:rPr>
                                <w:rFonts w:ascii="Times New Roman" w:hAnsi="Times New Roman" w:cs="Times New Roman"/>
                                <w:szCs w:val="21"/>
                              </w:rPr>
                              <w:t>450m</w:t>
                            </w:r>
                          </w:p>
                          <w:p>
                            <w:pPr>
                              <w:rPr>
                                <w:rFonts w:ascii="Times New Roman" w:hAnsi="Times New Roman" w:cs="Times New Roman"/>
                                <w:szCs w:val="21"/>
                              </w:rPr>
                            </w:pPr>
                            <w:r>
                              <w:rPr>
                                <w:rFonts w:ascii="Times New Roman" w:hAnsi="Times New Roman" w:cs="Times New Roman"/>
                                <w:szCs w:val="21"/>
                              </w:rPr>
                              <w:sym w:font="Symbol" w:char="F046"/>
                            </w:r>
                            <w:r>
                              <w:rPr>
                                <w:rFonts w:ascii="Times New Roman" w:hAnsi="Times New Roman" w:cs="Times New Roman"/>
                                <w:szCs w:val="21"/>
                              </w:rPr>
                              <w:t>244.5mm表套</w:t>
                            </w:r>
                            <w:r>
                              <w:rPr>
                                <w:rFonts w:ascii="Times New Roman" w:hAnsi="Times New Roman" w:cs="Times New Roman"/>
                                <w:szCs w:val="21"/>
                              </w:rPr>
                              <w:sym w:font="Symbol" w:char="F0B4"/>
                            </w:r>
                            <w:r>
                              <w:rPr>
                                <w:rFonts w:ascii="Times New Roman" w:hAnsi="Times New Roman" w:cs="Times New Roman"/>
                                <w:szCs w:val="21"/>
                              </w:rPr>
                              <w:t>450m</w:t>
                            </w:r>
                          </w:p>
                          <w:p>
                            <w:pPr>
                              <w:rPr>
                                <w:rFonts w:ascii="Arial" w:hAnsi="Arial"/>
                                <w:szCs w:val="21"/>
                              </w:rPr>
                            </w:pPr>
                            <w:r>
                              <w:rPr>
                                <w:rFonts w:hint="eastAsia" w:ascii="Arial" w:hAnsi="Arial"/>
                                <w:szCs w:val="21"/>
                              </w:rPr>
                              <w:t>水泥返至地面</w:t>
                            </w:r>
                          </w:p>
                        </w:txbxContent>
                      </v:textbox>
                    </v:shape>
                  </w:pict>
                </mc:Fallback>
              </mc:AlternateContent>
            </w: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1700530</wp:posOffset>
                      </wp:positionH>
                      <wp:positionV relativeFrom="paragraph">
                        <wp:posOffset>1042670</wp:posOffset>
                      </wp:positionV>
                      <wp:extent cx="1612900" cy="0"/>
                      <wp:effectExtent l="0" t="6350" r="0" b="6350"/>
                      <wp:wrapNone/>
                      <wp:docPr id="20" name="直线 181"/>
                      <wp:cNvGraphicFramePr/>
                      <a:graphic xmlns:a="http://schemas.openxmlformats.org/drawingml/2006/main">
                        <a:graphicData uri="http://schemas.microsoft.com/office/word/2010/wordprocessingShape">
                          <wps:wsp>
                            <wps:cNvCnPr/>
                            <wps:spPr>
                              <a:xfrm>
                                <a:off x="0" y="0"/>
                                <a:ext cx="16129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181" o:spid="_x0000_s1026" o:spt="20" style="position:absolute;left:0pt;margin-left:133.9pt;margin-top:82.1pt;height:0pt;width:127pt;z-index:251663360;mso-width-relative:page;mso-height-relative:page;" filled="f" stroked="t" coordsize="21600,21600" o:gfxdata="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1lOEbXAAAACwEAAA8AAAAAAAAAAQAgAAAAIgAAAGRycy9kb3ducmV2&#10;LnhtbFBLAQIUABQAAAAIAIdO4kBzgRpRxAEAAIUDAAAOAAAAAAAAAAEAIAAAACYBAABkcnMvZTJv&#10;RG9jLnhtbFBLBQYAAAAABgAGAFkBAABcBQAAAAA=&#10;">
                      <v:fill on="f" focussize="0,0"/>
                      <v:stroke weight="1pt" color="#000000" joinstyle="round"/>
                      <v:imagedata o:title=""/>
                      <o:lock v:ext="edit" aspectratio="f"/>
                    </v:line>
                  </w:pict>
                </mc:Fallback>
              </mc:AlternateContent>
            </w:r>
            <w:r>
              <w:rPr>
                <w:rFonts w:ascii="Times New Roman" w:hAnsi="Times New Roman" w:cs="Times New Roman"/>
                <w:color w:val="000000" w:themeColor="text1"/>
                <w14:textFill>
                  <w14:solidFill>
                    <w14:schemeClr w14:val="tx1"/>
                  </w14:solidFill>
                </w14:textFill>
              </w:rPr>
              <w:drawing>
                <wp:inline distT="0" distB="0" distL="114300" distR="114300">
                  <wp:extent cx="2425065" cy="4089400"/>
                  <wp:effectExtent l="0" t="0" r="13335" b="6350"/>
                  <wp:docPr id="430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图片 12"/>
                          <pic:cNvPicPr>
                            <a:picLocks noChangeAspect="1"/>
                          </pic:cNvPicPr>
                        </pic:nvPicPr>
                        <pic:blipFill>
                          <a:blip r:embed="rId18"/>
                          <a:stretch>
                            <a:fillRect/>
                          </a:stretch>
                        </pic:blipFill>
                        <pic:spPr>
                          <a:xfrm>
                            <a:off x="0" y="0"/>
                            <a:ext cx="2425065" cy="4089400"/>
                          </a:xfrm>
                          <a:prstGeom prst="rect">
                            <a:avLst/>
                          </a:prstGeom>
                          <a:noFill/>
                          <a:ln w="9525">
                            <a:noFill/>
                          </a:ln>
                        </pic:spPr>
                      </pic:pic>
                    </a:graphicData>
                  </a:graphic>
                </wp:inline>
              </w:drawing>
            </w:r>
            <w:r>
              <w:rPr>
                <w:rFonts w:ascii="Times New Roman" w:hAnsi="Times New Roman" w:cs="Times New Roman"/>
                <w:color w:val="000000" w:themeColor="text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51" w:hRule="atLeast"/>
          <w:jc w:val="center"/>
        </w:trPr>
        <w:tc>
          <w:tcPr>
            <w:tcW w:w="1789" w:type="dxa"/>
            <w:gridSpan w:val="3"/>
            <w:vAlign w:val="center"/>
          </w:tcPr>
          <w:p>
            <w:pPr>
              <w:ind w:left="-105" w:leftChars="-50" w:right="-105" w:right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连木沁组</w:t>
            </w:r>
          </w:p>
          <w:p>
            <w:pPr>
              <w:ind w:left="-105" w:leftChars="-50" w:right="-105" w:right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i/>
                <w:color w:val="000000" w:themeColor="text1"/>
                <w:szCs w:val="21"/>
                <w14:textFill>
                  <w14:solidFill>
                    <w14:schemeClr w14:val="tx1"/>
                  </w14:solidFill>
                </w14:textFill>
              </w:rPr>
              <w:t>l</w:t>
            </w:r>
          </w:p>
        </w:tc>
        <w:tc>
          <w:tcPr>
            <w:tcW w:w="6729" w:type="dxa"/>
            <w:gridSpan w:val="2"/>
            <w:vMerge w:val="continue"/>
            <w:vAlign w:val="center"/>
          </w:tcPr>
          <w:p>
            <w:pPr>
              <w:adjustRightInd w:val="0"/>
              <w:snapToGrid w:val="0"/>
              <w:spacing w:line="360" w:lineRule="auto"/>
              <w:ind w:left="-105" w:leftChars="-50" w:right="-105" w:rightChars="-50"/>
              <w:jc w:val="center"/>
              <w:rPr>
                <w:rFonts w:ascii="Times New Roman" w:hAnsi="Times New Roman" w:eastAsia="Arial Unicode MS"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9" w:hRule="atLeast"/>
          <w:jc w:val="center"/>
        </w:trPr>
        <w:tc>
          <w:tcPr>
            <w:tcW w:w="1789" w:type="dxa"/>
            <w:gridSpan w:val="3"/>
            <w:vAlign w:val="center"/>
          </w:tcPr>
          <w:p>
            <w:pPr>
              <w:ind w:left="-105" w:leftChars="-50" w:right="-105" w:right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胜金口组</w:t>
            </w:r>
          </w:p>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i/>
                <w:color w:val="000000" w:themeColor="text1"/>
                <w:szCs w:val="21"/>
                <w14:textFill>
                  <w14:solidFill>
                    <w14:schemeClr w14:val="tx1"/>
                  </w14:solidFill>
                </w14:textFill>
              </w:rPr>
              <w:t>s</w:t>
            </w:r>
          </w:p>
        </w:tc>
        <w:tc>
          <w:tcPr>
            <w:tcW w:w="6729" w:type="dxa"/>
            <w:gridSpan w:val="2"/>
            <w:vMerge w:val="continue"/>
            <w:vAlign w:val="center"/>
          </w:tcPr>
          <w:p>
            <w:pPr>
              <w:adjustRightInd w:val="0"/>
              <w:snapToGrid w:val="0"/>
              <w:spacing w:line="360" w:lineRule="auto"/>
              <w:ind w:left="-105" w:leftChars="-50" w:right="-105" w:rightChars="-50"/>
              <w:jc w:val="center"/>
              <w:rPr>
                <w:rFonts w:ascii="Times New Roman" w:hAnsi="Times New Roman" w:eastAsia="Arial Unicode MS"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95" w:hRule="atLeast"/>
          <w:jc w:val="center"/>
        </w:trPr>
        <w:tc>
          <w:tcPr>
            <w:tcW w:w="1789" w:type="dxa"/>
            <w:gridSpan w:val="3"/>
            <w:vAlign w:val="center"/>
          </w:tcPr>
          <w:p>
            <w:pPr>
              <w:ind w:right="-105" w:right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呼图壁河组</w:t>
            </w:r>
          </w:p>
          <w:p>
            <w:pPr>
              <w:ind w:right="-105" w:rightChars="-5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K</w:t>
            </w:r>
            <w:r>
              <w:rPr>
                <w:rFonts w:ascii="Times New Roman" w:hAnsi="Times New Roman" w:cs="Times New Roman"/>
                <w:color w:val="000000" w:themeColor="text1"/>
                <w:szCs w:val="21"/>
                <w:vertAlign w:val="subscript"/>
                <w14:textFill>
                  <w14:solidFill>
                    <w14:schemeClr w14:val="tx1"/>
                  </w14:solidFill>
                </w14:textFill>
              </w:rPr>
              <w:t>1</w:t>
            </w:r>
            <w:r>
              <w:rPr>
                <w:rFonts w:ascii="Times New Roman" w:hAnsi="Times New Roman" w:cs="Times New Roman"/>
                <w:i/>
                <w:color w:val="000000" w:themeColor="text1"/>
                <w:szCs w:val="21"/>
                <w14:textFill>
                  <w14:solidFill>
                    <w14:schemeClr w14:val="tx1"/>
                  </w14:solidFill>
                </w14:textFill>
              </w:rPr>
              <w:t>h</w:t>
            </w:r>
          </w:p>
        </w:tc>
        <w:tc>
          <w:tcPr>
            <w:tcW w:w="6729" w:type="dxa"/>
            <w:gridSpan w:val="2"/>
            <w:vMerge w:val="continue"/>
            <w:vAlign w:val="center"/>
          </w:tcPr>
          <w:p>
            <w:pPr>
              <w:adjustRightInd w:val="0"/>
              <w:snapToGrid w:val="0"/>
              <w:spacing w:line="360" w:lineRule="auto"/>
              <w:ind w:left="-105" w:leftChars="-50" w:right="-105" w:rightChars="-50"/>
              <w:jc w:val="center"/>
              <w:rPr>
                <w:rFonts w:ascii="Times New Roman" w:hAnsi="Times New Roman" w:eastAsia="Arial Unicode MS" w:cs="Times New Roman"/>
                <w:color w:val="000000" w:themeColor="text1"/>
                <w:szCs w:val="21"/>
                <w14:textFill>
                  <w14:solidFill>
                    <w14:schemeClr w14:val="tx1"/>
                  </w14:solidFill>
                </w14:textFill>
              </w:rPr>
            </w:pPr>
          </w:p>
        </w:tc>
      </w:tr>
    </w:tbl>
    <w:p>
      <w:pPr>
        <w:adjustRightInd w:val="0"/>
        <w:snapToGrid w:val="0"/>
        <w:spacing w:after="156" w:afterLines="50"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图3.5-1  井身结构示意图</w:t>
      </w:r>
    </w:p>
    <w:p>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（2）井控</w:t>
      </w:r>
    </w:p>
    <w:p>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为防止井喷事故发生，钻井施工单位做好HSE应急预案，采取必要的井控措施，预防或避免井喷事故造成环境污染。定向井井口装置见图3.5-2。</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nil"/>
              <w:left w:val="nil"/>
              <w:bottom w:val="nil"/>
              <w:right w:val="nil"/>
            </w:tcBorders>
          </w:tcPr>
          <w:p>
            <w:pPr>
              <w:adjustRightInd w:val="0"/>
              <w:snapToGrid w:val="0"/>
              <w:spacing w:line="360" w:lineRule="auto"/>
              <w:jc w:val="center"/>
              <w:rPr>
                <w:rFonts w:ascii="Times New Roman" w:hAnsi="Times New Roman" w:cs="Times New Roman"/>
                <w:color w:val="000000" w:themeColor="text1"/>
                <w:spacing w:val="4"/>
                <w14:textFill>
                  <w14:solidFill>
                    <w14:schemeClr w14:val="tx1"/>
                  </w14:solidFill>
                </w14:textFill>
              </w:rPr>
            </w:pPr>
            <w:r>
              <w:rPr>
                <w:rFonts w:ascii="Times New Roman" w:hAnsi="Times New Roman" w:cs="Times New Roman"/>
                <w:color w:val="000000" w:themeColor="text1"/>
                <w:spacing w:val="4"/>
                <w14:textFill>
                  <w14:solidFill>
                    <w14:schemeClr w14:val="tx1"/>
                  </w14:solidFill>
                </w14:textFill>
              </w:rPr>
              <w:drawing>
                <wp:inline distT="0" distB="0" distL="114300" distR="114300">
                  <wp:extent cx="2592070" cy="2339975"/>
                  <wp:effectExtent l="0" t="0" r="17780" b="3175"/>
                  <wp:docPr id="317" name="图片 19" descr="{316938DC-8325-4990-A496-19CDFE11B4D9}"/>
                  <wp:cNvGraphicFramePr/>
                  <a:graphic xmlns:a="http://schemas.openxmlformats.org/drawingml/2006/main">
                    <a:graphicData uri="http://schemas.openxmlformats.org/drawingml/2006/picture">
                      <pic:pic xmlns:pic="http://schemas.openxmlformats.org/drawingml/2006/picture">
                        <pic:nvPicPr>
                          <pic:cNvPr id="317" name="图片 19" descr="{316938DC-8325-4990-A496-19CDFE11B4D9}"/>
                          <pic:cNvPicPr/>
                        </pic:nvPicPr>
                        <pic:blipFill>
                          <a:blip r:embed="rId19"/>
                          <a:stretch>
                            <a:fillRect/>
                          </a:stretch>
                        </pic:blipFill>
                        <pic:spPr>
                          <a:xfrm>
                            <a:off x="0" y="0"/>
                            <a:ext cx="2592070" cy="2339975"/>
                          </a:xfrm>
                          <a:prstGeom prst="rect">
                            <a:avLst/>
                          </a:prstGeom>
                          <a:noFill/>
                          <a:ln>
                            <a:noFill/>
                          </a:ln>
                        </pic:spPr>
                      </pic:pic>
                    </a:graphicData>
                  </a:graphic>
                </wp:inline>
              </w:drawing>
            </w:r>
          </w:p>
        </w:tc>
        <w:tc>
          <w:tcPr>
            <w:tcW w:w="4261" w:type="dxa"/>
            <w:tcBorders>
              <w:top w:val="nil"/>
              <w:left w:val="nil"/>
              <w:bottom w:val="nil"/>
              <w:right w:val="nil"/>
            </w:tcBorders>
          </w:tcPr>
          <w:p>
            <w:pPr>
              <w:adjustRightInd w:val="0"/>
              <w:snapToGrid w:val="0"/>
              <w:spacing w:line="360" w:lineRule="auto"/>
              <w:jc w:val="center"/>
              <w:rPr>
                <w:rFonts w:ascii="Times New Roman" w:hAnsi="Times New Roman" w:cs="Times New Roman"/>
                <w:color w:val="000000" w:themeColor="text1"/>
                <w:spacing w:val="4"/>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2592070" cy="2339975"/>
                  <wp:effectExtent l="0" t="0" r="17780" b="317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20"/>
                          <a:stretch>
                            <a:fillRect/>
                          </a:stretch>
                        </pic:blipFill>
                        <pic:spPr>
                          <a:xfrm>
                            <a:off x="0" y="0"/>
                            <a:ext cx="2592070" cy="2339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nil"/>
              <w:left w:val="nil"/>
              <w:bottom w:val="nil"/>
              <w:right w:val="nil"/>
            </w:tcBorders>
          </w:tcPr>
          <w:p>
            <w:pPr>
              <w:adjustRightInd w:val="0"/>
              <w:snapToGrid w:val="0"/>
              <w:spacing w:line="360" w:lineRule="auto"/>
              <w:jc w:val="center"/>
              <w:rPr>
                <w:rFonts w:ascii="Times New Roman" w:hAnsi="Times New Roman" w:cs="Times New Roman"/>
                <w:color w:val="000000" w:themeColor="text1"/>
                <w:spacing w:val="4"/>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一开井口装置示意图</w:t>
            </w:r>
          </w:p>
        </w:tc>
        <w:tc>
          <w:tcPr>
            <w:tcW w:w="4261" w:type="dxa"/>
            <w:tcBorders>
              <w:top w:val="nil"/>
              <w:left w:val="nil"/>
              <w:bottom w:val="nil"/>
              <w:right w:val="nil"/>
            </w:tcBorders>
          </w:tcPr>
          <w:p>
            <w:pPr>
              <w:adjustRightInd w:val="0"/>
              <w:snapToGrid w:val="0"/>
              <w:spacing w:line="360" w:lineRule="auto"/>
              <w:jc w:val="center"/>
              <w:rPr>
                <w:rFonts w:ascii="Times New Roman" w:hAnsi="Times New Roman" w:cs="Times New Roman"/>
                <w:color w:val="000000" w:themeColor="text1"/>
                <w:spacing w:val="4"/>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二开井口装置示意图</w:t>
            </w:r>
          </w:p>
        </w:tc>
      </w:tr>
    </w:tbl>
    <w:p>
      <w:pPr>
        <w:adjustRightInd w:val="0"/>
        <w:snapToGrid w:val="0"/>
        <w:spacing w:line="360" w:lineRule="auto"/>
        <w:ind w:firstLine="422" w:firstLineChars="20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图3.5-2  定向井井口装置</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（3）固井工程</w:t>
      </w:r>
    </w:p>
    <w:p>
      <w:pPr>
        <w:pStyle w:val="25"/>
        <w:spacing w:line="360" w:lineRule="auto"/>
        <w:ind w:firstLine="480" w:firstLineChars="200"/>
        <w:jc w:val="left"/>
        <w:rPr>
          <w:rFonts w:ascii="Times New Roman" w:hAnsi="Times New Roman" w:eastAsia="宋体" w:cs="Times New Roman"/>
          <w:b w:val="0"/>
          <w:color w:val="000000" w:themeColor="text1"/>
          <w14:textFill>
            <w14:solidFill>
              <w14:schemeClr w14:val="tx1"/>
            </w14:solidFill>
          </w14:textFill>
        </w:rPr>
      </w:pPr>
      <w:r>
        <w:rPr>
          <w:rFonts w:ascii="Times New Roman" w:hAnsi="Times New Roman" w:eastAsia="宋体" w:cs="Times New Roman"/>
          <w:b w:val="0"/>
          <w:color w:val="000000" w:themeColor="text1"/>
          <w14:textFill>
            <w14:solidFill>
              <w14:schemeClr w14:val="tx1"/>
            </w14:solidFill>
          </w14:textFill>
        </w:rPr>
        <w:t>1）固井工艺</w:t>
      </w:r>
    </w:p>
    <w:p>
      <w:pPr>
        <w:snapToGrid w:val="0"/>
        <w:spacing w:line="360" w:lineRule="auto"/>
        <w:ind w:firstLine="480" w:firstLineChars="200"/>
        <w:rPr>
          <w:rFonts w:ascii="Times New Roman" w:hAnsi="Times New Roman" w:eastAsia="宋体" w:cs="Times New Roman"/>
          <w:color w:val="000000" w:themeColor="text1"/>
          <w:sz w:val="24"/>
          <w:szCs w:val="22"/>
          <w14:textFill>
            <w14:solidFill>
              <w14:schemeClr w14:val="tx1"/>
            </w14:solidFill>
          </w14:textFill>
        </w:rPr>
      </w:pPr>
      <w:r>
        <w:rPr>
          <w:rFonts w:ascii="Times New Roman" w:hAnsi="Times New Roman" w:eastAsia="宋体" w:cs="Times New Roman"/>
          <w:color w:val="000000" w:themeColor="text1"/>
          <w:sz w:val="24"/>
          <w:szCs w:val="22"/>
          <w14:textFill>
            <w14:solidFill>
              <w14:schemeClr w14:val="tx1"/>
            </w14:solidFill>
          </w14:textFill>
        </w:rPr>
        <w:t>①</w:t>
      </w:r>
      <w:r>
        <w:rPr>
          <w:rFonts w:ascii="Times New Roman" w:hAnsi="Times New Roman" w:cs="Times New Roman"/>
          <w:color w:val="000000" w:themeColor="text1"/>
          <w:sz w:val="24"/>
          <w14:textFill>
            <w14:solidFill>
              <w14:schemeClr w14:val="tx1"/>
            </w14:solidFill>
          </w14:textFill>
        </w:rPr>
        <w:t>Ф244.5mm表层套管下入深度450m，</w:t>
      </w:r>
      <w:r>
        <w:rPr>
          <w:rFonts w:ascii="Times New Roman" w:hAnsi="Times New Roman" w:cs="Times New Roman"/>
          <w:color w:val="000000" w:themeColor="text1"/>
          <w:spacing w:val="4"/>
          <w:sz w:val="24"/>
          <w14:textFill>
            <w14:solidFill>
              <w14:schemeClr w14:val="tx1"/>
            </w14:solidFill>
          </w14:textFill>
        </w:rPr>
        <w:t>采用G级水泥浆双胶塞固井，水泥浆返至地面</w:t>
      </w:r>
      <w:r>
        <w:rPr>
          <w:rFonts w:ascii="Times New Roman" w:hAnsi="Times New Roman" w:cs="Times New Roman"/>
          <w:color w:val="000000" w:themeColor="text1"/>
          <w:sz w:val="24"/>
          <w14:textFill>
            <w14:solidFill>
              <w14:schemeClr w14:val="tx1"/>
            </w14:solidFill>
          </w14:textFill>
        </w:rPr>
        <w:t>。</w:t>
      </w:r>
    </w:p>
    <w:p>
      <w:pPr>
        <w:snapToGrid w:val="0"/>
        <w:spacing w:line="360" w:lineRule="auto"/>
        <w:ind w:firstLine="480" w:firstLineChars="200"/>
        <w:rPr>
          <w:rFonts w:ascii="Times New Roman" w:hAnsi="Times New Roman" w:eastAsia="宋体" w:cs="Times New Roman"/>
          <w:color w:val="000000" w:themeColor="text1"/>
          <w:sz w:val="24"/>
          <w:szCs w:val="22"/>
          <w14:textFill>
            <w14:solidFill>
              <w14:schemeClr w14:val="tx1"/>
            </w14:solidFill>
          </w14:textFill>
        </w:rPr>
      </w:pPr>
      <w:r>
        <w:rPr>
          <w:rFonts w:ascii="Times New Roman" w:hAnsi="Times New Roman" w:eastAsia="宋体" w:cs="Times New Roman"/>
          <w:color w:val="000000" w:themeColor="text1"/>
          <w:sz w:val="24"/>
          <w:szCs w:val="22"/>
          <w14:textFill>
            <w14:solidFill>
              <w14:schemeClr w14:val="tx1"/>
            </w14:solidFill>
          </w14:textFill>
        </w:rPr>
        <w:t>②</w:t>
      </w:r>
      <w:r>
        <w:rPr>
          <w:rFonts w:ascii="Times New Roman" w:hAnsi="Times New Roman" w:cs="Times New Roman"/>
          <w:color w:val="000000" w:themeColor="text1"/>
          <w:sz w:val="24"/>
          <w14:textFill>
            <w14:solidFill>
              <w14:schemeClr w14:val="tx1"/>
            </w14:solidFill>
          </w14:textFill>
        </w:rPr>
        <w:t>Ф139.7mm油层套管下至完钻井深，</w:t>
      </w:r>
      <w:r>
        <w:rPr>
          <w:rFonts w:ascii="Times New Roman" w:hAnsi="Times New Roman" w:cs="Times New Roman"/>
          <w:color w:val="000000" w:themeColor="text1"/>
          <w:spacing w:val="4"/>
          <w:sz w:val="24"/>
          <w14:textFill>
            <w14:solidFill>
              <w14:schemeClr w14:val="tx1"/>
            </w14:solidFill>
          </w14:textFill>
        </w:rPr>
        <w:t>采用（超低密度+低密度）</w:t>
      </w:r>
      <w:r>
        <w:rPr>
          <w:rFonts w:ascii="Times New Roman" w:hAnsi="Times New Roman" w:cs="Times New Roman"/>
          <w:color w:val="000000" w:themeColor="text1"/>
          <w:sz w:val="24"/>
          <w14:textFill>
            <w14:solidFill>
              <w14:schemeClr w14:val="tx1"/>
            </w14:solidFill>
          </w14:textFill>
        </w:rPr>
        <w:t>抗水侵双凝双密度</w:t>
      </w:r>
      <w:r>
        <w:rPr>
          <w:rFonts w:ascii="Times New Roman" w:hAnsi="Times New Roman" w:cs="Times New Roman"/>
          <w:color w:val="000000" w:themeColor="text1"/>
          <w:spacing w:val="4"/>
          <w:sz w:val="24"/>
          <w14:textFill>
            <w14:solidFill>
              <w14:schemeClr w14:val="tx1"/>
            </w14:solidFill>
          </w14:textFill>
        </w:rPr>
        <w:t>水泥浆体系常规工艺固井，水泥浆返至地面</w:t>
      </w:r>
      <w:r>
        <w:rPr>
          <w:rFonts w:ascii="Times New Roman" w:hAnsi="Times New Roman" w:cs="Times New Roman"/>
          <w:color w:val="000000" w:themeColor="text1"/>
          <w:sz w:val="24"/>
          <w14:textFill>
            <w14:solidFill>
              <w14:schemeClr w14:val="tx1"/>
            </w14:solidFill>
          </w14:textFill>
        </w:rPr>
        <w:t>。</w:t>
      </w:r>
    </w:p>
    <w:p>
      <w:pPr>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2）套管柱设计</w:t>
      </w:r>
    </w:p>
    <w:p>
      <w:pPr>
        <w:adjustRightInd w:val="0"/>
        <w:snapToGrid w:val="0"/>
        <w:spacing w:after="156" w:afterLines="50"/>
        <w:jc w:val="cente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表3.5-3  水平井套管柱设计</w:t>
      </w:r>
    </w:p>
    <w:tbl>
      <w:tblPr>
        <w:tblStyle w:val="23"/>
        <w:tblW w:w="83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6"/>
        <w:gridCol w:w="812"/>
        <w:gridCol w:w="717"/>
        <w:gridCol w:w="777"/>
        <w:gridCol w:w="804"/>
        <w:gridCol w:w="605"/>
        <w:gridCol w:w="606"/>
        <w:gridCol w:w="650"/>
        <w:gridCol w:w="604"/>
        <w:gridCol w:w="687"/>
        <w:gridCol w:w="588"/>
        <w:gridCol w:w="594"/>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86" w:type="dxa"/>
            <w:vMerge w:val="restart"/>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pacing w:val="-4"/>
                <w:sz w:val="21"/>
                <w:szCs w:val="21"/>
                <w14:textFill>
                  <w14:solidFill>
                    <w14:schemeClr w14:val="tx1"/>
                  </w14:solidFill>
                </w14:textFill>
              </w:rPr>
              <w:t>套管程序</w:t>
            </w:r>
          </w:p>
        </w:tc>
        <w:tc>
          <w:tcPr>
            <w:tcW w:w="812" w:type="dxa"/>
            <w:vMerge w:val="restart"/>
            <w:vAlign w:val="center"/>
          </w:tcPr>
          <w:p>
            <w:pPr>
              <w:pStyle w:val="56"/>
              <w:snapToGrid w:val="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套管外径（</w:t>
            </w:r>
            <w:r>
              <w:rPr>
                <w:rFonts w:ascii="Times New Roman" w:hAnsi="Times New Roman" w:eastAsia="宋体" w:cs="Times New Roman"/>
                <w:b/>
                <w:bCs/>
                <w:color w:val="000000" w:themeColor="text1"/>
                <w:spacing w:val="-4"/>
                <w:sz w:val="21"/>
                <w:szCs w:val="21"/>
                <w14:textFill>
                  <w14:solidFill>
                    <w14:schemeClr w14:val="tx1"/>
                  </w14:solidFill>
                </w14:textFill>
              </w:rPr>
              <w:t>mm）</w:t>
            </w:r>
          </w:p>
        </w:tc>
        <w:tc>
          <w:tcPr>
            <w:tcW w:w="717" w:type="dxa"/>
            <w:vMerge w:val="restart"/>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pacing w:val="-4"/>
                <w:sz w:val="21"/>
                <w:szCs w:val="21"/>
                <w14:textFill>
                  <w14:solidFill>
                    <w14:schemeClr w14:val="tx1"/>
                  </w14:solidFill>
                </w14:textFill>
              </w:rPr>
              <w:t>井段（m）</w:t>
            </w:r>
          </w:p>
        </w:tc>
        <w:tc>
          <w:tcPr>
            <w:tcW w:w="777" w:type="dxa"/>
            <w:vMerge w:val="restart"/>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pacing w:val="-4"/>
                <w:sz w:val="21"/>
                <w:szCs w:val="21"/>
                <w14:textFill>
                  <w14:solidFill>
                    <w14:schemeClr w14:val="tx1"/>
                  </w14:solidFill>
                </w14:textFill>
              </w:rPr>
              <w:t>钢级</w:t>
            </w:r>
          </w:p>
        </w:tc>
        <w:tc>
          <w:tcPr>
            <w:tcW w:w="804" w:type="dxa"/>
            <w:vMerge w:val="restart"/>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pacing w:val="-4"/>
                <w:sz w:val="21"/>
                <w:szCs w:val="21"/>
                <w14:textFill>
                  <w14:solidFill>
                    <w14:schemeClr w14:val="tx1"/>
                  </w14:solidFill>
                </w14:textFill>
              </w:rPr>
              <w:t>壁厚（mm）</w:t>
            </w:r>
          </w:p>
        </w:tc>
        <w:tc>
          <w:tcPr>
            <w:tcW w:w="605" w:type="dxa"/>
            <w:vMerge w:val="restart"/>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pacing w:val="-4"/>
                <w:sz w:val="21"/>
                <w:szCs w:val="21"/>
                <w14:textFill>
                  <w14:solidFill>
                    <w14:schemeClr w14:val="tx1"/>
                  </w14:solidFill>
                </w14:textFill>
              </w:rPr>
              <w:t>扣型</w:t>
            </w:r>
          </w:p>
        </w:tc>
        <w:tc>
          <w:tcPr>
            <w:tcW w:w="606" w:type="dxa"/>
            <w:vMerge w:val="restart"/>
            <w:vAlign w:val="center"/>
          </w:tcPr>
          <w:p>
            <w:pPr>
              <w:pStyle w:val="20"/>
              <w:spacing w:before="0" w:beforeAutospacing="0" w:after="0" w:afterAutospacing="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段重t</w:t>
            </w:r>
          </w:p>
        </w:tc>
        <w:tc>
          <w:tcPr>
            <w:tcW w:w="1254" w:type="dxa"/>
            <w:gridSpan w:val="2"/>
            <w:vAlign w:val="center"/>
          </w:tcPr>
          <w:p>
            <w:pPr>
              <w:pStyle w:val="56"/>
              <w:snapToGrid w:val="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抗外挤</w:t>
            </w:r>
          </w:p>
        </w:tc>
        <w:tc>
          <w:tcPr>
            <w:tcW w:w="1275" w:type="dxa"/>
            <w:gridSpan w:val="2"/>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pacing w:val="-4"/>
                <w:sz w:val="21"/>
                <w:szCs w:val="21"/>
                <w14:textFill>
                  <w14:solidFill>
                    <w14:schemeClr w14:val="tx1"/>
                  </w14:solidFill>
                </w14:textFill>
              </w:rPr>
              <w:t>抗内压</w:t>
            </w:r>
          </w:p>
        </w:tc>
        <w:tc>
          <w:tcPr>
            <w:tcW w:w="1126" w:type="dxa"/>
            <w:gridSpan w:val="2"/>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pacing w:val="-4"/>
                <w:sz w:val="21"/>
                <w:szCs w:val="21"/>
                <w14:textFill>
                  <w14:solidFill>
                    <w14:schemeClr w14:val="tx1"/>
                  </w14:solidFill>
                </w14:textFill>
              </w:rPr>
              <w:t>抗拉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86" w:type="dxa"/>
            <w:vMerge w:val="continue"/>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p>
        </w:tc>
        <w:tc>
          <w:tcPr>
            <w:tcW w:w="812" w:type="dxa"/>
            <w:vMerge w:val="continue"/>
            <w:vAlign w:val="center"/>
          </w:tcPr>
          <w:p>
            <w:pPr>
              <w:pStyle w:val="56"/>
              <w:snapToGrid w:val="0"/>
              <w:jc w:val="center"/>
              <w:rPr>
                <w:rFonts w:ascii="Times New Roman" w:hAnsi="Times New Roman" w:eastAsia="宋体" w:cs="Times New Roman"/>
                <w:b/>
                <w:bCs/>
                <w:color w:val="000000" w:themeColor="text1"/>
                <w:sz w:val="21"/>
                <w:szCs w:val="21"/>
                <w14:textFill>
                  <w14:solidFill>
                    <w14:schemeClr w14:val="tx1"/>
                  </w14:solidFill>
                </w14:textFill>
              </w:rPr>
            </w:pPr>
          </w:p>
        </w:tc>
        <w:tc>
          <w:tcPr>
            <w:tcW w:w="717" w:type="dxa"/>
            <w:vMerge w:val="continue"/>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p>
        </w:tc>
        <w:tc>
          <w:tcPr>
            <w:tcW w:w="777" w:type="dxa"/>
            <w:vMerge w:val="continue"/>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p>
        </w:tc>
        <w:tc>
          <w:tcPr>
            <w:tcW w:w="804" w:type="dxa"/>
            <w:vMerge w:val="continue"/>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p>
        </w:tc>
        <w:tc>
          <w:tcPr>
            <w:tcW w:w="605" w:type="dxa"/>
            <w:vMerge w:val="continue"/>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p>
        </w:tc>
        <w:tc>
          <w:tcPr>
            <w:tcW w:w="606" w:type="dxa"/>
            <w:vMerge w:val="continue"/>
            <w:vAlign w:val="center"/>
          </w:tcPr>
          <w:p>
            <w:pPr>
              <w:pStyle w:val="56"/>
              <w:snapToGrid w:val="0"/>
              <w:jc w:val="center"/>
              <w:rPr>
                <w:rFonts w:ascii="Times New Roman" w:hAnsi="Times New Roman" w:eastAsia="宋体" w:cs="Times New Roman"/>
                <w:b/>
                <w:bCs/>
                <w:color w:val="000000" w:themeColor="text1"/>
                <w:spacing w:val="-4"/>
                <w:sz w:val="21"/>
                <w:szCs w:val="21"/>
                <w14:textFill>
                  <w14:solidFill>
                    <w14:schemeClr w14:val="tx1"/>
                  </w14:solidFill>
                </w14:textFill>
              </w:rPr>
            </w:pPr>
          </w:p>
        </w:tc>
        <w:tc>
          <w:tcPr>
            <w:tcW w:w="650" w:type="dxa"/>
            <w:vAlign w:val="center"/>
          </w:tcPr>
          <w:p>
            <w:pPr>
              <w:pStyle w:val="20"/>
              <w:spacing w:before="0" w:beforeAutospacing="0" w:after="0" w:afterAutospacing="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强度MPa</w:t>
            </w:r>
          </w:p>
        </w:tc>
        <w:tc>
          <w:tcPr>
            <w:tcW w:w="604" w:type="dxa"/>
            <w:vAlign w:val="center"/>
          </w:tcPr>
          <w:p>
            <w:pPr>
              <w:pStyle w:val="20"/>
              <w:spacing w:before="0" w:beforeAutospacing="0" w:after="0" w:afterAutospacing="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安全系数</w:t>
            </w:r>
          </w:p>
        </w:tc>
        <w:tc>
          <w:tcPr>
            <w:tcW w:w="687" w:type="dxa"/>
            <w:vAlign w:val="center"/>
          </w:tcPr>
          <w:p>
            <w:pPr>
              <w:pStyle w:val="20"/>
              <w:spacing w:before="0" w:beforeAutospacing="0" w:after="0" w:afterAutospacing="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强度MPa</w:t>
            </w:r>
          </w:p>
        </w:tc>
        <w:tc>
          <w:tcPr>
            <w:tcW w:w="588" w:type="dxa"/>
            <w:vAlign w:val="center"/>
          </w:tcPr>
          <w:p>
            <w:pPr>
              <w:pStyle w:val="20"/>
              <w:spacing w:before="0" w:beforeAutospacing="0" w:after="0" w:afterAutospacing="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安全系数</w:t>
            </w:r>
          </w:p>
        </w:tc>
        <w:tc>
          <w:tcPr>
            <w:tcW w:w="594" w:type="dxa"/>
            <w:vAlign w:val="center"/>
          </w:tcPr>
          <w:p>
            <w:pPr>
              <w:pStyle w:val="20"/>
              <w:spacing w:before="0" w:beforeAutospacing="0" w:after="0" w:afterAutospacing="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强度kN</w:t>
            </w:r>
          </w:p>
        </w:tc>
        <w:tc>
          <w:tcPr>
            <w:tcW w:w="532" w:type="dxa"/>
            <w:vAlign w:val="center"/>
          </w:tcPr>
          <w:p>
            <w:pPr>
              <w:pStyle w:val="20"/>
              <w:spacing w:before="0" w:beforeAutospacing="0" w:after="0" w:afterAutospacing="0"/>
              <w:jc w:val="center"/>
              <w:rPr>
                <w:rFonts w:ascii="Times New Roman" w:hAnsi="Times New Roman" w:eastAsia="宋体" w:cs="Times New Roman"/>
                <w:b/>
                <w:bCs/>
                <w:color w:val="000000" w:themeColor="text1"/>
                <w:spacing w:val="-4"/>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86" w:type="dxa"/>
            <w:vAlign w:val="center"/>
          </w:tcPr>
          <w:p>
            <w:pPr>
              <w:pStyle w:val="56"/>
              <w:snapToGrid w:val="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表套</w:t>
            </w:r>
          </w:p>
        </w:tc>
        <w:tc>
          <w:tcPr>
            <w:tcW w:w="812" w:type="dxa"/>
            <w:vAlign w:val="center"/>
          </w:tcPr>
          <w:p>
            <w:pPr>
              <w:pStyle w:val="56"/>
              <w:snapToGrid w:val="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244.5</w:t>
            </w:r>
          </w:p>
        </w:tc>
        <w:tc>
          <w:tcPr>
            <w:tcW w:w="717" w:type="dxa"/>
            <w:vAlign w:val="center"/>
          </w:tcPr>
          <w:p>
            <w:pPr>
              <w:pStyle w:val="56"/>
              <w:snapToGrid w:val="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0~450</w:t>
            </w:r>
          </w:p>
        </w:tc>
        <w:tc>
          <w:tcPr>
            <w:tcW w:w="777" w:type="dxa"/>
            <w:vAlign w:val="center"/>
          </w:tcPr>
          <w:p>
            <w:pPr>
              <w:pStyle w:val="56"/>
              <w:snapToGrid w:val="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J55</w:t>
            </w:r>
          </w:p>
        </w:tc>
        <w:tc>
          <w:tcPr>
            <w:tcW w:w="804" w:type="dxa"/>
            <w:vAlign w:val="center"/>
          </w:tcPr>
          <w:p>
            <w:pPr>
              <w:pStyle w:val="56"/>
              <w:snapToGrid w:val="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10.03</w:t>
            </w:r>
          </w:p>
        </w:tc>
        <w:tc>
          <w:tcPr>
            <w:tcW w:w="605" w:type="dxa"/>
            <w:vAlign w:val="center"/>
          </w:tcPr>
          <w:p>
            <w:pPr>
              <w:pStyle w:val="2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BCSG</w:t>
            </w:r>
          </w:p>
        </w:tc>
        <w:tc>
          <w:tcPr>
            <w:tcW w:w="606" w:type="dxa"/>
            <w:vAlign w:val="center"/>
          </w:tcPr>
          <w:p>
            <w:pPr>
              <w:pStyle w:val="2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26.79</w:t>
            </w:r>
          </w:p>
        </w:tc>
        <w:tc>
          <w:tcPr>
            <w:tcW w:w="650" w:type="dxa"/>
            <w:vAlign w:val="center"/>
          </w:tcPr>
          <w:p>
            <w:pPr>
              <w:pStyle w:val="2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17.7</w:t>
            </w:r>
          </w:p>
        </w:tc>
        <w:tc>
          <w:tcPr>
            <w:tcW w:w="604" w:type="dxa"/>
            <w:vAlign w:val="center"/>
          </w:tcPr>
          <w:p>
            <w:pPr>
              <w:pStyle w:val="2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2.95</w:t>
            </w:r>
          </w:p>
        </w:tc>
        <w:tc>
          <w:tcPr>
            <w:tcW w:w="687" w:type="dxa"/>
            <w:vAlign w:val="center"/>
          </w:tcPr>
          <w:p>
            <w:pPr>
              <w:pStyle w:val="2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27.2</w:t>
            </w:r>
          </w:p>
        </w:tc>
        <w:tc>
          <w:tcPr>
            <w:tcW w:w="588" w:type="dxa"/>
            <w:vAlign w:val="center"/>
          </w:tcPr>
          <w:p>
            <w:pPr>
              <w:pStyle w:val="2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1.36</w:t>
            </w:r>
          </w:p>
        </w:tc>
        <w:tc>
          <w:tcPr>
            <w:tcW w:w="594" w:type="dxa"/>
            <w:vAlign w:val="center"/>
          </w:tcPr>
          <w:p>
            <w:pPr>
              <w:pStyle w:val="2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2801</w:t>
            </w:r>
          </w:p>
        </w:tc>
        <w:tc>
          <w:tcPr>
            <w:tcW w:w="532" w:type="dxa"/>
            <w:vAlign w:val="center"/>
          </w:tcPr>
          <w:p>
            <w:pPr>
              <w:pStyle w:val="2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86" w:type="dxa"/>
            <w:vAlign w:val="center"/>
          </w:tcPr>
          <w:p>
            <w:pPr>
              <w:pStyle w:val="56"/>
              <w:snapToGrid w:val="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油套</w:t>
            </w:r>
          </w:p>
        </w:tc>
        <w:tc>
          <w:tcPr>
            <w:tcW w:w="812" w:type="dxa"/>
            <w:vAlign w:val="center"/>
          </w:tcPr>
          <w:p>
            <w:pPr>
              <w:pStyle w:val="56"/>
              <w:snapToGrid w:val="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139.7</w:t>
            </w:r>
          </w:p>
        </w:tc>
        <w:tc>
          <w:tcPr>
            <w:tcW w:w="717" w:type="dxa"/>
            <w:vAlign w:val="center"/>
          </w:tcPr>
          <w:p>
            <w:pPr>
              <w:pStyle w:val="56"/>
              <w:snapToGrid w:val="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0~1</w:t>
            </w:r>
            <w:r>
              <w:rPr>
                <w:rFonts w:hint="eastAsia" w:ascii="Times New Roman" w:hAnsi="Times New Roman" w:eastAsia="宋体" w:cs="Times New Roman"/>
                <w:color w:val="000000" w:themeColor="text1"/>
                <w:spacing w:val="-4"/>
                <w:sz w:val="21"/>
                <w:szCs w:val="21"/>
                <w14:textFill>
                  <w14:solidFill>
                    <w14:schemeClr w14:val="tx1"/>
                  </w14:solidFill>
                </w14:textFill>
              </w:rPr>
              <w:t>200</w:t>
            </w:r>
          </w:p>
        </w:tc>
        <w:tc>
          <w:tcPr>
            <w:tcW w:w="777" w:type="dxa"/>
            <w:vAlign w:val="center"/>
          </w:tcPr>
          <w:p>
            <w:pPr>
              <w:pStyle w:val="56"/>
              <w:snapToGrid w:val="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N80</w:t>
            </w:r>
          </w:p>
        </w:tc>
        <w:tc>
          <w:tcPr>
            <w:tcW w:w="804" w:type="dxa"/>
            <w:vAlign w:val="center"/>
          </w:tcPr>
          <w:p>
            <w:pPr>
              <w:pStyle w:val="56"/>
              <w:snapToGrid w:val="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pacing w:val="-4"/>
                <w:sz w:val="21"/>
                <w:szCs w:val="21"/>
                <w14:textFill>
                  <w14:solidFill>
                    <w14:schemeClr w14:val="tx1"/>
                  </w14:solidFill>
                </w14:textFill>
              </w:rPr>
              <w:t>7.72</w:t>
            </w:r>
          </w:p>
        </w:tc>
        <w:tc>
          <w:tcPr>
            <w:tcW w:w="605" w:type="dxa"/>
            <w:vAlign w:val="center"/>
          </w:tcPr>
          <w:p>
            <w:pPr>
              <w:pStyle w:val="2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LCSG</w:t>
            </w:r>
          </w:p>
        </w:tc>
        <w:tc>
          <w:tcPr>
            <w:tcW w:w="606" w:type="dxa"/>
            <w:vAlign w:val="center"/>
          </w:tcPr>
          <w:p>
            <w:pPr>
              <w:pStyle w:val="2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30.38</w:t>
            </w:r>
          </w:p>
        </w:tc>
        <w:tc>
          <w:tcPr>
            <w:tcW w:w="650" w:type="dxa"/>
            <w:vAlign w:val="center"/>
          </w:tcPr>
          <w:p>
            <w:pPr>
              <w:pStyle w:val="2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43.3</w:t>
            </w:r>
          </w:p>
        </w:tc>
        <w:tc>
          <w:tcPr>
            <w:tcW w:w="604" w:type="dxa"/>
            <w:vAlign w:val="center"/>
          </w:tcPr>
          <w:p>
            <w:pPr>
              <w:pStyle w:val="2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3.30</w:t>
            </w:r>
          </w:p>
        </w:tc>
        <w:tc>
          <w:tcPr>
            <w:tcW w:w="687" w:type="dxa"/>
            <w:vAlign w:val="center"/>
          </w:tcPr>
          <w:p>
            <w:pPr>
              <w:pStyle w:val="2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53.4</w:t>
            </w:r>
          </w:p>
        </w:tc>
        <w:tc>
          <w:tcPr>
            <w:tcW w:w="588" w:type="dxa"/>
            <w:vAlign w:val="center"/>
          </w:tcPr>
          <w:p>
            <w:pPr>
              <w:pStyle w:val="2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2.86</w:t>
            </w:r>
          </w:p>
        </w:tc>
        <w:tc>
          <w:tcPr>
            <w:tcW w:w="594" w:type="dxa"/>
            <w:vAlign w:val="center"/>
          </w:tcPr>
          <w:p>
            <w:pPr>
              <w:pStyle w:val="2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1548</w:t>
            </w:r>
          </w:p>
        </w:tc>
        <w:tc>
          <w:tcPr>
            <w:tcW w:w="532" w:type="dxa"/>
            <w:vAlign w:val="center"/>
          </w:tcPr>
          <w:p>
            <w:pPr>
              <w:pStyle w:val="20"/>
              <w:jc w:val="center"/>
              <w:rPr>
                <w:rFonts w:ascii="Times New Roman" w:hAnsi="Times New Roman" w:eastAsia="宋体" w:cs="Times New Roman"/>
                <w:color w:val="000000" w:themeColor="text1"/>
                <w:spacing w:val="-4"/>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5.12</w:t>
            </w:r>
          </w:p>
        </w:tc>
      </w:tr>
    </w:tbl>
    <w:p>
      <w:pPr>
        <w:spacing w:line="360" w:lineRule="auto"/>
        <w:ind w:firstLine="360" w:firstLineChars="200"/>
        <w:rPr>
          <w:rFonts w:ascii="Times New Roman" w:hAnsi="Times New Roman" w:cs="Times New Roman"/>
          <w:bCs/>
          <w:snapToGrid w:val="0"/>
          <w:color w:val="000000" w:themeColor="text1"/>
          <w:sz w:val="18"/>
          <w:szCs w:val="18"/>
          <w14:textFill>
            <w14:solidFill>
              <w14:schemeClr w14:val="tx1"/>
            </w14:solidFill>
          </w14:textFill>
        </w:rPr>
      </w:pPr>
      <w:r>
        <w:rPr>
          <w:rFonts w:ascii="Times New Roman" w:hAnsi="Times New Roman" w:cs="Times New Roman"/>
          <w:bCs/>
          <w:snapToGrid w:val="0"/>
          <w:color w:val="000000" w:themeColor="text1"/>
          <w:sz w:val="18"/>
          <w:szCs w:val="18"/>
          <w14:textFill>
            <w14:solidFill>
              <w14:schemeClr w14:val="tx1"/>
            </w14:solidFill>
          </w14:textFill>
        </w:rPr>
        <w:t>备注：1）表套套管按掏空70%考虑。</w:t>
      </w:r>
    </w:p>
    <w:p>
      <w:pPr>
        <w:pStyle w:val="25"/>
        <w:spacing w:line="360" w:lineRule="auto"/>
        <w:ind w:firstLine="480" w:firstLineChars="200"/>
        <w:jc w:val="left"/>
        <w:rPr>
          <w:rFonts w:ascii="Times New Roman" w:hAnsi="Times New Roman" w:eastAsia="宋体" w:cs="Times New Roman"/>
          <w:b w:val="0"/>
          <w:color w:val="000000" w:themeColor="text1"/>
          <w14:textFill>
            <w14:solidFill>
              <w14:schemeClr w14:val="tx1"/>
            </w14:solidFill>
          </w14:textFill>
        </w:rPr>
      </w:pPr>
      <w:r>
        <w:rPr>
          <w:rFonts w:ascii="Times New Roman" w:hAnsi="Times New Roman" w:eastAsia="宋体" w:cs="Times New Roman"/>
          <w:b w:val="0"/>
          <w:color w:val="000000" w:themeColor="text1"/>
          <w14:textFill>
            <w14:solidFill>
              <w14:schemeClr w14:val="tx1"/>
            </w14:solidFill>
          </w14:textFill>
        </w:rPr>
        <w:t>3）水泥浆体系设计</w:t>
      </w:r>
    </w:p>
    <w:p>
      <w:pPr>
        <w:pStyle w:val="56"/>
        <w:adjustRightInd w:val="0"/>
        <w:snapToGrid w:val="0"/>
        <w:spacing w:line="360" w:lineRule="auto"/>
        <w:ind w:firstLine="480" w:firstLineChars="2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①表层套管</w:t>
      </w:r>
    </w:p>
    <w:p>
      <w:pPr>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水泥浆配方：G级＋4.0</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DS-B＋44</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H</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O</w:t>
      </w:r>
    </w:p>
    <w:p>
      <w:pPr>
        <w:adjustRightInd w:val="0"/>
        <w:snapToGrid w:val="0"/>
        <w:spacing w:line="360" w:lineRule="auto"/>
        <w:ind w:firstLine="496" w:firstLineChars="200"/>
        <w:jc w:val="left"/>
        <w:rPr>
          <w:rFonts w:ascii="Times New Roman" w:hAnsi="Times New Roman" w:eastAsia="宋体" w:cs="Times New Roman"/>
          <w:color w:val="000000" w:themeColor="text1"/>
          <w:spacing w:val="4"/>
          <w:sz w:val="24"/>
          <w14:textFill>
            <w14:solidFill>
              <w14:schemeClr w14:val="tx1"/>
            </w14:solidFill>
          </w14:textFill>
        </w:rPr>
      </w:pPr>
      <w:r>
        <w:rPr>
          <w:rFonts w:ascii="Times New Roman" w:hAnsi="Times New Roman" w:eastAsia="宋体" w:cs="Times New Roman"/>
          <w:color w:val="000000" w:themeColor="text1"/>
          <w:spacing w:val="4"/>
          <w:sz w:val="24"/>
          <w14:textFill>
            <w14:solidFill>
              <w14:schemeClr w14:val="tx1"/>
            </w14:solidFill>
          </w14:textFill>
        </w:rPr>
        <w:t>水泥浆性能：密度1.90g/cm</w:t>
      </w:r>
      <w:r>
        <w:rPr>
          <w:rFonts w:ascii="Times New Roman" w:hAnsi="Times New Roman" w:eastAsia="宋体" w:cs="Times New Roman"/>
          <w:color w:val="000000" w:themeColor="text1"/>
          <w:spacing w:val="4"/>
          <w:sz w:val="24"/>
          <w:vertAlign w:val="superscript"/>
          <w14:textFill>
            <w14:solidFill>
              <w14:schemeClr w14:val="tx1"/>
            </w14:solidFill>
          </w14:textFill>
        </w:rPr>
        <w:t>3</w:t>
      </w:r>
      <w:r>
        <w:rPr>
          <w:rFonts w:ascii="Times New Roman" w:hAnsi="Times New Roman" w:eastAsia="宋体" w:cs="Times New Roman"/>
          <w:color w:val="000000" w:themeColor="text1"/>
          <w:spacing w:val="4"/>
          <w:sz w:val="24"/>
          <w14:textFill>
            <w14:solidFill>
              <w14:schemeClr w14:val="tx1"/>
            </w14:solidFill>
          </w14:textFill>
        </w:rPr>
        <w:t xml:space="preserve">  稠化时间90～120min</w:t>
      </w:r>
    </w:p>
    <w:p>
      <w:pPr>
        <w:adjustRightInd w:val="0"/>
        <w:snapToGrid w:val="0"/>
        <w:spacing w:line="360" w:lineRule="auto"/>
        <w:ind w:firstLine="496"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pacing w:val="4"/>
          <w:sz w:val="24"/>
          <w14:textFill>
            <w14:solidFill>
              <w14:schemeClr w14:val="tx1"/>
            </w14:solidFill>
          </w14:textFill>
        </w:rPr>
        <w:t>8h强度&gt;3.5MPa  24h强度&gt;7MPa</w:t>
      </w:r>
    </w:p>
    <w:p>
      <w:pPr>
        <w:pStyle w:val="57"/>
        <w:adjustRightInd w:val="0"/>
        <w:spacing w:before="0" w:after="0" w:line="360" w:lineRule="auto"/>
        <w:ind w:firstLine="464" w:firstLineChars="200"/>
        <w:rPr>
          <w:rFonts w:ascii="Times New Roman" w:hAnsi="Times New Roman" w:eastAsia="宋体" w:cs="Times New Roman"/>
          <w:b w:val="0"/>
          <w:color w:val="000000" w:themeColor="text1"/>
          <w14:textFill>
            <w14:solidFill>
              <w14:schemeClr w14:val="tx1"/>
            </w14:solidFill>
          </w14:textFill>
        </w:rPr>
      </w:pPr>
      <w:r>
        <w:rPr>
          <w:rFonts w:ascii="Times New Roman" w:hAnsi="Times New Roman" w:eastAsia="宋体" w:cs="Times New Roman"/>
          <w:b w:val="0"/>
          <w:color w:val="000000" w:themeColor="text1"/>
          <w14:textFill>
            <w14:solidFill>
              <w14:schemeClr w14:val="tx1"/>
            </w14:solidFill>
          </w14:textFill>
        </w:rPr>
        <w:t>②油层套管</w:t>
      </w:r>
    </w:p>
    <w:p>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领浆：</w:t>
      </w:r>
      <w:r>
        <w:rPr>
          <w:rFonts w:ascii="Times New Roman" w:hAnsi="Times New Roman" w:eastAsia="宋体" w:cs="Times New Roman"/>
          <w:color w:val="000000" w:themeColor="text1"/>
          <w:kern w:val="0"/>
          <w:sz w:val="24"/>
          <w:lang w:bidi="ar"/>
          <w14:textFill>
            <w14:solidFill>
              <w14:schemeClr w14:val="tx1"/>
            </w14:solidFill>
          </w14:textFill>
        </w:rPr>
        <w:t>G级</w:t>
      </w:r>
      <w:r>
        <w:rPr>
          <w:rFonts w:ascii="Times New Roman" w:hAnsi="Times New Roman" w:eastAsia="宋体" w:cs="Times New Roman"/>
          <w:color w:val="000000" w:themeColor="text1"/>
          <w:sz w:val="24"/>
          <w:lang w:bidi="ar"/>
          <w14:textFill>
            <w14:solidFill>
              <w14:schemeClr w14:val="tx1"/>
            </w14:solidFill>
          </w14:textFill>
        </w:rPr>
        <w:t>+3%超细水泥＋26.5%Y8000＋13%WG＋4%SWT-2＋3%SNP＋[4%ST900L＋1.0%CF40S＋0.6%ST400S＋0.2%ST200R＋0.1%ST500L]</w:t>
      </w:r>
      <w:r>
        <w:rPr>
          <w:rFonts w:ascii="Times New Roman" w:hAnsi="Times New Roman" w:eastAsia="宋体" w:cs="Times New Roman"/>
          <w:color w:val="000000" w:themeColor="text1"/>
          <w:sz w:val="24"/>
          <w:vertAlign w:val="subscript"/>
          <w:lang w:bidi="ar"/>
          <w14:textFill>
            <w14:solidFill>
              <w14:schemeClr w14:val="tx1"/>
            </w14:solidFill>
          </w14:textFill>
        </w:rPr>
        <w:t>湿混</w:t>
      </w:r>
      <w:r>
        <w:rPr>
          <w:rFonts w:ascii="Times New Roman" w:hAnsi="Times New Roman" w:eastAsia="宋体" w:cs="Times New Roman"/>
          <w:color w:val="000000" w:themeColor="text1"/>
          <w:sz w:val="24"/>
          <w:lang w:bidi="ar"/>
          <w14:textFill>
            <w14:solidFill>
              <w14:schemeClr w14:val="tx1"/>
            </w14:solidFill>
          </w14:textFill>
        </w:rPr>
        <w:t>+77%</w:t>
      </w:r>
      <w:r>
        <w:rPr>
          <w:rFonts w:ascii="Times New Roman" w:hAnsi="Times New Roman" w:eastAsia="宋体" w:cs="Times New Roman"/>
          <w:color w:val="000000" w:themeColor="text1"/>
          <w:kern w:val="0"/>
          <w:sz w:val="24"/>
          <w:lang w:bidi="ar"/>
          <w14:textFill>
            <w14:solidFill>
              <w14:schemeClr w14:val="tx1"/>
            </w14:solidFill>
          </w14:textFill>
        </w:rPr>
        <w:t>H</w:t>
      </w:r>
      <w:r>
        <w:rPr>
          <w:rFonts w:ascii="Times New Roman" w:hAnsi="Times New Roman" w:eastAsia="宋体" w:cs="Times New Roman"/>
          <w:color w:val="000000" w:themeColor="text1"/>
          <w:kern w:val="0"/>
          <w:sz w:val="24"/>
          <w:vertAlign w:val="sub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O</w:t>
      </w:r>
    </w:p>
    <w:p>
      <w:pPr>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水泥浆性能：     密度：1.35g/cm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ab/>
      </w:r>
      <w:r>
        <w:rPr>
          <w:rFonts w:ascii="Times New Roman" w:hAnsi="Times New Roman" w:eastAsia="宋体" w:cs="Times New Roman"/>
          <w:color w:val="000000" w:themeColor="text1"/>
          <w:sz w:val="24"/>
          <w14:textFill>
            <w14:solidFill>
              <w14:schemeClr w14:val="tx1"/>
            </w14:solidFill>
          </w14:textFill>
        </w:rPr>
        <w:t xml:space="preserve">         稠化时间：180min</w:t>
      </w:r>
    </w:p>
    <w:p>
      <w:pPr>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 xml:space="preserve">                 失水&lt;50ml</w:t>
      </w:r>
      <w:r>
        <w:rPr>
          <w:rFonts w:ascii="Times New Roman" w:hAnsi="Times New Roman" w:eastAsia="宋体" w:cs="Times New Roman"/>
          <w:color w:val="000000" w:themeColor="text1"/>
          <w:sz w:val="24"/>
          <w14:textFill>
            <w14:solidFill>
              <w14:schemeClr w14:val="tx1"/>
            </w14:solidFill>
          </w14:textFill>
        </w:rPr>
        <w:tab/>
      </w:r>
      <w:r>
        <w:rPr>
          <w:rFonts w:ascii="Times New Roman" w:hAnsi="Times New Roman" w:eastAsia="宋体" w:cs="Times New Roman"/>
          <w:color w:val="000000" w:themeColor="text1"/>
          <w:sz w:val="24"/>
          <w14:textFill>
            <w14:solidFill>
              <w14:schemeClr w14:val="tx1"/>
            </w14:solidFill>
          </w14:textFill>
        </w:rPr>
        <w:tab/>
      </w:r>
      <w:r>
        <w:rPr>
          <w:rFonts w:ascii="Times New Roman" w:hAnsi="Times New Roman" w:eastAsia="宋体" w:cs="Times New Roman"/>
          <w:color w:val="000000" w:themeColor="text1"/>
          <w:sz w:val="24"/>
          <w14:textFill>
            <w14:solidFill>
              <w14:schemeClr w14:val="tx1"/>
            </w14:solidFill>
          </w14:textFill>
        </w:rPr>
        <w:tab/>
      </w:r>
      <w:r>
        <w:rPr>
          <w:rFonts w:ascii="Times New Roman" w:hAnsi="Times New Roman" w:eastAsia="宋体" w:cs="Times New Roman"/>
          <w:color w:val="000000" w:themeColor="text1"/>
          <w:sz w:val="24"/>
          <w14:textFill>
            <w14:solidFill>
              <w14:schemeClr w14:val="tx1"/>
            </w14:solidFill>
          </w14:textFill>
        </w:rPr>
        <w:t xml:space="preserve">       24h强度&gt;3.5MPa</w:t>
      </w:r>
    </w:p>
    <w:p>
      <w:pPr>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尾浆：G级＋8%超细水泥+20％WZ＋10％WG＋3％SNP＋4%SWT-2+[12%ST800L+4％ST900L＋0.8％</w:t>
      </w:r>
      <w:r>
        <w:rPr>
          <w:rFonts w:ascii="Times New Roman" w:hAnsi="Times New Roman" w:eastAsia="宋体" w:cs="Times New Roman"/>
          <w:color w:val="000000" w:themeColor="text1"/>
          <w:sz w:val="24"/>
          <w:lang w:bidi="ar"/>
          <w14:textFill>
            <w14:solidFill>
              <w14:schemeClr w14:val="tx1"/>
            </w14:solidFill>
          </w14:textFill>
        </w:rPr>
        <w:t>CF40S＋0.6%ST400S</w:t>
      </w:r>
      <w:r>
        <w:rPr>
          <w:rFonts w:ascii="Times New Roman" w:hAnsi="Times New Roman" w:eastAsia="宋体" w:cs="Times New Roman"/>
          <w:color w:val="000000" w:themeColor="text1"/>
          <w:sz w:val="24"/>
          <w14:textFill>
            <w14:solidFill>
              <w14:schemeClr w14:val="tx1"/>
            </w14:solidFill>
          </w14:textFill>
        </w:rPr>
        <w:t>＋0.15％ST200R＋0.1％ST500L]</w:t>
      </w:r>
      <w:r>
        <w:rPr>
          <w:rFonts w:ascii="Times New Roman" w:hAnsi="Times New Roman" w:eastAsia="宋体" w:cs="Times New Roman"/>
          <w:color w:val="000000" w:themeColor="text1"/>
          <w:sz w:val="24"/>
          <w:vertAlign w:val="subscript"/>
          <w14:textFill>
            <w14:solidFill>
              <w14:schemeClr w14:val="tx1"/>
            </w14:solidFill>
          </w14:textFill>
        </w:rPr>
        <w:t>湿混</w:t>
      </w:r>
      <w:r>
        <w:rPr>
          <w:rFonts w:ascii="Times New Roman" w:hAnsi="Times New Roman" w:eastAsia="宋体" w:cs="Times New Roman"/>
          <w:color w:val="000000" w:themeColor="text1"/>
          <w:sz w:val="24"/>
          <w14:textFill>
            <w14:solidFill>
              <w14:schemeClr w14:val="tx1"/>
            </w14:solidFill>
          </w14:textFill>
        </w:rPr>
        <w:t>＋69％H</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O</w:t>
      </w:r>
    </w:p>
    <w:p>
      <w:pPr>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水泥浆性能：密度：1.50g/cm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ab/>
      </w:r>
      <w:r>
        <w:rPr>
          <w:rFonts w:ascii="Times New Roman" w:hAnsi="Times New Roman" w:eastAsia="宋体" w:cs="Times New Roman"/>
          <w:color w:val="000000" w:themeColor="text1"/>
          <w:sz w:val="24"/>
          <w14:textFill>
            <w14:solidFill>
              <w14:schemeClr w14:val="tx1"/>
            </w14:solidFill>
          </w14:textFill>
        </w:rPr>
        <w:tab/>
      </w:r>
      <w:r>
        <w:rPr>
          <w:rFonts w:ascii="Times New Roman" w:hAnsi="Times New Roman" w:eastAsia="宋体" w:cs="Times New Roman"/>
          <w:color w:val="000000" w:themeColor="text1"/>
          <w:sz w:val="24"/>
          <w14:textFill>
            <w14:solidFill>
              <w14:schemeClr w14:val="tx1"/>
            </w14:solidFill>
          </w14:textFill>
        </w:rPr>
        <w:tab/>
      </w:r>
      <w:r>
        <w:rPr>
          <w:rFonts w:ascii="Times New Roman" w:hAnsi="Times New Roman" w:eastAsia="宋体" w:cs="Times New Roman"/>
          <w:color w:val="000000" w:themeColor="text1"/>
          <w:sz w:val="24"/>
          <w14:textFill>
            <w14:solidFill>
              <w14:schemeClr w14:val="tx1"/>
            </w14:solidFill>
          </w14:textFill>
        </w:rPr>
        <w:t>稠化时间：150min</w:t>
      </w:r>
    </w:p>
    <w:p>
      <w:pPr>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 xml:space="preserve">            失水&lt;50ml</w:t>
      </w:r>
      <w:r>
        <w:rPr>
          <w:rFonts w:ascii="Times New Roman" w:hAnsi="Times New Roman" w:eastAsia="宋体" w:cs="Times New Roman"/>
          <w:color w:val="000000" w:themeColor="text1"/>
          <w:sz w:val="24"/>
          <w14:textFill>
            <w14:solidFill>
              <w14:schemeClr w14:val="tx1"/>
            </w14:solidFill>
          </w14:textFill>
        </w:rPr>
        <w:tab/>
      </w:r>
      <w:r>
        <w:rPr>
          <w:rFonts w:ascii="Times New Roman" w:hAnsi="Times New Roman" w:eastAsia="宋体" w:cs="Times New Roman"/>
          <w:color w:val="000000" w:themeColor="text1"/>
          <w:sz w:val="24"/>
          <w14:textFill>
            <w14:solidFill>
              <w14:schemeClr w14:val="tx1"/>
            </w14:solidFill>
          </w14:textFill>
        </w:rPr>
        <w:tab/>
      </w:r>
      <w:r>
        <w:rPr>
          <w:rFonts w:ascii="Times New Roman" w:hAnsi="Times New Roman" w:eastAsia="宋体" w:cs="Times New Roman"/>
          <w:color w:val="000000" w:themeColor="text1"/>
          <w:sz w:val="24"/>
          <w14:textFill>
            <w14:solidFill>
              <w14:schemeClr w14:val="tx1"/>
            </w14:solidFill>
          </w14:textFill>
        </w:rPr>
        <w:tab/>
      </w:r>
      <w:r>
        <w:rPr>
          <w:rFonts w:ascii="Times New Roman" w:hAnsi="Times New Roman" w:eastAsia="宋体" w:cs="Times New Roman"/>
          <w:color w:val="000000" w:themeColor="text1"/>
          <w:sz w:val="24"/>
          <w14:textFill>
            <w14:solidFill>
              <w14:schemeClr w14:val="tx1"/>
            </w14:solidFill>
          </w14:textFill>
        </w:rPr>
        <w:t xml:space="preserve">       24h强度&gt;14MPa</w:t>
      </w:r>
    </w:p>
    <w:p>
      <w:pPr>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完井工程</w:t>
      </w:r>
    </w:p>
    <w:p>
      <w:pPr>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①</w:t>
      </w:r>
      <w:r>
        <w:rPr>
          <w:rFonts w:ascii="Times New Roman" w:hAnsi="Times New Roman" w:eastAsia="宋体" w:cs="Times New Roman"/>
          <w:color w:val="000000" w:themeColor="text1"/>
          <w:sz w:val="24"/>
          <w14:textFill>
            <w14:solidFill>
              <w14:schemeClr w14:val="tx1"/>
            </w14:solidFill>
          </w14:textFill>
        </w:rPr>
        <w:t>完井方式：套管固井完井。</w:t>
      </w:r>
    </w:p>
    <w:p>
      <w:pPr>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②</w:t>
      </w:r>
      <w:r>
        <w:rPr>
          <w:rFonts w:ascii="Times New Roman" w:hAnsi="Times New Roman" w:eastAsia="宋体" w:cs="Times New Roman"/>
          <w:color w:val="000000" w:themeColor="text1"/>
          <w:sz w:val="24"/>
          <w14:textFill>
            <w14:solidFill>
              <w14:schemeClr w14:val="tx1"/>
            </w14:solidFill>
          </w14:textFill>
        </w:rPr>
        <w:t>完井套管：选用Φ139.7mm×7.72mm N80油层套管。</w:t>
      </w:r>
    </w:p>
    <w:p>
      <w:pPr>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③</w:t>
      </w:r>
      <w:r>
        <w:rPr>
          <w:rFonts w:ascii="Times New Roman" w:hAnsi="Times New Roman" w:eastAsia="宋体" w:cs="Times New Roman"/>
          <w:color w:val="000000" w:themeColor="text1"/>
          <w:sz w:val="24"/>
          <w14:textFill>
            <w14:solidFill>
              <w14:schemeClr w14:val="tx1"/>
            </w14:solidFill>
          </w14:textFill>
        </w:rPr>
        <w:t>生产管柱：Φ73mm×5.51mm N80平式油管。</w:t>
      </w:r>
    </w:p>
    <w:p>
      <w:pPr>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④</w:t>
      </w:r>
      <w:r>
        <w:rPr>
          <w:rFonts w:ascii="Times New Roman" w:hAnsi="Times New Roman" w:eastAsia="宋体" w:cs="Times New Roman"/>
          <w:color w:val="000000" w:themeColor="text1"/>
          <w:sz w:val="24"/>
          <w14:textFill>
            <w14:solidFill>
              <w14:schemeClr w14:val="tx1"/>
            </w14:solidFill>
          </w14:textFill>
        </w:rPr>
        <w:t>井口装置：推荐KY25/65采油井口。</w:t>
      </w:r>
    </w:p>
    <w:p>
      <w:pPr>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⑤</w:t>
      </w:r>
      <w:r>
        <w:rPr>
          <w:rFonts w:ascii="Times New Roman" w:hAnsi="Times New Roman" w:eastAsia="宋体" w:cs="Times New Roman"/>
          <w:color w:val="000000" w:themeColor="text1"/>
          <w:sz w:val="24"/>
          <w14:textFill>
            <w14:solidFill>
              <w14:schemeClr w14:val="tx1"/>
            </w14:solidFill>
          </w14:textFill>
        </w:rPr>
        <w:t>投产工艺：射孔后直接转抽生产</w:t>
      </w:r>
      <w:r>
        <w:rPr>
          <w:rFonts w:hint="eastAsia" w:ascii="Times New Roman" w:hAnsi="Times New Roman" w:eastAsia="宋体" w:cs="Times New Roman"/>
          <w:color w:val="000000" w:themeColor="text1"/>
          <w:sz w:val="24"/>
          <w14:textFill>
            <w14:solidFill>
              <w14:schemeClr w14:val="tx1"/>
            </w14:solidFill>
          </w14:textFill>
        </w:rPr>
        <w:t>。</w:t>
      </w:r>
    </w:p>
    <w:p>
      <w:pPr>
        <w:spacing w:line="360" w:lineRule="auto"/>
        <w:outlineLvl w:val="3"/>
        <w:rPr>
          <w:rFonts w:ascii="Times New Roman" w:hAnsi="Times New Roman" w:eastAsia="宋体" w:cs="Times New Roman"/>
          <w:bCs/>
          <w:snapToGrid w:val="0"/>
          <w:color w:val="000000" w:themeColor="text1"/>
          <w:kern w:val="0"/>
          <w:sz w:val="28"/>
          <w:szCs w:val="28"/>
          <w14:textFill>
            <w14:solidFill>
              <w14:schemeClr w14:val="tx1"/>
            </w14:solidFill>
          </w14:textFill>
        </w:rPr>
      </w:pPr>
      <w:r>
        <w:rPr>
          <w:rFonts w:ascii="Times New Roman" w:hAnsi="Times New Roman" w:eastAsia="宋体" w:cs="Times New Roman"/>
          <w:bCs/>
          <w:snapToGrid w:val="0"/>
          <w:color w:val="000000" w:themeColor="text1"/>
          <w:kern w:val="0"/>
          <w:sz w:val="28"/>
          <w:szCs w:val="28"/>
          <w14:textFill>
            <w14:solidFill>
              <w14:schemeClr w14:val="tx1"/>
            </w14:solidFill>
          </w14:textFill>
        </w:rPr>
        <w:t>3.5.2.3钻井设备</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本项目单井钻井主要设备见表3.5-4。</w:t>
      </w:r>
      <w:bookmarkStart w:id="233" w:name="_Hlk47473670"/>
    </w:p>
    <w:p>
      <w:pPr>
        <w:adjustRightInd w:val="0"/>
        <w:snapToGrid w:val="0"/>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表3.5-4  钻井主要设备配置（单井）</w:t>
      </w:r>
    </w:p>
    <w:tbl>
      <w:tblPr>
        <w:tblStyle w:val="23"/>
        <w:tblW w:w="8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7"/>
        <w:gridCol w:w="913"/>
        <w:gridCol w:w="2009"/>
        <w:gridCol w:w="1716"/>
        <w:gridCol w:w="834"/>
        <w:gridCol w:w="1014"/>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bookmarkStart w:id="234" w:name="_Hlk121162572"/>
            <w:r>
              <w:rPr>
                <w:rFonts w:ascii="Times New Roman" w:hAnsi="Times New Roman" w:cs="Times New Roman"/>
                <w:b/>
                <w:bCs/>
                <w:color w:val="000000" w:themeColor="text1"/>
                <w:szCs w:val="21"/>
                <w14:textFill>
                  <w14:solidFill>
                    <w14:schemeClr w14:val="tx1"/>
                  </w14:solidFill>
                </w14:textFill>
              </w:rPr>
              <w:t>序号</w:t>
            </w:r>
          </w:p>
        </w:tc>
        <w:tc>
          <w:tcPr>
            <w:tcW w:w="2922" w:type="dxa"/>
            <w:gridSpan w:val="2"/>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名称</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型号</w:t>
            </w:r>
          </w:p>
        </w:tc>
        <w:tc>
          <w:tcPr>
            <w:tcW w:w="834"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载荷</w:t>
            </w:r>
          </w:p>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（kN）</w:t>
            </w:r>
          </w:p>
        </w:tc>
        <w:tc>
          <w:tcPr>
            <w:tcW w:w="1014"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功率</w:t>
            </w:r>
          </w:p>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（kW）</w:t>
            </w: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w:t>
            </w:r>
          </w:p>
        </w:tc>
        <w:tc>
          <w:tcPr>
            <w:tcW w:w="2922" w:type="dxa"/>
            <w:gridSpan w:val="2"/>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钻机</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ZJ20B</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1350</w:t>
            </w: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w:t>
            </w:r>
          </w:p>
        </w:tc>
        <w:tc>
          <w:tcPr>
            <w:tcW w:w="2922" w:type="dxa"/>
            <w:gridSpan w:val="2"/>
            <w:tcBorders>
              <w:top w:val="single" w:color="auto" w:sz="4" w:space="0"/>
              <w:left w:val="nil"/>
              <w:bottom w:val="nil"/>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井架</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1350</w:t>
            </w: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pStyle w:val="12"/>
              <w:snapToGrid w:val="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净空高度不小于2.51m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restart"/>
            <w:tcBorders>
              <w:top w:val="nil"/>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三</w:t>
            </w:r>
          </w:p>
        </w:tc>
        <w:tc>
          <w:tcPr>
            <w:tcW w:w="913" w:type="dxa"/>
            <w:vMerge w:val="restart"/>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提升</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系统</w:t>
            </w: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绞车</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JC-135</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1350</w:t>
            </w: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410</w:t>
            </w: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天车</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TC135</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1350</w:t>
            </w: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游动滑车</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YC135</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1350</w:t>
            </w: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大钩</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DG135</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1350</w:t>
            </w: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水龙头</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SL135</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1350</w:t>
            </w: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w:t>
            </w:r>
          </w:p>
        </w:tc>
        <w:tc>
          <w:tcPr>
            <w:tcW w:w="2922" w:type="dxa"/>
            <w:gridSpan w:val="2"/>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转盘</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1350</w:t>
            </w: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restart"/>
            <w:tcBorders>
              <w:top w:val="nil"/>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五</w:t>
            </w:r>
          </w:p>
        </w:tc>
        <w:tc>
          <w:tcPr>
            <w:tcW w:w="913" w:type="dxa"/>
            <w:vMerge w:val="restart"/>
            <w:tcBorders>
              <w:top w:val="nil"/>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循环</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系统</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配置</w:t>
            </w: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钻井泵</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F-1000</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735</w:t>
            </w: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钻井泵</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F-1000</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735</w:t>
            </w: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钻井液罐</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13000×3000×2500</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20"/>
                <w:szCs w:val="21"/>
                <w14:textFill>
                  <w14:solidFill>
                    <w14:schemeClr w14:val="tx1"/>
                  </w14:solidFill>
                </w14:textFill>
              </w:rPr>
              <w:t>总容量：</w:t>
            </w:r>
            <w:r>
              <w:rPr>
                <w:rFonts w:ascii="Times New Roman" w:hAnsi="Times New Roman" w:cs="Times New Roman"/>
                <w:color w:val="000000" w:themeColor="text1"/>
                <w:szCs w:val="21"/>
                <w14:textFill>
                  <w14:solidFill>
                    <w14:schemeClr w14:val="tx1"/>
                  </w14:solidFill>
                </w14:textFill>
              </w:rPr>
              <w:t>160m</w:t>
            </w:r>
            <w:r>
              <w:rPr>
                <w:rFonts w:ascii="Times New Roman" w:hAnsi="Times New Roman" w:cs="Times New Roman"/>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搅拌器</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NJ-7.5</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restart"/>
            <w:tcBorders>
              <w:top w:val="nil"/>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六</w:t>
            </w:r>
          </w:p>
        </w:tc>
        <w:tc>
          <w:tcPr>
            <w:tcW w:w="913" w:type="dxa"/>
            <w:vMerge w:val="restart"/>
            <w:tcBorders>
              <w:top w:val="nil"/>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钻机</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动力</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系统</w:t>
            </w:r>
          </w:p>
        </w:tc>
        <w:tc>
          <w:tcPr>
            <w:tcW w:w="2009" w:type="dxa"/>
            <w:tcBorders>
              <w:top w:val="nil"/>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柴油机1#</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PV12V190B-1</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735</w:t>
            </w: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柴油机2#</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PV12V190B-1</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735</w:t>
            </w: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restart"/>
            <w:tcBorders>
              <w:top w:val="nil"/>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七                                                                            </w:t>
            </w:r>
          </w:p>
        </w:tc>
        <w:tc>
          <w:tcPr>
            <w:tcW w:w="913" w:type="dxa"/>
            <w:vMerge w:val="restart"/>
            <w:tcBorders>
              <w:top w:val="nil"/>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发电</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机组</w:t>
            </w: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发电机1#</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4"/>
                <w:szCs w:val="21"/>
                <w14:textFill>
                  <w14:solidFill>
                    <w14:schemeClr w14:val="tx1"/>
                  </w14:solidFill>
                </w14:textFill>
              </w:rPr>
              <w:t>PZ8V-190D-2</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300</w:t>
            </w: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发电机2#</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pacing w:val="4"/>
                <w:szCs w:val="21"/>
                <w14:textFill>
                  <w14:solidFill>
                    <w14:schemeClr w14:val="tx1"/>
                  </w14:solidFill>
                </w14:textFill>
              </w:rPr>
              <w:t>PZ8V-190D-2</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300</w:t>
            </w: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restart"/>
            <w:tcBorders>
              <w:top w:val="nil"/>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八</w:t>
            </w:r>
          </w:p>
        </w:tc>
        <w:tc>
          <w:tcPr>
            <w:tcW w:w="913" w:type="dxa"/>
            <w:vMerge w:val="restart"/>
            <w:tcBorders>
              <w:top w:val="nil"/>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固控</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系统</w:t>
            </w: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振动筛1#</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2ZZS-1</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除砂器</w:t>
            </w:r>
          </w:p>
        </w:tc>
        <w:tc>
          <w:tcPr>
            <w:tcW w:w="1716" w:type="dxa"/>
            <w:vMerge w:val="restart"/>
            <w:tcBorders>
              <w:top w:val="nil"/>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ZQJ254×2</w:t>
            </w:r>
          </w:p>
        </w:tc>
        <w:tc>
          <w:tcPr>
            <w:tcW w:w="834" w:type="dxa"/>
            <w:vMerge w:val="restart"/>
            <w:tcBorders>
              <w:top w:val="nil"/>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vMerge w:val="restart"/>
            <w:tcBorders>
              <w:top w:val="nil"/>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vMerge w:val="restart"/>
            <w:tcBorders>
              <w:top w:val="nil"/>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除泥器</w:t>
            </w:r>
          </w:p>
        </w:tc>
        <w:tc>
          <w:tcPr>
            <w:tcW w:w="1716"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834"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1014"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1254"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离心机</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LW450X842N</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restart"/>
            <w:tcBorders>
              <w:top w:val="nil"/>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九</w:t>
            </w:r>
          </w:p>
        </w:tc>
        <w:tc>
          <w:tcPr>
            <w:tcW w:w="913" w:type="dxa"/>
            <w:vMerge w:val="restart"/>
            <w:tcBorders>
              <w:top w:val="nil"/>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加重</w:t>
            </w:r>
          </w:p>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装置</w:t>
            </w: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加重漏斗</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电动加重泵</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zCs w:val="21"/>
                <w14:textFill>
                  <w14:solidFill>
                    <w14:schemeClr w14:val="tx1"/>
                  </w14:solidFill>
                </w14:textFill>
              </w:rPr>
            </w:pPr>
          </w:p>
        </w:tc>
      </w:tr>
      <w:bookmarkEnd w:id="23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restart"/>
            <w:tcBorders>
              <w:top w:val="single" w:color="auto" w:sz="2" w:space="0"/>
              <w:left w:val="single" w:color="auto" w:sz="2" w:space="0"/>
              <w:bottom w:val="single" w:color="auto" w:sz="2" w:space="0"/>
              <w:right w:val="single" w:color="auto" w:sz="2"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十</w:t>
            </w:r>
          </w:p>
        </w:tc>
        <w:tc>
          <w:tcPr>
            <w:tcW w:w="913" w:type="dxa"/>
            <w:vMerge w:val="restart"/>
            <w:tcBorders>
              <w:top w:val="single" w:color="auto" w:sz="2" w:space="0"/>
              <w:left w:val="single" w:color="auto" w:sz="2" w:space="0"/>
              <w:bottom w:val="single" w:color="auto" w:sz="2" w:space="0"/>
              <w:right w:val="single" w:color="auto" w:sz="2"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井控</w:t>
            </w:r>
          </w:p>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系统</w:t>
            </w:r>
          </w:p>
        </w:tc>
        <w:tc>
          <w:tcPr>
            <w:tcW w:w="200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双闸板防喷器</w:t>
            </w:r>
          </w:p>
        </w:tc>
        <w:tc>
          <w:tcPr>
            <w:tcW w:w="1716" w:type="dxa"/>
            <w:tcBorders>
              <w:top w:val="single" w:color="auto" w:sz="4" w:space="0"/>
              <w:left w:val="single" w:color="auto" w:sz="2"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2FZ35-21</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single" w:color="auto" w:sz="2" w:space="0"/>
              <w:left w:val="single" w:color="auto" w:sz="2" w:space="0"/>
              <w:bottom w:val="single" w:color="auto" w:sz="2" w:space="0"/>
              <w:right w:val="single" w:color="auto" w:sz="2"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控制装置</w:t>
            </w:r>
          </w:p>
        </w:tc>
        <w:tc>
          <w:tcPr>
            <w:tcW w:w="1716" w:type="dxa"/>
            <w:tcBorders>
              <w:top w:val="single" w:color="auto" w:sz="4" w:space="0"/>
              <w:left w:val="single" w:color="auto" w:sz="2"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4"/>
                <w14:textFill>
                  <w14:solidFill>
                    <w14:schemeClr w14:val="tx1"/>
                  </w14:solidFill>
                </w14:textFill>
              </w:rPr>
              <w:t>FKQ3204</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single" w:color="auto" w:sz="2"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single" w:color="auto" w:sz="2" w:space="0"/>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2"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节流管汇</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4"/>
                <w14:textFill>
                  <w14:solidFill>
                    <w14:schemeClr w14:val="tx1"/>
                  </w14:solidFill>
                </w14:textFill>
              </w:rPr>
              <w:t>JG-21</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压井管汇</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4"/>
                <w14:textFill>
                  <w14:solidFill>
                    <w14:schemeClr w14:val="tx1"/>
                  </w14:solidFill>
                </w14:textFill>
              </w:rPr>
              <w:t>YG-21</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液气分离器</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spacing w:val="4"/>
                <w14:textFill>
                  <w14:solidFill>
                    <w14:schemeClr w14:val="tx1"/>
                  </w14:solidFill>
                </w14:textFill>
              </w:rPr>
            </w:pPr>
            <w:r>
              <w:rPr>
                <w:rFonts w:ascii="Times New Roman" w:hAnsi="Times New Roman" w:cs="Times New Roman"/>
                <w:color w:val="000000" w:themeColor="text1"/>
                <w14:textFill>
                  <w14:solidFill>
                    <w14:schemeClr w14:val="tx1"/>
                  </w14:solidFill>
                </w14:textFill>
              </w:rPr>
              <w:t>YFQ-1200</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1套（处理量≥240m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十一</w:t>
            </w:r>
          </w:p>
        </w:tc>
        <w:tc>
          <w:tcPr>
            <w:tcW w:w="913"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仪器</w:t>
            </w:r>
          </w:p>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仪表</w:t>
            </w:r>
          </w:p>
        </w:tc>
        <w:tc>
          <w:tcPr>
            <w:tcW w:w="20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钻井参数仪表</w:t>
            </w:r>
          </w:p>
        </w:tc>
        <w:tc>
          <w:tcPr>
            <w:tcW w:w="17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八参数仪</w:t>
            </w:r>
          </w:p>
        </w:tc>
        <w:tc>
          <w:tcPr>
            <w:tcW w:w="8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01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2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9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14:textFill>
                  <w14:solidFill>
                    <w14:schemeClr w14:val="tx1"/>
                  </w14:solidFill>
                </w14:textFill>
              </w:rPr>
            </w:pPr>
          </w:p>
        </w:tc>
        <w:tc>
          <w:tcPr>
            <w:tcW w:w="20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测斜仪</w:t>
            </w:r>
          </w:p>
        </w:tc>
        <w:tc>
          <w:tcPr>
            <w:tcW w:w="171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单点，ESS多点</w:t>
            </w:r>
            <w:r>
              <w:rPr>
                <w:rFonts w:ascii="Times New Roman" w:hAnsi="Times New Roman" w:cs="Times New Roman"/>
                <w:color w:val="000000" w:themeColor="text1"/>
                <w14:textFill>
                  <w14:solidFill>
                    <w14:schemeClr w14:val="tx1"/>
                  </w14:solidFill>
                </w14:textFill>
              </w:rPr>
              <w:br w:type="textWrapping"/>
            </w:r>
            <w:r>
              <w:rPr>
                <w:rFonts w:ascii="Times New Roman" w:hAnsi="Times New Roman" w:cs="Times New Roman"/>
                <w:color w:val="000000" w:themeColor="text1"/>
                <w14:textFill>
                  <w14:solidFill>
                    <w14:schemeClr w14:val="tx1"/>
                  </w14:solidFill>
                </w14:textFill>
              </w:rPr>
              <w:t>和MWD</w:t>
            </w:r>
          </w:p>
        </w:tc>
        <w:tc>
          <w:tcPr>
            <w:tcW w:w="83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01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25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十二</w:t>
            </w:r>
          </w:p>
        </w:tc>
        <w:tc>
          <w:tcPr>
            <w:tcW w:w="913" w:type="dxa"/>
            <w:vMerge w:val="restart"/>
            <w:tcBorders>
              <w:top w:val="single" w:color="auto" w:sz="4" w:space="0"/>
              <w:left w:val="nil"/>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防硫设备</w:t>
            </w: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S监测仪</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便携式</w:t>
            </w: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913" w:type="dxa"/>
            <w:vMerge w:val="continue"/>
            <w:tcBorders>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防爆排风扇</w:t>
            </w: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十三</w:t>
            </w:r>
          </w:p>
        </w:tc>
        <w:tc>
          <w:tcPr>
            <w:tcW w:w="913"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液压大钳</w:t>
            </w:r>
          </w:p>
        </w:tc>
        <w:tc>
          <w:tcPr>
            <w:tcW w:w="2009"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716"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p>
        </w:tc>
        <w:tc>
          <w:tcPr>
            <w:tcW w:w="101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1套</w:t>
            </w:r>
          </w:p>
        </w:tc>
        <w:tc>
          <w:tcPr>
            <w:tcW w:w="1254" w:type="dxa"/>
            <w:tcBorders>
              <w:top w:val="single" w:color="auto" w:sz="4" w:space="0"/>
              <w:left w:val="nil"/>
              <w:bottom w:val="single" w:color="auto" w:sz="4" w:space="0"/>
              <w:right w:val="single" w:color="auto" w:sz="4" w:space="0"/>
            </w:tcBorders>
          </w:tcPr>
          <w:p>
            <w:pPr>
              <w:snapToGrid w:val="0"/>
              <w:jc w:val="center"/>
              <w:rPr>
                <w:rFonts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十四</w:t>
            </w:r>
          </w:p>
        </w:tc>
        <w:tc>
          <w:tcPr>
            <w:tcW w:w="913"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不落地系统</w:t>
            </w:r>
          </w:p>
        </w:tc>
        <w:tc>
          <w:tcPr>
            <w:tcW w:w="2009"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1716"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2套</w:t>
            </w:r>
          </w:p>
        </w:tc>
        <w:tc>
          <w:tcPr>
            <w:tcW w:w="1014"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十五</w:t>
            </w:r>
          </w:p>
        </w:tc>
        <w:tc>
          <w:tcPr>
            <w:tcW w:w="913"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净化罐</w:t>
            </w:r>
          </w:p>
        </w:tc>
        <w:tc>
          <w:tcPr>
            <w:tcW w:w="2009"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40m</w:t>
            </w:r>
            <w:r>
              <w:rPr>
                <w:rFonts w:ascii="Times New Roman" w:hAnsi="Times New Roman"/>
                <w:color w:val="000000" w:themeColor="text1"/>
                <w:vertAlign w:val="superscript"/>
                <w14:textFill>
                  <w14:solidFill>
                    <w14:schemeClr w14:val="tx1"/>
                  </w14:solidFill>
                </w14:textFill>
              </w:rPr>
              <w:t>3</w:t>
            </w:r>
          </w:p>
        </w:tc>
        <w:tc>
          <w:tcPr>
            <w:tcW w:w="1716"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4个</w:t>
            </w:r>
          </w:p>
        </w:tc>
        <w:tc>
          <w:tcPr>
            <w:tcW w:w="1014"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十六</w:t>
            </w:r>
          </w:p>
        </w:tc>
        <w:tc>
          <w:tcPr>
            <w:tcW w:w="913"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套装水罐</w:t>
            </w:r>
          </w:p>
        </w:tc>
        <w:tc>
          <w:tcPr>
            <w:tcW w:w="2009"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60m</w:t>
            </w:r>
            <w:r>
              <w:rPr>
                <w:rFonts w:ascii="Times New Roman" w:hAnsi="Times New Roman"/>
                <w:color w:val="000000" w:themeColor="text1"/>
                <w:vertAlign w:val="superscript"/>
                <w14:textFill>
                  <w14:solidFill>
                    <w14:schemeClr w14:val="tx1"/>
                  </w14:solidFill>
                </w14:textFill>
              </w:rPr>
              <w:t>3</w:t>
            </w:r>
          </w:p>
        </w:tc>
        <w:tc>
          <w:tcPr>
            <w:tcW w:w="1716"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1个</w:t>
            </w:r>
          </w:p>
        </w:tc>
        <w:tc>
          <w:tcPr>
            <w:tcW w:w="1014"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十七</w:t>
            </w:r>
          </w:p>
        </w:tc>
        <w:tc>
          <w:tcPr>
            <w:tcW w:w="913"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油水罐</w:t>
            </w:r>
          </w:p>
        </w:tc>
        <w:tc>
          <w:tcPr>
            <w:tcW w:w="2009"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40m</w:t>
            </w:r>
            <w:r>
              <w:rPr>
                <w:rFonts w:ascii="Times New Roman" w:hAnsi="Times New Roman"/>
                <w:color w:val="000000" w:themeColor="text1"/>
                <w:vertAlign w:val="superscript"/>
                <w14:textFill>
                  <w14:solidFill>
                    <w14:schemeClr w14:val="tx1"/>
                  </w14:solidFill>
                </w14:textFill>
              </w:rPr>
              <w:t>3</w:t>
            </w:r>
          </w:p>
        </w:tc>
        <w:tc>
          <w:tcPr>
            <w:tcW w:w="1716"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3个</w:t>
            </w:r>
          </w:p>
        </w:tc>
        <w:tc>
          <w:tcPr>
            <w:tcW w:w="1014"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十八</w:t>
            </w:r>
          </w:p>
        </w:tc>
        <w:tc>
          <w:tcPr>
            <w:tcW w:w="913"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柴油</w:t>
            </w:r>
            <w:r>
              <w:rPr>
                <w:rFonts w:hint="eastAsia" w:ascii="Times New Roman" w:hAnsi="Times New Roman" w:cs="Times New Roman"/>
                <w:color w:val="000000" w:themeColor="text1"/>
                <w:lang w:val="en-US" w:eastAsia="zh-CN"/>
                <w14:textFill>
                  <w14:solidFill>
                    <w14:schemeClr w14:val="tx1"/>
                  </w14:solidFill>
                </w14:textFill>
              </w:rPr>
              <w:t>储</w:t>
            </w:r>
            <w:r>
              <w:rPr>
                <w:rFonts w:ascii="Times New Roman" w:hAnsi="Times New Roman" w:cs="Times New Roman"/>
                <w:color w:val="000000" w:themeColor="text1"/>
                <w14:textFill>
                  <w14:solidFill>
                    <w14:schemeClr w14:val="tx1"/>
                  </w14:solidFill>
                </w14:textFill>
              </w:rPr>
              <w:t>罐</w:t>
            </w:r>
          </w:p>
        </w:tc>
        <w:tc>
          <w:tcPr>
            <w:tcW w:w="2009"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20m</w:t>
            </w:r>
            <w:r>
              <w:rPr>
                <w:rFonts w:ascii="Times New Roman" w:hAnsi="Times New Roman"/>
                <w:color w:val="000000" w:themeColor="text1"/>
                <w:vertAlign w:val="superscript"/>
                <w14:textFill>
                  <w14:solidFill>
                    <w14:schemeClr w14:val="tx1"/>
                  </w14:solidFill>
                </w14:textFill>
              </w:rPr>
              <w:t>3</w:t>
            </w:r>
          </w:p>
        </w:tc>
        <w:tc>
          <w:tcPr>
            <w:tcW w:w="1716"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1个</w:t>
            </w:r>
          </w:p>
        </w:tc>
        <w:tc>
          <w:tcPr>
            <w:tcW w:w="1014"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283"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十九</w:t>
            </w:r>
          </w:p>
        </w:tc>
        <w:tc>
          <w:tcPr>
            <w:tcW w:w="913"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岩屑储罐</w:t>
            </w:r>
          </w:p>
        </w:tc>
        <w:tc>
          <w:tcPr>
            <w:tcW w:w="2009"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60m</w:t>
            </w:r>
            <w:r>
              <w:rPr>
                <w:rFonts w:ascii="Times New Roman" w:hAnsi="Times New Roman"/>
                <w:color w:val="000000" w:themeColor="text1"/>
                <w:vertAlign w:val="superscript"/>
                <w14:textFill>
                  <w14:solidFill>
                    <w14:schemeClr w14:val="tx1"/>
                  </w14:solidFill>
                </w14:textFill>
              </w:rPr>
              <w:t>3</w:t>
            </w:r>
          </w:p>
        </w:tc>
        <w:tc>
          <w:tcPr>
            <w:tcW w:w="1716"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834" w:type="dxa"/>
            <w:tcBorders>
              <w:top w:val="single" w:color="auto" w:sz="4" w:space="0"/>
              <w:left w:val="nil"/>
              <w:bottom w:val="single" w:color="auto" w:sz="4" w:space="0"/>
              <w:right w:val="single" w:color="auto" w:sz="4" w:space="0"/>
            </w:tcBorders>
            <w:vAlign w:val="center"/>
          </w:tcPr>
          <w:p>
            <w:pPr>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8个</w:t>
            </w:r>
          </w:p>
        </w:tc>
        <w:tc>
          <w:tcPr>
            <w:tcW w:w="1014" w:type="dxa"/>
            <w:tcBorders>
              <w:top w:val="single" w:color="auto" w:sz="4" w:space="0"/>
              <w:left w:val="nil"/>
              <w:bottom w:val="single" w:color="auto" w:sz="4" w:space="0"/>
              <w:right w:val="single" w:color="auto" w:sz="4" w:space="0"/>
            </w:tcBorders>
            <w:vAlign w:val="center"/>
          </w:tcPr>
          <w:p>
            <w:pPr>
              <w:pStyle w:val="34"/>
              <w:ind w:left="0"/>
              <w:rPr>
                <w:rFonts w:ascii="Times New Roman" w:hAnsi="Times New Roman"/>
                <w:color w:val="000000" w:themeColor="text1"/>
                <w14:textFill>
                  <w14:solidFill>
                    <w14:schemeClr w14:val="tx1"/>
                  </w14:solidFill>
                </w14:textFill>
              </w:rPr>
            </w:pPr>
          </w:p>
        </w:tc>
        <w:tc>
          <w:tcPr>
            <w:tcW w:w="1254" w:type="dxa"/>
            <w:tcBorders>
              <w:top w:val="single" w:color="auto" w:sz="4" w:space="0"/>
              <w:left w:val="nil"/>
              <w:bottom w:val="single" w:color="auto" w:sz="4" w:space="0"/>
              <w:right w:val="single" w:color="auto" w:sz="4" w:space="0"/>
            </w:tcBorders>
            <w:vAlign w:val="center"/>
          </w:tcPr>
          <w:p>
            <w:pPr>
              <w:pStyle w:val="34"/>
              <w:ind w:left="0"/>
              <w:jc w:val="both"/>
              <w:rPr>
                <w:rFonts w:ascii="Times New Roman" w:hAnsi="Times New Roman"/>
                <w:color w:val="000000" w:themeColor="text1"/>
                <w14:textFill>
                  <w14:solidFill>
                    <w14:schemeClr w14:val="tx1"/>
                  </w14:solidFill>
                </w14:textFill>
              </w:rPr>
            </w:pPr>
          </w:p>
        </w:tc>
      </w:tr>
      <w:bookmarkEnd w:id="233"/>
    </w:tbl>
    <w:p>
      <w:pPr>
        <w:spacing w:line="360" w:lineRule="auto"/>
        <w:outlineLvl w:val="3"/>
        <w:rPr>
          <w:rFonts w:ascii="Times New Roman" w:hAnsi="Times New Roman" w:eastAsia="宋体" w:cs="Times New Roman"/>
          <w:bCs/>
          <w:snapToGrid w:val="0"/>
          <w:color w:val="000000" w:themeColor="text1"/>
          <w:kern w:val="0"/>
          <w:sz w:val="28"/>
          <w:szCs w:val="28"/>
          <w14:textFill>
            <w14:solidFill>
              <w14:schemeClr w14:val="tx1"/>
            </w14:solidFill>
          </w14:textFill>
        </w:rPr>
      </w:pPr>
      <w:r>
        <w:rPr>
          <w:rFonts w:ascii="Times New Roman" w:hAnsi="Times New Roman" w:eastAsia="宋体" w:cs="Times New Roman"/>
          <w:bCs/>
          <w:snapToGrid w:val="0"/>
          <w:color w:val="000000" w:themeColor="text1"/>
          <w:kern w:val="0"/>
          <w:sz w:val="28"/>
          <w:szCs w:val="28"/>
          <w14:textFill>
            <w14:solidFill>
              <w14:schemeClr w14:val="tx1"/>
            </w14:solidFill>
          </w14:textFill>
        </w:rPr>
        <w:t>3.5.2.4钻井液体系</w:t>
      </w:r>
    </w:p>
    <w:p>
      <w:pPr>
        <w:pStyle w:val="25"/>
        <w:spacing w:line="360" w:lineRule="auto"/>
        <w:ind w:firstLine="480" w:firstLineChars="200"/>
        <w:jc w:val="left"/>
        <w:rPr>
          <w:rFonts w:ascii="Times New Roman" w:hAnsi="Times New Roman" w:eastAsia="宋体" w:cs="Times New Roman"/>
          <w:b w:val="0"/>
          <w:bCs/>
          <w:color w:val="000000" w:themeColor="text1"/>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根据钻井工程设计，本项目新配水基钻井液用量为：单井一开</w:t>
      </w:r>
      <w:r>
        <w:rPr>
          <w:rFonts w:hint="eastAsia" w:ascii="Times New Roman" w:hAnsi="Times New Roman" w:eastAsia="宋体" w:cs="Times New Roman"/>
          <w:b w:val="0"/>
          <w:bCs/>
          <w:color w:val="000000" w:themeColor="text1"/>
          <w14:textFill>
            <w14:solidFill>
              <w14:schemeClr w14:val="tx1"/>
            </w14:solidFill>
          </w14:textFill>
        </w:rPr>
        <w:t>钻井液体系为</w:t>
      </w:r>
      <w:r>
        <w:rPr>
          <w:rFonts w:ascii="Times New Roman" w:hAnsi="Times New Roman" w:eastAsia="宋体" w:cs="Times New Roman"/>
          <w:b w:val="0"/>
          <w:bCs/>
          <w:color w:val="000000" w:themeColor="text1"/>
          <w14:textFill>
            <w14:solidFill>
              <w14:schemeClr w14:val="tx1"/>
            </w14:solidFill>
          </w14:textFill>
        </w:rPr>
        <w:t>坂土-CMC钻井液体系</w:t>
      </w:r>
      <w:r>
        <w:rPr>
          <w:rFonts w:hint="eastAsia" w:ascii="Times New Roman" w:hAnsi="Times New Roman" w:eastAsia="宋体" w:cs="Times New Roman"/>
          <w:b w:val="0"/>
          <w:bCs/>
          <w:color w:val="000000" w:themeColor="text1"/>
          <w14:textFill>
            <w14:solidFill>
              <w14:schemeClr w14:val="tx1"/>
            </w14:solidFill>
          </w14:textFill>
        </w:rPr>
        <w:t>（主要为坂土、</w:t>
      </w:r>
      <w:r>
        <w:rPr>
          <w:rFonts w:ascii="Times New Roman" w:hAnsi="Times New Roman" w:eastAsia="宋体" w:cs="Times New Roman"/>
          <w:b w:val="0"/>
          <w:bCs/>
          <w:color w:val="000000" w:themeColor="text1"/>
          <w14:textFill>
            <w14:solidFill>
              <w14:schemeClr w14:val="tx1"/>
            </w14:solidFill>
          </w14:textFill>
        </w:rPr>
        <w:t>Na</w:t>
      </w:r>
      <w:r>
        <w:rPr>
          <w:rFonts w:ascii="Times New Roman" w:hAnsi="Times New Roman" w:eastAsia="宋体" w:cs="Times New Roman"/>
          <w:b w:val="0"/>
          <w:bCs/>
          <w:color w:val="000000" w:themeColor="text1"/>
          <w:vertAlign w:val="subscript"/>
          <w14:textFill>
            <w14:solidFill>
              <w14:schemeClr w14:val="tx1"/>
            </w14:solidFill>
          </w14:textFill>
        </w:rPr>
        <w:t>2</w:t>
      </w:r>
      <w:r>
        <w:rPr>
          <w:rFonts w:ascii="Times New Roman" w:hAnsi="Times New Roman" w:eastAsia="宋体" w:cs="Times New Roman"/>
          <w:b w:val="0"/>
          <w:bCs/>
          <w:color w:val="000000" w:themeColor="text1"/>
          <w14:textFill>
            <w14:solidFill>
              <w14:schemeClr w14:val="tx1"/>
            </w14:solidFill>
          </w14:textFill>
        </w:rPr>
        <w:t>CO</w:t>
      </w:r>
      <w:r>
        <w:rPr>
          <w:rFonts w:ascii="Times New Roman" w:hAnsi="Times New Roman" w:eastAsia="宋体" w:cs="Times New Roman"/>
          <w:b w:val="0"/>
          <w:bCs/>
          <w:color w:val="000000" w:themeColor="text1"/>
          <w:vertAlign w:val="subscript"/>
          <w14:textFill>
            <w14:solidFill>
              <w14:schemeClr w14:val="tx1"/>
            </w14:solidFill>
          </w14:textFill>
        </w:rPr>
        <w:t>3</w:t>
      </w:r>
      <w:r>
        <w:rPr>
          <w:rFonts w:hint="eastAsia" w:ascii="Times New Roman" w:hAnsi="Times New Roman" w:eastAsia="宋体" w:cs="Times New Roman"/>
          <w:b w:val="0"/>
          <w:bCs/>
          <w:color w:val="000000" w:themeColor="text1"/>
          <w14:textFill>
            <w14:solidFill>
              <w14:schemeClr w14:val="tx1"/>
            </w14:solidFill>
          </w14:textFill>
        </w:rPr>
        <w:t>、</w:t>
      </w:r>
      <w:r>
        <w:rPr>
          <w:rFonts w:ascii="Times New Roman" w:hAnsi="Times New Roman" w:eastAsia="宋体" w:cs="Times New Roman"/>
          <w:b w:val="0"/>
          <w:bCs/>
          <w:color w:val="000000" w:themeColor="text1"/>
          <w14:textFill>
            <w14:solidFill>
              <w14:schemeClr w14:val="tx1"/>
            </w14:solidFill>
          </w14:textFill>
        </w:rPr>
        <w:t>CMC（中）</w:t>
      </w:r>
      <w:r>
        <w:rPr>
          <w:rFonts w:hint="eastAsia" w:ascii="Times New Roman" w:hAnsi="Times New Roman" w:eastAsia="宋体" w:cs="Times New Roman"/>
          <w:b w:val="0"/>
          <w:bCs/>
          <w:color w:val="000000" w:themeColor="text1"/>
          <w14:textFill>
            <w14:solidFill>
              <w14:schemeClr w14:val="tx1"/>
            </w14:solidFill>
          </w14:textFill>
        </w:rPr>
        <w:t>、</w:t>
      </w:r>
      <w:r>
        <w:rPr>
          <w:rFonts w:ascii="Times New Roman" w:hAnsi="Times New Roman" w:eastAsia="宋体" w:cs="Times New Roman"/>
          <w:b w:val="0"/>
          <w:bCs/>
          <w:color w:val="000000" w:themeColor="text1"/>
          <w14:textFill>
            <w14:solidFill>
              <w14:schemeClr w14:val="tx1"/>
            </w14:solidFill>
          </w14:textFill>
        </w:rPr>
        <w:t>重晶石</w:t>
      </w:r>
      <w:r>
        <w:rPr>
          <w:rFonts w:hint="eastAsia" w:ascii="Times New Roman" w:hAnsi="Times New Roman" w:eastAsia="宋体" w:cs="Times New Roman"/>
          <w:b w:val="0"/>
          <w:bCs/>
          <w:color w:val="000000" w:themeColor="text1"/>
          <w14:textFill>
            <w14:solidFill>
              <w14:schemeClr w14:val="tx1"/>
            </w14:solidFill>
          </w14:textFill>
        </w:rPr>
        <w:t>），</w:t>
      </w:r>
      <w:r>
        <w:rPr>
          <w:rFonts w:ascii="Times New Roman" w:hAnsi="Times New Roman" w:eastAsia="宋体" w:cs="Times New Roman"/>
          <w:b w:val="0"/>
          <w:bCs/>
          <w:color w:val="000000" w:themeColor="text1"/>
          <w14:textFill>
            <w14:solidFill>
              <w14:schemeClr w14:val="tx1"/>
            </w14:solidFill>
          </w14:textFill>
        </w:rPr>
        <w:t>钻井液使用量约77m</w:t>
      </w:r>
      <w:r>
        <w:rPr>
          <w:rFonts w:ascii="Times New Roman" w:hAnsi="Times New Roman" w:eastAsia="宋体" w:cs="Times New Roman"/>
          <w:b w:val="0"/>
          <w:bCs/>
          <w:color w:val="000000" w:themeColor="text1"/>
          <w:vertAlign w:val="superscript"/>
          <w14:textFill>
            <w14:solidFill>
              <w14:schemeClr w14:val="tx1"/>
            </w14:solidFill>
          </w14:textFill>
        </w:rPr>
        <w:t>3</w:t>
      </w:r>
      <w:r>
        <w:rPr>
          <w:rFonts w:ascii="Times New Roman" w:hAnsi="Times New Roman" w:eastAsia="宋体" w:cs="Times New Roman"/>
          <w:b w:val="0"/>
          <w:bCs/>
          <w:color w:val="000000" w:themeColor="text1"/>
          <w14:textFill>
            <w14:solidFill>
              <w14:schemeClr w14:val="tx1"/>
            </w14:solidFill>
          </w14:textFill>
        </w:rPr>
        <w:t>，二开钻井液</w:t>
      </w:r>
      <w:r>
        <w:rPr>
          <w:rFonts w:hint="eastAsia" w:ascii="Times New Roman" w:hAnsi="Times New Roman" w:eastAsia="宋体" w:cs="Times New Roman"/>
          <w:b w:val="0"/>
          <w:bCs/>
          <w:color w:val="000000" w:themeColor="text1"/>
          <w14:textFill>
            <w14:solidFill>
              <w14:schemeClr w14:val="tx1"/>
            </w14:solidFill>
          </w14:textFill>
        </w:rPr>
        <w:t>体系为钾钙基聚合物钻井完井液体系（坂土、</w:t>
      </w:r>
      <w:r>
        <w:rPr>
          <w:rFonts w:ascii="Times New Roman" w:hAnsi="Times New Roman" w:eastAsia="宋体" w:cs="Times New Roman"/>
          <w:b w:val="0"/>
          <w:bCs/>
          <w:color w:val="000000" w:themeColor="text1"/>
          <w14:textFill>
            <w14:solidFill>
              <w14:schemeClr w14:val="tx1"/>
            </w14:solidFill>
          </w14:textFill>
        </w:rPr>
        <w:t>Na</w:t>
      </w:r>
      <w:r>
        <w:rPr>
          <w:rFonts w:ascii="Times New Roman" w:hAnsi="Times New Roman" w:eastAsia="宋体" w:cs="Times New Roman"/>
          <w:b w:val="0"/>
          <w:bCs/>
          <w:color w:val="000000" w:themeColor="text1"/>
          <w:vertAlign w:val="subscript"/>
          <w14:textFill>
            <w14:solidFill>
              <w14:schemeClr w14:val="tx1"/>
            </w14:solidFill>
          </w14:textFill>
        </w:rPr>
        <w:t>2</w:t>
      </w:r>
      <w:r>
        <w:rPr>
          <w:rFonts w:ascii="Times New Roman" w:hAnsi="Times New Roman" w:eastAsia="宋体" w:cs="Times New Roman"/>
          <w:b w:val="0"/>
          <w:bCs/>
          <w:color w:val="000000" w:themeColor="text1"/>
          <w14:textFill>
            <w14:solidFill>
              <w14:schemeClr w14:val="tx1"/>
            </w14:solidFill>
          </w14:textFill>
        </w:rPr>
        <w:t>CO</w:t>
      </w:r>
      <w:r>
        <w:rPr>
          <w:rFonts w:ascii="Times New Roman" w:hAnsi="Times New Roman" w:eastAsia="宋体" w:cs="Times New Roman"/>
          <w:b w:val="0"/>
          <w:bCs/>
          <w:color w:val="000000" w:themeColor="text1"/>
          <w:vertAlign w:val="subscript"/>
          <w14:textFill>
            <w14:solidFill>
              <w14:schemeClr w14:val="tx1"/>
            </w14:solidFill>
          </w14:textFill>
        </w:rPr>
        <w:t>3</w:t>
      </w:r>
      <w:r>
        <w:rPr>
          <w:rFonts w:hint="eastAsia" w:ascii="Times New Roman" w:hAnsi="Times New Roman" w:eastAsia="宋体" w:cs="Times New Roman"/>
          <w:b w:val="0"/>
          <w:bCs/>
          <w:color w:val="000000" w:themeColor="text1"/>
          <w14:textFill>
            <w14:solidFill>
              <w14:schemeClr w14:val="tx1"/>
            </w14:solidFill>
          </w14:textFill>
        </w:rPr>
        <w:t>、NaOH、复配铵盐等），</w:t>
      </w:r>
      <w:r>
        <w:rPr>
          <w:rFonts w:ascii="Times New Roman" w:hAnsi="Times New Roman" w:eastAsia="宋体" w:cs="Times New Roman"/>
          <w:b w:val="0"/>
          <w:bCs/>
          <w:color w:val="000000" w:themeColor="text1"/>
          <w14:textFill>
            <w14:solidFill>
              <w14:schemeClr w14:val="tx1"/>
            </w14:solidFill>
          </w14:textFill>
        </w:rPr>
        <w:t>使用量约97m</w:t>
      </w:r>
      <w:r>
        <w:rPr>
          <w:rFonts w:ascii="Times New Roman" w:hAnsi="Times New Roman" w:eastAsia="宋体" w:cs="Times New Roman"/>
          <w:b w:val="0"/>
          <w:bCs/>
          <w:color w:val="000000" w:themeColor="text1"/>
          <w:vertAlign w:val="superscript"/>
          <w14:textFill>
            <w14:solidFill>
              <w14:schemeClr w14:val="tx1"/>
            </w14:solidFill>
          </w14:textFill>
        </w:rPr>
        <w:t>3</w:t>
      </w:r>
      <w:r>
        <w:rPr>
          <w:rFonts w:ascii="Times New Roman" w:hAnsi="Times New Roman" w:eastAsia="宋体" w:cs="Times New Roman"/>
          <w:b w:val="0"/>
          <w:bCs/>
          <w:color w:val="000000" w:themeColor="text1"/>
          <w14:textFill>
            <w14:solidFill>
              <w14:schemeClr w14:val="tx1"/>
            </w14:solidFill>
          </w14:textFill>
        </w:rPr>
        <w:t>。本项目有</w:t>
      </w:r>
      <w:r>
        <w:rPr>
          <w:rFonts w:hint="eastAsia" w:ascii="Times New Roman" w:hAnsi="Times New Roman" w:eastAsia="宋体" w:cs="Times New Roman"/>
          <w:b w:val="0"/>
          <w:bCs/>
          <w:color w:val="000000" w:themeColor="text1"/>
          <w14:textFill>
            <w14:solidFill>
              <w14:schemeClr w14:val="tx1"/>
            </w14:solidFill>
          </w14:textFill>
        </w:rPr>
        <w:t>28</w:t>
      </w:r>
      <w:r>
        <w:rPr>
          <w:rFonts w:ascii="Times New Roman" w:hAnsi="Times New Roman" w:eastAsia="宋体" w:cs="Times New Roman"/>
          <w:b w:val="0"/>
          <w:bCs/>
          <w:color w:val="000000" w:themeColor="text1"/>
          <w14:textFill>
            <w14:solidFill>
              <w14:schemeClr w14:val="tx1"/>
            </w14:solidFill>
          </w14:textFill>
        </w:rPr>
        <w:t>口钻井，则本项目钻井液用量为</w:t>
      </w:r>
      <w:r>
        <w:rPr>
          <w:rFonts w:hint="eastAsia" w:ascii="Times New Roman" w:hAnsi="Times New Roman" w:eastAsia="宋体" w:cs="Times New Roman"/>
          <w:b w:val="0"/>
          <w:bCs/>
          <w:color w:val="000000" w:themeColor="text1"/>
          <w14:textFill>
            <w14:solidFill>
              <w14:schemeClr w14:val="tx1"/>
            </w14:solidFill>
          </w14:textFill>
        </w:rPr>
        <w:t>4872</w:t>
      </w:r>
      <w:r>
        <w:rPr>
          <w:rFonts w:ascii="Times New Roman" w:hAnsi="Times New Roman" w:eastAsia="宋体" w:cs="Times New Roman"/>
          <w:b w:val="0"/>
          <w:bCs/>
          <w:color w:val="000000" w:themeColor="text1"/>
          <w14:textFill>
            <w14:solidFill>
              <w14:schemeClr w14:val="tx1"/>
            </w14:solidFill>
          </w14:textFill>
        </w:rPr>
        <w:t>m</w:t>
      </w:r>
      <w:r>
        <w:rPr>
          <w:rFonts w:ascii="Times New Roman" w:hAnsi="Times New Roman" w:eastAsia="宋体" w:cs="Times New Roman"/>
          <w:b w:val="0"/>
          <w:bCs/>
          <w:color w:val="000000" w:themeColor="text1"/>
          <w:vertAlign w:val="superscript"/>
          <w14:textFill>
            <w14:solidFill>
              <w14:schemeClr w14:val="tx1"/>
            </w14:solidFill>
          </w14:textFill>
        </w:rPr>
        <w:t>3</w:t>
      </w:r>
      <w:r>
        <w:rPr>
          <w:rFonts w:ascii="Times New Roman" w:hAnsi="Times New Roman" w:eastAsia="宋体" w:cs="Times New Roman"/>
          <w:b w:val="0"/>
          <w:bCs/>
          <w:color w:val="000000" w:themeColor="text1"/>
          <w14:textFill>
            <w14:solidFill>
              <w14:schemeClr w14:val="tx1"/>
            </w14:solidFill>
          </w14:textFill>
        </w:rPr>
        <w:t>。</w:t>
      </w:r>
    </w:p>
    <w:p>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钻井液性能指标见表3.5-5。</w:t>
      </w:r>
    </w:p>
    <w:p>
      <w:pPr>
        <w:adjustRightInd w:val="0"/>
        <w:snapToGrid w:val="0"/>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表3.5-5  钻井液性能指标</w:t>
      </w:r>
    </w:p>
    <w:tbl>
      <w:tblPr>
        <w:tblStyle w:val="23"/>
        <w:tblW w:w="84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36"/>
        <w:gridCol w:w="853"/>
        <w:gridCol w:w="1100"/>
        <w:gridCol w:w="1097"/>
        <w:gridCol w:w="971"/>
        <w:gridCol w:w="1079"/>
        <w:gridCol w:w="1139"/>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1036" w:type="dxa"/>
            <w:vAlign w:val="center"/>
          </w:tcPr>
          <w:p>
            <w:pPr>
              <w:pStyle w:val="56"/>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密度</w:t>
            </w:r>
            <w:r>
              <w:rPr>
                <w:rFonts w:hint="eastAsia" w:ascii="Times New Roman" w:hAnsi="Times New Roman" w:eastAsia="宋体" w:cs="Times New Roman"/>
                <w:b/>
                <w:bCs/>
                <w:color w:val="000000" w:themeColor="text1"/>
                <w:sz w:val="21"/>
                <w:szCs w:val="21"/>
                <w14:textFill>
                  <w14:solidFill>
                    <w14:schemeClr w14:val="tx1"/>
                  </w14:solidFill>
                </w14:textFill>
              </w:rPr>
              <w:t>（</w:t>
            </w:r>
            <w:r>
              <w:rPr>
                <w:rFonts w:ascii="Times New Roman" w:hAnsi="Times New Roman" w:eastAsia="宋体" w:cs="Times New Roman"/>
                <w:b/>
                <w:bCs/>
                <w:color w:val="000000" w:themeColor="text1"/>
                <w:sz w:val="21"/>
                <w:szCs w:val="21"/>
                <w14:textFill>
                  <w14:solidFill>
                    <w14:schemeClr w14:val="tx1"/>
                  </w14:solidFill>
                </w14:textFill>
              </w:rPr>
              <w:t>g/cm</w:t>
            </w:r>
            <w:r>
              <w:rPr>
                <w:rFonts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b/>
                <w:bCs/>
                <w:color w:val="000000" w:themeColor="text1"/>
                <w:sz w:val="21"/>
                <w:szCs w:val="21"/>
                <w14:textFill>
                  <w14:solidFill>
                    <w14:schemeClr w14:val="tx1"/>
                  </w14:solidFill>
                </w14:textFill>
              </w:rPr>
              <w:t>）</w:t>
            </w:r>
          </w:p>
        </w:tc>
        <w:tc>
          <w:tcPr>
            <w:tcW w:w="853" w:type="dxa"/>
            <w:vAlign w:val="center"/>
          </w:tcPr>
          <w:p>
            <w:pPr>
              <w:pStyle w:val="56"/>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粘度</w:t>
            </w:r>
            <w:r>
              <w:rPr>
                <w:rFonts w:hint="eastAsia" w:ascii="Times New Roman" w:hAnsi="Times New Roman" w:eastAsia="宋体" w:cs="Times New Roman"/>
                <w:b/>
                <w:bCs/>
                <w:color w:val="000000" w:themeColor="text1"/>
                <w:sz w:val="21"/>
                <w:szCs w:val="21"/>
                <w14:textFill>
                  <w14:solidFill>
                    <w14:schemeClr w14:val="tx1"/>
                  </w14:solidFill>
                </w14:textFill>
              </w:rPr>
              <w:t>（</w:t>
            </w:r>
            <w:r>
              <w:rPr>
                <w:rFonts w:ascii="Times New Roman" w:hAnsi="Times New Roman" w:eastAsia="宋体" w:cs="Times New Roman"/>
                <w:b/>
                <w:bCs/>
                <w:color w:val="000000" w:themeColor="text1"/>
                <w:sz w:val="21"/>
                <w:szCs w:val="21"/>
                <w14:textFill>
                  <w14:solidFill>
                    <w14:schemeClr w14:val="tx1"/>
                  </w14:solidFill>
                </w14:textFill>
              </w:rPr>
              <w:t>s</w:t>
            </w:r>
            <w:r>
              <w:rPr>
                <w:rFonts w:hint="eastAsia" w:ascii="Times New Roman" w:hAnsi="Times New Roman" w:eastAsia="宋体" w:cs="Times New Roman"/>
                <w:b/>
                <w:bCs/>
                <w:color w:val="000000" w:themeColor="text1"/>
                <w:sz w:val="21"/>
                <w:szCs w:val="21"/>
                <w14:textFill>
                  <w14:solidFill>
                    <w14:schemeClr w14:val="tx1"/>
                  </w14:solidFill>
                </w14:textFill>
              </w:rPr>
              <w:t>）</w:t>
            </w:r>
          </w:p>
        </w:tc>
        <w:tc>
          <w:tcPr>
            <w:tcW w:w="1100" w:type="dxa"/>
            <w:vAlign w:val="center"/>
          </w:tcPr>
          <w:p>
            <w:pPr>
              <w:pStyle w:val="56"/>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滤失量</w:t>
            </w:r>
            <w:r>
              <w:rPr>
                <w:rFonts w:hint="eastAsia" w:ascii="Times New Roman" w:hAnsi="Times New Roman" w:eastAsia="宋体" w:cs="Times New Roman"/>
                <w:b/>
                <w:bCs/>
                <w:color w:val="000000" w:themeColor="text1"/>
                <w:sz w:val="21"/>
                <w:szCs w:val="21"/>
                <w14:textFill>
                  <w14:solidFill>
                    <w14:schemeClr w14:val="tx1"/>
                  </w14:solidFill>
                </w14:textFill>
              </w:rPr>
              <w:t>（</w:t>
            </w:r>
            <w:r>
              <w:rPr>
                <w:rFonts w:ascii="Times New Roman" w:hAnsi="Times New Roman" w:eastAsia="宋体" w:cs="Times New Roman"/>
                <w:b/>
                <w:bCs/>
                <w:color w:val="000000" w:themeColor="text1"/>
                <w:sz w:val="21"/>
                <w:szCs w:val="21"/>
                <w14:textFill>
                  <w14:solidFill>
                    <w14:schemeClr w14:val="tx1"/>
                  </w14:solidFill>
                </w14:textFill>
              </w:rPr>
              <w:t>m</w:t>
            </w:r>
            <w:r>
              <w:rPr>
                <w:rFonts w:hint="eastAsia" w:ascii="Times New Roman" w:hAnsi="Times New Roman" w:eastAsia="宋体" w:cs="Times New Roman"/>
                <w:b/>
                <w:bCs/>
                <w:color w:val="000000" w:themeColor="text1"/>
                <w:sz w:val="21"/>
                <w:szCs w:val="21"/>
                <w14:textFill>
                  <w14:solidFill>
                    <w14:schemeClr w14:val="tx1"/>
                  </w14:solidFill>
                </w14:textFill>
              </w:rPr>
              <w:t>L）</w:t>
            </w:r>
          </w:p>
        </w:tc>
        <w:tc>
          <w:tcPr>
            <w:tcW w:w="1097" w:type="dxa"/>
            <w:vAlign w:val="center"/>
          </w:tcPr>
          <w:p>
            <w:pPr>
              <w:pStyle w:val="56"/>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含砂</w:t>
            </w:r>
            <w:r>
              <w:rPr>
                <w:rFonts w:hint="eastAsia" w:ascii="Times New Roman" w:hAnsi="Times New Roman" w:eastAsia="宋体" w:cs="Times New Roman"/>
                <w:b/>
                <w:bCs/>
                <w:color w:val="000000" w:themeColor="text1"/>
                <w:sz w:val="21"/>
                <w:szCs w:val="21"/>
                <w14:textFill>
                  <w14:solidFill>
                    <w14:schemeClr w14:val="tx1"/>
                  </w14:solidFill>
                </w14:textFill>
              </w:rPr>
              <w:t>（</w:t>
            </w:r>
            <w:r>
              <w:rPr>
                <w:rFonts w:ascii="Times New Roman" w:hAnsi="Times New Roman" w:eastAsia="宋体" w:cs="Times New Roman"/>
                <w:b/>
                <w:bCs/>
                <w:color w:val="000000" w:themeColor="text1"/>
                <w:sz w:val="21"/>
                <w:szCs w:val="21"/>
                <w14:textFill>
                  <w14:solidFill>
                    <w14:schemeClr w14:val="tx1"/>
                  </w14:solidFill>
                </w14:textFill>
              </w:rPr>
              <w:t>%</w:t>
            </w:r>
            <w:r>
              <w:rPr>
                <w:rFonts w:hint="eastAsia" w:ascii="Times New Roman" w:hAnsi="Times New Roman" w:eastAsia="宋体" w:cs="Times New Roman"/>
                <w:b/>
                <w:bCs/>
                <w:color w:val="000000" w:themeColor="text1"/>
                <w:sz w:val="21"/>
                <w:szCs w:val="21"/>
                <w14:textFill>
                  <w14:solidFill>
                    <w14:schemeClr w14:val="tx1"/>
                  </w14:solidFill>
                </w14:textFill>
              </w:rPr>
              <w:t>）</w:t>
            </w:r>
          </w:p>
        </w:tc>
        <w:tc>
          <w:tcPr>
            <w:tcW w:w="971" w:type="dxa"/>
            <w:vAlign w:val="center"/>
          </w:tcPr>
          <w:p>
            <w:pPr>
              <w:pStyle w:val="56"/>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pH</w:t>
            </w:r>
          </w:p>
        </w:tc>
        <w:tc>
          <w:tcPr>
            <w:tcW w:w="1079" w:type="dxa"/>
            <w:vAlign w:val="center"/>
          </w:tcPr>
          <w:p>
            <w:pPr>
              <w:pStyle w:val="56"/>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塑性粘度</w:t>
            </w:r>
            <w:r>
              <w:rPr>
                <w:rFonts w:hint="eastAsia" w:ascii="Times New Roman" w:hAnsi="Times New Roman" w:eastAsia="宋体" w:cs="Times New Roman"/>
                <w:b/>
                <w:bCs/>
                <w:color w:val="000000" w:themeColor="text1"/>
                <w:sz w:val="21"/>
                <w:szCs w:val="21"/>
                <w14:textFill>
                  <w14:solidFill>
                    <w14:schemeClr w14:val="tx1"/>
                  </w14:solidFill>
                </w14:textFill>
              </w:rPr>
              <w:t>（</w:t>
            </w:r>
            <w:r>
              <w:rPr>
                <w:rFonts w:ascii="Times New Roman" w:hAnsi="Times New Roman" w:eastAsia="宋体" w:cs="Times New Roman"/>
                <w:b/>
                <w:bCs/>
                <w:color w:val="000000" w:themeColor="text1"/>
                <w:sz w:val="21"/>
                <w:szCs w:val="21"/>
                <w14:textFill>
                  <w14:solidFill>
                    <w14:schemeClr w14:val="tx1"/>
                  </w14:solidFill>
                </w14:textFill>
              </w:rPr>
              <w:t>mPa.s</w:t>
            </w:r>
            <w:r>
              <w:rPr>
                <w:rFonts w:hint="eastAsia" w:ascii="Times New Roman" w:hAnsi="Times New Roman" w:eastAsia="宋体" w:cs="Times New Roman"/>
                <w:b/>
                <w:bCs/>
                <w:color w:val="000000" w:themeColor="text1"/>
                <w:sz w:val="21"/>
                <w:szCs w:val="21"/>
                <w14:textFill>
                  <w14:solidFill>
                    <w14:schemeClr w14:val="tx1"/>
                  </w14:solidFill>
                </w14:textFill>
              </w:rPr>
              <w:t>）</w:t>
            </w:r>
          </w:p>
        </w:tc>
        <w:tc>
          <w:tcPr>
            <w:tcW w:w="1139" w:type="dxa"/>
            <w:vAlign w:val="center"/>
          </w:tcPr>
          <w:p>
            <w:pPr>
              <w:pStyle w:val="56"/>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动切力</w:t>
            </w:r>
            <w:r>
              <w:rPr>
                <w:rFonts w:hint="eastAsia" w:ascii="Times New Roman" w:hAnsi="Times New Roman" w:eastAsia="宋体" w:cs="Times New Roman"/>
                <w:b/>
                <w:bCs/>
                <w:color w:val="000000" w:themeColor="text1"/>
                <w:sz w:val="21"/>
                <w:szCs w:val="21"/>
                <w14:textFill>
                  <w14:solidFill>
                    <w14:schemeClr w14:val="tx1"/>
                  </w14:solidFill>
                </w14:textFill>
              </w:rPr>
              <w:t>（</w:t>
            </w:r>
            <w:r>
              <w:rPr>
                <w:rFonts w:ascii="Times New Roman" w:hAnsi="Times New Roman" w:eastAsia="宋体" w:cs="Times New Roman"/>
                <w:b/>
                <w:bCs/>
                <w:color w:val="000000" w:themeColor="text1"/>
                <w:sz w:val="21"/>
                <w:szCs w:val="21"/>
                <w14:textFill>
                  <w14:solidFill>
                    <w14:schemeClr w14:val="tx1"/>
                  </w14:solidFill>
                </w14:textFill>
              </w:rPr>
              <w:t>Pa</w:t>
            </w:r>
            <w:r>
              <w:rPr>
                <w:rFonts w:hint="eastAsia" w:ascii="Times New Roman" w:hAnsi="Times New Roman" w:eastAsia="宋体" w:cs="Times New Roman"/>
                <w:b/>
                <w:bCs/>
                <w:color w:val="000000" w:themeColor="text1"/>
                <w:sz w:val="21"/>
                <w:szCs w:val="21"/>
                <w14:textFill>
                  <w14:solidFill>
                    <w14:schemeClr w14:val="tx1"/>
                  </w14:solidFill>
                </w14:textFill>
              </w:rPr>
              <w:t>）</w:t>
            </w:r>
          </w:p>
        </w:tc>
        <w:tc>
          <w:tcPr>
            <w:tcW w:w="1142" w:type="dxa"/>
            <w:vAlign w:val="center"/>
          </w:tcPr>
          <w:p>
            <w:pPr>
              <w:pStyle w:val="56"/>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静切力</w:t>
            </w:r>
            <w:r>
              <w:rPr>
                <w:rFonts w:hint="eastAsia" w:ascii="Times New Roman" w:hAnsi="Times New Roman" w:eastAsia="宋体" w:cs="Times New Roman"/>
                <w:b/>
                <w:bCs/>
                <w:color w:val="000000" w:themeColor="text1"/>
                <w:sz w:val="21"/>
                <w:szCs w:val="21"/>
                <w14:textFill>
                  <w14:solidFill>
                    <w14:schemeClr w14:val="tx1"/>
                  </w14:solidFill>
                </w14:textFill>
              </w:rPr>
              <w:t>（</w:t>
            </w:r>
            <w:r>
              <w:rPr>
                <w:rFonts w:ascii="Times New Roman" w:hAnsi="Times New Roman" w:eastAsia="宋体" w:cs="Times New Roman"/>
                <w:b/>
                <w:bCs/>
                <w:color w:val="000000" w:themeColor="text1"/>
                <w:sz w:val="21"/>
                <w:szCs w:val="21"/>
                <w14:textFill>
                  <w14:solidFill>
                    <w14:schemeClr w14:val="tx1"/>
                  </w14:solidFill>
                </w14:textFill>
              </w:rPr>
              <w:t>Pa</w:t>
            </w:r>
            <w:r>
              <w:rPr>
                <w:rFonts w:hint="eastAsia" w:ascii="Times New Roman" w:hAnsi="Times New Roman" w:eastAsia="宋体" w:cs="Times New Roman"/>
                <w:b/>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1036" w:type="dxa"/>
            <w:vAlign w:val="bottom"/>
          </w:tcPr>
          <w:p>
            <w:pPr>
              <w:pStyle w:val="56"/>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1.07~1.20</w:t>
            </w:r>
          </w:p>
        </w:tc>
        <w:tc>
          <w:tcPr>
            <w:tcW w:w="853" w:type="dxa"/>
            <w:vAlign w:val="bottom"/>
          </w:tcPr>
          <w:p>
            <w:pPr>
              <w:pStyle w:val="56"/>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40~70</w:t>
            </w:r>
          </w:p>
        </w:tc>
        <w:tc>
          <w:tcPr>
            <w:tcW w:w="1100" w:type="dxa"/>
            <w:vAlign w:val="bottom"/>
          </w:tcPr>
          <w:p>
            <w:pPr>
              <w:pStyle w:val="56"/>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1097" w:type="dxa"/>
            <w:vAlign w:val="bottom"/>
          </w:tcPr>
          <w:p>
            <w:pPr>
              <w:pStyle w:val="56"/>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≤0.5</w:t>
            </w:r>
          </w:p>
        </w:tc>
        <w:tc>
          <w:tcPr>
            <w:tcW w:w="971" w:type="dxa"/>
            <w:vAlign w:val="bottom"/>
          </w:tcPr>
          <w:p>
            <w:pPr>
              <w:pStyle w:val="56"/>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9~11</w:t>
            </w:r>
          </w:p>
        </w:tc>
        <w:tc>
          <w:tcPr>
            <w:tcW w:w="1079" w:type="dxa"/>
            <w:vAlign w:val="bottom"/>
          </w:tcPr>
          <w:p>
            <w:pPr>
              <w:pStyle w:val="56"/>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15~30</w:t>
            </w:r>
          </w:p>
        </w:tc>
        <w:tc>
          <w:tcPr>
            <w:tcW w:w="1139" w:type="dxa"/>
            <w:vAlign w:val="bottom"/>
          </w:tcPr>
          <w:p>
            <w:pPr>
              <w:pStyle w:val="56"/>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5~12</w:t>
            </w:r>
          </w:p>
        </w:tc>
        <w:tc>
          <w:tcPr>
            <w:tcW w:w="1142" w:type="dxa"/>
            <w:vAlign w:val="bottom"/>
          </w:tcPr>
          <w:p>
            <w:pPr>
              <w:pStyle w:val="56"/>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1-5/2-7</w:t>
            </w:r>
          </w:p>
        </w:tc>
      </w:tr>
    </w:tbl>
    <w:p>
      <w:pPr>
        <w:widowControl/>
        <w:jc w:val="left"/>
        <w:outlineLvl w:val="3"/>
        <w:rPr>
          <w:rFonts w:ascii="Times New Roman" w:hAnsi="Times New Roman" w:eastAsia="宋体" w:cs="Times New Roman"/>
          <w:bCs/>
          <w:snapToGrid w:val="0"/>
          <w:color w:val="000000" w:themeColor="text1"/>
          <w:kern w:val="0"/>
          <w:sz w:val="28"/>
          <w:szCs w:val="28"/>
          <w14:textFill>
            <w14:solidFill>
              <w14:schemeClr w14:val="tx1"/>
            </w14:solidFill>
          </w14:textFill>
        </w:rPr>
      </w:pPr>
      <w:r>
        <w:rPr>
          <w:rFonts w:ascii="Times New Roman" w:hAnsi="Times New Roman" w:eastAsia="宋体" w:cs="Times New Roman"/>
          <w:bCs/>
          <w:snapToGrid w:val="0"/>
          <w:color w:val="000000" w:themeColor="text1"/>
          <w:kern w:val="0"/>
          <w:sz w:val="28"/>
          <w:szCs w:val="28"/>
          <w14:textFill>
            <w14:solidFill>
              <w14:schemeClr w14:val="tx1"/>
            </w14:solidFill>
          </w14:textFill>
        </w:rPr>
        <w:t>3.5.2.5钻井周期</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根据钻井方案，本项目钻井周期</w:t>
      </w:r>
      <w:r>
        <w:rPr>
          <w:rFonts w:hint="eastAsia" w:ascii="Times New Roman" w:hAnsi="Times New Roman" w:eastAsia="宋体" w:cs="Times New Roman"/>
          <w:color w:val="000000" w:themeColor="text1"/>
          <w:sz w:val="24"/>
          <w14:textFill>
            <w14:solidFill>
              <w14:schemeClr w14:val="tx1"/>
            </w14:solidFill>
          </w14:textFill>
        </w:rPr>
        <w:t>322</w:t>
      </w:r>
      <w:r>
        <w:rPr>
          <w:rFonts w:ascii="Times New Roman" w:hAnsi="Times New Roman" w:eastAsia="宋体" w:cs="Times New Roman"/>
          <w:color w:val="000000" w:themeColor="text1"/>
          <w:sz w:val="24"/>
          <w14:textFill>
            <w14:solidFill>
              <w14:schemeClr w14:val="tx1"/>
            </w14:solidFill>
          </w14:textFill>
        </w:rPr>
        <w:t>d，</w:t>
      </w:r>
      <w:r>
        <w:rPr>
          <w:rFonts w:hint="eastAsia" w:ascii="Times New Roman" w:hAnsi="Times New Roman" w:eastAsia="宋体" w:cs="Times New Roman"/>
          <w:color w:val="000000" w:themeColor="text1"/>
          <w:sz w:val="24"/>
          <w14:textFill>
            <w14:solidFill>
              <w14:schemeClr w14:val="tx1"/>
            </w14:solidFill>
          </w14:textFill>
        </w:rPr>
        <w:t>修井周期103.5d。</w:t>
      </w:r>
    </w:p>
    <w:p>
      <w:pPr>
        <w:spacing w:line="360" w:lineRule="auto"/>
        <w:outlineLvl w:val="3"/>
        <w:rPr>
          <w:rFonts w:ascii="Times New Roman" w:hAnsi="Times New Roman" w:eastAsia="宋体" w:cs="Times New Roman"/>
          <w:bCs/>
          <w:snapToGrid w:val="0"/>
          <w:color w:val="000000" w:themeColor="text1"/>
          <w:kern w:val="0"/>
          <w:sz w:val="28"/>
          <w:szCs w:val="28"/>
          <w14:textFill>
            <w14:solidFill>
              <w14:schemeClr w14:val="tx1"/>
            </w14:solidFill>
          </w14:textFill>
        </w:rPr>
      </w:pPr>
      <w:r>
        <w:rPr>
          <w:rFonts w:ascii="Times New Roman" w:hAnsi="Times New Roman" w:eastAsia="宋体" w:cs="Times New Roman"/>
          <w:bCs/>
          <w:snapToGrid w:val="0"/>
          <w:color w:val="000000" w:themeColor="text1"/>
          <w:kern w:val="0"/>
          <w:sz w:val="28"/>
          <w:szCs w:val="28"/>
          <w14:textFill>
            <w14:solidFill>
              <w14:schemeClr w14:val="tx1"/>
            </w14:solidFill>
          </w14:textFill>
        </w:rPr>
        <w:t>3.5.2.6井场平面布置</w:t>
      </w:r>
    </w:p>
    <w:p>
      <w:pPr>
        <w:spacing w:line="360" w:lineRule="auto"/>
        <w:ind w:firstLine="480" w:firstLineChars="200"/>
        <w:jc w:val="left"/>
        <w:rPr>
          <w:rFonts w:ascii="Times New Roman" w:hAnsi="Times New Roman" w:cs="Times New Roman"/>
          <w:snapToGrid w:val="0"/>
          <w:color w:val="000000" w:themeColor="text1"/>
          <w:sz w:val="24"/>
          <w14:textFill>
            <w14:solidFill>
              <w14:schemeClr w14:val="tx1"/>
            </w14:solidFill>
          </w14:textFill>
        </w:rPr>
      </w:pPr>
      <w:r>
        <w:rPr>
          <w:rFonts w:ascii="Times New Roman" w:hAnsi="Times New Roman" w:cs="Times New Roman"/>
          <w:snapToGrid w:val="0"/>
          <w:color w:val="000000" w:themeColor="text1"/>
          <w:sz w:val="24"/>
          <w14:textFill>
            <w14:solidFill>
              <w14:schemeClr w14:val="tx1"/>
            </w14:solidFill>
          </w14:textFill>
        </w:rPr>
        <w:t>项目的布置本着结构简单、流程合理的原则进行布局。</w:t>
      </w:r>
      <w:r>
        <w:rPr>
          <w:rFonts w:ascii="Times New Roman" w:hAnsi="Times New Roman" w:cs="Times New Roman"/>
          <w:color w:val="000000" w:themeColor="text1"/>
          <w:sz w:val="24"/>
          <w14:textFill>
            <w14:solidFill>
              <w14:schemeClr w14:val="tx1"/>
            </w14:solidFill>
          </w14:textFill>
        </w:rPr>
        <w:t>井场布置有值班房、材料房、配电房、录井房、钻井液不落地设备等，单井</w:t>
      </w:r>
      <w:r>
        <w:rPr>
          <w:rFonts w:ascii="Times New Roman" w:hAnsi="Times New Roman" w:cs="Times New Roman"/>
          <w:snapToGrid w:val="0"/>
          <w:color w:val="000000" w:themeColor="text1"/>
          <w:sz w:val="24"/>
          <w14:textFill>
            <w14:solidFill>
              <w14:schemeClr w14:val="tx1"/>
            </w14:solidFill>
          </w14:textFill>
        </w:rPr>
        <w:t>钻井平面布置图详见图3.5-3。</w:t>
      </w:r>
    </w:p>
    <w:p>
      <w:pPr>
        <w:spacing w:line="360" w:lineRule="auto"/>
        <w:jc w:val="left"/>
        <w:rPr>
          <w:rFonts w:ascii="Times New Roman" w:hAnsi="Times New Roman" w:eastAsia="黑体" w:cs="Times New Roman"/>
          <w:bCs/>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3853180</wp:posOffset>
                </wp:positionH>
                <wp:positionV relativeFrom="paragraph">
                  <wp:posOffset>187960</wp:posOffset>
                </wp:positionV>
                <wp:extent cx="424180" cy="1030605"/>
                <wp:effectExtent l="0" t="0" r="13970" b="17145"/>
                <wp:wrapNone/>
                <wp:docPr id="32" name="矩形 32"/>
                <wp:cNvGraphicFramePr/>
                <a:graphic xmlns:a="http://schemas.openxmlformats.org/drawingml/2006/main">
                  <a:graphicData uri="http://schemas.microsoft.com/office/word/2010/wordprocessingShape">
                    <wps:wsp>
                      <wps:cNvSpPr/>
                      <wps:spPr>
                        <a:xfrm>
                          <a:off x="4996180" y="1102360"/>
                          <a:ext cx="424180" cy="103060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4pt;margin-top:14.8pt;height:81.15pt;width:33.4pt;z-index:251675648;v-text-anchor:middle;mso-width-relative:page;mso-height-relative:page;" fillcolor="#FFFFFF [3212]" filled="t" stroked="f" coordsize="21600,21600" o:gfxdata="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L1pqn&#10;2QAAAAoBAAAPAAAAAAAAAAEAIAAAACIAAABkcnMvZG93bnJldi54bWxQSwECFAAUAAAACACHTuJA&#10;G/vIBlkCAACLBAAADgAAAAAAAAABACAAAAAoAQAAZHJzL2Uyb0RvYy54bWxQSwUGAAAAAAYABgBZ&#10;AQAA8wUAAAAA&#10;">
                <v:fill on="t" focussize="0,0"/>
                <v:stroke on="f" weight="1pt" miterlimit="8" joinstyle="miter"/>
                <v:imagedata o:title=""/>
                <o:lock v:ext="edit" aspectratio="f"/>
              </v:rect>
            </w:pict>
          </mc:Fallback>
        </mc:AlternateContent>
      </w: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1621155</wp:posOffset>
                </wp:positionH>
                <wp:positionV relativeFrom="paragraph">
                  <wp:posOffset>2747010</wp:posOffset>
                </wp:positionV>
                <wp:extent cx="246380" cy="206375"/>
                <wp:effectExtent l="6350" t="6350" r="13970" b="15875"/>
                <wp:wrapNone/>
                <wp:docPr id="33" name="矩形 33"/>
                <wp:cNvGraphicFramePr/>
                <a:graphic xmlns:a="http://schemas.openxmlformats.org/drawingml/2006/main">
                  <a:graphicData uri="http://schemas.microsoft.com/office/word/2010/wordprocessingShape">
                    <wps:wsp>
                      <wps:cNvSpPr/>
                      <wps:spPr>
                        <a:xfrm>
                          <a:off x="2764155" y="8399780"/>
                          <a:ext cx="246380" cy="206375"/>
                        </a:xfrm>
                        <a:prstGeom prst="rect">
                          <a:avLst/>
                        </a:prstGeom>
                        <a:solidFill>
                          <a:schemeClr val="accent3">
                            <a:lumMod val="60000"/>
                            <a:lumOff val="40000"/>
                            <a:alpha val="50000"/>
                          </a:schemeClr>
                        </a:solidFill>
                        <a:ln>
                          <a:solidFill>
                            <a:schemeClr val="accent1">
                              <a:lumMod val="60000"/>
                              <a:lumOff val="4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65pt;margin-top:216.3pt;height:16.25pt;width:19.4pt;z-index:251660288;v-text-anchor:middle;mso-width-relative:page;mso-height-relative:page;" fillcolor="#FED961 [1942]" filled="t" stroked="t" coordsize="21600,21600" o:gfxdata="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FWs6DtoAAAAL&#10;AQAADwAAAAAAAAABACAAAAAiAAAAZHJzL2Rvd25yZXYueG1sUEsBAhQAFAAAAAgAh07iQBib3JmM&#10;AgAAOwUAAA4AAAAAAAAAAQAgAAAAKQEAAGRycy9lMm9Eb2MueG1sUEsFBgAAAAAGAAYAWQEAACcG&#10;AAAAAA==&#10;">
                <v:fill on="t" opacity="32768f" focussize="0,0"/>
                <v:stroke weight="1pt" color="#91ACE0 [1940]" miterlimit="8" joinstyle="miter"/>
                <v:imagedata o:title=""/>
                <o:lock v:ext="edit" aspectratio="f"/>
              </v:rect>
            </w:pict>
          </mc:Fallback>
        </mc:AlternateContent>
      </w:r>
      <w:r>
        <w:rPr>
          <w:rFonts w:ascii="Times New Roman" w:hAnsi="Times New Roman" w:cs="Times New Roman"/>
          <w:color w:val="000000" w:themeColor="text1"/>
          <w14:textFill>
            <w14:solidFill>
              <w14:schemeClr w14:val="tx1"/>
            </w14:solidFill>
          </w14:textFill>
        </w:rPr>
        <w:drawing>
          <wp:inline distT="0" distB="0" distL="114300" distR="114300">
            <wp:extent cx="5213350" cy="3651885"/>
            <wp:effectExtent l="0" t="0" r="6350" b="5715"/>
            <wp:docPr id="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pic:cNvPicPr>
                      <a:picLocks noChangeAspect="1"/>
                    </pic:cNvPicPr>
                  </pic:nvPicPr>
                  <pic:blipFill>
                    <a:blip r:embed="rId21"/>
                    <a:stretch>
                      <a:fillRect/>
                    </a:stretch>
                  </pic:blipFill>
                  <pic:spPr>
                    <a:xfrm>
                      <a:off x="0" y="0"/>
                      <a:ext cx="5213350" cy="3651885"/>
                    </a:xfrm>
                    <a:prstGeom prst="rect">
                      <a:avLst/>
                    </a:prstGeom>
                    <a:noFill/>
                    <a:ln>
                      <a:noFill/>
                    </a:ln>
                  </pic:spPr>
                </pic:pic>
              </a:graphicData>
            </a:graphic>
          </wp:inline>
        </w:drawing>
      </w:r>
    </w:p>
    <w:p>
      <w:pPr>
        <w:adjustRightInd w:val="0"/>
        <w:snapToGrid w:val="0"/>
        <w:spacing w:after="156" w:afterLines="5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图3.5-3  单井钻井井场布局示意图</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3.5.3储层改造工程</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根据建设单位提供资料，陆9井区呼图壁组油藏属高孔、高渗储集层，射孔后直接转机抽生产，因此，本项目储层改造主要为射孔工艺，不涉及压裂和酸化工艺。</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（1）射孔原则</w:t>
      </w:r>
    </w:p>
    <w:p>
      <w:pPr>
        <w:adjustRightInd w:val="0"/>
        <w:snapToGrid w:val="0"/>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应采取避射原则，优先射开未水淹或弱水淹层段，依据油层厚度，打开程度50%左右即可，若油层厚度小于2m，可根据底水发育、隔夹层展布情况等考虑全部射开，对应注水井打开相应层位开展同步注水。</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（2）射孔方式选择</w:t>
      </w:r>
    </w:p>
    <w:p>
      <w:pPr>
        <w:spacing w:line="360" w:lineRule="auto"/>
        <w:ind w:firstLine="480"/>
        <w:rPr>
          <w:rFonts w:ascii="Times New Roman" w:hAnsi="Times New Roman" w:cs="Times New Roman"/>
          <w:color w:val="000000" w:themeColor="text1"/>
          <w:sz w:val="24"/>
          <w14:textFill>
            <w14:solidFill>
              <w14:schemeClr w14:val="tx1"/>
            </w14:solidFill>
          </w14:textFill>
        </w:rPr>
      </w:pPr>
      <w:bookmarkStart w:id="235" w:name="_Toc379822115"/>
      <w:bookmarkStart w:id="236" w:name="_Toc377332780"/>
      <w:r>
        <w:rPr>
          <w:rFonts w:ascii="Times New Roman" w:hAnsi="Times New Roman" w:cs="Times New Roman"/>
          <w:color w:val="000000" w:themeColor="text1"/>
          <w:sz w:val="24"/>
          <w14:textFill>
            <w14:solidFill>
              <w14:schemeClr w14:val="tx1"/>
            </w14:solidFill>
          </w14:textFill>
        </w:rPr>
        <w:t>根据储层敏感性、前期生产井资料及现有射孔工艺状况，立足自然产能，为了满足井控、穿深、保护油层的要求，同时获得更好的射孔效果，推荐陆9井区</w:t>
      </w:r>
      <w:r>
        <w:rPr>
          <w:rFonts w:ascii="Times New Roman" w:hAnsi="Times New Roman" w:eastAsia="宋体" w:cs="Times New Roman"/>
          <w:color w:val="000000" w:themeColor="text1"/>
          <w:sz w:val="24"/>
          <w14:textFill>
            <w14:solidFill>
              <w14:schemeClr w14:val="tx1"/>
            </w14:solidFill>
          </w14:textFill>
        </w:rPr>
        <w:t>呼图壁组</w:t>
      </w:r>
      <w:r>
        <w:rPr>
          <w:rFonts w:ascii="Times New Roman" w:hAnsi="Times New Roman" w:cs="Times New Roman"/>
          <w:color w:val="000000" w:themeColor="text1"/>
          <w:kern w:val="0"/>
          <w:sz w:val="24"/>
          <w14:textFill>
            <w14:solidFill>
              <w14:schemeClr w14:val="tx1"/>
            </w14:solidFill>
          </w14:textFill>
        </w:rPr>
        <w:t>K</w:t>
      </w:r>
      <w:r>
        <w:rPr>
          <w:rFonts w:ascii="Times New Roman" w:hAnsi="Times New Roman" w:cs="Times New Roman"/>
          <w:color w:val="000000" w:themeColor="text1"/>
          <w:kern w:val="0"/>
          <w:sz w:val="24"/>
          <w:vertAlign w:val="subscript"/>
          <w14:textFill>
            <w14:solidFill>
              <w14:schemeClr w14:val="tx1"/>
            </w14:solidFill>
          </w14:textFill>
        </w:rPr>
        <w:t>1</w:t>
      </w:r>
      <w:r>
        <w:rPr>
          <w:rFonts w:ascii="Times New Roman" w:hAnsi="Times New Roman" w:cs="Times New Roman"/>
          <w:i/>
          <w:iCs/>
          <w:color w:val="000000" w:themeColor="text1"/>
          <w:kern w:val="0"/>
          <w:sz w:val="24"/>
          <w14:textFill>
            <w14:solidFill>
              <w14:schemeClr w14:val="tx1"/>
            </w14:solidFill>
          </w14:textFill>
        </w:rPr>
        <w:t>h</w:t>
      </w:r>
      <w:r>
        <w:rPr>
          <w:rFonts w:hint="eastAsia" w:ascii="Times New Roman" w:hAnsi="Times New Roman" w:cs="Times New Roman"/>
          <w:color w:val="000000" w:themeColor="text1"/>
          <w:kern w:val="0"/>
          <w:sz w:val="24"/>
          <w:vertAlign w:val="subscript"/>
          <w14:textFill>
            <w14:solidFill>
              <w14:schemeClr w14:val="tx1"/>
            </w14:solidFill>
          </w14:textFill>
        </w:rPr>
        <w:t>2</w:t>
      </w:r>
      <w:r>
        <w:rPr>
          <w:rFonts w:ascii="Times New Roman" w:hAnsi="Times New Roman" w:cs="Times New Roman"/>
          <w:color w:val="000000" w:themeColor="text1"/>
          <w:kern w:val="0"/>
          <w:sz w:val="24"/>
          <w:vertAlign w:val="superscript"/>
          <w14:textFill>
            <w14:solidFill>
              <w14:schemeClr w14:val="tx1"/>
            </w14:solidFill>
          </w14:textFill>
        </w:rPr>
        <w:t>3-</w:t>
      </w:r>
      <w:r>
        <w:rPr>
          <w:rFonts w:hint="eastAsia" w:ascii="Times New Roman" w:hAnsi="Times New Roman" w:cs="Times New Roman"/>
          <w:color w:val="000000" w:themeColor="text1"/>
          <w:kern w:val="0"/>
          <w:sz w:val="24"/>
          <w:vertAlign w:val="superscript"/>
          <w14:textFill>
            <w14:solidFill>
              <w14:schemeClr w14:val="tx1"/>
            </w14:solidFill>
          </w14:textFill>
        </w:rPr>
        <w:t>4</w:t>
      </w:r>
      <w:r>
        <w:rPr>
          <w:rFonts w:ascii="Times New Roman" w:hAnsi="Times New Roman" w:cs="Times New Roman"/>
          <w:color w:val="000000" w:themeColor="text1"/>
          <w:sz w:val="24"/>
          <w:lang w:val="zh-CN"/>
          <w14:textFill>
            <w14:solidFill>
              <w14:schemeClr w14:val="tx1"/>
            </w14:solidFill>
          </w14:textFill>
        </w:rPr>
        <w:t>油藏</w:t>
      </w:r>
      <w:r>
        <w:rPr>
          <w:rFonts w:ascii="Times New Roman" w:hAnsi="Times New Roman" w:cs="Times New Roman"/>
          <w:color w:val="000000" w:themeColor="text1"/>
          <w:sz w:val="24"/>
          <w14:textFill>
            <w14:solidFill>
              <w14:schemeClr w14:val="tx1"/>
            </w14:solidFill>
          </w14:textFill>
        </w:rPr>
        <w:t>开发调整井采用SDP-89射孔枪；该区注水开发多年，可能存在局部高压区，为了降低安全风险，推荐采用油管传输射孔；60°相位角，16孔/m；螺旋布孔。</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（3）射孔工艺</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①射孔方式：</w:t>
      </w:r>
      <w:bookmarkStart w:id="237" w:name="_Hlk528011532"/>
      <w:r>
        <w:rPr>
          <w:rFonts w:ascii="Times New Roman" w:hAnsi="Times New Roman" w:cs="Times New Roman"/>
          <w:color w:val="000000" w:themeColor="text1"/>
          <w:sz w:val="24"/>
          <w14:textFill>
            <w14:solidFill>
              <w14:schemeClr w14:val="tx1"/>
            </w14:solidFill>
          </w14:textFill>
        </w:rPr>
        <w:t>采油井采用油管传输射孔</w:t>
      </w:r>
      <w:bookmarkEnd w:id="237"/>
      <w:r>
        <w:rPr>
          <w:rFonts w:ascii="Times New Roman" w:hAnsi="Times New Roman" w:cs="Times New Roman"/>
          <w:color w:val="000000" w:themeColor="text1"/>
          <w:sz w:val="24"/>
          <w14:textFill>
            <w14:solidFill>
              <w14:schemeClr w14:val="tx1"/>
            </w14:solidFill>
          </w14:textFill>
        </w:rPr>
        <w:t>，注水井采用电缆传输射孔。</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②射孔枪型：采油井采用SDP-89射孔枪，注水井采用YD-89型射孔弹；相位角60°；孔密16孔/m，螺旋布孔。</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③射孔液：</w:t>
      </w:r>
      <w:r>
        <w:rPr>
          <w:rFonts w:hint="eastAsia" w:ascii="Times New Roman" w:hAnsi="Times New Roman" w:cs="Times New Roman"/>
          <w:color w:val="000000" w:themeColor="text1"/>
          <w:sz w:val="24"/>
          <w14:textFill>
            <w14:solidFill>
              <w14:schemeClr w14:val="tx1"/>
            </w14:solidFill>
          </w14:textFill>
        </w:rPr>
        <w:t>油田同层处理水或防膨性能达到要求的其他防膨液</w:t>
      </w:r>
      <w:r>
        <w:rPr>
          <w:rFonts w:ascii="Times New Roman" w:hAnsi="Times New Roman" w:cs="Times New Roman"/>
          <w:color w:val="000000" w:themeColor="text1"/>
          <w:sz w:val="24"/>
          <w14:textFill>
            <w14:solidFill>
              <w14:schemeClr w14:val="tx1"/>
            </w14:solidFill>
          </w14:textFill>
        </w:rPr>
        <w:t>。</w:t>
      </w:r>
    </w:p>
    <w:p>
      <w:pPr>
        <w:pStyle w:val="25"/>
        <w:spacing w:line="360" w:lineRule="auto"/>
        <w:jc w:val="left"/>
        <w:outlineLvl w:val="2"/>
        <w:rPr>
          <w:rFonts w:ascii="Times New Roman" w:hAnsi="Times New Roman" w:eastAsia="黑体" w:cs="Times New Roman"/>
          <w:color w:val="000000" w:themeColor="text1"/>
          <w:sz w:val="30"/>
          <w:szCs w:val="30"/>
          <w14:textFill>
            <w14:solidFill>
              <w14:schemeClr w14:val="tx1"/>
            </w14:solidFill>
          </w14:textFill>
        </w:rPr>
      </w:pPr>
      <w:r>
        <w:rPr>
          <w:rFonts w:hint="eastAsia" w:ascii="Times New Roman" w:hAnsi="Times New Roman" w:eastAsia="黑体" w:cs="Times New Roman"/>
          <w:color w:val="000000" w:themeColor="text1"/>
          <w:sz w:val="30"/>
          <w:szCs w:val="30"/>
          <w14:textFill>
            <w14:solidFill>
              <w14:schemeClr w14:val="tx1"/>
            </w14:solidFill>
          </w14:textFill>
        </w:rPr>
        <w:t>3.5.4修井工程</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w:t>
      </w:r>
      <w:r>
        <w:rPr>
          <w:rFonts w:hint="eastAsia" w:ascii="Times New Roman" w:hAnsi="Times New Roman" w:eastAsia="宋体" w:cs="Times New Roman"/>
          <w:color w:val="000000" w:themeColor="text1"/>
          <w:sz w:val="24"/>
          <w14:textFill>
            <w14:solidFill>
              <w14:schemeClr w14:val="tx1"/>
            </w14:solidFill>
          </w14:textFill>
        </w:rPr>
        <w:t>9</w:t>
      </w:r>
      <w:r>
        <w:rPr>
          <w:rFonts w:ascii="Times New Roman" w:hAnsi="Times New Roman" w:eastAsia="宋体" w:cs="Times New Roman"/>
          <w:color w:val="000000" w:themeColor="text1"/>
          <w:sz w:val="24"/>
          <w14:textFill>
            <w14:solidFill>
              <w14:schemeClr w14:val="tx1"/>
            </w14:solidFill>
          </w14:textFill>
        </w:rPr>
        <w:t>口井为老井转注，主要修井内容包括：校井口、试压、提结构、探井底、通井、试压、下结构、射孔、试压、完井等。</w:t>
      </w:r>
    </w:p>
    <w:bookmarkEnd w:id="235"/>
    <w:bookmarkEnd w:id="236"/>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3.5.</w:t>
      </w:r>
      <w:r>
        <w:rPr>
          <w:rFonts w:hint="eastAsia" w:ascii="Times New Roman" w:hAnsi="Times New Roman" w:eastAsia="黑体" w:cs="Times New Roman"/>
          <w:b/>
          <w:color w:val="000000" w:themeColor="text1"/>
          <w:sz w:val="30"/>
          <w:szCs w:val="30"/>
          <w14:textFill>
            <w14:solidFill>
              <w14:schemeClr w14:val="tx1"/>
            </w14:solidFill>
          </w14:textFill>
        </w:rPr>
        <w:t>5</w:t>
      </w:r>
      <w:r>
        <w:rPr>
          <w:rFonts w:ascii="Times New Roman" w:hAnsi="Times New Roman" w:eastAsia="黑体" w:cs="Times New Roman"/>
          <w:b/>
          <w:color w:val="000000" w:themeColor="text1"/>
          <w:sz w:val="30"/>
          <w:szCs w:val="30"/>
          <w14:textFill>
            <w14:solidFill>
              <w14:schemeClr w14:val="tx1"/>
            </w14:solidFill>
          </w14:textFill>
        </w:rPr>
        <w:t>油气集输工程</w:t>
      </w:r>
    </w:p>
    <w:p>
      <w:pPr>
        <w:pStyle w:val="58"/>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.1采油井场</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（1）采油井口</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本工程新建水平井采油井场28座，其中19座采用30</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80m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的防腐防垢变频潜油电泵机组，配套电机功率27kW，8座采用8型节能抽油机，配套电机功率18.5kW，1座采用10型抽油机，配套电机22kW，井口均设置保温盒保温，保温盒内设0.25kW防爆电加热器，压力表置于保温盒内。设置清蜡和热洗接口，同时设置安全标志牌，采油井口采用标准化设计通集20141。</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（2）举升方式</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本工程19口井采用排量30</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80m</w:t>
      </w:r>
      <w:r>
        <w:rPr>
          <w:rFonts w:hint="eastAsia"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的防腐防垢变频潜油电泵机组，设计泵挂1100m。8口井采用8型节能抽油机（其中2口利旧），1口井采用10型节能抽油机（利旧）。</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（3）配套工艺</w:t>
      </w:r>
    </w:p>
    <w:p>
      <w:pPr>
        <w:pStyle w:val="10"/>
        <w:spacing w:line="360" w:lineRule="auto"/>
        <w:ind w:left="-69" w:right="-107" w:firstLine="480" w:firstLineChars="20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陆9井区呼图壁河组</w:t>
      </w:r>
      <w:r>
        <w:rPr>
          <w:rFonts w:ascii="Times New Roman" w:hAnsi="Times New Roman" w:cs="Times New Roman"/>
          <w:color w:val="000000" w:themeColor="text1"/>
          <w14:textFill>
            <w14:solidFill>
              <w14:schemeClr w14:val="tx1"/>
            </w14:solidFill>
          </w14:textFill>
        </w:rPr>
        <w:t>K</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i/>
          <w:iCs/>
          <w:color w:val="000000" w:themeColor="text1"/>
          <w14:textFill>
            <w14:solidFill>
              <w14:schemeClr w14:val="tx1"/>
            </w14:solidFill>
          </w14:textFill>
        </w:rPr>
        <w:t>h</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vertAlign w:val="superscript"/>
          <w14:textFill>
            <w14:solidFill>
              <w14:schemeClr w14:val="tx1"/>
            </w14:solidFill>
          </w14:textFill>
        </w:rPr>
        <w:t>3-4</w:t>
      </w:r>
      <w:r>
        <w:rPr>
          <w:rFonts w:hint="eastAsia" w:ascii="Times New Roman" w:hAnsi="Times New Roman" w:cs="Times New Roman"/>
          <w:color w:val="000000" w:themeColor="text1"/>
          <w14:textFill>
            <w14:solidFill>
              <w14:schemeClr w14:val="tx1"/>
            </w14:solidFill>
          </w14:textFill>
        </w:rPr>
        <w:t>油藏平均含蜡量3.53%，各井根据油井结蜡情况对清蜡周期及清蜡深度及时进行调整。</w:t>
      </w:r>
    </w:p>
    <w:p>
      <w:pPr>
        <w:pStyle w:val="10"/>
        <w:spacing w:line="360" w:lineRule="auto"/>
        <w:ind w:left="-69" w:right="-107" w:firstLine="480" w:firstLineChars="200"/>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潜油电泵井推荐采用机械清蜡，以不影响油井正常生产为原则；抽油井在自喷期在抽油期，推荐采用机械清蜡，以不影响油井正常生产为原则。在抽油期，推荐采用井口连续加药化学清防蜡方式或其他适合的本区块的清防蜡方式，清蜡周期根据实际结蜡情况，以不影响油井正常生产为原则。</w:t>
      </w:r>
    </w:p>
    <w:p>
      <w:pPr>
        <w:pStyle w:val="58"/>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.2计量站</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本工程扩建8井式一体化选井计量装置1座，采用标准化设计，本工程扩建12井式一体化选井计量装置4座，采用标准化设计。</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流程简述：单井来液进入一体化自动选井计量装置，不需要计量的单井气液直接进入集油管道，需要计量的单井来气液通过选井计量后，与未计量的各单井来气液混合，经过集油支线输送到陆梁集中处理站。</w:t>
      </w:r>
    </w:p>
    <w:p>
      <w:pPr>
        <w:widowControl/>
        <w:spacing w:line="360" w:lineRule="auto"/>
        <w:ind w:firstLine="480" w:firstLineChars="200"/>
        <w:jc w:val="left"/>
        <w:rPr>
          <w:rFonts w:ascii="Times New Roman" w:hAnsi="Times New Roman" w:cs="Times New Roman"/>
          <w:color w:val="000000" w:themeColor="text1"/>
          <w:highlight w:val="yellow"/>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本项目部署采油井进计量站情况见表3.5-6。</w:t>
      </w:r>
      <w:r>
        <w:rPr>
          <w:rFonts w:ascii="Times New Roman" w:hAnsi="Times New Roman" w:eastAsia="宋体" w:cs="Times New Roman"/>
          <w:color w:val="000000" w:themeColor="text1"/>
          <w:sz w:val="24"/>
          <w14:textFill>
            <w14:solidFill>
              <w14:schemeClr w14:val="tx1"/>
            </w14:solidFill>
          </w14:textFill>
        </w:rPr>
        <w:t>新建计量站平面布置见图3.5-4。</w:t>
      </w:r>
    </w:p>
    <w:p>
      <w:pPr>
        <w:widowControl/>
        <w:spacing w:line="360" w:lineRule="auto"/>
        <w:jc w:val="center"/>
        <w:rPr>
          <w:rFonts w:ascii="Times New Roman" w:hAnsi="Times New Roman" w:eastAsia="宋体" w:cs="Times New Roman"/>
          <w:b/>
          <w:bCs/>
          <w:color w:val="000000" w:themeColor="text1"/>
          <w:kern w:val="0"/>
          <w:szCs w:val="21"/>
          <w:lang w:bidi="ar"/>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widowControl/>
        <w:spacing w:line="360" w:lineRule="auto"/>
        <w:jc w:val="center"/>
        <w:rPr>
          <w:rFonts w:ascii="Times New Roman" w:hAnsi="Times New Roman" w:eastAsia="宋体" w:cs="Times New Roman"/>
          <w:b/>
          <w:bCs/>
          <w:color w:val="000000" w:themeColor="text1"/>
          <w:kern w:val="0"/>
          <w:szCs w:val="21"/>
          <w:lang w:bidi="ar"/>
          <w14:textFill>
            <w14:solidFill>
              <w14:schemeClr w14:val="tx1"/>
            </w14:solidFill>
          </w14:textFill>
        </w:rPr>
        <w:sectPr>
          <w:pgSz w:w="11906" w:h="16838"/>
          <w:pgMar w:top="1440" w:right="1800" w:bottom="1440" w:left="1800" w:header="851" w:footer="992" w:gutter="0"/>
          <w:cols w:space="720" w:num="1"/>
          <w:docGrid w:type="lines" w:linePitch="312" w:charSpace="0"/>
        </w:sectPr>
      </w:pPr>
      <w:r>
        <w:rPr>
          <w:color w:val="000000" w:themeColor="text1"/>
          <w:sz w:val="2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-37465</wp:posOffset>
                </wp:positionH>
                <wp:positionV relativeFrom="paragraph">
                  <wp:posOffset>7299325</wp:posOffset>
                </wp:positionV>
                <wp:extent cx="5081270" cy="307340"/>
                <wp:effectExtent l="0" t="0" r="5080" b="16510"/>
                <wp:wrapNone/>
                <wp:docPr id="544" name="文本框 544"/>
                <wp:cNvGraphicFramePr/>
                <a:graphic xmlns:a="http://schemas.openxmlformats.org/drawingml/2006/main">
                  <a:graphicData uri="http://schemas.microsoft.com/office/word/2010/wordprocessingShape">
                    <wps:wsp>
                      <wps:cNvSpPr txBox="1"/>
                      <wps:spPr>
                        <a:xfrm>
                          <a:off x="1105535" y="8213725"/>
                          <a:ext cx="5081270"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图3.5-4  新疆计量站平面布置图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pt;margin-top:574.75pt;height:24.2pt;width:400.1pt;z-index:251703296;mso-width-relative:page;mso-height-relative:page;" filled="f" stroked="f" coordsize="21600,21600" o:gfxdata="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B8t0AAAAMAQAADwAAAAAAAAABACAAAAAiAAAAZHJzL2Rvd25yZXYu&#10;eG1sUEsBAhQAFAAAAAgAh07iQMmZGBAvAgAAKAQAAA4AAAAAAAAAAQAgAAAALAEAAGRycy9lMm9E&#10;b2MueG1sUEsFBgAAAAAGAAYAWQEAAM0FAAAAAA==&#10;">
                <v:fill on="f" focussize="0,0"/>
                <v:stroke on="f" weight="0.5pt"/>
                <v:imagedata o:title=""/>
                <o:lock v:ext="edit" aspectratio="f"/>
                <v:textbox>
                  <w:txbxContent>
                    <w:p>
                      <w:pPr>
                        <w:jc w:val="cente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图3.5-4  新疆计量站平面布置图</w:t>
                      </w:r>
                    </w:p>
                  </w:txbxContent>
                </v:textbox>
              </v:shape>
            </w:pict>
          </mc:Fallback>
        </mc:AlternateContent>
      </w:r>
      <w:r>
        <w:rPr>
          <w:color w:val="000000" w:themeColor="text1"/>
          <w14:textFill>
            <w14:solidFill>
              <w14:schemeClr w14:val="tx1"/>
            </w14:solidFill>
          </w14:textFill>
        </w:rPr>
        <w:drawing>
          <wp:anchor distT="0" distB="0" distL="114300" distR="114300" simplePos="0" relativeHeight="251701248" behindDoc="0" locked="0" layoutInCell="1" allowOverlap="1">
            <wp:simplePos x="0" y="0"/>
            <wp:positionH relativeFrom="column">
              <wp:posOffset>224790</wp:posOffset>
            </wp:positionH>
            <wp:positionV relativeFrom="paragraph">
              <wp:posOffset>311150</wp:posOffset>
            </wp:positionV>
            <wp:extent cx="581025" cy="876300"/>
            <wp:effectExtent l="0" t="0" r="9525" b="0"/>
            <wp:wrapNone/>
            <wp:docPr id="5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14"/>
                    <pic:cNvPicPr>
                      <a:picLocks noChangeAspect="1"/>
                    </pic:cNvPicPr>
                  </pic:nvPicPr>
                  <pic:blipFill>
                    <a:blip r:embed="rId22"/>
                    <a:stretch>
                      <a:fillRect/>
                    </a:stretch>
                  </pic:blipFill>
                  <pic:spPr>
                    <a:xfrm>
                      <a:off x="0" y="0"/>
                      <a:ext cx="581025" cy="87630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02272" behindDoc="0" locked="0" layoutInCell="1" allowOverlap="1">
            <wp:simplePos x="0" y="0"/>
            <wp:positionH relativeFrom="column">
              <wp:posOffset>1954530</wp:posOffset>
            </wp:positionH>
            <wp:positionV relativeFrom="paragraph">
              <wp:posOffset>6481445</wp:posOffset>
            </wp:positionV>
            <wp:extent cx="2562225" cy="447675"/>
            <wp:effectExtent l="0" t="0" r="9525" b="9525"/>
            <wp:wrapNone/>
            <wp:docPr id="543" name="图片 543" descr="173468342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descr="1734683420725"/>
                    <pic:cNvPicPr>
                      <a:picLocks noChangeAspect="1"/>
                    </pic:cNvPicPr>
                  </pic:nvPicPr>
                  <pic:blipFill>
                    <a:blip r:embed="rId23"/>
                    <a:stretch>
                      <a:fillRect/>
                    </a:stretch>
                  </pic:blipFill>
                  <pic:spPr>
                    <a:xfrm>
                      <a:off x="0" y="0"/>
                      <a:ext cx="2562225" cy="447675"/>
                    </a:xfrm>
                    <a:prstGeom prst="rect">
                      <a:avLst/>
                    </a:prstGeom>
                  </pic:spPr>
                </pic:pic>
              </a:graphicData>
            </a:graphic>
          </wp:anchor>
        </w:drawing>
      </w:r>
      <w:r>
        <w:rPr>
          <w:color w:val="000000" w:themeColor="text1"/>
          <w14:textFill>
            <w14:solidFill>
              <w14:schemeClr w14:val="tx1"/>
            </w14:solidFill>
          </w14:textFill>
        </w:rPr>
        <w:drawing>
          <wp:anchor distT="0" distB="0" distL="114300" distR="114300" simplePos="0" relativeHeight="251700224" behindDoc="0" locked="0" layoutInCell="1" allowOverlap="1">
            <wp:simplePos x="0" y="0"/>
            <wp:positionH relativeFrom="column">
              <wp:posOffset>-94615</wp:posOffset>
            </wp:positionH>
            <wp:positionV relativeFrom="paragraph">
              <wp:posOffset>48260</wp:posOffset>
            </wp:positionV>
            <wp:extent cx="5391785" cy="7129145"/>
            <wp:effectExtent l="0" t="0" r="18415" b="14605"/>
            <wp:wrapNone/>
            <wp:docPr id="5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13"/>
                    <pic:cNvPicPr>
                      <a:picLocks noChangeAspect="1"/>
                    </pic:cNvPicPr>
                  </pic:nvPicPr>
                  <pic:blipFill>
                    <a:blip r:embed="rId24"/>
                    <a:stretch>
                      <a:fillRect/>
                    </a:stretch>
                  </pic:blipFill>
                  <pic:spPr>
                    <a:xfrm>
                      <a:off x="0" y="0"/>
                      <a:ext cx="5391785" cy="7129145"/>
                    </a:xfrm>
                    <a:prstGeom prst="rect">
                      <a:avLst/>
                    </a:prstGeom>
                    <a:noFill/>
                    <a:ln>
                      <a:noFill/>
                    </a:ln>
                  </pic:spPr>
                </pic:pic>
              </a:graphicData>
            </a:graphic>
          </wp:anchor>
        </w:drawing>
      </w:r>
    </w:p>
    <w:p>
      <w:pPr>
        <w:widowControl/>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 xml:space="preserve">表3.5-6  </w:t>
      </w:r>
      <w:r>
        <w:rPr>
          <w:rFonts w:ascii="Times New Roman" w:hAnsi="Times New Roman" w:eastAsia="宋体" w:cs="Times New Roman"/>
          <w:b/>
          <w:bCs/>
          <w:color w:val="000000" w:themeColor="text1"/>
          <w:szCs w:val="21"/>
          <w14:textFill>
            <w14:solidFill>
              <w14:schemeClr w14:val="tx1"/>
            </w14:solidFill>
          </w14:textFill>
        </w:rPr>
        <w:t>本项目部署采油井进计量站情况一览表</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92"/>
        <w:gridCol w:w="1262"/>
        <w:gridCol w:w="2414"/>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608"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已建计量站号</w:t>
            </w:r>
          </w:p>
        </w:tc>
        <w:tc>
          <w:tcPr>
            <w:tcW w:w="1292"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剩余空头数（个）</w:t>
            </w:r>
          </w:p>
        </w:tc>
        <w:tc>
          <w:tcPr>
            <w:tcW w:w="1262"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接入油井数（口）</w:t>
            </w:r>
          </w:p>
        </w:tc>
        <w:tc>
          <w:tcPr>
            <w:tcW w:w="2414"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接入的新建采油井井号</w:t>
            </w:r>
          </w:p>
        </w:tc>
        <w:tc>
          <w:tcPr>
            <w:tcW w:w="1943"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8"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陆9井区3号计量配水站</w:t>
            </w:r>
          </w:p>
        </w:tc>
        <w:tc>
          <w:tcPr>
            <w:tcW w:w="1292"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262"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p>
        </w:tc>
        <w:tc>
          <w:tcPr>
            <w:tcW w:w="2414"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LUD3312、LUD3313、LUD3323、LUD3333、LUD3332</w:t>
            </w:r>
          </w:p>
        </w:tc>
        <w:tc>
          <w:tcPr>
            <w:tcW w:w="1943"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扩建1座12井式一体化自动选井计量装置</w:t>
            </w:r>
            <w:r>
              <w:rPr>
                <w:rFonts w:hint="eastAsia" w:ascii="Times New Roman" w:hAnsi="Times New Roman" w:eastAsia="宋体" w:cs="Times New Roman"/>
                <w:color w:val="000000" w:themeColor="text1"/>
                <w:szCs w:val="21"/>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8"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陆9井区5号计量配水站</w:t>
            </w:r>
          </w:p>
        </w:tc>
        <w:tc>
          <w:tcPr>
            <w:tcW w:w="1292"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1262"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5</w:t>
            </w:r>
          </w:p>
        </w:tc>
        <w:tc>
          <w:tcPr>
            <w:tcW w:w="2414"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LUD3304、LUD3305、LUD3314、LUD3315、LUD3324</w:t>
            </w:r>
          </w:p>
        </w:tc>
        <w:tc>
          <w:tcPr>
            <w:tcW w:w="1943"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扩建1座12井式一体化自动选井计量装置</w:t>
            </w:r>
            <w:r>
              <w:rPr>
                <w:rFonts w:hint="eastAsia" w:ascii="Times New Roman" w:hAnsi="Times New Roman" w:eastAsia="宋体" w:cs="Times New Roman"/>
                <w:color w:val="000000" w:themeColor="text1"/>
                <w:szCs w:val="21"/>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8"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陆9井区6号计量配水站</w:t>
            </w:r>
          </w:p>
        </w:tc>
        <w:tc>
          <w:tcPr>
            <w:tcW w:w="1292"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262"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p>
        </w:tc>
        <w:tc>
          <w:tcPr>
            <w:tcW w:w="2414"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LUD3282、LUD3283、LUD3292、LUD3293、LUD3302、LUD3303</w:t>
            </w:r>
          </w:p>
        </w:tc>
        <w:tc>
          <w:tcPr>
            <w:tcW w:w="1943"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扩建1座12井式一体化自动选井计量装置</w:t>
            </w:r>
            <w:r>
              <w:rPr>
                <w:rFonts w:hint="eastAsia" w:ascii="Times New Roman" w:hAnsi="Times New Roman" w:eastAsia="宋体" w:cs="Times New Roman"/>
                <w:color w:val="000000" w:themeColor="text1"/>
                <w:szCs w:val="21"/>
                <w14:textFill>
                  <w14:solidFill>
                    <w14:schemeClr w14:val="tx1"/>
                  </w14:solidFill>
                </w14:textFill>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8"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陆9井区7号计量配水站</w:t>
            </w:r>
          </w:p>
        </w:tc>
        <w:tc>
          <w:tcPr>
            <w:tcW w:w="1292"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262"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p>
        </w:tc>
        <w:tc>
          <w:tcPr>
            <w:tcW w:w="2414"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LUD3275、LUD3284、LUD3285、LUD3286、LUD3294、LUD3295</w:t>
            </w:r>
          </w:p>
        </w:tc>
        <w:tc>
          <w:tcPr>
            <w:tcW w:w="1943"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扩建1座12井式一体化自动选井计量装置</w:t>
            </w:r>
            <w:r>
              <w:rPr>
                <w:rFonts w:hint="eastAsia" w:ascii="Times New Roman" w:hAnsi="Times New Roman" w:eastAsia="宋体" w:cs="Times New Roman"/>
                <w:color w:val="000000" w:themeColor="text1"/>
                <w:szCs w:val="21"/>
                <w14:textFill>
                  <w14:solidFill>
                    <w14:schemeClr w14:val="tx1"/>
                  </w14:solidFill>
                </w14:textFill>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8"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陆9井区9号计量配水站</w:t>
            </w:r>
          </w:p>
        </w:tc>
        <w:tc>
          <w:tcPr>
            <w:tcW w:w="1292"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1262" w:type="dxa"/>
            <w:shd w:val="clear" w:color="auto" w:fill="auto"/>
            <w:vAlign w:val="center"/>
          </w:tcPr>
          <w:p>
            <w:pPr>
              <w:widowControl/>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p>
        </w:tc>
        <w:tc>
          <w:tcPr>
            <w:tcW w:w="2414"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LUD3272、LUD3273、LUD3263</w:t>
            </w:r>
          </w:p>
        </w:tc>
        <w:tc>
          <w:tcPr>
            <w:tcW w:w="1943"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扩建1座8井式一体化自动选井计量装置</w:t>
            </w:r>
            <w:r>
              <w:rPr>
                <w:rFonts w:hint="eastAsia" w:ascii="Times New Roman" w:hAnsi="Times New Roman" w:eastAsia="宋体" w:cs="Times New Roman"/>
                <w:color w:val="000000" w:themeColor="text1"/>
                <w:szCs w:val="21"/>
                <w14:textFill>
                  <w14:solidFill>
                    <w14:schemeClr w14:val="tx1"/>
                  </w14:solidFill>
                </w14:textFill>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8"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陆9井区2号计量配水站</w:t>
            </w:r>
          </w:p>
        </w:tc>
        <w:tc>
          <w:tcPr>
            <w:tcW w:w="1292"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p>
        </w:tc>
        <w:tc>
          <w:tcPr>
            <w:tcW w:w="1262"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2414"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LUD3334</w:t>
            </w:r>
          </w:p>
        </w:tc>
        <w:tc>
          <w:tcPr>
            <w:tcW w:w="1943"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依托现有，</w:t>
            </w:r>
            <w:r>
              <w:rPr>
                <w:rFonts w:ascii="Times New Roman" w:hAnsi="Times New Roman" w:eastAsia="宋体" w:cs="Times New Roman"/>
                <w:color w:val="000000" w:themeColor="text1"/>
                <w:szCs w:val="21"/>
                <w14:textFill>
                  <w14:solidFill>
                    <w14:schemeClr w14:val="tx1"/>
                  </w14:solidFill>
                </w14:textFill>
              </w:rPr>
              <w:t>满足接入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8"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陆9井区4号计量配水站</w:t>
            </w:r>
          </w:p>
        </w:tc>
        <w:tc>
          <w:tcPr>
            <w:tcW w:w="1292"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1262"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2414"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LUD3325</w:t>
            </w:r>
          </w:p>
        </w:tc>
        <w:tc>
          <w:tcPr>
            <w:tcW w:w="1943" w:type="dxa"/>
            <w:shd w:val="clear" w:color="auto" w:fill="auto"/>
            <w:vAlign w:val="center"/>
          </w:tcPr>
          <w:p>
            <w:pPr>
              <w:widowControl/>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依托现有，</w:t>
            </w:r>
            <w:r>
              <w:rPr>
                <w:rFonts w:ascii="Times New Roman" w:hAnsi="Times New Roman" w:eastAsia="宋体" w:cs="Times New Roman"/>
                <w:color w:val="000000" w:themeColor="text1"/>
                <w:szCs w:val="21"/>
                <w14:textFill>
                  <w14:solidFill>
                    <w14:schemeClr w14:val="tx1"/>
                  </w14:solidFill>
                </w14:textFill>
              </w:rPr>
              <w:t>满足接入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8"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陆9井区8号计量配水站</w:t>
            </w:r>
          </w:p>
        </w:tc>
        <w:tc>
          <w:tcPr>
            <w:tcW w:w="1292"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262"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2414"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LUD3274</w:t>
            </w:r>
          </w:p>
        </w:tc>
        <w:tc>
          <w:tcPr>
            <w:tcW w:w="1943"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依托现有，</w:t>
            </w:r>
            <w:r>
              <w:rPr>
                <w:rFonts w:ascii="Times New Roman" w:hAnsi="Times New Roman" w:eastAsia="宋体" w:cs="Times New Roman"/>
                <w:color w:val="000000" w:themeColor="text1"/>
                <w:szCs w:val="21"/>
                <w14:textFill>
                  <w14:solidFill>
                    <w14:schemeClr w14:val="tx1"/>
                  </w14:solidFill>
                </w14:textFill>
              </w:rPr>
              <w:t>满足接入</w:t>
            </w:r>
          </w:p>
        </w:tc>
      </w:tr>
    </w:tbl>
    <w:p>
      <w:pPr>
        <w:pStyle w:val="58"/>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.3油气集输</w:t>
      </w:r>
    </w:p>
    <w:p>
      <w:pPr>
        <w:pStyle w:val="25"/>
        <w:spacing w:line="360" w:lineRule="auto"/>
        <w:ind w:firstLine="480" w:firstLineChars="200"/>
        <w:jc w:val="both"/>
        <w:rPr>
          <w:rFonts w:ascii="Times New Roman" w:hAnsi="Times New Roman" w:eastAsia="宋体" w:cs="Times New Roman"/>
          <w:b w:val="0"/>
          <w:color w:val="000000" w:themeColor="text1"/>
          <w14:textFill>
            <w14:solidFill>
              <w14:schemeClr w14:val="tx1"/>
            </w14:solidFill>
          </w14:textFill>
        </w:rPr>
      </w:pPr>
      <w:r>
        <w:rPr>
          <w:rFonts w:ascii="Times New Roman" w:hAnsi="Times New Roman" w:eastAsia="宋体" w:cs="Times New Roman"/>
          <w:b w:val="0"/>
          <w:color w:val="000000" w:themeColor="text1"/>
          <w14:textFill>
            <w14:solidFill>
              <w14:schemeClr w14:val="tx1"/>
            </w14:solidFill>
          </w14:textFill>
        </w:rPr>
        <w:t>（1）集输工艺</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目前陆9井区已建完善的集输系统，本工程新建28口采油井依托已建系统实现密闭集输。根据对陆9井区已建集输系统现状的分析，结合新建采油井部署位置，新建28口采油井采用一级布站输送工艺，即：井口→计量站/撬→陆梁集中处理站的布站方式。平面工艺管网图详见图3.4-2。</w:t>
      </w:r>
    </w:p>
    <w:p>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（2）集输管线</w:t>
      </w:r>
    </w:p>
    <w:p>
      <w:pPr>
        <w:pStyle w:val="25"/>
        <w:spacing w:line="360" w:lineRule="auto"/>
        <w:ind w:firstLine="480" w:firstLineChars="200"/>
        <w:jc w:val="left"/>
        <w:rPr>
          <w:rFonts w:ascii="Times New Roman" w:hAnsi="Times New Roman" w:eastAsia="宋体" w:cs="Times New Roman"/>
          <w:b w:val="0"/>
          <w:color w:val="000000" w:themeColor="text1"/>
          <w14:textFill>
            <w14:solidFill>
              <w14:schemeClr w14:val="tx1"/>
            </w14:solidFill>
          </w14:textFill>
        </w:rPr>
      </w:pPr>
      <w:r>
        <w:rPr>
          <w:rFonts w:ascii="Times New Roman" w:hAnsi="Times New Roman" w:eastAsia="宋体" w:cs="Times New Roman"/>
          <w:b w:val="0"/>
          <w:color w:val="000000" w:themeColor="text1"/>
          <w14:textFill>
            <w14:solidFill>
              <w14:schemeClr w14:val="tx1"/>
            </w14:solidFill>
          </w14:textFill>
        </w:rPr>
        <w:t>非金属管道内壁光滑、阻力系数低，绝对粗糙度小，流通量大，防腐性能好，安装方便，因此单井出油管道、集油干线推荐采用非金属管道。</w:t>
      </w:r>
    </w:p>
    <w:p>
      <w:pPr>
        <w:pStyle w:val="25"/>
        <w:spacing w:line="360" w:lineRule="auto"/>
        <w:ind w:firstLine="480" w:firstLineChars="200"/>
        <w:jc w:val="left"/>
        <w:rPr>
          <w:rFonts w:ascii="Times New Roman" w:hAnsi="Times New Roman" w:eastAsia="宋体" w:cs="Times New Roman"/>
          <w:b w:val="0"/>
          <w:color w:val="000000" w:themeColor="text1"/>
          <w14:textFill>
            <w14:solidFill>
              <w14:schemeClr w14:val="tx1"/>
            </w14:solidFill>
          </w14:textFill>
        </w:rPr>
      </w:pPr>
      <w:r>
        <w:rPr>
          <w:rFonts w:ascii="Times New Roman" w:hAnsi="Times New Roman" w:eastAsia="宋体" w:cs="Times New Roman"/>
          <w:b w:val="0"/>
          <w:color w:val="000000" w:themeColor="text1"/>
          <w14:textFill>
            <w14:solidFill>
              <w14:schemeClr w14:val="tx1"/>
            </w14:solidFill>
          </w14:textFill>
        </w:rPr>
        <w:t>本工程新建单井出油管道采用DN50 2.5MPa塑料合金防腐蚀复合管，管线埋深-1.</w:t>
      </w:r>
      <w:r>
        <w:rPr>
          <w:rFonts w:hint="eastAsia" w:ascii="Times New Roman" w:hAnsi="Times New Roman" w:eastAsia="宋体" w:cs="Times New Roman"/>
          <w:b w:val="0"/>
          <w:color w:val="000000" w:themeColor="text1"/>
          <w14:textFill>
            <w14:solidFill>
              <w14:schemeClr w14:val="tx1"/>
            </w14:solidFill>
          </w14:textFill>
        </w:rPr>
        <w:t>7</w:t>
      </w:r>
      <w:r>
        <w:rPr>
          <w:rFonts w:ascii="Times New Roman" w:hAnsi="Times New Roman" w:eastAsia="宋体" w:cs="Times New Roman"/>
          <w:b w:val="0"/>
          <w:color w:val="000000" w:themeColor="text1"/>
          <w14:textFill>
            <w14:solidFill>
              <w14:schemeClr w14:val="tx1"/>
            </w14:solidFill>
          </w14:textFill>
        </w:rPr>
        <w:t>0m。新建集油支线及干线均采用DN150 2.5MPa塑料合金防腐蚀复合管，管道均保温埋地敷设，保温层采用30mm厚发泡保温橡塑海绵，防护层采用2mm厚聚乙烯胶粘带，管线埋深-1.</w:t>
      </w:r>
      <w:r>
        <w:rPr>
          <w:rFonts w:hint="eastAsia" w:ascii="Times New Roman" w:hAnsi="Times New Roman" w:eastAsia="宋体" w:cs="Times New Roman"/>
          <w:b w:val="0"/>
          <w:color w:val="000000" w:themeColor="text1"/>
          <w14:textFill>
            <w14:solidFill>
              <w14:schemeClr w14:val="tx1"/>
            </w14:solidFill>
          </w14:textFill>
        </w:rPr>
        <w:t>9</w:t>
      </w:r>
      <w:r>
        <w:rPr>
          <w:rFonts w:ascii="Times New Roman" w:hAnsi="Times New Roman" w:eastAsia="宋体" w:cs="Times New Roman"/>
          <w:b w:val="0"/>
          <w:color w:val="000000" w:themeColor="text1"/>
          <w14:textFill>
            <w14:solidFill>
              <w14:schemeClr w14:val="tx1"/>
            </w14:solidFill>
          </w14:textFill>
        </w:rPr>
        <w:t>0m。本工程管道穿越专用公路及沥青、水泥路及路政部门要求顶管穿越路段采用顶管穿越方式，顶管时设套管保护；管道穿越碎石路、土路采用大开挖穿越方式，并设套管保护，穿越完毕后恢复原有路面。</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（3）管线穿越</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000000" w:themeColor="text1"/>
          <w:sz w:val="24"/>
          <w:highlight w:val="green"/>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本项目集油管线穿越</w:t>
      </w:r>
      <w:r>
        <w:rPr>
          <w:rFonts w:ascii="Times New Roman" w:hAnsi="Times New Roman" w:eastAsia="宋体" w:cs="Times New Roman"/>
          <w:color w:val="000000" w:themeColor="text1"/>
          <w:sz w:val="24"/>
          <w14:textFill>
            <w14:solidFill>
              <w14:schemeClr w14:val="tx1"/>
            </w14:solidFill>
          </w14:textFill>
        </w:rPr>
        <w:t>油区道路</w:t>
      </w:r>
      <w:r>
        <w:rPr>
          <w:rFonts w:hint="eastAsia" w:ascii="Times New Roman" w:hAnsi="Times New Roman" w:eastAsia="宋体" w:cs="Times New Roman"/>
          <w:color w:val="000000" w:themeColor="text1"/>
          <w:sz w:val="24"/>
          <w:lang w:val="en-US" w:eastAsia="zh-CN"/>
          <w14:textFill>
            <w14:solidFill>
              <w14:schemeClr w14:val="tx1"/>
            </w14:solidFill>
          </w14:textFill>
        </w:rPr>
        <w:t>35</w:t>
      </w:r>
      <w:r>
        <w:rPr>
          <w:rFonts w:hint="eastAsia" w:ascii="Times New Roman" w:hAnsi="Times New Roman" w:eastAsia="宋体" w:cs="Times New Roman"/>
          <w:color w:val="000000" w:themeColor="text1"/>
          <w:sz w:val="24"/>
          <w14:textFill>
            <w14:solidFill>
              <w14:schemeClr w14:val="tx1"/>
            </w14:solidFill>
          </w14:textFill>
        </w:rPr>
        <w:t>处，本工程各类管道与已建地下管线交叉、穿越时安全距离满足规范要求。</w:t>
      </w:r>
      <w:r>
        <w:rPr>
          <w:rFonts w:ascii="Times New Roman" w:hAnsi="Times New Roman" w:eastAsia="宋体" w:cs="Times New Roman"/>
          <w:color w:val="000000" w:themeColor="text1"/>
          <w:sz w:val="24"/>
          <w:highlight w:val="none"/>
          <w14:textFill>
            <w14:solidFill>
              <w14:schemeClr w14:val="tx1"/>
            </w14:solidFill>
          </w14:textFill>
        </w:rPr>
        <w:t>线路</w:t>
      </w:r>
      <w:r>
        <w:rPr>
          <w:rFonts w:hint="eastAsia" w:ascii="Times New Roman" w:hAnsi="Times New Roman" w:eastAsia="宋体" w:cs="Times New Roman"/>
          <w:color w:val="000000" w:themeColor="text1"/>
          <w:sz w:val="24"/>
          <w:highlight w:val="none"/>
          <w14:textFill>
            <w14:solidFill>
              <w14:schemeClr w14:val="tx1"/>
            </w14:solidFill>
          </w14:textFill>
        </w:rPr>
        <w:t>穿越</w:t>
      </w:r>
      <w:r>
        <w:rPr>
          <w:rFonts w:ascii="Times New Roman" w:hAnsi="Times New Roman" w:eastAsia="宋体" w:cs="Times New Roman"/>
          <w:color w:val="000000" w:themeColor="text1"/>
          <w:sz w:val="24"/>
          <w:highlight w:val="none"/>
          <w14:textFill>
            <w14:solidFill>
              <w14:schemeClr w14:val="tx1"/>
            </w14:solidFill>
          </w14:textFill>
        </w:rPr>
        <w:t>工程见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表</w:t>
      </w:r>
      <w:r>
        <w:rPr>
          <w:rFonts w:hint="eastAsia" w:ascii="Times New Roman" w:hAnsi="Times New Roman" w:eastAsia="宋体" w:cs="Times New Roman"/>
          <w:color w:val="000000" w:themeColor="text1"/>
          <w:sz w:val="24"/>
          <w:highlight w:val="none"/>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.5-7</w:t>
      </w:r>
      <w:r>
        <w:rPr>
          <w:rFonts w:ascii="Times New Roman" w:hAnsi="Times New Roman" w:eastAsia="宋体" w:cs="Times New Roman"/>
          <w:color w:val="000000" w:themeColor="text1"/>
          <w:sz w:val="24"/>
          <w:highlight w:val="none"/>
          <w14:textFill>
            <w14:solidFill>
              <w14:schemeClr w14:val="tx1"/>
            </w14:solidFill>
          </w14:textFill>
        </w:rPr>
        <w:t>。</w:t>
      </w:r>
    </w:p>
    <w:p>
      <w:pPr>
        <w:autoSpaceDE w:val="0"/>
        <w:autoSpaceDN w:val="0"/>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w:t>
      </w:r>
      <w:r>
        <w:rPr>
          <w:rFonts w:hint="eastAsia" w:ascii="Times New Roman" w:hAnsi="Times New Roman" w:cs="Times New Roman"/>
          <w:b/>
          <w:bCs/>
          <w:color w:val="000000" w:themeColor="text1"/>
          <w:szCs w:val="21"/>
          <w14:textFill>
            <w14:solidFill>
              <w14:schemeClr w14:val="tx1"/>
            </w14:solidFill>
          </w14:textFill>
        </w:rPr>
        <w:t>3.5-7</w:t>
      </w:r>
      <w:r>
        <w:rPr>
          <w:rFonts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集油管线穿越工程一览表</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9"/>
        <w:gridCol w:w="1449"/>
        <w:gridCol w:w="1589"/>
        <w:gridCol w:w="1786"/>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9" w:type="dxa"/>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穿跨工程</w:t>
            </w:r>
          </w:p>
        </w:tc>
        <w:tc>
          <w:tcPr>
            <w:tcW w:w="1449" w:type="dxa"/>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次数</w:t>
            </w:r>
          </w:p>
        </w:tc>
        <w:tc>
          <w:tcPr>
            <w:tcW w:w="1589" w:type="dxa"/>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穿越长度</w:t>
            </w:r>
          </w:p>
        </w:tc>
        <w:tc>
          <w:tcPr>
            <w:tcW w:w="1786" w:type="dxa"/>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穿越方式</w:t>
            </w:r>
          </w:p>
        </w:tc>
        <w:tc>
          <w:tcPr>
            <w:tcW w:w="1416" w:type="dxa"/>
          </w:tcPr>
          <w:p>
            <w:pPr>
              <w:autoSpaceDE w:val="0"/>
              <w:autoSpaceDN w:val="0"/>
              <w:adjustRightInd w:val="0"/>
              <w:snapToGrid w:val="0"/>
              <w:jc w:val="cente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9" w:type="dxa"/>
            <w:vAlign w:val="center"/>
          </w:tcPr>
          <w:p>
            <w:pPr>
              <w:autoSpaceDE w:val="0"/>
              <w:autoSpaceDN w:val="0"/>
              <w:adjustRightInd w:val="0"/>
              <w:snapToGrid w:val="0"/>
              <w:jc w:val="center"/>
              <w:rPr>
                <w:rFonts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穿越</w:t>
            </w:r>
            <w:r>
              <w:rPr>
                <w:rFonts w:ascii="Times New Roman" w:hAnsi="Times New Roman" w:cs="Times New Roman"/>
                <w:b w:val="0"/>
                <w:bCs w:val="0"/>
                <w:color w:val="000000" w:themeColor="text1"/>
                <w:szCs w:val="21"/>
                <w14:textFill>
                  <w14:solidFill>
                    <w14:schemeClr w14:val="tx1"/>
                  </w14:solidFill>
                </w14:textFill>
              </w:rPr>
              <w:t>油区</w:t>
            </w:r>
            <w:r>
              <w:rPr>
                <w:rFonts w:hint="eastAsia" w:ascii="Times New Roman" w:hAnsi="Times New Roman" w:cs="Times New Roman"/>
                <w:b w:val="0"/>
                <w:bCs w:val="0"/>
                <w:color w:val="000000" w:themeColor="text1"/>
                <w:szCs w:val="21"/>
                <w:lang w:val="en-US" w:eastAsia="zh-CN"/>
                <w14:textFill>
                  <w14:solidFill>
                    <w14:schemeClr w14:val="tx1"/>
                  </w14:solidFill>
                </w14:textFill>
              </w:rPr>
              <w:t>碎石路、土路</w:t>
            </w:r>
          </w:p>
        </w:tc>
        <w:tc>
          <w:tcPr>
            <w:tcW w:w="1449" w:type="dxa"/>
            <w:vAlign w:val="center"/>
          </w:tcPr>
          <w:p>
            <w:pPr>
              <w:autoSpaceDE w:val="0"/>
              <w:autoSpaceDN w:val="0"/>
              <w:adjustRightInd w:val="0"/>
              <w:snapToGrid w:val="0"/>
              <w:jc w:val="center"/>
              <w:rPr>
                <w:rFonts w:hint="default" w:ascii="Times New Roman" w:hAnsi="Times New Roman" w:cs="Times New Roman" w:eastAsiaTheme="minorEastAsia"/>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20处</w:t>
            </w:r>
          </w:p>
        </w:tc>
        <w:tc>
          <w:tcPr>
            <w:tcW w:w="1589" w:type="dxa"/>
            <w:vAlign w:val="center"/>
          </w:tcPr>
          <w:p>
            <w:pPr>
              <w:autoSpaceDE w:val="0"/>
              <w:autoSpaceDN w:val="0"/>
              <w:adjustRightInd w:val="0"/>
              <w:snapToGrid w:val="0"/>
              <w:jc w:val="center"/>
              <w:rPr>
                <w:rFonts w:hint="eastAsia" w:ascii="Times New Roman" w:hAnsi="Times New Roman" w:cs="Times New Roman" w:eastAsiaTheme="minorEastAsia"/>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400</w:t>
            </w:r>
            <w:r>
              <w:rPr>
                <w:rFonts w:hint="default" w:ascii="Times New Roman" w:hAnsi="Times New Roman" w:cs="Times New Roman"/>
                <w:color w:val="000000" w:themeColor="text1"/>
                <w:lang w:val="en-US" w:eastAsia="zh-CN"/>
                <w14:textFill>
                  <w14:solidFill>
                    <w14:schemeClr w14:val="tx1"/>
                  </w14:solidFill>
                </w14:textFill>
              </w:rPr>
              <w:t>m</w:t>
            </w:r>
          </w:p>
        </w:tc>
        <w:tc>
          <w:tcPr>
            <w:tcW w:w="1786" w:type="dxa"/>
            <w:vAlign w:val="center"/>
          </w:tcPr>
          <w:p>
            <w:pPr>
              <w:autoSpaceDE w:val="0"/>
              <w:autoSpaceDN w:val="0"/>
              <w:adjustRightInd w:val="0"/>
              <w:snapToGrid w:val="0"/>
              <w:jc w:val="center"/>
              <w:rPr>
                <w:rFonts w:hint="default" w:ascii="Times New Roman" w:hAnsi="Times New Roman" w:cs="Times New Roman" w:eastAsiaTheme="minorEastAsia"/>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大开挖穿越</w:t>
            </w:r>
          </w:p>
        </w:tc>
        <w:tc>
          <w:tcPr>
            <w:tcW w:w="1416" w:type="dxa"/>
            <w:vMerge w:val="restart"/>
            <w:vAlign w:val="center"/>
          </w:tcPr>
          <w:p>
            <w:pPr>
              <w:autoSpaceDE w:val="0"/>
              <w:autoSpaceDN w:val="0"/>
              <w:adjustRightInd w:val="0"/>
              <w:snapToGrid w:val="0"/>
              <w:jc w:val="center"/>
              <w:rPr>
                <w:rFonts w:hint="default" w:ascii="Times New Roman" w:hAnsi="Times New Roman" w:cs="Times New Roman"/>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单次穿越按20m计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9" w:type="dxa"/>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穿越油区</w:t>
            </w:r>
            <w:r>
              <w:rPr>
                <w:rFonts w:hint="eastAsia" w:ascii="Times New Roman" w:hAnsi="Times New Roman" w:cs="Times New Roman"/>
                <w:color w:val="000000" w:themeColor="text1"/>
                <w:szCs w:val="21"/>
                <w:lang w:val="en-US" w:eastAsia="zh-CN"/>
                <w14:textFill>
                  <w14:solidFill>
                    <w14:schemeClr w14:val="tx1"/>
                  </w14:solidFill>
                </w14:textFill>
              </w:rPr>
              <w:t>专用公路及沥青、水泥路等</w:t>
            </w:r>
            <w:r>
              <w:rPr>
                <w:rFonts w:ascii="Times New Roman" w:hAnsi="Times New Roman" w:cs="Times New Roman"/>
                <w:color w:val="000000" w:themeColor="text1"/>
                <w:szCs w:val="21"/>
                <w14:textFill>
                  <w14:solidFill>
                    <w14:schemeClr w14:val="tx1"/>
                  </w14:solidFill>
                </w14:textFill>
              </w:rPr>
              <w:t>道路</w:t>
            </w:r>
          </w:p>
        </w:tc>
        <w:tc>
          <w:tcPr>
            <w:tcW w:w="1449" w:type="dxa"/>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15</w:t>
            </w:r>
            <w:r>
              <w:rPr>
                <w:rFonts w:ascii="Times New Roman" w:hAnsi="Times New Roman" w:cs="Times New Roman"/>
                <w:color w:val="000000" w:themeColor="text1"/>
                <w:szCs w:val="21"/>
                <w14:textFill>
                  <w14:solidFill>
                    <w14:schemeClr w14:val="tx1"/>
                  </w14:solidFill>
                </w14:textFill>
              </w:rPr>
              <w:t>处</w:t>
            </w:r>
          </w:p>
        </w:tc>
        <w:tc>
          <w:tcPr>
            <w:tcW w:w="1589" w:type="dxa"/>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300</w:t>
            </w:r>
            <w:r>
              <w:rPr>
                <w:rFonts w:ascii="Times New Roman" w:hAnsi="Times New Roman" w:cs="Times New Roman"/>
                <w:color w:val="000000" w:themeColor="text1"/>
                <w:szCs w:val="21"/>
                <w14:textFill>
                  <w14:solidFill>
                    <w14:schemeClr w14:val="tx1"/>
                  </w14:solidFill>
                </w14:textFill>
              </w:rPr>
              <w:t>m</w:t>
            </w:r>
          </w:p>
        </w:tc>
        <w:tc>
          <w:tcPr>
            <w:tcW w:w="1786" w:type="dxa"/>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顶管穿越</w:t>
            </w:r>
          </w:p>
        </w:tc>
        <w:tc>
          <w:tcPr>
            <w:tcW w:w="1416" w:type="dxa"/>
            <w:vMerge w:val="continue"/>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p>
        </w:tc>
      </w:tr>
    </w:tbl>
    <w:p>
      <w:pPr>
        <w:pStyle w:val="58"/>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.4主要工程量</w:t>
      </w:r>
    </w:p>
    <w:p>
      <w:pPr>
        <w:pStyle w:val="25"/>
        <w:spacing w:line="360" w:lineRule="auto"/>
        <w:ind w:firstLine="480" w:firstLineChars="200"/>
        <w:jc w:val="left"/>
        <w:rPr>
          <w:rFonts w:ascii="Times New Roman" w:hAnsi="Times New Roman" w:eastAsia="宋体" w:cs="Times New Roman"/>
          <w:b w:val="0"/>
          <w:color w:val="000000" w:themeColor="text1"/>
          <w14:textFill>
            <w14:solidFill>
              <w14:schemeClr w14:val="tx1"/>
            </w14:solidFill>
          </w14:textFill>
        </w:rPr>
      </w:pPr>
      <w:r>
        <w:rPr>
          <w:rFonts w:ascii="Times New Roman" w:hAnsi="Times New Roman" w:eastAsia="宋体" w:cs="Times New Roman"/>
          <w:b w:val="0"/>
          <w:color w:val="000000" w:themeColor="text1"/>
          <w14:textFill>
            <w14:solidFill>
              <w14:schemeClr w14:val="tx1"/>
            </w14:solidFill>
          </w14:textFill>
        </w:rPr>
        <w:t>本工程油气集输新井部分主要工程量见表3.5-</w:t>
      </w:r>
      <w:r>
        <w:rPr>
          <w:rFonts w:hint="eastAsia" w:ascii="Times New Roman" w:eastAsia="宋体" w:cs="Times New Roman"/>
          <w:b w:val="0"/>
          <w:color w:val="000000" w:themeColor="text1"/>
          <w:lang w:val="en-US" w:eastAsia="zh-CN"/>
          <w14:textFill>
            <w14:solidFill>
              <w14:schemeClr w14:val="tx1"/>
            </w14:solidFill>
          </w14:textFill>
        </w:rPr>
        <w:t>8</w:t>
      </w:r>
      <w:r>
        <w:rPr>
          <w:rFonts w:ascii="Times New Roman" w:hAnsi="Times New Roman" w:eastAsia="宋体" w:cs="Times New Roman"/>
          <w:b w:val="0"/>
          <w:color w:val="000000" w:themeColor="text1"/>
          <w14:textFill>
            <w14:solidFill>
              <w14:schemeClr w14:val="tx1"/>
            </w14:solidFill>
          </w14:textFill>
        </w:rPr>
        <w:t>。</w:t>
      </w:r>
    </w:p>
    <w:p>
      <w:pPr>
        <w:pStyle w:val="25"/>
        <w:spacing w:line="360" w:lineRule="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表3.5-</w:t>
      </w:r>
      <w:r>
        <w:rPr>
          <w:rFonts w:hint="eastAsia" w:ascii="Times New Roman" w:eastAsia="宋体" w:cs="Times New Roman"/>
          <w:bCs/>
          <w:color w:val="000000" w:themeColor="text1"/>
          <w:sz w:val="21"/>
          <w:szCs w:val="21"/>
          <w:lang w:val="en-US" w:eastAsia="zh-CN"/>
          <w14:textFill>
            <w14:solidFill>
              <w14:schemeClr w14:val="tx1"/>
            </w14:solidFill>
          </w14:textFill>
        </w:rPr>
        <w:t>8</w:t>
      </w:r>
      <w:r>
        <w:rPr>
          <w:rFonts w:ascii="Times New Roman" w:hAnsi="Times New Roman" w:eastAsia="宋体" w:cs="Times New Roman"/>
          <w:bCs/>
          <w:color w:val="000000" w:themeColor="text1"/>
          <w:sz w:val="21"/>
          <w:szCs w:val="21"/>
          <w14:textFill>
            <w14:solidFill>
              <w14:schemeClr w14:val="tx1"/>
            </w14:solidFill>
          </w14:textFill>
        </w:rPr>
        <w:t xml:space="preserve">  集油区部分主要工程量一览表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3836"/>
        <w:gridCol w:w="1157"/>
        <w:gridCol w:w="857"/>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序号</w:t>
            </w:r>
          </w:p>
        </w:tc>
        <w:tc>
          <w:tcPr>
            <w:tcW w:w="3836"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名称</w:t>
            </w:r>
          </w:p>
        </w:tc>
        <w:tc>
          <w:tcPr>
            <w:tcW w:w="1157"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单位</w:t>
            </w:r>
          </w:p>
        </w:tc>
        <w:tc>
          <w:tcPr>
            <w:tcW w:w="857"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数量</w:t>
            </w:r>
          </w:p>
        </w:tc>
        <w:tc>
          <w:tcPr>
            <w:tcW w:w="1649"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25MPa DN50不保温油嘴加热采油井场</w:t>
            </w:r>
          </w:p>
        </w:tc>
        <w:tc>
          <w:tcPr>
            <w:tcW w:w="11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座</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28</w:t>
            </w:r>
          </w:p>
        </w:tc>
        <w:tc>
          <w:tcPr>
            <w:tcW w:w="1649"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DN50采油井口工艺安装</w:t>
            </w:r>
          </w:p>
        </w:tc>
        <w:tc>
          <w:tcPr>
            <w:tcW w:w="11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座</w:t>
            </w:r>
          </w:p>
        </w:tc>
        <w:tc>
          <w:tcPr>
            <w:tcW w:w="85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28</w:t>
            </w:r>
          </w:p>
        </w:tc>
        <w:tc>
          <w:tcPr>
            <w:tcW w:w="1649"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电潜泵</w:t>
            </w:r>
          </w:p>
        </w:tc>
        <w:tc>
          <w:tcPr>
            <w:tcW w:w="11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85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19</w:t>
            </w:r>
          </w:p>
        </w:tc>
        <w:tc>
          <w:tcPr>
            <w:tcW w:w="1649"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8型抽油机</w:t>
            </w:r>
          </w:p>
        </w:tc>
        <w:tc>
          <w:tcPr>
            <w:tcW w:w="11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台</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p>
        </w:tc>
        <w:tc>
          <w:tcPr>
            <w:tcW w:w="1649"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8型抽油机基础及安装</w:t>
            </w:r>
          </w:p>
        </w:tc>
        <w:tc>
          <w:tcPr>
            <w:tcW w:w="11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座</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10型抽油机基础及安装</w:t>
            </w:r>
          </w:p>
        </w:tc>
        <w:tc>
          <w:tcPr>
            <w:tcW w:w="11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座</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1649"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8井式一体化自动选井计量撬</w:t>
            </w:r>
          </w:p>
        </w:tc>
        <w:tc>
          <w:tcPr>
            <w:tcW w:w="11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座</w:t>
            </w:r>
          </w:p>
        </w:tc>
        <w:tc>
          <w:tcPr>
            <w:tcW w:w="85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通集20201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12井式一体化自动选井计量撬</w:t>
            </w:r>
          </w:p>
        </w:tc>
        <w:tc>
          <w:tcPr>
            <w:tcW w:w="11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座</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通集20201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单井出油管道DN50 2.5MPa</w:t>
            </w:r>
          </w:p>
        </w:tc>
        <w:tc>
          <w:tcPr>
            <w:tcW w:w="11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km</w:t>
            </w:r>
          </w:p>
        </w:tc>
        <w:tc>
          <w:tcPr>
            <w:tcW w:w="85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10.33</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塑料合金防腐蚀复合管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集油支线DN150 2.5MPa</w:t>
            </w:r>
          </w:p>
        </w:tc>
        <w:tc>
          <w:tcPr>
            <w:tcW w:w="11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km</w:t>
            </w:r>
          </w:p>
        </w:tc>
        <w:tc>
          <w:tcPr>
            <w:tcW w:w="85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3.6</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塑料合金防腐蚀复合管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10</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集油干线DN150 2.5MPa</w:t>
            </w:r>
          </w:p>
        </w:tc>
        <w:tc>
          <w:tcPr>
            <w:tcW w:w="1157"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km</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2.1</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塑料合金防腐蚀复合管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11</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集油阀池尺寸（</w:t>
            </w:r>
            <w:r>
              <w:rPr>
                <w:rFonts w:hint="eastAsia" w:ascii="Times New Roman" w:hAnsi="Times New Roman" w:cs="Times New Roman"/>
                <w:color w:val="000000" w:themeColor="text1"/>
                <w:szCs w:val="21"/>
                <w14:textFill>
                  <w14:solidFill>
                    <w14:schemeClr w14:val="tx1"/>
                  </w14:solidFill>
                </w14:textFill>
              </w:rPr>
              <w:t>2.0</w:t>
            </w:r>
            <w:r>
              <w:rPr>
                <w:rFonts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14:textFill>
                  <w14:solidFill>
                    <w14:schemeClr w14:val="tx1"/>
                  </w14:solidFill>
                </w14:textFill>
              </w:rPr>
              <w:t>2.0</w:t>
            </w:r>
            <w:r>
              <w:rPr>
                <w:rFonts w:ascii="Times New Roman" w:hAnsi="Times New Roman" w:cs="Times New Roman"/>
                <w:color w:val="000000" w:themeColor="text1"/>
                <w:szCs w:val="21"/>
                <w14:textFill>
                  <w14:solidFill>
                    <w14:schemeClr w14:val="tx1"/>
                  </w14:solidFill>
                </w14:textFill>
              </w:rPr>
              <w:t>m×2.</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m）</w:t>
            </w:r>
          </w:p>
        </w:tc>
        <w:tc>
          <w:tcPr>
            <w:tcW w:w="1157"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座</w:t>
            </w:r>
          </w:p>
        </w:tc>
        <w:tc>
          <w:tcPr>
            <w:tcW w:w="857"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p>
        </w:tc>
        <w:tc>
          <w:tcPr>
            <w:tcW w:w="1649"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12</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大开挖穿越</w:t>
            </w:r>
          </w:p>
        </w:tc>
        <w:tc>
          <w:tcPr>
            <w:tcW w:w="1157"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处</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20</w:t>
            </w:r>
          </w:p>
        </w:tc>
        <w:tc>
          <w:tcPr>
            <w:tcW w:w="1649"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13</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顶管穿越</w:t>
            </w:r>
          </w:p>
        </w:tc>
        <w:tc>
          <w:tcPr>
            <w:tcW w:w="1157"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处</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15</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14</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接入已建撬更换管线D60×3.5/20</w:t>
            </w:r>
          </w:p>
        </w:tc>
        <w:tc>
          <w:tcPr>
            <w:tcW w:w="1157"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300</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15</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带压开孔DN300</w:t>
            </w:r>
          </w:p>
        </w:tc>
        <w:tc>
          <w:tcPr>
            <w:tcW w:w="1157"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处</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16</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动火连头</w:t>
            </w:r>
          </w:p>
        </w:tc>
        <w:tc>
          <w:tcPr>
            <w:tcW w:w="1157"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处</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17</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无缝钢管D325×8</w:t>
            </w:r>
          </w:p>
        </w:tc>
        <w:tc>
          <w:tcPr>
            <w:tcW w:w="1157"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30</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18</w:t>
            </w:r>
          </w:p>
        </w:tc>
        <w:tc>
          <w:tcPr>
            <w:tcW w:w="3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闸阀Z43WF DN300 1.6MPa</w:t>
            </w:r>
          </w:p>
        </w:tc>
        <w:tc>
          <w:tcPr>
            <w:tcW w:w="1157" w:type="dxa"/>
            <w:vAlign w:val="center"/>
          </w:tcPr>
          <w:p>
            <w:pPr>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套</w:t>
            </w:r>
          </w:p>
        </w:tc>
        <w:tc>
          <w:tcPr>
            <w:tcW w:w="85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1649"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p>
        </w:tc>
      </w:tr>
    </w:tbl>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3.5.</w:t>
      </w:r>
      <w:r>
        <w:rPr>
          <w:rFonts w:hint="eastAsia" w:ascii="Times New Roman" w:hAnsi="Times New Roman" w:eastAsia="黑体" w:cs="Times New Roman"/>
          <w:b/>
          <w:color w:val="000000" w:themeColor="text1"/>
          <w:sz w:val="30"/>
          <w:szCs w:val="30"/>
          <w14:textFill>
            <w14:solidFill>
              <w14:schemeClr w14:val="tx1"/>
            </w14:solidFill>
          </w14:textFill>
        </w:rPr>
        <w:t>6</w:t>
      </w:r>
      <w:r>
        <w:rPr>
          <w:rFonts w:ascii="Times New Roman" w:hAnsi="Times New Roman" w:eastAsia="黑体" w:cs="Times New Roman"/>
          <w:b/>
          <w:color w:val="000000" w:themeColor="text1"/>
          <w:sz w:val="30"/>
          <w:szCs w:val="30"/>
          <w14:textFill>
            <w14:solidFill>
              <w14:schemeClr w14:val="tx1"/>
            </w14:solidFill>
          </w14:textFill>
        </w:rPr>
        <w:t>注水方案</w:t>
      </w:r>
    </w:p>
    <w:p>
      <w:pPr>
        <w:pStyle w:val="58"/>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.1注水井场</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陆9井区新建16MPa注水井场9座。流程描述如下：配水间来水经过单井注水管道注入井口。注水井口设保温盒，保温盒内单井注水管道设止回阀，防止高压水倒流；采油树设置油套管连通管，通过采油树高压阀门控制可实现注水井口正洗反洗、正注反注的工艺要求。注水井场工艺安装采用标准化设计，选用图集通注20101。</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陆9井区本次部署老井转注9口，最大注入压力为12MPa。根据已建的16MPa高压系统能力平衡，注水量及注水压力可以满足注水井注水需求，油区扩建配水撬3座。</w:t>
      </w:r>
    </w:p>
    <w:p>
      <w:pPr>
        <w:pStyle w:val="58"/>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配水撬</w:t>
      </w:r>
    </w:p>
    <w:p>
      <w:pPr>
        <w:widowControl/>
        <w:spacing w:line="360" w:lineRule="auto"/>
        <w:ind w:firstLine="480" w:firstLineChars="200"/>
        <w:jc w:val="left"/>
        <w:rPr>
          <w:rFonts w:ascii="Times New Roman" w:hAnsi="Times New Roman" w:eastAsia="宋体" w:cs="Times New Roman"/>
          <w:color w:val="000000" w:themeColor="text1"/>
          <w:kern w:val="0"/>
          <w:sz w:val="24"/>
          <w:highlight w:val="yellow"/>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新建3座6井式16MPa配水撬，工艺流程描述如下：增压后的水输送至6井式配水撬，通过撬内分水器向各注水单井进行配注，在去各单井管道上设置恒流配水装置、在线流量计量远传及压力检测远传。</w:t>
      </w:r>
    </w:p>
    <w:p>
      <w:pPr>
        <w:spacing w:line="360" w:lineRule="auto"/>
        <w:ind w:firstLine="480" w:firstLineChars="200"/>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单井进配水撬情况见表3.5-</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ascii="Times New Roman" w:hAnsi="Times New Roman" w:eastAsia="宋体" w:cs="Times New Roman"/>
          <w:color w:val="000000" w:themeColor="text1"/>
          <w:sz w:val="24"/>
          <w14:textFill>
            <w14:solidFill>
              <w14:schemeClr w14:val="tx1"/>
            </w14:solidFill>
          </w14:textFill>
        </w:rPr>
        <w:t>。</w:t>
      </w:r>
    </w:p>
    <w:p>
      <w:pPr>
        <w:widowControl/>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表3.5-</w:t>
      </w:r>
      <w:r>
        <w:rPr>
          <w:rFonts w:hint="eastAsia" w:ascii="Times New Roman" w:hAnsi="Times New Roman" w:eastAsia="宋体" w:cs="Times New Roman"/>
          <w:b/>
          <w:bCs/>
          <w:color w:val="000000" w:themeColor="text1"/>
          <w:kern w:val="0"/>
          <w:szCs w:val="21"/>
          <w:lang w:val="en-US" w:eastAsia="zh-CN" w:bidi="ar"/>
          <w14:textFill>
            <w14:solidFill>
              <w14:schemeClr w14:val="tx1"/>
            </w14:solidFill>
          </w14:textFill>
        </w:rPr>
        <w:t>9</w:t>
      </w:r>
      <w:r>
        <w:rPr>
          <w:rFonts w:ascii="Times New Roman" w:hAnsi="Times New Roman" w:eastAsia="宋体" w:cs="Times New Roman"/>
          <w:b/>
          <w:bCs/>
          <w:color w:val="000000" w:themeColor="text1"/>
          <w:kern w:val="0"/>
          <w:szCs w:val="21"/>
          <w:lang w:bidi="ar"/>
          <w14:textFill>
            <w14:solidFill>
              <w14:schemeClr w14:val="tx1"/>
            </w14:solidFill>
          </w14:textFill>
        </w:rPr>
        <w:t xml:space="preserve">  单井进配水撬情况一览表</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1319"/>
        <w:gridCol w:w="1667"/>
        <w:gridCol w:w="1836"/>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6"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站号</w:t>
            </w:r>
          </w:p>
        </w:tc>
        <w:tc>
          <w:tcPr>
            <w:tcW w:w="1319"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高压配水撬剩余空头数</w:t>
            </w:r>
          </w:p>
        </w:tc>
        <w:tc>
          <w:tcPr>
            <w:tcW w:w="1667"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接入井数（口）</w:t>
            </w:r>
          </w:p>
        </w:tc>
        <w:tc>
          <w:tcPr>
            <w:tcW w:w="1836"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接入井号（水井）</w:t>
            </w:r>
          </w:p>
        </w:tc>
        <w:tc>
          <w:tcPr>
            <w:tcW w:w="1921"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陆9井区6号计量配水站</w:t>
            </w:r>
          </w:p>
        </w:tc>
        <w:tc>
          <w:tcPr>
            <w:tcW w:w="13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p>
        </w:tc>
        <w:tc>
          <w:tcPr>
            <w:tcW w:w="166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5（本工程2口）</w:t>
            </w:r>
          </w:p>
        </w:tc>
        <w:tc>
          <w:tcPr>
            <w:tcW w:w="1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LU3073、LU3093</w:t>
            </w:r>
          </w:p>
        </w:tc>
        <w:tc>
          <w:tcPr>
            <w:tcW w:w="192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扩建1座6井式配水撬，将LU2084、LU1038、LU1022调入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陆9井区3号计量配水站</w:t>
            </w:r>
          </w:p>
        </w:tc>
        <w:tc>
          <w:tcPr>
            <w:tcW w:w="13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p>
        </w:tc>
        <w:tc>
          <w:tcPr>
            <w:tcW w:w="166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3（本工程2口）</w:t>
            </w:r>
          </w:p>
        </w:tc>
        <w:tc>
          <w:tcPr>
            <w:tcW w:w="1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LU3133、LU3113</w:t>
            </w:r>
          </w:p>
        </w:tc>
        <w:tc>
          <w:tcPr>
            <w:tcW w:w="192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扩建1座6井式配水撬，将LU1144调入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陆9井区5号计量配水站</w:t>
            </w:r>
          </w:p>
        </w:tc>
        <w:tc>
          <w:tcPr>
            <w:tcW w:w="13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p>
        </w:tc>
        <w:tc>
          <w:tcPr>
            <w:tcW w:w="166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2（本工程2口）</w:t>
            </w:r>
          </w:p>
        </w:tc>
        <w:tc>
          <w:tcPr>
            <w:tcW w:w="1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LU3095、LU3115</w:t>
            </w:r>
          </w:p>
        </w:tc>
        <w:tc>
          <w:tcPr>
            <w:tcW w:w="192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扩建1座6井式配水撬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陆9井区8号计量配水站</w:t>
            </w:r>
          </w:p>
        </w:tc>
        <w:tc>
          <w:tcPr>
            <w:tcW w:w="13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p>
        </w:tc>
        <w:tc>
          <w:tcPr>
            <w:tcW w:w="166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1（本工程1口）</w:t>
            </w:r>
          </w:p>
        </w:tc>
        <w:tc>
          <w:tcPr>
            <w:tcW w:w="1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LU3075</w:t>
            </w:r>
          </w:p>
        </w:tc>
        <w:tc>
          <w:tcPr>
            <w:tcW w:w="192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将LU2084、LU1038调出至6号站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陆9井区2号计量配水站</w:t>
            </w:r>
          </w:p>
        </w:tc>
        <w:tc>
          <w:tcPr>
            <w:tcW w:w="13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p>
        </w:tc>
        <w:tc>
          <w:tcPr>
            <w:tcW w:w="166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1（本工程1口）</w:t>
            </w:r>
          </w:p>
        </w:tc>
        <w:tc>
          <w:tcPr>
            <w:tcW w:w="1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LUD</w:t>
            </w:r>
            <w:r>
              <w:rPr>
                <w:rFonts w:hint="eastAsia" w:ascii="Times New Roman" w:hAnsi="Times New Roman" w:cs="Times New Roman"/>
                <w:color w:val="000000" w:themeColor="text1"/>
                <w:szCs w:val="21"/>
                <w14:textFill>
                  <w14:solidFill>
                    <w14:schemeClr w14:val="tx1"/>
                  </w14:solidFill>
                </w14:textFill>
              </w:rPr>
              <w:t>3135</w:t>
            </w:r>
          </w:p>
        </w:tc>
        <w:tc>
          <w:tcPr>
            <w:tcW w:w="192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将LU1144调出至3号站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7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陆9井区9号计量配水站</w:t>
            </w:r>
          </w:p>
        </w:tc>
        <w:tc>
          <w:tcPr>
            <w:tcW w:w="13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p>
        </w:tc>
        <w:tc>
          <w:tcPr>
            <w:tcW w:w="166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1（本工程1口）</w:t>
            </w:r>
          </w:p>
        </w:tc>
        <w:tc>
          <w:tcPr>
            <w:tcW w:w="183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LU</w:t>
            </w:r>
            <w:r>
              <w:rPr>
                <w:rFonts w:hint="eastAsia" w:ascii="Times New Roman" w:hAnsi="Times New Roman" w:cs="Times New Roman"/>
                <w:color w:val="000000" w:themeColor="text1"/>
                <w:szCs w:val="21"/>
                <w14:textFill>
                  <w14:solidFill>
                    <w14:schemeClr w14:val="tx1"/>
                  </w14:solidFill>
                </w14:textFill>
              </w:rPr>
              <w:t>3053</w:t>
            </w:r>
          </w:p>
        </w:tc>
        <w:tc>
          <w:tcPr>
            <w:tcW w:w="192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将LU1022调出至</w:t>
            </w:r>
            <w:r>
              <w:rPr>
                <w:rFonts w:hint="eastAsia" w:ascii="Times New Roman" w:hAnsi="Times New Roman" w:cs="Times New Roman"/>
                <w:color w:val="000000" w:themeColor="text1"/>
                <w:szCs w:val="21"/>
                <w14:textFill>
                  <w14:solidFill>
                    <w14:schemeClr w14:val="tx1"/>
                  </w14:solidFill>
                </w14:textFill>
              </w:rPr>
              <w:t>6</w:t>
            </w:r>
            <w:r>
              <w:rPr>
                <w:rFonts w:ascii="Times New Roman" w:hAnsi="Times New Roman" w:cs="Times New Roman"/>
                <w:color w:val="000000" w:themeColor="text1"/>
                <w:szCs w:val="21"/>
                <w14:textFill>
                  <w14:solidFill>
                    <w14:schemeClr w14:val="tx1"/>
                  </w14:solidFill>
                </w14:textFill>
              </w:rPr>
              <w:t>号站</w:t>
            </w:r>
          </w:p>
        </w:tc>
      </w:tr>
    </w:tbl>
    <w:p>
      <w:pPr>
        <w:pStyle w:val="58"/>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t>注水要求</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注水井口：选用25MPa的注水井口</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单井注水量：根据陆梁作业区提供预测注水量，确定此次注水单井最大注水量为150m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/d。</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最大</w:t>
      </w:r>
      <w:r>
        <w:rPr>
          <w:rFonts w:ascii="Times New Roman" w:hAnsi="Times New Roman" w:eastAsia="宋体" w:cs="Times New Roman"/>
          <w:color w:val="000000" w:themeColor="text1"/>
          <w:kern w:val="0"/>
          <w:sz w:val="24"/>
          <w:lang w:bidi="ar"/>
          <w14:textFill>
            <w14:solidFill>
              <w14:schemeClr w14:val="tx1"/>
            </w14:solidFill>
          </w14:textFill>
        </w:rPr>
        <w:t>注</w:t>
      </w:r>
      <w:r>
        <w:rPr>
          <w:rFonts w:hint="eastAsia" w:ascii="Times New Roman" w:hAnsi="Times New Roman" w:eastAsia="宋体" w:cs="Times New Roman"/>
          <w:color w:val="000000" w:themeColor="text1"/>
          <w:kern w:val="0"/>
          <w:sz w:val="24"/>
          <w:lang w:bidi="ar"/>
          <w14:textFill>
            <w14:solidFill>
              <w14:schemeClr w14:val="tx1"/>
            </w14:solidFill>
          </w14:textFill>
        </w:rPr>
        <w:t>入</w:t>
      </w:r>
      <w:r>
        <w:rPr>
          <w:rFonts w:ascii="Times New Roman" w:hAnsi="Times New Roman" w:eastAsia="宋体" w:cs="Times New Roman"/>
          <w:color w:val="000000" w:themeColor="text1"/>
          <w:kern w:val="0"/>
          <w:sz w:val="24"/>
          <w:lang w:bidi="ar"/>
          <w14:textFill>
            <w14:solidFill>
              <w14:schemeClr w14:val="tx1"/>
            </w14:solidFill>
          </w14:textFill>
        </w:rPr>
        <w:t>压力：根据采油工程，本次注水井的井口最大注入压力为9.20MPa~12MPa。</w:t>
      </w:r>
    </w:p>
    <w:p>
      <w:pPr>
        <w:pStyle w:val="58"/>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注水工艺</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（1）注水工艺</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本项目注水工艺流程描述如下：</w:t>
      </w:r>
      <w:r>
        <w:rPr>
          <w:rFonts w:ascii="Times New Roman" w:hAnsi="Times New Roman" w:eastAsia="宋体" w:cs="Times New Roman"/>
          <w:color w:val="000000" w:themeColor="text1"/>
          <w:sz w:val="24"/>
          <w14:textFill>
            <w14:solidFill>
              <w14:schemeClr w14:val="tx1"/>
            </w14:solidFill>
          </w14:textFill>
        </w:rPr>
        <w:t>配水间来水经过单井注水管道注入井口。注水井口设保温盒，保温盒内单井注水管道设止回阀，防止高压水倒流；采油树设置油套管连通管，通过采油树高压阀门控制可实现注水井口正洗反洗、正注反注的工艺要求。注水井场工艺安装采用标准化设计。</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（2）注水管线</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根据模拟计算的结果新建单井注水管道选DN50 16MPa塑料合金防腐蚀复合管，埋地不保温敷设，管线埋深-1.80m。新建单井注水支线选DN100 16MPa塑料合金防腐蚀复合管，埋地不保温敷设，管线埋深-2.0m。新建单井注水</w:t>
      </w:r>
      <w:r>
        <w:rPr>
          <w:rFonts w:hint="eastAsia" w:ascii="Times New Roman" w:hAnsi="Times New Roman" w:eastAsia="宋体" w:cs="Times New Roman"/>
          <w:color w:val="000000" w:themeColor="text1"/>
          <w:kern w:val="0"/>
          <w:sz w:val="24"/>
          <w:lang w:bidi="ar"/>
          <w14:textFill>
            <w14:solidFill>
              <w14:schemeClr w14:val="tx1"/>
            </w14:solidFill>
          </w14:textFill>
        </w:rPr>
        <w:t>干</w:t>
      </w:r>
      <w:r>
        <w:rPr>
          <w:rFonts w:ascii="Times New Roman" w:hAnsi="Times New Roman" w:eastAsia="宋体" w:cs="Times New Roman"/>
          <w:color w:val="000000" w:themeColor="text1"/>
          <w:kern w:val="0"/>
          <w:sz w:val="24"/>
          <w:lang w:bidi="ar"/>
          <w14:textFill>
            <w14:solidFill>
              <w14:schemeClr w14:val="tx1"/>
            </w14:solidFill>
          </w14:textFill>
        </w:rPr>
        <w:t>线选DN150 16MPa塑料合金防腐蚀复合管，埋地不保温敷设，管线埋深-2.0m。</w:t>
      </w:r>
    </w:p>
    <w:p>
      <w:pPr>
        <w:spacing w:line="360" w:lineRule="auto"/>
        <w:ind w:firstLine="480" w:firstLineChars="200"/>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本工程管道穿越专用公路及沥青、水泥路面</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通车量大</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的公路采用顶管穿越方式，顶管时设套管保护；管道穿越碎石路、土路采用大开挖穿越方式，并设套管保护。</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（3）管线穿越</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000000" w:themeColor="text1"/>
          <w:sz w:val="24"/>
          <w:highlight w:val="green"/>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本项目注水管线穿越</w:t>
      </w:r>
      <w:r>
        <w:rPr>
          <w:rFonts w:ascii="Times New Roman" w:hAnsi="Times New Roman" w:eastAsia="宋体" w:cs="Times New Roman"/>
          <w:color w:val="000000" w:themeColor="text1"/>
          <w:sz w:val="24"/>
          <w14:textFill>
            <w14:solidFill>
              <w14:schemeClr w14:val="tx1"/>
            </w14:solidFill>
          </w14:textFill>
        </w:rPr>
        <w:t>油区道路</w:t>
      </w:r>
      <w:r>
        <w:rPr>
          <w:rFonts w:hint="eastAsia" w:ascii="Times New Roman" w:hAnsi="Times New Roman" w:eastAsia="宋体" w:cs="Times New Roman"/>
          <w:color w:val="000000" w:themeColor="text1"/>
          <w:sz w:val="24"/>
          <w:lang w:val="en-US" w:eastAsia="zh-CN"/>
          <w14:textFill>
            <w14:solidFill>
              <w14:schemeClr w14:val="tx1"/>
            </w14:solidFill>
          </w14:textFill>
        </w:rPr>
        <w:t>25</w:t>
      </w:r>
      <w:r>
        <w:rPr>
          <w:rFonts w:hint="eastAsia" w:ascii="Times New Roman" w:hAnsi="Times New Roman" w:eastAsia="宋体" w:cs="Times New Roman"/>
          <w:color w:val="000000" w:themeColor="text1"/>
          <w:sz w:val="24"/>
          <w14:textFill>
            <w14:solidFill>
              <w14:schemeClr w14:val="tx1"/>
            </w14:solidFill>
          </w14:textFill>
        </w:rPr>
        <w:t>处，本工程各类管道与已建地下管线交叉、穿越时安全距离满足规范要求。</w:t>
      </w:r>
      <w:r>
        <w:rPr>
          <w:rFonts w:ascii="Times New Roman" w:hAnsi="Times New Roman" w:eastAsia="宋体" w:cs="Times New Roman"/>
          <w:color w:val="000000" w:themeColor="text1"/>
          <w:sz w:val="24"/>
          <w:highlight w:val="none"/>
          <w14:textFill>
            <w14:solidFill>
              <w14:schemeClr w14:val="tx1"/>
            </w14:solidFill>
          </w14:textFill>
        </w:rPr>
        <w:t>线路</w:t>
      </w:r>
      <w:r>
        <w:rPr>
          <w:rFonts w:hint="eastAsia" w:ascii="Times New Roman" w:hAnsi="Times New Roman" w:eastAsia="宋体" w:cs="Times New Roman"/>
          <w:color w:val="000000" w:themeColor="text1"/>
          <w:sz w:val="24"/>
          <w:highlight w:val="none"/>
          <w14:textFill>
            <w14:solidFill>
              <w14:schemeClr w14:val="tx1"/>
            </w14:solidFill>
          </w14:textFill>
        </w:rPr>
        <w:t>穿越</w:t>
      </w:r>
      <w:r>
        <w:rPr>
          <w:rFonts w:ascii="Times New Roman" w:hAnsi="Times New Roman" w:eastAsia="宋体" w:cs="Times New Roman"/>
          <w:color w:val="000000" w:themeColor="text1"/>
          <w:sz w:val="24"/>
          <w:highlight w:val="none"/>
          <w14:textFill>
            <w14:solidFill>
              <w14:schemeClr w14:val="tx1"/>
            </w14:solidFill>
          </w14:textFill>
        </w:rPr>
        <w:t>工程见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表</w:t>
      </w:r>
      <w:r>
        <w:rPr>
          <w:rFonts w:hint="eastAsia" w:ascii="Times New Roman" w:hAnsi="Times New Roman" w:eastAsia="宋体" w:cs="Times New Roman"/>
          <w:color w:val="000000" w:themeColor="text1"/>
          <w:sz w:val="24"/>
          <w:highlight w:val="none"/>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5-10</w:t>
      </w:r>
      <w:r>
        <w:rPr>
          <w:rFonts w:ascii="Times New Roman" w:hAnsi="Times New Roman" w:eastAsia="宋体" w:cs="Times New Roman"/>
          <w:color w:val="000000" w:themeColor="text1"/>
          <w:sz w:val="24"/>
          <w:highlight w:val="none"/>
          <w14:textFill>
            <w14:solidFill>
              <w14:schemeClr w14:val="tx1"/>
            </w14:solidFill>
          </w14:textFill>
        </w:rPr>
        <w:t>。</w:t>
      </w:r>
    </w:p>
    <w:p>
      <w:pPr>
        <w:autoSpaceDE w:val="0"/>
        <w:autoSpaceDN w:val="0"/>
        <w:adjustRightInd w:val="0"/>
        <w:snapToGrid w:val="0"/>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w:t>
      </w:r>
      <w:r>
        <w:rPr>
          <w:rFonts w:hint="eastAsia" w:ascii="Times New Roman" w:hAnsi="Times New Roman" w:cs="Times New Roman"/>
          <w:b/>
          <w:bCs/>
          <w:color w:val="000000" w:themeColor="text1"/>
          <w:szCs w:val="21"/>
          <w14:textFill>
            <w14:solidFill>
              <w14:schemeClr w14:val="tx1"/>
            </w14:solidFill>
          </w14:textFill>
        </w:rPr>
        <w:t>3.5-10</w:t>
      </w:r>
      <w:r>
        <w:rPr>
          <w:rFonts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注水管线穿越工程一览表</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1475"/>
        <w:gridCol w:w="1318"/>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穿跨工程</w:t>
            </w:r>
          </w:p>
        </w:tc>
        <w:tc>
          <w:tcPr>
            <w:tcW w:w="1475" w:type="dxa"/>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次数</w:t>
            </w:r>
          </w:p>
        </w:tc>
        <w:tc>
          <w:tcPr>
            <w:tcW w:w="1318" w:type="dxa"/>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穿越长度</w:t>
            </w:r>
          </w:p>
        </w:tc>
        <w:tc>
          <w:tcPr>
            <w:tcW w:w="1705" w:type="dxa"/>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穿越方式</w:t>
            </w:r>
          </w:p>
        </w:tc>
        <w:tc>
          <w:tcPr>
            <w:tcW w:w="1705" w:type="dxa"/>
          </w:tcPr>
          <w:p>
            <w:pPr>
              <w:autoSpaceDE w:val="0"/>
              <w:autoSpaceDN w:val="0"/>
              <w:adjustRightInd w:val="0"/>
              <w:snapToGrid w:val="0"/>
              <w:jc w:val="cente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Align w:val="center"/>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穿越</w:t>
            </w:r>
            <w:r>
              <w:rPr>
                <w:rFonts w:ascii="Times New Roman" w:hAnsi="Times New Roman" w:cs="Times New Roman"/>
                <w:b w:val="0"/>
                <w:bCs w:val="0"/>
                <w:color w:val="000000" w:themeColor="text1"/>
                <w:szCs w:val="21"/>
                <w14:textFill>
                  <w14:solidFill>
                    <w14:schemeClr w14:val="tx1"/>
                  </w14:solidFill>
                </w14:textFill>
              </w:rPr>
              <w:t>油区</w:t>
            </w:r>
            <w:r>
              <w:rPr>
                <w:rFonts w:hint="eastAsia" w:ascii="Times New Roman" w:hAnsi="Times New Roman" w:cs="Times New Roman"/>
                <w:b w:val="0"/>
                <w:bCs w:val="0"/>
                <w:color w:val="000000" w:themeColor="text1"/>
                <w:szCs w:val="21"/>
                <w:lang w:val="en-US" w:eastAsia="zh-CN"/>
                <w14:textFill>
                  <w14:solidFill>
                    <w14:schemeClr w14:val="tx1"/>
                  </w14:solidFill>
                </w14:textFill>
              </w:rPr>
              <w:t>碎石路、土路</w:t>
            </w:r>
          </w:p>
        </w:tc>
        <w:tc>
          <w:tcPr>
            <w:tcW w:w="1475" w:type="dxa"/>
            <w:vAlign w:val="center"/>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15处</w:t>
            </w:r>
          </w:p>
        </w:tc>
        <w:tc>
          <w:tcPr>
            <w:tcW w:w="1318" w:type="dxa"/>
            <w:vAlign w:val="center"/>
          </w:tcPr>
          <w:p>
            <w:pPr>
              <w:autoSpaceDE w:val="0"/>
              <w:autoSpaceDN w:val="0"/>
              <w:adjustRightInd w:val="0"/>
              <w:snapToGrid w:val="0"/>
              <w:jc w:val="center"/>
              <w:rPr>
                <w:rFonts w:hint="eastAsia" w:ascii="Times New Roman" w:hAnsi="Times New Roman" w:cs="Times New Roman" w:eastAsiaTheme="minorEastAsia"/>
                <w:b/>
                <w:bCs/>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300</w:t>
            </w:r>
            <w:r>
              <w:rPr>
                <w:rFonts w:hint="default" w:ascii="Times New Roman" w:hAnsi="Times New Roman" w:cs="Times New Roman"/>
                <w:color w:val="000000" w:themeColor="text1"/>
                <w:lang w:val="en-US" w:eastAsia="zh-CN"/>
                <w14:textFill>
                  <w14:solidFill>
                    <w14:schemeClr w14:val="tx1"/>
                  </w14:solidFill>
                </w14:textFill>
              </w:rPr>
              <w:t>m</w:t>
            </w:r>
          </w:p>
        </w:tc>
        <w:tc>
          <w:tcPr>
            <w:tcW w:w="1705" w:type="dxa"/>
            <w:vAlign w:val="center"/>
          </w:tcPr>
          <w:p>
            <w:pPr>
              <w:autoSpaceDE w:val="0"/>
              <w:autoSpaceDN w:val="0"/>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大开挖穿越</w:t>
            </w:r>
          </w:p>
        </w:tc>
        <w:tc>
          <w:tcPr>
            <w:tcW w:w="1705" w:type="dxa"/>
            <w:vMerge w:val="restart"/>
            <w:vAlign w:val="center"/>
          </w:tcPr>
          <w:p>
            <w:pPr>
              <w:autoSpaceDE w:val="0"/>
              <w:autoSpaceDN w:val="0"/>
              <w:adjustRightInd w:val="0"/>
              <w:snapToGrid w:val="0"/>
              <w:jc w:val="center"/>
              <w:rPr>
                <w:rFonts w:hint="eastAsia" w:ascii="Times New Roman" w:hAnsi="Times New Roman" w:cs="Times New Roman"/>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单次穿越按20m计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穿越油区</w:t>
            </w:r>
            <w:r>
              <w:rPr>
                <w:rFonts w:hint="eastAsia" w:ascii="Times New Roman" w:hAnsi="Times New Roman" w:cs="Times New Roman"/>
                <w:color w:val="000000" w:themeColor="text1"/>
                <w:szCs w:val="21"/>
                <w:lang w:val="en-US" w:eastAsia="zh-CN"/>
                <w14:textFill>
                  <w14:solidFill>
                    <w14:schemeClr w14:val="tx1"/>
                  </w14:solidFill>
                </w14:textFill>
              </w:rPr>
              <w:t>专用公路及沥青、水泥路等</w:t>
            </w:r>
            <w:r>
              <w:rPr>
                <w:rFonts w:ascii="Times New Roman" w:hAnsi="Times New Roman" w:cs="Times New Roman"/>
                <w:color w:val="000000" w:themeColor="text1"/>
                <w:szCs w:val="21"/>
                <w14:textFill>
                  <w14:solidFill>
                    <w14:schemeClr w14:val="tx1"/>
                  </w14:solidFill>
                </w14:textFill>
              </w:rPr>
              <w:t>道路</w:t>
            </w:r>
          </w:p>
        </w:tc>
        <w:tc>
          <w:tcPr>
            <w:tcW w:w="1475" w:type="dxa"/>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w:t>
            </w:r>
            <w:r>
              <w:rPr>
                <w:rFonts w:ascii="Times New Roman" w:hAnsi="Times New Roman" w:cs="Times New Roman"/>
                <w:color w:val="000000" w:themeColor="text1"/>
                <w:szCs w:val="21"/>
                <w14:textFill>
                  <w14:solidFill>
                    <w14:schemeClr w14:val="tx1"/>
                  </w14:solidFill>
                </w14:textFill>
              </w:rPr>
              <w:t>处</w:t>
            </w:r>
          </w:p>
        </w:tc>
        <w:tc>
          <w:tcPr>
            <w:tcW w:w="1318" w:type="dxa"/>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lang w:val="en-US" w:eastAsia="zh-CN"/>
                <w14:textFill>
                  <w14:solidFill>
                    <w14:schemeClr w14:val="tx1"/>
                  </w14:solidFill>
                </w14:textFill>
              </w:rPr>
              <w:t>00</w:t>
            </w:r>
            <w:r>
              <w:rPr>
                <w:rFonts w:ascii="Times New Roman" w:hAnsi="Times New Roman" w:cs="Times New Roman"/>
                <w:color w:val="000000" w:themeColor="text1"/>
                <w:szCs w:val="21"/>
                <w14:textFill>
                  <w14:solidFill>
                    <w14:schemeClr w14:val="tx1"/>
                  </w14:solidFill>
                </w14:textFill>
              </w:rPr>
              <w:t>m</w:t>
            </w:r>
          </w:p>
        </w:tc>
        <w:tc>
          <w:tcPr>
            <w:tcW w:w="1705" w:type="dxa"/>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顶管穿越</w:t>
            </w:r>
          </w:p>
        </w:tc>
        <w:tc>
          <w:tcPr>
            <w:tcW w:w="1705" w:type="dxa"/>
            <w:vMerge w:val="continue"/>
            <w:vAlign w:val="center"/>
          </w:tcPr>
          <w:p>
            <w:pPr>
              <w:autoSpaceDE w:val="0"/>
              <w:autoSpaceDN w:val="0"/>
              <w:adjustRightInd w:val="0"/>
              <w:snapToGrid w:val="0"/>
              <w:jc w:val="center"/>
              <w:rPr>
                <w:rFonts w:ascii="Times New Roman" w:hAnsi="Times New Roman" w:cs="Times New Roman"/>
                <w:color w:val="000000" w:themeColor="text1"/>
                <w:szCs w:val="21"/>
                <w14:textFill>
                  <w14:solidFill>
                    <w14:schemeClr w14:val="tx1"/>
                  </w14:solidFill>
                </w14:textFill>
              </w:rPr>
            </w:pPr>
          </w:p>
        </w:tc>
      </w:tr>
    </w:tbl>
    <w:p>
      <w:pPr>
        <w:pStyle w:val="58"/>
        <w:spacing w:line="360" w:lineRule="auto"/>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主要工作量</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油田注水部分主要工程量见表3.5-</w:t>
      </w:r>
      <w:r>
        <w:rPr>
          <w:rFonts w:hint="eastAsia" w:ascii="Times New Roman" w:hAnsi="Times New Roman" w:eastAsia="宋体" w:cs="Times New Roman"/>
          <w:color w:val="000000" w:themeColor="text1"/>
          <w:kern w:val="0"/>
          <w:sz w:val="24"/>
          <w:lang w:val="en-US" w:eastAsia="zh-CN" w:bidi="ar"/>
          <w14:textFill>
            <w14:solidFill>
              <w14:schemeClr w14:val="tx1"/>
            </w14:solidFill>
          </w14:textFill>
        </w:rPr>
        <w:t>11</w:t>
      </w:r>
      <w:r>
        <w:rPr>
          <w:rFonts w:ascii="Times New Roman" w:hAnsi="Times New Roman" w:eastAsia="宋体" w:cs="Times New Roman"/>
          <w:color w:val="000000" w:themeColor="text1"/>
          <w:kern w:val="0"/>
          <w:sz w:val="24"/>
          <w:lang w:bidi="ar"/>
          <w14:textFill>
            <w14:solidFill>
              <w14:schemeClr w14:val="tx1"/>
            </w14:solidFill>
          </w14:textFill>
        </w:rPr>
        <w:t>。</w:t>
      </w:r>
    </w:p>
    <w:p>
      <w:pPr>
        <w:widowControl/>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表3.5-</w:t>
      </w:r>
      <w:r>
        <w:rPr>
          <w:rFonts w:hint="eastAsia" w:ascii="Times New Roman" w:hAnsi="Times New Roman" w:eastAsia="宋体" w:cs="Times New Roman"/>
          <w:b/>
          <w:bCs/>
          <w:color w:val="000000" w:themeColor="text1"/>
          <w:kern w:val="0"/>
          <w:szCs w:val="21"/>
          <w:lang w:val="en-US" w:eastAsia="zh-CN" w:bidi="ar"/>
          <w14:textFill>
            <w14:solidFill>
              <w14:schemeClr w14:val="tx1"/>
            </w14:solidFill>
          </w14:textFill>
        </w:rPr>
        <w:t>11</w:t>
      </w:r>
      <w:r>
        <w:rPr>
          <w:rFonts w:ascii="Times New Roman" w:hAnsi="Times New Roman" w:eastAsia="宋体" w:cs="Times New Roman"/>
          <w:b/>
          <w:bCs/>
          <w:color w:val="000000" w:themeColor="text1"/>
          <w:kern w:val="0"/>
          <w:szCs w:val="21"/>
          <w:lang w:bidi="ar"/>
          <w14:textFill>
            <w14:solidFill>
              <w14:schemeClr w14:val="tx1"/>
            </w14:solidFill>
          </w14:textFill>
        </w:rPr>
        <w:t xml:space="preserve">  集油区注水部分主要工程量</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3019"/>
        <w:gridCol w:w="1027"/>
        <w:gridCol w:w="94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0"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序号</w:t>
            </w:r>
          </w:p>
        </w:tc>
        <w:tc>
          <w:tcPr>
            <w:tcW w:w="3019"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名称</w:t>
            </w:r>
          </w:p>
        </w:tc>
        <w:tc>
          <w:tcPr>
            <w:tcW w:w="1027"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单位</w:t>
            </w:r>
          </w:p>
        </w:tc>
        <w:tc>
          <w:tcPr>
            <w:tcW w:w="946"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数量</w:t>
            </w:r>
          </w:p>
        </w:tc>
        <w:tc>
          <w:tcPr>
            <w:tcW w:w="2410" w:type="dxa"/>
            <w:vAlign w:val="center"/>
          </w:tcPr>
          <w:p>
            <w:pPr>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p>
        </w:tc>
        <w:tc>
          <w:tcPr>
            <w:tcW w:w="30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注水井场</w:t>
            </w:r>
          </w:p>
        </w:tc>
        <w:tc>
          <w:tcPr>
            <w:tcW w:w="102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座</w:t>
            </w:r>
          </w:p>
        </w:tc>
        <w:tc>
          <w:tcPr>
            <w:tcW w:w="94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w:t>
            </w:r>
          </w:p>
        </w:tc>
        <w:tc>
          <w:tcPr>
            <w:tcW w:w="24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通注20101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p>
        </w:tc>
        <w:tc>
          <w:tcPr>
            <w:tcW w:w="30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单井注水管道DN50 16MPa</w:t>
            </w:r>
          </w:p>
        </w:tc>
        <w:tc>
          <w:tcPr>
            <w:tcW w:w="102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km</w:t>
            </w:r>
          </w:p>
        </w:tc>
        <w:tc>
          <w:tcPr>
            <w:tcW w:w="946"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4.52</w:t>
            </w:r>
          </w:p>
        </w:tc>
        <w:tc>
          <w:tcPr>
            <w:tcW w:w="24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塑料合金防腐蚀复合管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p>
        </w:tc>
        <w:tc>
          <w:tcPr>
            <w:tcW w:w="30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单井注水支线DN100 16MPa</w:t>
            </w:r>
          </w:p>
        </w:tc>
        <w:tc>
          <w:tcPr>
            <w:tcW w:w="102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km</w:t>
            </w:r>
          </w:p>
        </w:tc>
        <w:tc>
          <w:tcPr>
            <w:tcW w:w="94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1.77</w:t>
            </w:r>
          </w:p>
        </w:tc>
        <w:tc>
          <w:tcPr>
            <w:tcW w:w="24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塑料合金防腐蚀复合管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p>
        </w:tc>
        <w:tc>
          <w:tcPr>
            <w:tcW w:w="30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单井注水干线DN150 16MPa</w:t>
            </w:r>
          </w:p>
        </w:tc>
        <w:tc>
          <w:tcPr>
            <w:tcW w:w="102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km</w:t>
            </w:r>
          </w:p>
        </w:tc>
        <w:tc>
          <w:tcPr>
            <w:tcW w:w="946"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2.12</w:t>
            </w:r>
          </w:p>
        </w:tc>
        <w:tc>
          <w:tcPr>
            <w:tcW w:w="24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塑料合金防腐蚀复合管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w:t>
            </w:r>
          </w:p>
        </w:tc>
        <w:tc>
          <w:tcPr>
            <w:tcW w:w="30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6井式恒流配水撬</w:t>
            </w:r>
          </w:p>
        </w:tc>
        <w:tc>
          <w:tcPr>
            <w:tcW w:w="102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座</w:t>
            </w:r>
          </w:p>
        </w:tc>
        <w:tc>
          <w:tcPr>
            <w:tcW w:w="94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w:t>
            </w:r>
          </w:p>
        </w:tc>
        <w:tc>
          <w:tcPr>
            <w:tcW w:w="241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通集18201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w:t>
            </w:r>
          </w:p>
        </w:tc>
        <w:tc>
          <w:tcPr>
            <w:tcW w:w="30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大开挖穿越</w:t>
            </w:r>
          </w:p>
        </w:tc>
        <w:tc>
          <w:tcPr>
            <w:tcW w:w="102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处</w:t>
            </w:r>
          </w:p>
        </w:tc>
        <w:tc>
          <w:tcPr>
            <w:tcW w:w="946"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15</w:t>
            </w:r>
          </w:p>
        </w:tc>
        <w:tc>
          <w:tcPr>
            <w:tcW w:w="2410" w:type="dxa"/>
            <w:vAlign w:val="center"/>
          </w:tcPr>
          <w:p>
            <w:pPr>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0"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w:t>
            </w:r>
          </w:p>
        </w:tc>
        <w:tc>
          <w:tcPr>
            <w:tcW w:w="301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顶管穿越</w:t>
            </w:r>
          </w:p>
        </w:tc>
        <w:tc>
          <w:tcPr>
            <w:tcW w:w="102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处</w:t>
            </w:r>
          </w:p>
        </w:tc>
        <w:tc>
          <w:tcPr>
            <w:tcW w:w="946"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10</w:t>
            </w:r>
          </w:p>
        </w:tc>
        <w:tc>
          <w:tcPr>
            <w:tcW w:w="2410" w:type="dxa"/>
            <w:vAlign w:val="center"/>
          </w:tcPr>
          <w:p>
            <w:pPr>
              <w:jc w:val="center"/>
              <w:rPr>
                <w:rFonts w:ascii="Times New Roman" w:hAnsi="Times New Roman" w:cs="Times New Roman"/>
                <w:color w:val="000000" w:themeColor="text1"/>
                <w:szCs w:val="21"/>
                <w14:textFill>
                  <w14:solidFill>
                    <w14:schemeClr w14:val="tx1"/>
                  </w14:solidFill>
                </w14:textFill>
              </w:rPr>
            </w:pPr>
          </w:p>
        </w:tc>
      </w:tr>
    </w:tbl>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bookmarkStart w:id="238" w:name="_Hlk160187148"/>
      <w:r>
        <w:rPr>
          <w:rFonts w:ascii="Times New Roman" w:hAnsi="Times New Roman" w:eastAsia="黑体" w:cs="Times New Roman"/>
          <w:b/>
          <w:color w:val="000000" w:themeColor="text1"/>
          <w:sz w:val="30"/>
          <w:szCs w:val="30"/>
          <w14:textFill>
            <w14:solidFill>
              <w14:schemeClr w14:val="tx1"/>
            </w14:solidFill>
          </w14:textFill>
        </w:rPr>
        <w:t>3.5.</w:t>
      </w:r>
      <w:r>
        <w:rPr>
          <w:rFonts w:hint="eastAsia" w:ascii="Times New Roman" w:hAnsi="Times New Roman" w:eastAsia="黑体" w:cs="Times New Roman"/>
          <w:b/>
          <w:color w:val="000000" w:themeColor="text1"/>
          <w:sz w:val="30"/>
          <w:szCs w:val="30"/>
          <w14:textFill>
            <w14:solidFill>
              <w14:schemeClr w14:val="tx1"/>
            </w14:solidFill>
          </w14:textFill>
        </w:rPr>
        <w:t>7</w:t>
      </w:r>
      <w:r>
        <w:rPr>
          <w:rFonts w:ascii="Times New Roman" w:hAnsi="Times New Roman" w:eastAsia="黑体" w:cs="Times New Roman"/>
          <w:b/>
          <w:color w:val="000000" w:themeColor="text1"/>
          <w:sz w:val="30"/>
          <w:szCs w:val="30"/>
          <w14:textFill>
            <w14:solidFill>
              <w14:schemeClr w14:val="tx1"/>
            </w14:solidFill>
          </w14:textFill>
        </w:rPr>
        <w:t>主要指标</w:t>
      </w:r>
    </w:p>
    <w:p>
      <w:pPr>
        <w:spacing w:line="360" w:lineRule="auto"/>
        <w:outlineLvl w:val="3"/>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3.5.</w:t>
      </w:r>
      <w:r>
        <w:rPr>
          <w:rFonts w:hint="eastAsia" w:ascii="Times New Roman" w:hAnsi="Times New Roman" w:cs="Times New Roman"/>
          <w:color w:val="000000" w:themeColor="text1"/>
          <w:kern w:val="0"/>
          <w:sz w:val="28"/>
          <w:szCs w:val="28"/>
          <w14:textFill>
            <w14:solidFill>
              <w14:schemeClr w14:val="tx1"/>
            </w14:solidFill>
          </w14:textFill>
        </w:rPr>
        <w:t>7.</w:t>
      </w:r>
      <w:r>
        <w:rPr>
          <w:rFonts w:ascii="Times New Roman" w:hAnsi="Times New Roman" w:cs="Times New Roman"/>
          <w:color w:val="000000" w:themeColor="text1"/>
          <w:kern w:val="0"/>
          <w:sz w:val="28"/>
          <w:szCs w:val="28"/>
          <w14:textFill>
            <w14:solidFill>
              <w14:schemeClr w14:val="tx1"/>
            </w14:solidFill>
          </w14:textFill>
        </w:rPr>
        <w:t>1技术经济指标</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本项目主要经济技术指标见表3.5-1</w:t>
      </w:r>
      <w:r>
        <w:rPr>
          <w:rFonts w:hint="eastAsia" w:ascii="Times New Roman" w:hAnsi="Times New Roman" w:cs="Times New Roman"/>
          <w:color w:val="000000" w:themeColor="text1"/>
          <w:sz w:val="24"/>
          <w:lang w:val="en-US" w:eastAsia="zh-CN"/>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p>
    <w:p>
      <w:pPr>
        <w:spacing w:line="360" w:lineRule="auto"/>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表3.5-1</w:t>
      </w:r>
      <w:r>
        <w:rPr>
          <w:rFonts w:hint="eastAsia" w:ascii="Times New Roman" w:hAnsi="Times New Roman" w:cs="Times New Roman"/>
          <w:b/>
          <w:bCs/>
          <w:color w:val="000000" w:themeColor="text1"/>
          <w:kern w:val="0"/>
          <w:szCs w:val="21"/>
          <w:lang w:val="en-US" w:eastAsia="zh-CN"/>
          <w14:textFill>
            <w14:solidFill>
              <w14:schemeClr w14:val="tx1"/>
            </w14:solidFill>
          </w14:textFill>
        </w:rPr>
        <w:t>2</w:t>
      </w:r>
      <w:r>
        <w:rPr>
          <w:rFonts w:ascii="Times New Roman" w:hAnsi="Times New Roman" w:cs="Times New Roman"/>
          <w:b/>
          <w:bCs/>
          <w:color w:val="000000" w:themeColor="text1"/>
          <w:kern w:val="0"/>
          <w:szCs w:val="21"/>
          <w14:textFill>
            <w14:solidFill>
              <w14:schemeClr w14:val="tx1"/>
            </w14:solidFill>
          </w14:textFill>
        </w:rPr>
        <w:t xml:space="preserve">  本项目主要经济技术指标表</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954"/>
        <w:gridCol w:w="1853"/>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序号</w:t>
            </w:r>
          </w:p>
        </w:tc>
        <w:tc>
          <w:tcPr>
            <w:tcW w:w="2807" w:type="dxa"/>
            <w:gridSpan w:val="2"/>
            <w:vAlign w:val="center"/>
          </w:tcPr>
          <w:p>
            <w:pPr>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项目</w:t>
            </w:r>
          </w:p>
        </w:tc>
        <w:tc>
          <w:tcPr>
            <w:tcW w:w="2130" w:type="dxa"/>
            <w:vAlign w:val="center"/>
          </w:tcPr>
          <w:p>
            <w:pPr>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单位</w:t>
            </w:r>
          </w:p>
        </w:tc>
        <w:tc>
          <w:tcPr>
            <w:tcW w:w="2130" w:type="dxa"/>
            <w:vAlign w:val="center"/>
          </w:tcPr>
          <w:p>
            <w:pPr>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p>
        </w:tc>
        <w:tc>
          <w:tcPr>
            <w:tcW w:w="2807" w:type="dxa"/>
            <w:gridSpan w:val="2"/>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动用资源储量</w:t>
            </w:r>
          </w:p>
        </w:tc>
        <w:tc>
          <w:tcPr>
            <w:tcW w:w="21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t/a</w:t>
            </w:r>
          </w:p>
        </w:tc>
        <w:tc>
          <w:tcPr>
            <w:tcW w:w="21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2.52</w:t>
            </w:r>
            <w:r>
              <w:rPr>
                <w:rFonts w:ascii="Times New Roman" w:hAnsi="Times New Roman" w:cs="Times New Roman"/>
                <w:color w:val="000000" w:themeColor="text1"/>
                <w:kern w:val="0"/>
                <w:szCs w:val="21"/>
                <w14:textFill>
                  <w14:solidFill>
                    <w14:schemeClr w14:val="tx1"/>
                  </w14:solidFill>
                </w14:textFill>
              </w:rPr>
              <w:t>×10</w:t>
            </w:r>
            <w:r>
              <w:rPr>
                <w:rFonts w:ascii="Times New Roman" w:hAnsi="Times New Roman" w:cs="Times New Roman"/>
                <w:color w:val="000000" w:themeColor="text1"/>
                <w:kern w:val="0"/>
                <w:szCs w:val="21"/>
                <w:vertAlign w:val="superscript"/>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w:t>
            </w:r>
          </w:p>
        </w:tc>
        <w:tc>
          <w:tcPr>
            <w:tcW w:w="2807" w:type="dxa"/>
            <w:gridSpan w:val="2"/>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注水规模</w:t>
            </w:r>
          </w:p>
        </w:tc>
        <w:tc>
          <w:tcPr>
            <w:tcW w:w="21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m</w:t>
            </w:r>
            <w:r>
              <w:rPr>
                <w:rFonts w:ascii="Times New Roman" w:hAnsi="Times New Roman" w:cs="Times New Roman"/>
                <w:color w:val="000000" w:themeColor="text1"/>
                <w:kern w:val="0"/>
                <w:szCs w:val="21"/>
                <w:vertAlign w:val="superscript"/>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/a</w:t>
            </w:r>
          </w:p>
        </w:tc>
        <w:tc>
          <w:tcPr>
            <w:tcW w:w="21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49.28</w:t>
            </w:r>
            <w:r>
              <w:rPr>
                <w:rFonts w:ascii="Times New Roman" w:hAnsi="Times New Roman" w:cs="Times New Roman"/>
                <w:color w:val="000000" w:themeColor="text1"/>
                <w:kern w:val="0"/>
                <w:szCs w:val="21"/>
                <w14:textFill>
                  <w14:solidFill>
                    <w14:schemeClr w14:val="tx1"/>
                  </w14:solidFill>
                </w14:textFill>
              </w:rPr>
              <w:t>×10</w:t>
            </w:r>
            <w:r>
              <w:rPr>
                <w:rFonts w:ascii="Times New Roman" w:hAnsi="Times New Roman" w:cs="Times New Roman"/>
                <w:color w:val="000000" w:themeColor="text1"/>
                <w:kern w:val="0"/>
                <w:szCs w:val="21"/>
                <w:vertAlign w:val="superscript"/>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w:t>
            </w:r>
          </w:p>
        </w:tc>
        <w:tc>
          <w:tcPr>
            <w:tcW w:w="2807" w:type="dxa"/>
            <w:gridSpan w:val="2"/>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设计井数</w:t>
            </w:r>
          </w:p>
        </w:tc>
        <w:tc>
          <w:tcPr>
            <w:tcW w:w="21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口</w:t>
            </w:r>
          </w:p>
        </w:tc>
        <w:tc>
          <w:tcPr>
            <w:tcW w:w="21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w:t>
            </w:r>
          </w:p>
        </w:tc>
        <w:tc>
          <w:tcPr>
            <w:tcW w:w="2807" w:type="dxa"/>
            <w:gridSpan w:val="2"/>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管道长度</w:t>
            </w:r>
          </w:p>
        </w:tc>
        <w:tc>
          <w:tcPr>
            <w:tcW w:w="21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km</w:t>
            </w:r>
          </w:p>
        </w:tc>
        <w:tc>
          <w:tcPr>
            <w:tcW w:w="21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45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w:t>
            </w:r>
          </w:p>
        </w:tc>
        <w:tc>
          <w:tcPr>
            <w:tcW w:w="2807" w:type="dxa"/>
            <w:gridSpan w:val="2"/>
            <w:vAlign w:val="center"/>
          </w:tcPr>
          <w:p>
            <w:pPr>
              <w:widowControl/>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水基钻井液</w:t>
            </w:r>
          </w:p>
        </w:tc>
        <w:tc>
          <w:tcPr>
            <w:tcW w:w="21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p>
        </w:tc>
        <w:tc>
          <w:tcPr>
            <w:tcW w:w="2130" w:type="dxa"/>
            <w:vAlign w:val="center"/>
          </w:tcPr>
          <w:p>
            <w:pPr>
              <w:widowControl/>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4872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6</w:t>
            </w:r>
          </w:p>
        </w:tc>
        <w:tc>
          <w:tcPr>
            <w:tcW w:w="2807" w:type="dxa"/>
            <w:gridSpan w:val="2"/>
            <w:vAlign w:val="center"/>
          </w:tcPr>
          <w:p>
            <w:pPr>
              <w:widowControl/>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射孔液</w:t>
            </w:r>
          </w:p>
        </w:tc>
        <w:tc>
          <w:tcPr>
            <w:tcW w:w="213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p>
        </w:tc>
        <w:tc>
          <w:tcPr>
            <w:tcW w:w="2130" w:type="dxa"/>
            <w:vAlign w:val="center"/>
          </w:tcPr>
          <w:p>
            <w:pPr>
              <w:widowControl/>
              <w:spacing w:line="300" w:lineRule="exact"/>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1</w:t>
            </w:r>
            <w:r>
              <w:rPr>
                <w:rFonts w:hint="eastAsia" w:ascii="Times New Roman" w:hAnsi="Times New Roman" w:eastAsia="宋体" w:cs="Times New Roman"/>
                <w:bCs/>
                <w:color w:val="000000" w:themeColor="text1"/>
                <w14:textFill>
                  <w14:solidFill>
                    <w14:schemeClr w14:val="tx1"/>
                  </w14:solidFill>
                </w14:textFill>
              </w:rPr>
              <w:t>48</w:t>
            </w:r>
            <w:r>
              <w:rPr>
                <w:rFonts w:ascii="Times New Roman" w:hAnsi="Times New Roman" w:eastAsia="宋体" w:cs="Times New Roman"/>
                <w:bCs/>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w:t>
            </w:r>
          </w:p>
        </w:tc>
        <w:tc>
          <w:tcPr>
            <w:tcW w:w="2807" w:type="dxa"/>
            <w:gridSpan w:val="2"/>
            <w:vAlign w:val="center"/>
          </w:tcPr>
          <w:p>
            <w:pPr>
              <w:widowControl/>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柴油</w:t>
            </w:r>
          </w:p>
        </w:tc>
        <w:tc>
          <w:tcPr>
            <w:tcW w:w="213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w:t>
            </w:r>
          </w:p>
        </w:tc>
        <w:tc>
          <w:tcPr>
            <w:tcW w:w="2130" w:type="dxa"/>
            <w:vAlign w:val="center"/>
          </w:tcPr>
          <w:p>
            <w:pPr>
              <w:widowControl/>
              <w:spacing w:line="300" w:lineRule="exact"/>
              <w:jc w:val="center"/>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8</w:t>
            </w:r>
          </w:p>
        </w:tc>
        <w:tc>
          <w:tcPr>
            <w:tcW w:w="954" w:type="dxa"/>
            <w:vMerge w:val="restart"/>
            <w:vAlign w:val="center"/>
          </w:tcPr>
          <w:p>
            <w:pPr>
              <w:widowControl/>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工程占地</w:t>
            </w:r>
          </w:p>
        </w:tc>
        <w:tc>
          <w:tcPr>
            <w:tcW w:w="1853" w:type="dxa"/>
            <w:vAlign w:val="center"/>
          </w:tcPr>
          <w:p>
            <w:pPr>
              <w:widowControl/>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永久占地</w:t>
            </w:r>
          </w:p>
        </w:tc>
        <w:tc>
          <w:tcPr>
            <w:tcW w:w="213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2</w:t>
            </w:r>
          </w:p>
        </w:tc>
        <w:tc>
          <w:tcPr>
            <w:tcW w:w="2130" w:type="dxa"/>
            <w:vAlign w:val="center"/>
          </w:tcPr>
          <w:p>
            <w:pPr>
              <w:widowControl/>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21345.7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w:t>
            </w:r>
          </w:p>
        </w:tc>
        <w:tc>
          <w:tcPr>
            <w:tcW w:w="954" w:type="dxa"/>
            <w:vMerge w:val="continue"/>
            <w:vAlign w:val="center"/>
          </w:tcPr>
          <w:p>
            <w:pPr>
              <w:widowControl/>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1853" w:type="dxa"/>
            <w:vAlign w:val="center"/>
          </w:tcPr>
          <w:p>
            <w:pPr>
              <w:widowControl/>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临时占地</w:t>
            </w:r>
          </w:p>
        </w:tc>
        <w:tc>
          <w:tcPr>
            <w:tcW w:w="213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2</w:t>
            </w:r>
          </w:p>
        </w:tc>
        <w:tc>
          <w:tcPr>
            <w:tcW w:w="2130" w:type="dxa"/>
            <w:vAlign w:val="center"/>
          </w:tcPr>
          <w:p>
            <w:pPr>
              <w:widowControl/>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428180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w:t>
            </w:r>
          </w:p>
        </w:tc>
        <w:tc>
          <w:tcPr>
            <w:tcW w:w="2807" w:type="dxa"/>
            <w:gridSpan w:val="2"/>
            <w:vAlign w:val="center"/>
          </w:tcPr>
          <w:p>
            <w:pPr>
              <w:widowControl/>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总投资</w:t>
            </w:r>
          </w:p>
        </w:tc>
        <w:tc>
          <w:tcPr>
            <w:tcW w:w="213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万元</w:t>
            </w:r>
          </w:p>
        </w:tc>
        <w:tc>
          <w:tcPr>
            <w:tcW w:w="2130" w:type="dxa"/>
            <w:vAlign w:val="center"/>
          </w:tcPr>
          <w:p>
            <w:pPr>
              <w:widowControl/>
              <w:spacing w:line="300" w:lineRule="exact"/>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16991.34</w:t>
            </w:r>
          </w:p>
        </w:tc>
      </w:tr>
    </w:tbl>
    <w:p>
      <w:pPr>
        <w:spacing w:line="360" w:lineRule="auto"/>
        <w:outlineLvl w:val="3"/>
        <w:rPr>
          <w:rFonts w:ascii="Times New Roman" w:hAnsi="Times New Roman" w:cs="Times New Roman"/>
          <w:color w:val="000000" w:themeColor="text1"/>
          <w:kern w:val="0"/>
          <w:sz w:val="28"/>
          <w:szCs w:val="28"/>
          <w:lang w:val="zh-CN"/>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3.5.</w:t>
      </w:r>
      <w:r>
        <w:rPr>
          <w:rFonts w:hint="eastAsia" w:ascii="Times New Roman" w:hAnsi="Times New Roman" w:cs="Times New Roman"/>
          <w:color w:val="000000" w:themeColor="text1"/>
          <w:kern w:val="0"/>
          <w:sz w:val="28"/>
          <w:szCs w:val="28"/>
          <w14:textFill>
            <w14:solidFill>
              <w14:schemeClr w14:val="tx1"/>
            </w14:solidFill>
          </w14:textFill>
        </w:rPr>
        <w:t>7</w:t>
      </w:r>
      <w:r>
        <w:rPr>
          <w:rFonts w:ascii="Times New Roman" w:hAnsi="Times New Roman" w:cs="Times New Roman"/>
          <w:color w:val="000000" w:themeColor="text1"/>
          <w:kern w:val="0"/>
          <w:sz w:val="28"/>
          <w:szCs w:val="28"/>
          <w14:textFill>
            <w14:solidFill>
              <w14:schemeClr w14:val="tx1"/>
            </w14:solidFill>
          </w14:textFill>
        </w:rPr>
        <w:t>.2</w:t>
      </w:r>
      <w:r>
        <w:rPr>
          <w:rFonts w:ascii="Times New Roman" w:hAnsi="Times New Roman" w:cs="Times New Roman"/>
          <w:color w:val="000000" w:themeColor="text1"/>
          <w:kern w:val="0"/>
          <w:sz w:val="28"/>
          <w:szCs w:val="28"/>
          <w:lang w:val="zh-CN"/>
          <w14:textFill>
            <w14:solidFill>
              <w14:schemeClr w14:val="tx1"/>
            </w14:solidFill>
          </w14:textFill>
        </w:rPr>
        <w:t>占地情况</w:t>
      </w:r>
    </w:p>
    <w:p>
      <w:pPr>
        <w:pStyle w:val="55"/>
        <w:spacing w:line="360" w:lineRule="auto"/>
        <w:ind w:firstLine="480"/>
        <w:rPr>
          <w:rFonts w:hint="eastAsia" w:ascii="Times New Roman" w:hAnsi="Times New Roman" w:cs="Times New Roman"/>
          <w:color w:val="000000" w:themeColor="text1"/>
          <w14:textFill>
            <w14:solidFill>
              <w14:schemeClr w14:val="tx1"/>
            </w14:solidFill>
          </w14:textFill>
        </w:rPr>
      </w:pPr>
      <w:bookmarkStart w:id="239" w:name="_Hlk31657906"/>
      <w:bookmarkStart w:id="240" w:name="_Hlk505533533"/>
      <w:bookmarkStart w:id="241" w:name="_Hlk21622184"/>
      <w:r>
        <w:rPr>
          <w:rFonts w:ascii="Times New Roman" w:hAnsi="Times New Roman" w:cs="Times New Roman"/>
          <w:color w:val="000000" w:themeColor="text1"/>
          <w14:textFill>
            <w14:solidFill>
              <w14:schemeClr w14:val="tx1"/>
            </w14:solidFill>
          </w14:textFill>
        </w:rPr>
        <w:t>本工程</w:t>
      </w:r>
      <w:bookmarkStart w:id="242" w:name="_Hlk31714034"/>
      <w:r>
        <w:rPr>
          <w:rFonts w:ascii="Times New Roman" w:hAnsi="Times New Roman" w:cs="Times New Roman"/>
          <w:color w:val="000000" w:themeColor="text1"/>
          <w14:textFill>
            <w14:solidFill>
              <w14:schemeClr w14:val="tx1"/>
            </w14:solidFill>
          </w14:textFill>
        </w:rPr>
        <w:t>总占地面积为</w:t>
      </w:r>
      <w:bookmarkStart w:id="243" w:name="_Hlk505791733"/>
      <w:r>
        <w:rPr>
          <w:rFonts w:hint="eastAsia" w:ascii="Times New Roman" w:hAnsi="Times New Roman" w:cs="Times New Roman"/>
          <w:color w:val="000000" w:themeColor="text1"/>
          <w:lang w:val="en-US" w:eastAsia="zh-CN"/>
          <w14:textFill>
            <w14:solidFill>
              <w14:schemeClr w14:val="tx1"/>
            </w14:solidFill>
          </w14:textFill>
        </w:rPr>
        <w:t>449525.7</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，其中</w:t>
      </w:r>
      <w:bookmarkStart w:id="244" w:name="_Hlk505592510"/>
      <w:r>
        <w:rPr>
          <w:rFonts w:ascii="Times New Roman" w:hAnsi="Times New Roman" w:cs="Times New Roman"/>
          <w:color w:val="000000" w:themeColor="text1"/>
          <w14:textFill>
            <w14:solidFill>
              <w14:schemeClr w14:val="tx1"/>
            </w14:solidFill>
          </w14:textFill>
        </w:rPr>
        <w:t>永久占地</w:t>
      </w:r>
      <w:r>
        <w:rPr>
          <w:rFonts w:hint="eastAsia" w:ascii="Times New Roman" w:hAnsi="Times New Roman" w:cs="Times New Roman"/>
          <w:color w:val="000000" w:themeColor="text1"/>
          <w:lang w:val="en-US" w:eastAsia="zh-CN"/>
          <w14:textFill>
            <w14:solidFill>
              <w14:schemeClr w14:val="tx1"/>
            </w14:solidFill>
          </w14:textFill>
        </w:rPr>
        <w:t>21345.7</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，临时占地</w:t>
      </w:r>
      <w:r>
        <w:rPr>
          <w:rFonts w:hint="eastAsia" w:ascii="Times New Roman" w:hAnsi="Times New Roman" w:cs="Times New Roman"/>
          <w:color w:val="000000" w:themeColor="text1"/>
          <w:lang w:val="en-US" w:eastAsia="zh-CN"/>
          <w14:textFill>
            <w14:solidFill>
              <w14:schemeClr w14:val="tx1"/>
            </w14:solidFill>
          </w14:textFill>
        </w:rPr>
        <w:t>428180</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2</w:t>
      </w:r>
      <w:bookmarkEnd w:id="243"/>
      <w:bookmarkEnd w:id="244"/>
      <w:r>
        <w:rPr>
          <w:rFonts w:ascii="Times New Roman" w:hAnsi="Times New Roman" w:cs="Times New Roman"/>
          <w:color w:val="000000" w:themeColor="text1"/>
          <w14:textFill>
            <w14:solidFill>
              <w14:schemeClr w14:val="tx1"/>
            </w14:solidFill>
          </w14:textFill>
        </w:rPr>
        <w:t>。</w:t>
      </w:r>
      <w:bookmarkEnd w:id="242"/>
      <w:r>
        <w:rPr>
          <w:rFonts w:ascii="Times New Roman" w:hAnsi="Times New Roman" w:cs="Times New Roman"/>
          <w:color w:val="000000" w:themeColor="text1"/>
          <w14:textFill>
            <w14:solidFill>
              <w14:schemeClr w14:val="tx1"/>
            </w14:solidFill>
          </w14:textFill>
        </w:rPr>
        <w:t>占</w:t>
      </w:r>
      <w:bookmarkEnd w:id="239"/>
      <w:r>
        <w:rPr>
          <w:rFonts w:ascii="Times New Roman" w:hAnsi="Times New Roman" w:cs="Times New Roman"/>
          <w:color w:val="000000" w:themeColor="text1"/>
          <w14:textFill>
            <w14:solidFill>
              <w14:schemeClr w14:val="tx1"/>
            </w14:solidFill>
          </w14:textFill>
        </w:rPr>
        <w:t>地类型为采矿用地和</w:t>
      </w:r>
      <w:r>
        <w:rPr>
          <w:rFonts w:hint="eastAsia" w:ascii="Times New Roman" w:hAnsi="Times New Roman" w:eastAsia="宋体" w:cs="Times New Roman"/>
          <w:color w:val="000000" w:themeColor="text1"/>
          <w:lang w:bidi="ar"/>
          <w14:textFill>
            <w14:solidFill>
              <w14:schemeClr w14:val="tx1"/>
            </w14:solidFill>
          </w14:textFill>
        </w:rPr>
        <w:t>其他草地（低覆盖草地）</w:t>
      </w:r>
      <w:r>
        <w:rPr>
          <w:rFonts w:ascii="Times New Roman" w:hAnsi="Times New Roman" w:cs="Times New Roman"/>
          <w:color w:val="000000" w:themeColor="text1"/>
          <w14:textFill>
            <w14:solidFill>
              <w14:schemeClr w14:val="tx1"/>
            </w14:solidFill>
          </w14:textFill>
        </w:rPr>
        <w:t>，占地面积详见表3.5-1</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。在施工期间，场地平整及输电线敷设等活动将会使地表活化，并对植被造成一定程度的破坏，加剧水土流失。</w:t>
      </w:r>
      <w:r>
        <w:rPr>
          <w:rFonts w:hint="eastAsia" w:ascii="Times New Roman" w:hAnsi="Times New Roman" w:cs="Times New Roman"/>
          <w:color w:val="000000" w:themeColor="text1"/>
          <w14:textFill>
            <w14:solidFill>
              <w14:schemeClr w14:val="tx1"/>
            </w14:solidFill>
          </w14:textFill>
        </w:rPr>
        <w:t>本项目征地手续为钻井和地面分开办理，目前钻井的征地手续正在办理中，地面征地部分尚未启动，后续根据项目进展情况开展地面征地手续办理工作。项目施工需在取得征地手续后方可施行。</w:t>
      </w:r>
    </w:p>
    <w:bookmarkEnd w:id="240"/>
    <w:p>
      <w:pPr>
        <w:adjustRightInd w:val="0"/>
        <w:snapToGrid w:val="0"/>
        <w:spacing w:line="360" w:lineRule="auto"/>
        <w:jc w:val="center"/>
        <w:rPr>
          <w:rFonts w:ascii="Times New Roman" w:hAnsi="Times New Roman" w:eastAsia="宋体" w:cs="Times New Roman"/>
          <w:b/>
          <w:bCs/>
          <w:color w:val="000000" w:themeColor="text1"/>
          <w:szCs w:val="21"/>
          <w:highlight w:val="yellow"/>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表3.5-1</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3</w:t>
      </w:r>
      <w:r>
        <w:rPr>
          <w:rFonts w:ascii="Times New Roman" w:hAnsi="Times New Roman" w:eastAsia="宋体" w:cs="Times New Roman"/>
          <w:b/>
          <w:bCs/>
          <w:color w:val="000000" w:themeColor="text1"/>
          <w:szCs w:val="21"/>
          <w14:textFill>
            <w14:solidFill>
              <w14:schemeClr w14:val="tx1"/>
            </w14:solidFill>
          </w14:textFill>
        </w:rPr>
        <w:t xml:space="preserve">  本工程占地概况一览表</w:t>
      </w:r>
    </w:p>
    <w:tbl>
      <w:tblPr>
        <w:tblStyle w:val="23"/>
        <w:tblW w:w="8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582"/>
        <w:gridCol w:w="572"/>
        <w:gridCol w:w="602"/>
        <w:gridCol w:w="846"/>
        <w:gridCol w:w="741"/>
        <w:gridCol w:w="686"/>
        <w:gridCol w:w="1603"/>
        <w:gridCol w:w="2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144" w:type="dxa"/>
            <w:gridSpan w:val="2"/>
            <w:vMerge w:val="restart"/>
            <w:tcMar>
              <w:left w:w="28" w:type="dxa"/>
              <w:right w:w="28" w:type="dxa"/>
            </w:tcMar>
            <w:vAlign w:val="center"/>
          </w:tcPr>
          <w:p>
            <w:pPr>
              <w:pStyle w:val="40"/>
              <w:rPr>
                <w:rFonts w:ascii="Times New Roman" w:hAnsi="Times New Roman" w:cs="Times New Roman"/>
                <w:b/>
                <w:bCs/>
                <w:color w:val="000000" w:themeColor="text1"/>
                <w:sz w:val="21"/>
                <w14:textFill>
                  <w14:solidFill>
                    <w14:schemeClr w14:val="tx1"/>
                  </w14:solidFill>
                </w14:textFill>
              </w:rPr>
            </w:pPr>
            <w:bookmarkStart w:id="245" w:name="_Hlk31712936"/>
            <w:r>
              <w:rPr>
                <w:rFonts w:ascii="Times New Roman" w:hAnsi="Times New Roman" w:cs="Times New Roman"/>
                <w:b/>
                <w:bCs/>
                <w:color w:val="000000" w:themeColor="text1"/>
                <w:sz w:val="21"/>
                <w14:textFill>
                  <w14:solidFill>
                    <w14:schemeClr w14:val="tx1"/>
                  </w14:solidFill>
                </w14:textFill>
              </w:rPr>
              <w:t>分区</w:t>
            </w:r>
          </w:p>
        </w:tc>
        <w:tc>
          <w:tcPr>
            <w:tcW w:w="572" w:type="dxa"/>
            <w:vMerge w:val="restart"/>
            <w:tcMar>
              <w:left w:w="28" w:type="dxa"/>
              <w:right w:w="28" w:type="dxa"/>
            </w:tcMar>
            <w:vAlign w:val="center"/>
          </w:tcPr>
          <w:p>
            <w:pPr>
              <w:pStyle w:val="4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单位</w:t>
            </w:r>
          </w:p>
        </w:tc>
        <w:tc>
          <w:tcPr>
            <w:tcW w:w="602" w:type="dxa"/>
            <w:vMerge w:val="restart"/>
            <w:tcMar>
              <w:left w:w="28" w:type="dxa"/>
              <w:right w:w="28" w:type="dxa"/>
            </w:tcMar>
            <w:vAlign w:val="center"/>
          </w:tcPr>
          <w:p>
            <w:pPr>
              <w:pStyle w:val="4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工程量</w:t>
            </w:r>
          </w:p>
        </w:tc>
        <w:tc>
          <w:tcPr>
            <w:tcW w:w="846" w:type="dxa"/>
            <w:vMerge w:val="restart"/>
            <w:tcMar>
              <w:left w:w="28" w:type="dxa"/>
              <w:right w:w="28" w:type="dxa"/>
            </w:tcMar>
            <w:vAlign w:val="center"/>
          </w:tcPr>
          <w:p>
            <w:pPr>
              <w:pStyle w:val="4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总占地面积（m</w:t>
            </w:r>
            <w:r>
              <w:rPr>
                <w:rFonts w:ascii="Times New Roman" w:hAnsi="Times New Roman" w:cs="Times New Roman"/>
                <w:b/>
                <w:bCs/>
                <w:color w:val="000000" w:themeColor="text1"/>
                <w:sz w:val="21"/>
                <w:vertAlign w:val="superscript"/>
                <w14:textFill>
                  <w14:solidFill>
                    <w14:schemeClr w14:val="tx1"/>
                  </w14:solidFill>
                </w14:textFill>
              </w:rPr>
              <w:t>2</w:t>
            </w:r>
            <w:r>
              <w:rPr>
                <w:rFonts w:ascii="Times New Roman" w:hAnsi="Times New Roman" w:cs="Times New Roman"/>
                <w:b/>
                <w:bCs/>
                <w:color w:val="000000" w:themeColor="text1"/>
                <w:sz w:val="21"/>
                <w14:textFill>
                  <w14:solidFill>
                    <w14:schemeClr w14:val="tx1"/>
                  </w14:solidFill>
                </w14:textFill>
              </w:rPr>
              <w:t>）</w:t>
            </w:r>
          </w:p>
        </w:tc>
        <w:tc>
          <w:tcPr>
            <w:tcW w:w="1427" w:type="dxa"/>
            <w:gridSpan w:val="2"/>
            <w:tcMar>
              <w:left w:w="28" w:type="dxa"/>
              <w:right w:w="28" w:type="dxa"/>
            </w:tcMar>
            <w:vAlign w:val="center"/>
          </w:tcPr>
          <w:p>
            <w:pPr>
              <w:pStyle w:val="4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占地性质（m</w:t>
            </w:r>
            <w:r>
              <w:rPr>
                <w:rFonts w:ascii="Times New Roman" w:hAnsi="Times New Roman" w:cs="Times New Roman"/>
                <w:b/>
                <w:bCs/>
                <w:color w:val="000000" w:themeColor="text1"/>
                <w:sz w:val="21"/>
                <w:vertAlign w:val="superscript"/>
                <w14:textFill>
                  <w14:solidFill>
                    <w14:schemeClr w14:val="tx1"/>
                  </w14:solidFill>
                </w14:textFill>
              </w:rPr>
              <w:t>2</w:t>
            </w:r>
            <w:r>
              <w:rPr>
                <w:rFonts w:ascii="Times New Roman" w:hAnsi="Times New Roman" w:cs="Times New Roman"/>
                <w:b/>
                <w:bCs/>
                <w:color w:val="000000" w:themeColor="text1"/>
                <w:sz w:val="21"/>
                <w14:textFill>
                  <w14:solidFill>
                    <w14:schemeClr w14:val="tx1"/>
                  </w14:solidFill>
                </w14:textFill>
              </w:rPr>
              <w:t>）</w:t>
            </w:r>
          </w:p>
        </w:tc>
        <w:tc>
          <w:tcPr>
            <w:tcW w:w="1603" w:type="dxa"/>
            <w:vMerge w:val="restart"/>
            <w:vAlign w:val="center"/>
          </w:tcPr>
          <w:p>
            <w:pPr>
              <w:pStyle w:val="4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占地类型</w:t>
            </w:r>
          </w:p>
        </w:tc>
        <w:tc>
          <w:tcPr>
            <w:tcW w:w="2163" w:type="dxa"/>
            <w:vMerge w:val="restart"/>
            <w:tcMar>
              <w:left w:w="28" w:type="dxa"/>
              <w:right w:w="28" w:type="dxa"/>
            </w:tcMar>
            <w:vAlign w:val="center"/>
          </w:tcPr>
          <w:p>
            <w:pPr>
              <w:pStyle w:val="4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144" w:type="dxa"/>
            <w:gridSpan w:val="2"/>
            <w:vMerge w:val="continue"/>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p>
        </w:tc>
        <w:tc>
          <w:tcPr>
            <w:tcW w:w="572" w:type="dxa"/>
            <w:vMerge w:val="continue"/>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p>
        </w:tc>
        <w:tc>
          <w:tcPr>
            <w:tcW w:w="602" w:type="dxa"/>
            <w:vMerge w:val="continue"/>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p>
        </w:tc>
        <w:tc>
          <w:tcPr>
            <w:tcW w:w="846" w:type="dxa"/>
            <w:vMerge w:val="continue"/>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p>
        </w:tc>
        <w:tc>
          <w:tcPr>
            <w:tcW w:w="741" w:type="dxa"/>
            <w:tcMar>
              <w:left w:w="28" w:type="dxa"/>
              <w:right w:w="28" w:type="dxa"/>
            </w:tcMar>
            <w:vAlign w:val="center"/>
          </w:tcPr>
          <w:p>
            <w:pPr>
              <w:pStyle w:val="4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永久占地</w:t>
            </w:r>
          </w:p>
        </w:tc>
        <w:tc>
          <w:tcPr>
            <w:tcW w:w="686" w:type="dxa"/>
            <w:tcMar>
              <w:left w:w="28" w:type="dxa"/>
              <w:right w:w="28" w:type="dxa"/>
            </w:tcMar>
            <w:vAlign w:val="center"/>
          </w:tcPr>
          <w:p>
            <w:pPr>
              <w:pStyle w:val="40"/>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临时占地</w:t>
            </w:r>
          </w:p>
        </w:tc>
        <w:tc>
          <w:tcPr>
            <w:tcW w:w="1603" w:type="dxa"/>
            <w:vMerge w:val="continue"/>
            <w:vAlign w:val="center"/>
          </w:tcPr>
          <w:p>
            <w:pPr>
              <w:pStyle w:val="40"/>
              <w:rPr>
                <w:rFonts w:ascii="Times New Roman" w:hAnsi="Times New Roman" w:cs="Times New Roman"/>
                <w:color w:val="000000" w:themeColor="text1"/>
                <w:sz w:val="21"/>
                <w14:textFill>
                  <w14:solidFill>
                    <w14:schemeClr w14:val="tx1"/>
                  </w14:solidFill>
                </w14:textFill>
              </w:rPr>
            </w:pPr>
          </w:p>
        </w:tc>
        <w:tc>
          <w:tcPr>
            <w:tcW w:w="2163" w:type="dxa"/>
            <w:vMerge w:val="continue"/>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2" w:type="dxa"/>
            <w:vMerge w:val="restart"/>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钻井工程</w:t>
            </w:r>
          </w:p>
        </w:tc>
        <w:tc>
          <w:tcPr>
            <w:tcW w:w="58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采油井</w:t>
            </w:r>
          </w:p>
        </w:tc>
        <w:tc>
          <w:tcPr>
            <w:tcW w:w="57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座</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28</w:t>
            </w:r>
          </w:p>
        </w:tc>
        <w:tc>
          <w:tcPr>
            <w:tcW w:w="84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134400</w:t>
            </w:r>
          </w:p>
        </w:tc>
        <w:tc>
          <w:tcPr>
            <w:tcW w:w="741"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w:t>
            </w:r>
            <w:r>
              <w:rPr>
                <w:rFonts w:ascii="Times New Roman" w:hAnsi="Times New Roman" w:cs="Times New Roman"/>
                <w:color w:val="000000" w:themeColor="text1"/>
                <w:sz w:val="21"/>
                <w14:textFill>
                  <w14:solidFill>
                    <w14:schemeClr w14:val="tx1"/>
                  </w14:solidFill>
                </w14:textFill>
              </w:rPr>
              <w:t>7500</w:t>
            </w:r>
          </w:p>
        </w:tc>
        <w:tc>
          <w:tcPr>
            <w:tcW w:w="68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116900</w:t>
            </w:r>
          </w:p>
        </w:tc>
        <w:tc>
          <w:tcPr>
            <w:tcW w:w="1603" w:type="dxa"/>
            <w:vAlign w:val="center"/>
          </w:tcPr>
          <w:p>
            <w:pPr>
              <w:pStyle w:val="40"/>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134400m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p>
        </w:tc>
        <w:tc>
          <w:tcPr>
            <w:tcW w:w="2163" w:type="dxa"/>
            <w:tcMar>
              <w:left w:w="28" w:type="dxa"/>
              <w:right w:w="28" w:type="dxa"/>
            </w:tcMar>
            <w:vAlign w:val="center"/>
          </w:tcPr>
          <w:p>
            <w:pPr>
              <w:pStyle w:val="40"/>
              <w:jc w:val="both"/>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单井占地60×80m，其中永久占地25×25m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2" w:type="dxa"/>
            <w:vMerge w:val="continue"/>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p>
        </w:tc>
        <w:tc>
          <w:tcPr>
            <w:tcW w:w="58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注水井</w:t>
            </w:r>
          </w:p>
        </w:tc>
        <w:tc>
          <w:tcPr>
            <w:tcW w:w="57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座</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9</w:t>
            </w:r>
          </w:p>
        </w:tc>
        <w:tc>
          <w:tcPr>
            <w:tcW w:w="84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0</w:t>
            </w:r>
          </w:p>
        </w:tc>
        <w:tc>
          <w:tcPr>
            <w:tcW w:w="741"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0</w:t>
            </w:r>
          </w:p>
        </w:tc>
        <w:tc>
          <w:tcPr>
            <w:tcW w:w="68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pacing w:val="-2"/>
                <w:sz w:val="21"/>
                <w14:textFill>
                  <w14:solidFill>
                    <w14:schemeClr w14:val="tx1"/>
                  </w14:solidFill>
                </w14:textFill>
              </w:rPr>
            </w:pPr>
            <w:r>
              <w:rPr>
                <w:rFonts w:hint="eastAsia" w:ascii="Times New Roman" w:hAnsi="Times New Roman" w:cs="Times New Roman"/>
                <w:color w:val="000000" w:themeColor="text1"/>
                <w:spacing w:val="-2"/>
                <w:sz w:val="21"/>
                <w14:textFill>
                  <w14:solidFill>
                    <w14:schemeClr w14:val="tx1"/>
                  </w14:solidFill>
                </w14:textFill>
              </w:rPr>
              <w:t>本项目共9座注水井，均为</w:t>
            </w:r>
            <w:r>
              <w:rPr>
                <w:rFonts w:ascii="Times New Roman" w:hAnsi="Times New Roman" w:cs="Times New Roman"/>
                <w:color w:val="000000" w:themeColor="text1"/>
                <w:spacing w:val="-2"/>
                <w:sz w:val="21"/>
                <w14:textFill>
                  <w14:solidFill>
                    <w14:schemeClr w14:val="tx1"/>
                  </w14:solidFill>
                </w14:textFill>
              </w:rPr>
              <w:t>老井转注水井，不新增占地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144" w:type="dxa"/>
            <w:gridSpan w:val="2"/>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计量站</w:t>
            </w:r>
          </w:p>
        </w:tc>
        <w:tc>
          <w:tcPr>
            <w:tcW w:w="57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座</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5</w:t>
            </w:r>
          </w:p>
        </w:tc>
        <w:tc>
          <w:tcPr>
            <w:tcW w:w="84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30</w:t>
            </w:r>
            <w:r>
              <w:rPr>
                <w:rFonts w:ascii="Times New Roman" w:hAnsi="Times New Roman" w:cs="Times New Roman"/>
                <w:color w:val="000000" w:themeColor="text1"/>
                <w:sz w:val="21"/>
                <w14:textFill>
                  <w14:solidFill>
                    <w14:schemeClr w14:val="tx1"/>
                  </w14:solidFill>
                </w14:textFill>
              </w:rPr>
              <w:t>00</w:t>
            </w:r>
          </w:p>
        </w:tc>
        <w:tc>
          <w:tcPr>
            <w:tcW w:w="741"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30</w:t>
            </w:r>
            <w:r>
              <w:rPr>
                <w:rFonts w:ascii="Times New Roman" w:hAnsi="Times New Roman" w:cs="Times New Roman"/>
                <w:color w:val="000000" w:themeColor="text1"/>
                <w:sz w:val="21"/>
                <w14:textFill>
                  <w14:solidFill>
                    <w14:schemeClr w14:val="tx1"/>
                  </w14:solidFill>
                </w14:textFill>
              </w:rPr>
              <w:t>00</w:t>
            </w:r>
          </w:p>
        </w:tc>
        <w:tc>
          <w:tcPr>
            <w:tcW w:w="68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3000m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pacing w:val="-2"/>
                <w:sz w:val="21"/>
                <w14:textFill>
                  <w14:solidFill>
                    <w14:schemeClr w14:val="tx1"/>
                  </w14:solidFill>
                </w14:textFill>
              </w:rPr>
            </w:pPr>
            <w:r>
              <w:rPr>
                <w:rFonts w:ascii="Times New Roman" w:hAnsi="Times New Roman" w:cs="Times New Roman"/>
                <w:color w:val="000000" w:themeColor="text1"/>
                <w:spacing w:val="-2"/>
                <w:sz w:val="21"/>
                <w14:textFill>
                  <w14:solidFill>
                    <w14:schemeClr w14:val="tx1"/>
                  </w14:solidFill>
                </w14:textFill>
              </w:rPr>
              <w:t>20</w:t>
            </w:r>
            <w:r>
              <w:rPr>
                <w:rFonts w:ascii="Times New Roman" w:hAnsi="Times New Roman" w:cs="Times New Roman"/>
                <w:bCs/>
                <w:color w:val="000000" w:themeColor="text1"/>
                <w:sz w:val="21"/>
                <w14:textFill>
                  <w14:solidFill>
                    <w14:schemeClr w14:val="tx1"/>
                  </w14:solidFill>
                </w14:textFill>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144" w:type="dxa"/>
            <w:gridSpan w:val="2"/>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配水撬</w:t>
            </w:r>
          </w:p>
        </w:tc>
        <w:tc>
          <w:tcPr>
            <w:tcW w:w="57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座</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w:t>
            </w:r>
          </w:p>
        </w:tc>
        <w:tc>
          <w:tcPr>
            <w:tcW w:w="84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35.7</w:t>
            </w:r>
          </w:p>
        </w:tc>
        <w:tc>
          <w:tcPr>
            <w:tcW w:w="741"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35.7</w:t>
            </w:r>
          </w:p>
        </w:tc>
        <w:tc>
          <w:tcPr>
            <w:tcW w:w="68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35.7m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pacing w:val="-2"/>
                <w:sz w:val="21"/>
                <w14:textFill>
                  <w14:solidFill>
                    <w14:schemeClr w14:val="tx1"/>
                  </w14:solidFill>
                </w14:textFill>
              </w:rPr>
            </w:pPr>
            <w:r>
              <w:rPr>
                <w:rFonts w:hint="eastAsia" w:ascii="Times New Roman" w:hAnsi="Times New Roman" w:cs="Times New Roman"/>
                <w:color w:val="000000" w:themeColor="text1"/>
                <w:spacing w:val="-2"/>
                <w:sz w:val="21"/>
                <w14:textFill>
                  <w14:solidFill>
                    <w14:schemeClr w14:val="tx1"/>
                  </w14:solidFill>
                </w14:textFill>
              </w:rPr>
              <w:t>3.4</w:t>
            </w:r>
            <w:r>
              <w:rPr>
                <w:rFonts w:ascii="Times New Roman" w:hAnsi="Times New Roman" w:cs="Times New Roman"/>
                <w:bCs/>
                <w:color w:val="000000" w:themeColor="text1"/>
                <w:sz w:val="21"/>
                <w14:textFill>
                  <w14:solidFill>
                    <w14:schemeClr w14:val="tx1"/>
                  </w14:solidFill>
                </w14:textFill>
              </w:rPr>
              <w:t>×</w:t>
            </w:r>
            <w:r>
              <w:rPr>
                <w:rFonts w:hint="eastAsia" w:ascii="Times New Roman" w:hAnsi="Times New Roman" w:cs="Times New Roman"/>
                <w:bCs/>
                <w:color w:val="000000" w:themeColor="text1"/>
                <w:sz w:val="21"/>
                <w14:textFill>
                  <w14:solidFill>
                    <w14:schemeClr w14:val="tx1"/>
                  </w14:solidFill>
                </w14:textFill>
              </w:rPr>
              <w:t>3.5</w:t>
            </w:r>
            <w:r>
              <w:rPr>
                <w:rFonts w:ascii="Times New Roman" w:hAnsi="Times New Roman" w:cs="Times New Roman"/>
                <w:bCs/>
                <w:color w:val="000000" w:themeColor="text1"/>
                <w:sz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144" w:type="dxa"/>
            <w:gridSpan w:val="2"/>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阀池</w:t>
            </w:r>
          </w:p>
        </w:tc>
        <w:tc>
          <w:tcPr>
            <w:tcW w:w="57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座</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5</w:t>
            </w:r>
          </w:p>
        </w:tc>
        <w:tc>
          <w:tcPr>
            <w:tcW w:w="84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0</w:t>
            </w:r>
          </w:p>
        </w:tc>
        <w:tc>
          <w:tcPr>
            <w:tcW w:w="741"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0</w:t>
            </w:r>
          </w:p>
        </w:tc>
        <w:tc>
          <w:tcPr>
            <w:tcW w:w="68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pacing w:val="-2"/>
                <w:sz w:val="21"/>
                <w14:textFill>
                  <w14:solidFill>
                    <w14:schemeClr w14:val="tx1"/>
                  </w14:solidFill>
                </w14:textFill>
              </w:rPr>
            </w:pPr>
            <w:r>
              <w:rPr>
                <w:rFonts w:ascii="Times New Roman" w:hAnsi="Times New Roman" w:cs="Times New Roman"/>
                <w:color w:val="000000" w:themeColor="text1"/>
                <w:sz w:val="21"/>
                <w:lang w:bidi="ar"/>
                <w14:textFill>
                  <w14:solidFill>
                    <w14:schemeClr w14:val="tx1"/>
                  </w14:solidFill>
                </w14:textFill>
              </w:rPr>
              <w:t>阀池</w:t>
            </w:r>
            <w:r>
              <w:rPr>
                <w:rFonts w:hint="eastAsia" w:ascii="Times New Roman" w:hAnsi="Times New Roman" w:cs="Times New Roman"/>
                <w:color w:val="000000" w:themeColor="text1"/>
                <w:sz w:val="21"/>
                <w:lang w:bidi="ar"/>
                <w14:textFill>
                  <w14:solidFill>
                    <w14:schemeClr w14:val="tx1"/>
                  </w14:solidFill>
                </w14:textFill>
              </w:rPr>
              <w:t>已包含在计量站范围内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2" w:type="dxa"/>
            <w:vMerge w:val="restart"/>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管线区</w:t>
            </w:r>
          </w:p>
        </w:tc>
        <w:tc>
          <w:tcPr>
            <w:tcW w:w="58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单井集油管线</w:t>
            </w:r>
          </w:p>
        </w:tc>
        <w:tc>
          <w:tcPr>
            <w:tcW w:w="57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km</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10.33</w:t>
            </w:r>
          </w:p>
        </w:tc>
        <w:tc>
          <w:tcPr>
            <w:tcW w:w="846" w:type="dxa"/>
            <w:tcMar>
              <w:left w:w="28" w:type="dxa"/>
              <w:right w:w="28" w:type="dxa"/>
            </w:tcMar>
            <w:vAlign w:val="center"/>
          </w:tcPr>
          <w:p>
            <w:pPr>
              <w:pStyle w:val="4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123960</w:t>
            </w:r>
          </w:p>
        </w:tc>
        <w:tc>
          <w:tcPr>
            <w:tcW w:w="741"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w:t>
            </w:r>
          </w:p>
        </w:tc>
        <w:tc>
          <w:tcPr>
            <w:tcW w:w="686" w:type="dxa"/>
            <w:tcMar>
              <w:left w:w="28" w:type="dxa"/>
              <w:right w:w="28" w:type="dxa"/>
            </w:tcMar>
            <w:vAlign w:val="center"/>
          </w:tcPr>
          <w:p>
            <w:pPr>
              <w:pStyle w:val="4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123960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123960m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28</w:t>
            </w:r>
            <w:r>
              <w:rPr>
                <w:rFonts w:ascii="Times New Roman" w:hAnsi="Times New Roman" w:cs="Times New Roman"/>
                <w:color w:val="000000" w:themeColor="text1"/>
                <w:sz w:val="21"/>
                <w14:textFill>
                  <w14:solidFill>
                    <w14:schemeClr w14:val="tx1"/>
                  </w14:solidFill>
                </w14:textFill>
              </w:rPr>
              <w:t>口井中单井管线预计有</w:t>
            </w:r>
            <w:r>
              <w:rPr>
                <w:rFonts w:hint="eastAsia" w:ascii="Times New Roman" w:hAnsi="Times New Roman" w:cs="Times New Roman"/>
                <w:color w:val="000000" w:themeColor="text1"/>
                <w:sz w:val="21"/>
                <w14:textFill>
                  <w14:solidFill>
                    <w14:schemeClr w14:val="tx1"/>
                  </w14:solidFill>
                </w14:textFill>
              </w:rPr>
              <w:t>84</w:t>
            </w:r>
            <w:r>
              <w:rPr>
                <w:rFonts w:ascii="Times New Roman" w:hAnsi="Times New Roman" w:cs="Times New Roman"/>
                <w:color w:val="000000" w:themeColor="text1"/>
                <w:sz w:val="21"/>
                <w14:textFill>
                  <w14:solidFill>
                    <w14:schemeClr w14:val="tx1"/>
                  </w14:solidFill>
                </w14:textFill>
              </w:rPr>
              <w:t>0m已包含在井场范围内，不再单独计算。埋地敷设，临时作业宽度约为1</w:t>
            </w:r>
            <w:r>
              <w:rPr>
                <w:rFonts w:hint="eastAsia" w:ascii="Times New Roman" w:hAnsi="Times New Roman" w:cs="Times New Roman"/>
                <w:color w:val="000000" w:themeColor="text1"/>
                <w:sz w:val="21"/>
                <w:lang w:val="en-US" w:eastAsia="zh-CN"/>
                <w14:textFill>
                  <w14:solidFill>
                    <w14:schemeClr w14:val="tx1"/>
                  </w14:solidFill>
                </w14:textFill>
              </w:rPr>
              <w:t>2</w:t>
            </w:r>
            <w:r>
              <w:rPr>
                <w:rFonts w:ascii="Times New Roman" w:hAnsi="Times New Roman" w:cs="Times New Roman"/>
                <w:color w:val="000000" w:themeColor="text1"/>
                <w:sz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2" w:type="dxa"/>
            <w:vMerge w:val="continue"/>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p>
        </w:tc>
        <w:tc>
          <w:tcPr>
            <w:tcW w:w="58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集油支线</w:t>
            </w:r>
          </w:p>
        </w:tc>
        <w:tc>
          <w:tcPr>
            <w:tcW w:w="57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km</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3.6</w:t>
            </w:r>
          </w:p>
        </w:tc>
        <w:tc>
          <w:tcPr>
            <w:tcW w:w="84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432</w:t>
            </w:r>
            <w:r>
              <w:rPr>
                <w:rFonts w:ascii="Times New Roman" w:hAnsi="Times New Roman" w:cs="Times New Roman"/>
                <w:color w:val="000000" w:themeColor="text1"/>
                <w:sz w:val="21"/>
                <w14:textFill>
                  <w14:solidFill>
                    <w14:schemeClr w14:val="tx1"/>
                  </w14:solidFill>
                </w14:textFill>
              </w:rPr>
              <w:t>00</w:t>
            </w:r>
          </w:p>
        </w:tc>
        <w:tc>
          <w:tcPr>
            <w:tcW w:w="741"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w:t>
            </w:r>
          </w:p>
        </w:tc>
        <w:tc>
          <w:tcPr>
            <w:tcW w:w="68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432</w:t>
            </w:r>
            <w:r>
              <w:rPr>
                <w:rFonts w:ascii="Times New Roman" w:hAnsi="Times New Roman" w:cs="Times New Roman"/>
                <w:color w:val="000000" w:themeColor="text1"/>
                <w:sz w:val="21"/>
                <w14:textFill>
                  <w14:solidFill>
                    <w14:schemeClr w14:val="tx1"/>
                  </w14:solidFill>
                </w14:textFill>
              </w:rPr>
              <w:t>00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43200m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埋地敷设，临时作业宽度约为1</w:t>
            </w:r>
            <w:r>
              <w:rPr>
                <w:rFonts w:hint="eastAsia" w:ascii="Times New Roman" w:hAnsi="Times New Roman" w:cs="Times New Roman"/>
                <w:color w:val="000000" w:themeColor="text1"/>
                <w:sz w:val="21"/>
                <w:lang w:val="en-US" w:eastAsia="zh-CN"/>
                <w14:textFill>
                  <w14:solidFill>
                    <w14:schemeClr w14:val="tx1"/>
                  </w14:solidFill>
                </w14:textFill>
              </w:rPr>
              <w:t>2</w:t>
            </w:r>
            <w:r>
              <w:rPr>
                <w:rFonts w:ascii="Times New Roman" w:hAnsi="Times New Roman" w:cs="Times New Roman"/>
                <w:color w:val="000000" w:themeColor="text1"/>
                <w:sz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2" w:type="dxa"/>
            <w:vMerge w:val="continue"/>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p>
        </w:tc>
        <w:tc>
          <w:tcPr>
            <w:tcW w:w="58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集油干线</w:t>
            </w:r>
          </w:p>
        </w:tc>
        <w:tc>
          <w:tcPr>
            <w:tcW w:w="57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km</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2.1</w:t>
            </w:r>
          </w:p>
        </w:tc>
        <w:tc>
          <w:tcPr>
            <w:tcW w:w="84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w:t>
            </w:r>
            <w:r>
              <w:rPr>
                <w:rFonts w:hint="eastAsia" w:ascii="Times New Roman" w:hAnsi="Times New Roman" w:cs="Times New Roman"/>
                <w:color w:val="000000" w:themeColor="text1"/>
                <w:sz w:val="21"/>
                <w:lang w:val="en-US" w:eastAsia="zh-CN"/>
                <w14:textFill>
                  <w14:solidFill>
                    <w14:schemeClr w14:val="tx1"/>
                  </w14:solidFill>
                </w14:textFill>
              </w:rPr>
              <w:t>52</w:t>
            </w:r>
            <w:r>
              <w:rPr>
                <w:rFonts w:hint="eastAsia" w:ascii="Times New Roman" w:hAnsi="Times New Roman" w:cs="Times New Roman"/>
                <w:color w:val="000000" w:themeColor="text1"/>
                <w:sz w:val="21"/>
                <w14:textFill>
                  <w14:solidFill>
                    <w14:schemeClr w14:val="tx1"/>
                  </w14:solidFill>
                </w14:textFill>
              </w:rPr>
              <w:t>00</w:t>
            </w:r>
          </w:p>
        </w:tc>
        <w:tc>
          <w:tcPr>
            <w:tcW w:w="741"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0</w:t>
            </w:r>
          </w:p>
        </w:tc>
        <w:tc>
          <w:tcPr>
            <w:tcW w:w="68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w:t>
            </w:r>
            <w:r>
              <w:rPr>
                <w:rFonts w:hint="eastAsia" w:ascii="Times New Roman" w:hAnsi="Times New Roman" w:cs="Times New Roman"/>
                <w:color w:val="000000" w:themeColor="text1"/>
                <w:sz w:val="21"/>
                <w:lang w:val="en-US" w:eastAsia="zh-CN"/>
                <w14:textFill>
                  <w14:solidFill>
                    <w14:schemeClr w14:val="tx1"/>
                  </w14:solidFill>
                </w14:textFill>
              </w:rPr>
              <w:t>52</w:t>
            </w:r>
            <w:r>
              <w:rPr>
                <w:rFonts w:hint="eastAsia" w:ascii="Times New Roman" w:hAnsi="Times New Roman" w:cs="Times New Roman"/>
                <w:color w:val="000000" w:themeColor="text1"/>
                <w:sz w:val="21"/>
                <w14:textFill>
                  <w14:solidFill>
                    <w14:schemeClr w14:val="tx1"/>
                  </w14:solidFill>
                </w14:textFill>
              </w:rPr>
              <w:t>00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25200m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埋地敷设，临时作业宽度约为1</w:t>
            </w:r>
            <w:r>
              <w:rPr>
                <w:rFonts w:hint="eastAsia" w:ascii="Times New Roman" w:hAnsi="Times New Roman" w:cs="Times New Roman"/>
                <w:color w:val="000000" w:themeColor="text1"/>
                <w:sz w:val="21"/>
                <w:lang w:val="en-US" w:eastAsia="zh-CN"/>
                <w14:textFill>
                  <w14:solidFill>
                    <w14:schemeClr w14:val="tx1"/>
                  </w14:solidFill>
                </w14:textFill>
              </w:rPr>
              <w:t>2</w:t>
            </w:r>
            <w:r>
              <w:rPr>
                <w:rFonts w:ascii="Times New Roman" w:hAnsi="Times New Roman" w:cs="Times New Roman"/>
                <w:color w:val="000000" w:themeColor="text1"/>
                <w:sz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2" w:type="dxa"/>
            <w:vMerge w:val="continue"/>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p>
        </w:tc>
        <w:tc>
          <w:tcPr>
            <w:tcW w:w="58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单井注水管线</w:t>
            </w:r>
          </w:p>
        </w:tc>
        <w:tc>
          <w:tcPr>
            <w:tcW w:w="57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km</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4.52</w:t>
            </w:r>
          </w:p>
        </w:tc>
        <w:tc>
          <w:tcPr>
            <w:tcW w:w="84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5424</w:t>
            </w:r>
            <w:r>
              <w:rPr>
                <w:rFonts w:ascii="Times New Roman" w:hAnsi="Times New Roman" w:cs="Times New Roman"/>
                <w:color w:val="000000" w:themeColor="text1"/>
                <w:sz w:val="21"/>
                <w14:textFill>
                  <w14:solidFill>
                    <w14:schemeClr w14:val="tx1"/>
                  </w14:solidFill>
                </w14:textFill>
              </w:rPr>
              <w:t>0</w:t>
            </w:r>
          </w:p>
        </w:tc>
        <w:tc>
          <w:tcPr>
            <w:tcW w:w="741"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w:t>
            </w:r>
          </w:p>
        </w:tc>
        <w:tc>
          <w:tcPr>
            <w:tcW w:w="68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5424</w:t>
            </w:r>
            <w:r>
              <w:rPr>
                <w:rFonts w:ascii="Times New Roman" w:hAnsi="Times New Roman" w:cs="Times New Roman"/>
                <w:color w:val="000000" w:themeColor="text1"/>
                <w:sz w:val="21"/>
                <w14:textFill>
                  <w14:solidFill>
                    <w14:schemeClr w14:val="tx1"/>
                  </w14:solidFill>
                </w14:textFill>
              </w:rPr>
              <w:t>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54140m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14:textFill>
                  <w14:solidFill>
                    <w14:schemeClr w14:val="tx1"/>
                  </w14:solidFill>
                </w14:textFill>
              </w:rPr>
              <w:t>其他草地（低覆盖草地</w:t>
            </w:r>
            <w:r>
              <w:rPr>
                <w:rFonts w:hint="eastAsia" w:ascii="Times New Roman" w:hAnsi="Times New Roman" w:cs="Times New Roman"/>
                <w:color w:val="000000" w:themeColor="text1"/>
                <w:sz w:val="21"/>
                <w:lang w:val="en-US" w:eastAsia="zh-CN"/>
                <w14:textFill>
                  <w14:solidFill>
                    <w14:schemeClr w14:val="tx1"/>
                  </w14:solidFill>
                </w14:textFill>
              </w:rPr>
              <w:t>400m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9</w:t>
            </w:r>
            <w:r>
              <w:rPr>
                <w:rFonts w:ascii="Times New Roman" w:hAnsi="Times New Roman" w:cs="Times New Roman"/>
                <w:color w:val="000000" w:themeColor="text1"/>
                <w:sz w:val="21"/>
                <w14:textFill>
                  <w14:solidFill>
                    <w14:schemeClr w14:val="tx1"/>
                  </w14:solidFill>
                </w14:textFill>
              </w:rPr>
              <w:t>口新钻井中单井管线预计有</w:t>
            </w:r>
            <w:r>
              <w:rPr>
                <w:rFonts w:hint="eastAsia" w:ascii="Times New Roman" w:hAnsi="Times New Roman" w:cs="Times New Roman"/>
                <w:color w:val="000000" w:themeColor="text1"/>
                <w:sz w:val="21"/>
                <w14:textFill>
                  <w14:solidFill>
                    <w14:schemeClr w14:val="tx1"/>
                  </w14:solidFill>
                </w14:textFill>
              </w:rPr>
              <w:t>270</w:t>
            </w:r>
            <w:r>
              <w:rPr>
                <w:rFonts w:ascii="Times New Roman" w:hAnsi="Times New Roman" w:cs="Times New Roman"/>
                <w:color w:val="000000" w:themeColor="text1"/>
                <w:sz w:val="21"/>
                <w14:textFill>
                  <w14:solidFill>
                    <w14:schemeClr w14:val="tx1"/>
                  </w14:solidFill>
                </w14:textFill>
              </w:rPr>
              <w:t>m已包含在井场范围内，不再单独计算。埋地敷设，临时作业宽度约为1</w:t>
            </w:r>
            <w:r>
              <w:rPr>
                <w:rFonts w:hint="eastAsia" w:ascii="Times New Roman" w:hAnsi="Times New Roman" w:cs="Times New Roman"/>
                <w:color w:val="000000" w:themeColor="text1"/>
                <w:sz w:val="21"/>
                <w:lang w:val="en-US" w:eastAsia="zh-CN"/>
                <w14:textFill>
                  <w14:solidFill>
                    <w14:schemeClr w14:val="tx1"/>
                  </w14:solidFill>
                </w14:textFill>
              </w:rPr>
              <w:t>2</w:t>
            </w:r>
            <w:r>
              <w:rPr>
                <w:rFonts w:ascii="Times New Roman" w:hAnsi="Times New Roman" w:cs="Times New Roman"/>
                <w:color w:val="000000" w:themeColor="text1"/>
                <w:sz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2" w:type="dxa"/>
            <w:vMerge w:val="continue"/>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p>
        </w:tc>
        <w:tc>
          <w:tcPr>
            <w:tcW w:w="58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注水支线</w:t>
            </w:r>
          </w:p>
        </w:tc>
        <w:tc>
          <w:tcPr>
            <w:tcW w:w="57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km</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1.77</w:t>
            </w:r>
          </w:p>
        </w:tc>
        <w:tc>
          <w:tcPr>
            <w:tcW w:w="84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2124</w:t>
            </w:r>
            <w:r>
              <w:rPr>
                <w:rFonts w:ascii="Times New Roman" w:hAnsi="Times New Roman" w:cs="Times New Roman"/>
                <w:color w:val="000000" w:themeColor="text1"/>
                <w:sz w:val="21"/>
                <w14:textFill>
                  <w14:solidFill>
                    <w14:schemeClr w14:val="tx1"/>
                  </w14:solidFill>
                </w14:textFill>
              </w:rPr>
              <w:t>0</w:t>
            </w:r>
          </w:p>
        </w:tc>
        <w:tc>
          <w:tcPr>
            <w:tcW w:w="741"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w:t>
            </w:r>
          </w:p>
        </w:tc>
        <w:tc>
          <w:tcPr>
            <w:tcW w:w="68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2124</w:t>
            </w:r>
            <w:r>
              <w:rPr>
                <w:rFonts w:ascii="Times New Roman" w:hAnsi="Times New Roman" w:cs="Times New Roman"/>
                <w:color w:val="000000" w:themeColor="text1"/>
                <w:sz w:val="21"/>
                <w14:textFill>
                  <w14:solidFill>
                    <w14:schemeClr w14:val="tx1"/>
                  </w14:solidFill>
                </w14:textFill>
              </w:rPr>
              <w:t>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21240m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埋地敷设，临时作业宽度约为1</w:t>
            </w:r>
            <w:r>
              <w:rPr>
                <w:rFonts w:hint="eastAsia" w:ascii="Times New Roman" w:hAnsi="Times New Roman" w:cs="Times New Roman"/>
                <w:color w:val="000000" w:themeColor="text1"/>
                <w:sz w:val="21"/>
                <w:lang w:val="en-US" w:eastAsia="zh-CN"/>
                <w14:textFill>
                  <w14:solidFill>
                    <w14:schemeClr w14:val="tx1"/>
                  </w14:solidFill>
                </w14:textFill>
              </w:rPr>
              <w:t>2</w:t>
            </w:r>
            <w:r>
              <w:rPr>
                <w:rFonts w:ascii="Times New Roman" w:hAnsi="Times New Roman" w:cs="Times New Roman"/>
                <w:color w:val="000000" w:themeColor="text1"/>
                <w:sz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2" w:type="dxa"/>
            <w:vMerge w:val="continue"/>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p>
        </w:tc>
        <w:tc>
          <w:tcPr>
            <w:tcW w:w="58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注水干线</w:t>
            </w:r>
          </w:p>
        </w:tc>
        <w:tc>
          <w:tcPr>
            <w:tcW w:w="57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km</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2.12</w:t>
            </w:r>
          </w:p>
        </w:tc>
        <w:tc>
          <w:tcPr>
            <w:tcW w:w="84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w:t>
            </w:r>
            <w:r>
              <w:rPr>
                <w:rFonts w:hint="eastAsia" w:ascii="Times New Roman" w:hAnsi="Times New Roman" w:cs="Times New Roman"/>
                <w:color w:val="000000" w:themeColor="text1"/>
                <w:sz w:val="21"/>
                <w:lang w:val="en-US" w:eastAsia="zh-CN"/>
                <w14:textFill>
                  <w14:solidFill>
                    <w14:schemeClr w14:val="tx1"/>
                  </w14:solidFill>
                </w14:textFill>
              </w:rPr>
              <w:t>544</w:t>
            </w:r>
            <w:r>
              <w:rPr>
                <w:rFonts w:hint="eastAsia" w:ascii="Times New Roman" w:hAnsi="Times New Roman" w:cs="Times New Roman"/>
                <w:color w:val="000000" w:themeColor="text1"/>
                <w:sz w:val="21"/>
                <w14:textFill>
                  <w14:solidFill>
                    <w14:schemeClr w14:val="tx1"/>
                  </w14:solidFill>
                </w14:textFill>
              </w:rPr>
              <w:t>0</w:t>
            </w:r>
          </w:p>
        </w:tc>
        <w:tc>
          <w:tcPr>
            <w:tcW w:w="741"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0</w:t>
            </w:r>
          </w:p>
        </w:tc>
        <w:tc>
          <w:tcPr>
            <w:tcW w:w="68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2</w:t>
            </w:r>
            <w:r>
              <w:rPr>
                <w:rFonts w:hint="eastAsia" w:ascii="Times New Roman" w:hAnsi="Times New Roman" w:cs="Times New Roman"/>
                <w:color w:val="000000" w:themeColor="text1"/>
                <w:sz w:val="21"/>
                <w:lang w:val="en-US" w:eastAsia="zh-CN"/>
                <w14:textFill>
                  <w14:solidFill>
                    <w14:schemeClr w14:val="tx1"/>
                  </w14:solidFill>
                </w14:textFill>
              </w:rPr>
              <w:t>544</w:t>
            </w:r>
            <w:r>
              <w:rPr>
                <w:rFonts w:hint="eastAsia" w:ascii="Times New Roman" w:hAnsi="Times New Roman" w:cs="Times New Roman"/>
                <w:color w:val="000000" w:themeColor="text1"/>
                <w:sz w:val="21"/>
                <w14:textFill>
                  <w14:solidFill>
                    <w14:schemeClr w14:val="tx1"/>
                  </w14:solidFill>
                </w14:textFill>
              </w:rPr>
              <w:t>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25440m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埋地敷设，临时作业宽度约为1</w:t>
            </w:r>
            <w:r>
              <w:rPr>
                <w:rFonts w:hint="eastAsia" w:ascii="Times New Roman" w:hAnsi="Times New Roman" w:cs="Times New Roman"/>
                <w:color w:val="000000" w:themeColor="text1"/>
                <w:sz w:val="21"/>
                <w:lang w:val="en-US" w:eastAsia="zh-CN"/>
                <w14:textFill>
                  <w14:solidFill>
                    <w14:schemeClr w14:val="tx1"/>
                  </w14:solidFill>
                </w14:textFill>
              </w:rPr>
              <w:t>2</w:t>
            </w:r>
            <w:r>
              <w:rPr>
                <w:rFonts w:ascii="Times New Roman" w:hAnsi="Times New Roman" w:cs="Times New Roman"/>
                <w:color w:val="000000" w:themeColor="text1"/>
                <w:sz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电力线</w:t>
            </w:r>
          </w:p>
        </w:tc>
        <w:tc>
          <w:tcPr>
            <w:tcW w:w="58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架空线路</w:t>
            </w:r>
          </w:p>
        </w:tc>
        <w:tc>
          <w:tcPr>
            <w:tcW w:w="572" w:type="dxa"/>
            <w:tcMar>
              <w:left w:w="28" w:type="dxa"/>
              <w:right w:w="28" w:type="dxa"/>
            </w:tcMar>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km</w:t>
            </w:r>
          </w:p>
        </w:tc>
        <w:tc>
          <w:tcPr>
            <w:tcW w:w="602"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4.5</w:t>
            </w:r>
          </w:p>
        </w:tc>
        <w:tc>
          <w:tcPr>
            <w:tcW w:w="846" w:type="dxa"/>
            <w:tcMar>
              <w:left w:w="28" w:type="dxa"/>
              <w:right w:w="28" w:type="dxa"/>
            </w:tcMar>
            <w:vAlign w:val="center"/>
          </w:tcPr>
          <w:p>
            <w:pPr>
              <w:pStyle w:val="4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18810</w:t>
            </w:r>
          </w:p>
        </w:tc>
        <w:tc>
          <w:tcPr>
            <w:tcW w:w="741" w:type="dxa"/>
            <w:tcMar>
              <w:left w:w="28" w:type="dxa"/>
              <w:right w:w="28" w:type="dxa"/>
            </w:tcMar>
            <w:vAlign w:val="center"/>
          </w:tcPr>
          <w:p>
            <w:pPr>
              <w:pStyle w:val="40"/>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810</w:t>
            </w:r>
          </w:p>
        </w:tc>
        <w:tc>
          <w:tcPr>
            <w:tcW w:w="686"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180</w:t>
            </w:r>
            <w:r>
              <w:rPr>
                <w:rFonts w:ascii="Times New Roman" w:hAnsi="Times New Roman" w:cs="Times New Roman"/>
                <w:color w:val="000000" w:themeColor="text1"/>
                <w:sz w:val="21"/>
                <w14:textFill>
                  <w14:solidFill>
                    <w14:schemeClr w14:val="tx1"/>
                  </w14:solidFill>
                </w14:textFill>
              </w:rPr>
              <w:t>00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采矿用地</w:t>
            </w:r>
            <w:r>
              <w:rPr>
                <w:rFonts w:hint="eastAsia" w:ascii="Times New Roman" w:hAnsi="Times New Roman" w:cs="Times New Roman"/>
                <w:color w:val="000000" w:themeColor="text1"/>
                <w:sz w:val="21"/>
                <w:lang w:eastAsia="zh-CN"/>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18810m</w:t>
            </w:r>
            <w:r>
              <w:rPr>
                <w:rFonts w:hint="eastAsia" w:ascii="Times New Roman" w:hAnsi="Times New Roman"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lang w:eastAsia="zh-CN"/>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①施工期临时性占地为线路轴线两侧</w:t>
            </w:r>
            <w:r>
              <w:rPr>
                <w:rFonts w:hint="eastAsia" w:ascii="Times New Roman" w:hAnsi="Times New Roman" w:cs="Times New Roman"/>
                <w:bCs/>
                <w:color w:val="000000" w:themeColor="text1"/>
                <w:sz w:val="21"/>
                <w:lang w:val="en-US" w:eastAsia="zh-CN"/>
                <w14:textFill>
                  <w14:solidFill>
                    <w14:schemeClr w14:val="tx1"/>
                  </w14:solidFill>
                </w14:textFill>
              </w:rPr>
              <w:t>4</w:t>
            </w:r>
            <w:r>
              <w:rPr>
                <w:rFonts w:ascii="Times New Roman" w:hAnsi="Times New Roman" w:cs="Times New Roman"/>
                <w:bCs/>
                <w:color w:val="000000" w:themeColor="text1"/>
                <w:sz w:val="21"/>
                <w14:textFill>
                  <w14:solidFill>
                    <w14:schemeClr w14:val="tx1"/>
                  </w14:solidFill>
                </w14:textFill>
              </w:rPr>
              <w:t>m宽；②</w:t>
            </w:r>
            <w:r>
              <w:rPr>
                <w:rFonts w:hint="eastAsia" w:ascii="Times New Roman" w:hAnsi="Times New Roman" w:cs="Times New Roman"/>
                <w:color w:val="000000" w:themeColor="text1"/>
                <w:sz w:val="21"/>
                <w:lang w:val="en-US" w:eastAsia="zh-CN" w:bidi="ar"/>
                <w14:textFill>
                  <w14:solidFill>
                    <w14:schemeClr w14:val="tx1"/>
                  </w14:solidFill>
                </w14:textFill>
              </w:rPr>
              <w:t>砼电杆9</w:t>
            </w:r>
            <w:r>
              <w:rPr>
                <w:rFonts w:hint="eastAsia" w:ascii="Times New Roman" w:hAnsi="Times New Roman" w:cs="Times New Roman"/>
                <w:color w:val="000000" w:themeColor="text1"/>
                <w:sz w:val="21"/>
                <w:lang w:bidi="ar"/>
                <w14:textFill>
                  <w14:solidFill>
                    <w14:schemeClr w14:val="tx1"/>
                  </w14:solidFill>
                </w14:textFill>
              </w:rPr>
              <w:t>0</w:t>
            </w:r>
            <w:r>
              <w:rPr>
                <w:rFonts w:ascii="Times New Roman" w:hAnsi="Times New Roman" w:cs="Times New Roman"/>
                <w:color w:val="000000" w:themeColor="text1"/>
                <w:sz w:val="21"/>
                <w:lang w:bidi="ar"/>
                <w14:textFill>
                  <w14:solidFill>
                    <w14:schemeClr w14:val="tx1"/>
                  </w14:solidFill>
                </w14:textFill>
              </w:rPr>
              <w:t>根，每杆9m</w:t>
            </w:r>
            <w:r>
              <w:rPr>
                <w:rFonts w:ascii="Times New Roman" w:hAnsi="Times New Roman" w:cs="Times New Roman"/>
                <w:color w:val="000000" w:themeColor="text1"/>
                <w:sz w:val="21"/>
                <w:vertAlign w:val="superscript"/>
                <w:lang w:bidi="ar"/>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318" w:type="dxa"/>
            <w:gridSpan w:val="4"/>
            <w:tcMar>
              <w:left w:w="28" w:type="dxa"/>
              <w:right w:w="28" w:type="dxa"/>
            </w:tcMar>
            <w:vAlign w:val="center"/>
          </w:tcPr>
          <w:p>
            <w:pPr>
              <w:pStyle w:val="40"/>
              <w:rPr>
                <w:rFonts w:hint="eastAsia" w:ascii="Times New Roman" w:hAnsi="Times New Roman" w:cs="Times New Roman"/>
                <w:color w:val="000000" w:themeColor="text1"/>
                <w:sz w:val="21"/>
                <w14:textFill>
                  <w14:solidFill>
                    <w14:schemeClr w14:val="tx1"/>
                  </w14:solidFill>
                </w14:textFill>
              </w:rPr>
            </w:pPr>
            <w:bookmarkStart w:id="246" w:name="_Hlk8658268"/>
            <w:r>
              <w:rPr>
                <w:rFonts w:hint="eastAsia" w:ascii="Times New Roman" w:hAnsi="Times New Roman" w:cs="Times New Roman"/>
                <w:color w:val="000000" w:themeColor="text1"/>
                <w:sz w:val="21"/>
                <w14:textFill>
                  <w14:solidFill>
                    <w14:schemeClr w14:val="tx1"/>
                  </w14:solidFill>
                </w14:textFill>
              </w:rPr>
              <w:t>合计</w:t>
            </w:r>
          </w:p>
        </w:tc>
        <w:tc>
          <w:tcPr>
            <w:tcW w:w="846" w:type="dxa"/>
            <w:shd w:val="clear" w:color="auto" w:fill="auto"/>
            <w:tcMar>
              <w:left w:w="28" w:type="dxa"/>
              <w:right w:w="28" w:type="dxa"/>
            </w:tcMar>
            <w:vAlign w:val="center"/>
          </w:tcPr>
          <w:p>
            <w:pPr>
              <w:pStyle w:val="4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449525.7</w:t>
            </w:r>
          </w:p>
        </w:tc>
        <w:tc>
          <w:tcPr>
            <w:tcW w:w="741" w:type="dxa"/>
            <w:tcMar>
              <w:left w:w="28" w:type="dxa"/>
              <w:right w:w="28" w:type="dxa"/>
            </w:tcMar>
            <w:vAlign w:val="center"/>
          </w:tcPr>
          <w:p>
            <w:pPr>
              <w:pStyle w:val="4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21345.7</w:t>
            </w:r>
          </w:p>
        </w:tc>
        <w:tc>
          <w:tcPr>
            <w:tcW w:w="686" w:type="dxa"/>
            <w:tcMar>
              <w:left w:w="28" w:type="dxa"/>
              <w:right w:w="28" w:type="dxa"/>
            </w:tcMar>
            <w:vAlign w:val="center"/>
          </w:tcPr>
          <w:p>
            <w:pPr>
              <w:pStyle w:val="40"/>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428180</w:t>
            </w:r>
          </w:p>
        </w:tc>
        <w:tc>
          <w:tcPr>
            <w:tcW w:w="1603" w:type="dxa"/>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w:t>
            </w:r>
          </w:p>
        </w:tc>
        <w:tc>
          <w:tcPr>
            <w:tcW w:w="2163" w:type="dxa"/>
            <w:tcMar>
              <w:left w:w="28" w:type="dxa"/>
              <w:right w:w="28" w:type="dxa"/>
            </w:tcMar>
            <w:vAlign w:val="center"/>
          </w:tcPr>
          <w:p>
            <w:pPr>
              <w:pStyle w:val="4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w:t>
            </w:r>
          </w:p>
        </w:tc>
      </w:tr>
      <w:bookmarkEnd w:id="241"/>
      <w:bookmarkEnd w:id="245"/>
      <w:bookmarkEnd w:id="246"/>
    </w:tbl>
    <w:p>
      <w:pPr>
        <w:spacing w:line="360" w:lineRule="auto"/>
        <w:outlineLvl w:val="3"/>
        <w:rPr>
          <w:rFonts w:ascii="Times New Roman" w:hAnsi="Times New Roman" w:cs="Times New Roman"/>
          <w:color w:val="000000" w:themeColor="text1"/>
          <w:kern w:val="0"/>
          <w:sz w:val="28"/>
          <w:szCs w:val="28"/>
          <w:lang w:val="zh-CN"/>
          <w14:textFill>
            <w14:solidFill>
              <w14:schemeClr w14:val="tx1"/>
            </w14:solidFill>
          </w14:textFill>
        </w:rPr>
      </w:pPr>
      <w:r>
        <w:rPr>
          <w:rFonts w:ascii="Times New Roman" w:hAnsi="Times New Roman" w:cs="Times New Roman"/>
          <w:color w:val="000000" w:themeColor="text1"/>
          <w:kern w:val="0"/>
          <w:sz w:val="28"/>
          <w:szCs w:val="28"/>
          <w14:textFill>
            <w14:solidFill>
              <w14:schemeClr w14:val="tx1"/>
            </w14:solidFill>
          </w14:textFill>
        </w:rPr>
        <w:t>3.5.</w:t>
      </w:r>
      <w:r>
        <w:rPr>
          <w:rFonts w:hint="eastAsia" w:ascii="Times New Roman" w:hAnsi="Times New Roman" w:cs="Times New Roman"/>
          <w:color w:val="000000" w:themeColor="text1"/>
          <w:kern w:val="0"/>
          <w:sz w:val="28"/>
          <w:szCs w:val="28"/>
          <w14:textFill>
            <w14:solidFill>
              <w14:schemeClr w14:val="tx1"/>
            </w14:solidFill>
          </w14:textFill>
        </w:rPr>
        <w:t>7</w:t>
      </w:r>
      <w:r>
        <w:rPr>
          <w:rFonts w:ascii="Times New Roman" w:hAnsi="Times New Roman" w:cs="Times New Roman"/>
          <w:color w:val="000000" w:themeColor="text1"/>
          <w:kern w:val="0"/>
          <w:sz w:val="28"/>
          <w:szCs w:val="28"/>
          <w14:textFill>
            <w14:solidFill>
              <w14:schemeClr w14:val="tx1"/>
            </w14:solidFill>
          </w14:textFill>
        </w:rPr>
        <w:t>.3</w:t>
      </w:r>
      <w:r>
        <w:rPr>
          <w:rFonts w:ascii="Times New Roman" w:hAnsi="Times New Roman" w:cs="Times New Roman"/>
          <w:color w:val="000000" w:themeColor="text1"/>
          <w:kern w:val="0"/>
          <w:sz w:val="28"/>
          <w:szCs w:val="28"/>
          <w:lang w:val="zh-CN"/>
          <w14:textFill>
            <w14:solidFill>
              <w14:schemeClr w14:val="tx1"/>
            </w14:solidFill>
          </w14:textFill>
        </w:rPr>
        <w:t>工程</w:t>
      </w:r>
      <w:r>
        <w:rPr>
          <w:rFonts w:ascii="Times New Roman" w:hAnsi="Times New Roman" w:cs="Times New Roman"/>
          <w:color w:val="000000" w:themeColor="text1"/>
          <w:kern w:val="0"/>
          <w:sz w:val="28"/>
          <w:szCs w:val="28"/>
          <w14:textFill>
            <w14:solidFill>
              <w14:schemeClr w14:val="tx1"/>
            </w14:solidFill>
          </w14:textFill>
        </w:rPr>
        <w:t>投资</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项目总投资</w:t>
      </w:r>
      <w:r>
        <w:rPr>
          <w:rFonts w:hint="eastAsia" w:ascii="Times New Roman" w:hAnsi="Times New Roman" w:cs="Times New Roman"/>
          <w:color w:val="000000" w:themeColor="text1"/>
          <w:sz w:val="24"/>
          <w14:textFill>
            <w14:solidFill>
              <w14:schemeClr w14:val="tx1"/>
            </w14:solidFill>
          </w14:textFill>
        </w:rPr>
        <w:t>16991.34</w:t>
      </w:r>
      <w:r>
        <w:rPr>
          <w:rFonts w:ascii="Times New Roman" w:hAnsi="Times New Roman" w:cs="Times New Roman"/>
          <w:color w:val="000000" w:themeColor="text1"/>
          <w:sz w:val="24"/>
          <w14:textFill>
            <w14:solidFill>
              <w14:schemeClr w14:val="tx1"/>
            </w14:solidFill>
          </w14:textFill>
        </w:rPr>
        <w:t>万元，环保投资约</w:t>
      </w:r>
      <w:r>
        <w:rPr>
          <w:rFonts w:hint="eastAsia" w:ascii="Times New Roman" w:hAnsi="Times New Roman" w:cs="Times New Roman"/>
          <w:color w:val="000000" w:themeColor="text1"/>
          <w:sz w:val="24"/>
          <w14:textFill>
            <w14:solidFill>
              <w14:schemeClr w14:val="tx1"/>
            </w14:solidFill>
          </w14:textFill>
        </w:rPr>
        <w:t>907.02</w:t>
      </w:r>
      <w:r>
        <w:rPr>
          <w:rFonts w:ascii="Times New Roman" w:hAnsi="Times New Roman" w:cs="Times New Roman"/>
          <w:color w:val="000000" w:themeColor="text1"/>
          <w:sz w:val="24"/>
          <w14:textFill>
            <w14:solidFill>
              <w14:schemeClr w14:val="tx1"/>
            </w14:solidFill>
          </w14:textFill>
        </w:rPr>
        <w:t>万元，占总投资的</w:t>
      </w:r>
      <w:r>
        <w:rPr>
          <w:rFonts w:hint="eastAsia" w:ascii="Times New Roman" w:hAnsi="Times New Roman" w:cs="Times New Roman"/>
          <w:color w:val="000000" w:themeColor="text1"/>
          <w:sz w:val="24"/>
          <w14:textFill>
            <w14:solidFill>
              <w14:schemeClr w14:val="tx1"/>
            </w14:solidFill>
          </w14:textFill>
        </w:rPr>
        <w:t>5.34</w:t>
      </w:r>
      <w:r>
        <w:rPr>
          <w:rFonts w:ascii="Times New Roman" w:hAnsi="Times New Roman" w:cs="Times New Roman"/>
          <w:color w:val="000000" w:themeColor="text1"/>
          <w:sz w:val="24"/>
          <w14:textFill>
            <w14:solidFill>
              <w14:schemeClr w14:val="tx1"/>
            </w14:solidFill>
          </w14:textFill>
        </w:rPr>
        <w:t>%。</w:t>
      </w:r>
    </w:p>
    <w:p>
      <w:pPr>
        <w:tabs>
          <w:tab w:val="left" w:pos="3465"/>
        </w:tabs>
        <w:spacing w:line="360" w:lineRule="auto"/>
        <w:outlineLvl w:val="3"/>
        <w:rPr>
          <w:rFonts w:ascii="Times New Roman" w:hAnsi="Times New Roman" w:eastAsia="黑体" w:cs="Times New Roman"/>
          <w:b/>
          <w:color w:val="000000" w:themeColor="text1"/>
          <w:sz w:val="30"/>
          <w:szCs w:val="30"/>
          <w14:textFill>
            <w14:solidFill>
              <w14:schemeClr w14:val="tx1"/>
            </w14:solidFill>
          </w14:textFill>
        </w:rPr>
      </w:pPr>
      <w:bookmarkStart w:id="247" w:name="_Hlk36566644"/>
      <w:r>
        <w:rPr>
          <w:rFonts w:ascii="Times New Roman" w:hAnsi="Times New Roman" w:cs="Times New Roman"/>
          <w:color w:val="000000" w:themeColor="text1"/>
          <w:kern w:val="0"/>
          <w:sz w:val="28"/>
          <w:szCs w:val="28"/>
          <w14:textFill>
            <w14:solidFill>
              <w14:schemeClr w14:val="tx1"/>
            </w14:solidFill>
          </w14:textFill>
        </w:rPr>
        <w:t>3.5.</w:t>
      </w:r>
      <w:r>
        <w:rPr>
          <w:rFonts w:hint="eastAsia" w:ascii="Times New Roman" w:hAnsi="Times New Roman" w:cs="Times New Roman"/>
          <w:color w:val="000000" w:themeColor="text1"/>
          <w:kern w:val="0"/>
          <w:sz w:val="28"/>
          <w:szCs w:val="28"/>
          <w14:textFill>
            <w14:solidFill>
              <w14:schemeClr w14:val="tx1"/>
            </w14:solidFill>
          </w14:textFill>
        </w:rPr>
        <w:t>7</w:t>
      </w:r>
      <w:r>
        <w:rPr>
          <w:rFonts w:ascii="Times New Roman" w:hAnsi="Times New Roman" w:cs="Times New Roman"/>
          <w:color w:val="000000" w:themeColor="text1"/>
          <w:kern w:val="0"/>
          <w:sz w:val="28"/>
          <w:szCs w:val="28"/>
          <w14:textFill>
            <w14:solidFill>
              <w14:schemeClr w14:val="tx1"/>
            </w14:solidFill>
          </w14:textFill>
        </w:rPr>
        <w:t>.4能源物料消耗</w:t>
      </w:r>
    </w:p>
    <w:p>
      <w:pPr>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（1）原辅材料消耗量</w:t>
      </w:r>
    </w:p>
    <w:p>
      <w:pPr>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①钻井液</w:t>
      </w:r>
    </w:p>
    <w:p>
      <w:pPr>
        <w:pStyle w:val="25"/>
        <w:spacing w:line="360" w:lineRule="auto"/>
        <w:ind w:firstLine="480" w:firstLineChars="200"/>
        <w:jc w:val="left"/>
        <w:rPr>
          <w:rFonts w:ascii="Times New Roman" w:hAnsi="Times New Roman" w:cs="Times New Roman"/>
          <w:b w:val="0"/>
          <w:bCs/>
          <w:color w:val="000000" w:themeColor="text1"/>
          <w:kern w:val="0"/>
          <w:sz w:val="28"/>
          <w:szCs w:val="28"/>
          <w14:textFill>
            <w14:solidFill>
              <w14:schemeClr w14:val="tx1"/>
            </w14:solidFill>
          </w14:textFill>
        </w:rPr>
      </w:pPr>
      <w:r>
        <w:rPr>
          <w:rFonts w:ascii="Times New Roman" w:hAnsi="Times New Roman" w:eastAsia="宋体" w:cs="Times New Roman"/>
          <w:b w:val="0"/>
          <w:bCs/>
          <w:color w:val="000000" w:themeColor="text1"/>
          <w14:textFill>
            <w14:solidFill>
              <w14:schemeClr w14:val="tx1"/>
            </w14:solidFill>
          </w14:textFill>
        </w:rPr>
        <w:t>根据钻井工程设计，本项目新配水基钻井液用量为：单井一开钻井液使用量约77m</w:t>
      </w:r>
      <w:r>
        <w:rPr>
          <w:rFonts w:ascii="Times New Roman" w:hAnsi="Times New Roman" w:eastAsia="宋体" w:cs="Times New Roman"/>
          <w:b w:val="0"/>
          <w:bCs/>
          <w:color w:val="000000" w:themeColor="text1"/>
          <w:vertAlign w:val="superscript"/>
          <w14:textFill>
            <w14:solidFill>
              <w14:schemeClr w14:val="tx1"/>
            </w14:solidFill>
          </w14:textFill>
        </w:rPr>
        <w:t>3</w:t>
      </w:r>
      <w:r>
        <w:rPr>
          <w:rFonts w:ascii="Times New Roman" w:hAnsi="Times New Roman" w:eastAsia="宋体" w:cs="Times New Roman"/>
          <w:b w:val="0"/>
          <w:bCs/>
          <w:color w:val="000000" w:themeColor="text1"/>
          <w14:textFill>
            <w14:solidFill>
              <w14:schemeClr w14:val="tx1"/>
            </w14:solidFill>
          </w14:textFill>
        </w:rPr>
        <w:t>，二开钻井液使用量约97m</w:t>
      </w:r>
      <w:r>
        <w:rPr>
          <w:rFonts w:ascii="Times New Roman" w:hAnsi="Times New Roman" w:eastAsia="宋体" w:cs="Times New Roman"/>
          <w:b w:val="0"/>
          <w:bCs/>
          <w:color w:val="000000" w:themeColor="text1"/>
          <w:vertAlign w:val="superscript"/>
          <w14:textFill>
            <w14:solidFill>
              <w14:schemeClr w14:val="tx1"/>
            </w14:solidFill>
          </w14:textFill>
        </w:rPr>
        <w:t>3</w:t>
      </w:r>
      <w:r>
        <w:rPr>
          <w:rFonts w:ascii="Times New Roman" w:hAnsi="Times New Roman" w:eastAsia="宋体" w:cs="Times New Roman"/>
          <w:b w:val="0"/>
          <w:bCs/>
          <w:color w:val="000000" w:themeColor="text1"/>
          <w14:textFill>
            <w14:solidFill>
              <w14:schemeClr w14:val="tx1"/>
            </w14:solidFill>
          </w14:textFill>
        </w:rPr>
        <w:t>。本项目有</w:t>
      </w:r>
      <w:r>
        <w:rPr>
          <w:rFonts w:hint="eastAsia" w:ascii="Times New Roman" w:hAnsi="Times New Roman" w:eastAsia="宋体" w:cs="Times New Roman"/>
          <w:b w:val="0"/>
          <w:bCs/>
          <w:color w:val="000000" w:themeColor="text1"/>
          <w14:textFill>
            <w14:solidFill>
              <w14:schemeClr w14:val="tx1"/>
            </w14:solidFill>
          </w14:textFill>
        </w:rPr>
        <w:t>28</w:t>
      </w:r>
      <w:r>
        <w:rPr>
          <w:rFonts w:ascii="Times New Roman" w:hAnsi="Times New Roman" w:eastAsia="宋体" w:cs="Times New Roman"/>
          <w:b w:val="0"/>
          <w:bCs/>
          <w:color w:val="000000" w:themeColor="text1"/>
          <w14:textFill>
            <w14:solidFill>
              <w14:schemeClr w14:val="tx1"/>
            </w14:solidFill>
          </w14:textFill>
        </w:rPr>
        <w:t>口钻井，则本项目钻井液用量为</w:t>
      </w:r>
      <w:r>
        <w:rPr>
          <w:rFonts w:hint="eastAsia" w:ascii="Times New Roman" w:hAnsi="Times New Roman" w:eastAsia="宋体" w:cs="Times New Roman"/>
          <w:b w:val="0"/>
          <w:bCs/>
          <w:color w:val="000000" w:themeColor="text1"/>
          <w14:textFill>
            <w14:solidFill>
              <w14:schemeClr w14:val="tx1"/>
            </w14:solidFill>
          </w14:textFill>
        </w:rPr>
        <w:t>4872</w:t>
      </w:r>
      <w:r>
        <w:rPr>
          <w:rFonts w:ascii="Times New Roman" w:hAnsi="Times New Roman" w:eastAsia="宋体" w:cs="Times New Roman"/>
          <w:b w:val="0"/>
          <w:bCs/>
          <w:color w:val="000000" w:themeColor="text1"/>
          <w14:textFill>
            <w14:solidFill>
              <w14:schemeClr w14:val="tx1"/>
            </w14:solidFill>
          </w14:textFill>
        </w:rPr>
        <w:t>m</w:t>
      </w:r>
      <w:r>
        <w:rPr>
          <w:rFonts w:ascii="Times New Roman" w:hAnsi="Times New Roman" w:eastAsia="宋体" w:cs="Times New Roman"/>
          <w:b w:val="0"/>
          <w:bCs/>
          <w:color w:val="000000" w:themeColor="text1"/>
          <w:vertAlign w:val="superscript"/>
          <w14:textFill>
            <w14:solidFill>
              <w14:schemeClr w14:val="tx1"/>
            </w14:solidFill>
          </w14:textFill>
        </w:rPr>
        <w:t>3</w:t>
      </w:r>
      <w:r>
        <w:rPr>
          <w:rFonts w:ascii="Times New Roman" w:hAnsi="Times New Roman" w:eastAsia="宋体" w:cs="Times New Roman"/>
          <w:b w:val="0"/>
          <w:bCs/>
          <w:color w:val="000000" w:themeColor="text1"/>
          <w14:textFill>
            <w14:solidFill>
              <w14:schemeClr w14:val="tx1"/>
            </w14:solidFill>
          </w14:textFill>
        </w:rPr>
        <w:t>。</w:t>
      </w:r>
      <w:r>
        <w:rPr>
          <w:rFonts w:ascii="Times New Roman" w:hAnsi="Times New Roman" w:cs="Times New Roman"/>
          <w:b w:val="0"/>
          <w:bCs/>
          <w:color w:val="000000" w:themeColor="text1"/>
          <w:kern w:val="0"/>
          <w14:textFill>
            <w14:solidFill>
              <w14:schemeClr w14:val="tx1"/>
            </w14:solidFill>
          </w14:textFill>
        </w:rPr>
        <w:t>钻井液设计用量见表3.5-1</w:t>
      </w:r>
      <w:r>
        <w:rPr>
          <w:rFonts w:hint="eastAsia" w:ascii="Times New Roman" w:cs="Times New Roman"/>
          <w:b w:val="0"/>
          <w:bCs/>
          <w:color w:val="000000" w:themeColor="text1"/>
          <w:kern w:val="0"/>
          <w:lang w:val="en-US" w:eastAsia="zh-CN"/>
          <w14:textFill>
            <w14:solidFill>
              <w14:schemeClr w14:val="tx1"/>
            </w14:solidFill>
          </w14:textFill>
        </w:rPr>
        <w:t>4</w:t>
      </w:r>
      <w:r>
        <w:rPr>
          <w:rFonts w:ascii="Times New Roman" w:hAnsi="Times New Roman" w:cs="Times New Roman"/>
          <w:b w:val="0"/>
          <w:bCs/>
          <w:color w:val="000000" w:themeColor="text1"/>
          <w:kern w:val="0"/>
          <w14:textFill>
            <w14:solidFill>
              <w14:schemeClr w14:val="tx1"/>
            </w14:solidFill>
          </w14:textFill>
        </w:rPr>
        <w:t>。</w:t>
      </w:r>
    </w:p>
    <w:p>
      <w:pPr>
        <w:adjustRightInd w:val="0"/>
        <w:snapToGrid w:val="0"/>
        <w:spacing w:after="156" w:afterLines="5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表3.5-1</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 xml:space="preserve">  单井钻井液材料用量设计</w:t>
      </w:r>
    </w:p>
    <w:tbl>
      <w:tblPr>
        <w:tblStyle w:val="2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6"/>
        <w:gridCol w:w="2261"/>
        <w:gridCol w:w="1658"/>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spacing w:line="120" w:lineRule="atLeast"/>
              <w:jc w:val="center"/>
              <w:rPr>
                <w:rFonts w:ascii="Times New Roman" w:hAnsi="Times New Roman" w:eastAsia="宋体" w:cs="Times New Roman"/>
                <w:b/>
                <w:bCs/>
                <w:color w:val="000000" w:themeColor="text1"/>
                <w:spacing w:val="4"/>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开钻次序</w:t>
            </w:r>
          </w:p>
        </w:tc>
        <w:tc>
          <w:tcPr>
            <w:tcW w:w="2261" w:type="dxa"/>
            <w:vAlign w:val="center"/>
          </w:tcPr>
          <w:p>
            <w:pPr>
              <w:spacing w:line="120" w:lineRule="atLeast"/>
              <w:jc w:val="center"/>
              <w:rPr>
                <w:rFonts w:ascii="Times New Roman" w:hAnsi="Times New Roman" w:eastAsia="宋体" w:cs="Times New Roman"/>
                <w:b/>
                <w:bCs/>
                <w:color w:val="000000" w:themeColor="text1"/>
                <w:spacing w:val="4"/>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一开</w:t>
            </w:r>
          </w:p>
        </w:tc>
        <w:tc>
          <w:tcPr>
            <w:tcW w:w="1658" w:type="dxa"/>
            <w:vAlign w:val="center"/>
          </w:tcPr>
          <w:p>
            <w:pPr>
              <w:spacing w:line="120" w:lineRule="atLeast"/>
              <w:jc w:val="center"/>
              <w:rPr>
                <w:rFonts w:ascii="Times New Roman" w:hAnsi="Times New Roman" w:eastAsia="宋体" w:cs="Times New Roman"/>
                <w:b/>
                <w:bCs/>
                <w:color w:val="000000" w:themeColor="text1"/>
                <w:spacing w:val="4"/>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二开</w:t>
            </w:r>
          </w:p>
        </w:tc>
        <w:tc>
          <w:tcPr>
            <w:tcW w:w="1894" w:type="dxa"/>
            <w:vAlign w:val="center"/>
          </w:tcPr>
          <w:p>
            <w:pPr>
              <w:spacing w:line="120" w:lineRule="atLeast"/>
              <w:jc w:val="center"/>
              <w:rPr>
                <w:rFonts w:ascii="Times New Roman" w:hAnsi="Times New Roman" w:eastAsia="宋体" w:cs="Times New Roman"/>
                <w:b/>
                <w:bCs/>
                <w:color w:val="000000" w:themeColor="text1"/>
                <w:spacing w:val="4"/>
                <w:szCs w:val="21"/>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钻头尺寸mm</w:t>
            </w:r>
          </w:p>
        </w:tc>
        <w:tc>
          <w:tcPr>
            <w:tcW w:w="2261"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311.2</w:t>
            </w: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215.9</w:t>
            </w:r>
          </w:p>
        </w:tc>
        <w:tc>
          <w:tcPr>
            <w:tcW w:w="1894"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井段m</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0~450</w:t>
            </w: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~1200</w:t>
            </w:r>
          </w:p>
        </w:tc>
        <w:tc>
          <w:tcPr>
            <w:tcW w:w="1894"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井筒容积m</w:t>
            </w:r>
            <w:r>
              <w:rPr>
                <w:rFonts w:ascii="Times New Roman" w:hAnsi="Times New Roman" w:eastAsia="宋体" w:cs="Times New Roman"/>
                <w:color w:val="000000" w:themeColor="text1"/>
                <w:spacing w:val="4"/>
                <w:szCs w:val="21"/>
                <w:vertAlign w:val="superscript"/>
                <w14:textFill>
                  <w14:solidFill>
                    <w14:schemeClr w14:val="tx1"/>
                  </w14:solidFill>
                </w14:textFill>
              </w:rPr>
              <w:t>3</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34</w:t>
            </w: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46</w:t>
            </w:r>
          </w:p>
        </w:tc>
        <w:tc>
          <w:tcPr>
            <w:tcW w:w="1894"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钻井液用量m</w:t>
            </w:r>
            <w:r>
              <w:rPr>
                <w:rFonts w:ascii="Times New Roman" w:hAnsi="Times New Roman" w:eastAsia="宋体" w:cs="Times New Roman"/>
                <w:color w:val="000000" w:themeColor="text1"/>
                <w:spacing w:val="4"/>
                <w:szCs w:val="21"/>
                <w:vertAlign w:val="superscript"/>
                <w14:textFill>
                  <w14:solidFill>
                    <w14:schemeClr w14:val="tx1"/>
                  </w14:solidFill>
                </w14:textFill>
              </w:rPr>
              <w:t>3</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77</w:t>
            </w: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97</w:t>
            </w:r>
          </w:p>
        </w:tc>
        <w:tc>
          <w:tcPr>
            <w:tcW w:w="1894"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新配钻井液用量m</w:t>
            </w:r>
            <w:r>
              <w:rPr>
                <w:rFonts w:ascii="Times New Roman" w:hAnsi="Times New Roman" w:eastAsia="宋体" w:cs="Times New Roman"/>
                <w:color w:val="000000" w:themeColor="text1"/>
                <w:spacing w:val="4"/>
                <w:szCs w:val="21"/>
                <w:vertAlign w:val="superscript"/>
                <w14:textFill>
                  <w14:solidFill>
                    <w14:schemeClr w14:val="tx1"/>
                  </w14:solidFill>
                </w14:textFill>
              </w:rPr>
              <w:t>3</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77</w:t>
            </w: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97</w:t>
            </w:r>
          </w:p>
        </w:tc>
        <w:tc>
          <w:tcPr>
            <w:tcW w:w="1894"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材料名称</w:t>
            </w:r>
          </w:p>
        </w:tc>
        <w:tc>
          <w:tcPr>
            <w:tcW w:w="3919" w:type="dxa"/>
            <w:gridSpan w:val="2"/>
            <w:vAlign w:val="center"/>
          </w:tcPr>
          <w:p>
            <w:pPr>
              <w:snapToGrid w:val="0"/>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用量t</w:t>
            </w:r>
          </w:p>
        </w:tc>
        <w:tc>
          <w:tcPr>
            <w:tcW w:w="1894" w:type="dxa"/>
            <w:vAlign w:val="center"/>
          </w:tcPr>
          <w:p>
            <w:pPr>
              <w:snapToGrid w:val="0"/>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合计t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坂土</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5.4</w:t>
            </w: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3.9</w:t>
            </w:r>
          </w:p>
        </w:tc>
        <w:tc>
          <w:tcPr>
            <w:tcW w:w="189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CMC</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中</w:t>
            </w:r>
            <w:r>
              <w:rPr>
                <w:rFonts w:hint="eastAsia" w:ascii="Times New Roman" w:hAnsi="Times New Roman" w:eastAsia="宋体" w:cs="Times New Roman"/>
                <w:color w:val="000000" w:themeColor="text1"/>
                <w:szCs w:val="21"/>
                <w14:textFill>
                  <w14:solidFill>
                    <w14:schemeClr w14:val="tx1"/>
                  </w14:solidFill>
                </w14:textFill>
              </w:rPr>
              <w:t>）</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w:t>
            </w: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Na</w:t>
            </w:r>
            <w:r>
              <w:rPr>
                <w:rFonts w:ascii="Times New Roman" w:hAnsi="Times New Roman" w:eastAsia="宋体" w:cs="Times New Roman"/>
                <w:color w:val="000000" w:themeColor="text1"/>
                <w:szCs w:val="21"/>
                <w:vertAlign w:val="sub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CO</w:t>
            </w:r>
            <w:r>
              <w:rPr>
                <w:rFonts w:ascii="Times New Roman" w:hAnsi="Times New Roman" w:eastAsia="宋体" w:cs="Times New Roman"/>
                <w:color w:val="000000" w:themeColor="text1"/>
                <w:szCs w:val="21"/>
                <w:vertAlign w:val="subscript"/>
                <w14:textFill>
                  <w14:solidFill>
                    <w14:schemeClr w14:val="tx1"/>
                  </w14:solidFill>
                </w14:textFill>
              </w:rPr>
              <w:t>3</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w:t>
            </w: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NaOH</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SP-8</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PMHA-2</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复配铵盐</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0.5</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HY-2</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1.5</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阳离子乳化沥青</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2.9</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超细碳酸钙</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1.9</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液体润滑剂</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YB-1</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3.4</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黄原胶</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WC-1</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重晶石</w:t>
            </w:r>
          </w:p>
        </w:tc>
        <w:tc>
          <w:tcPr>
            <w:tcW w:w="226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w:t>
            </w:r>
          </w:p>
        </w:tc>
        <w:tc>
          <w:tcPr>
            <w:tcW w:w="165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13.0</w:t>
            </w:r>
          </w:p>
        </w:tc>
        <w:tc>
          <w:tcPr>
            <w:tcW w:w="189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备用材料名称</w:t>
            </w:r>
          </w:p>
        </w:tc>
        <w:tc>
          <w:tcPr>
            <w:tcW w:w="3919" w:type="dxa"/>
            <w:gridSpan w:val="2"/>
            <w:vAlign w:val="center"/>
          </w:tcPr>
          <w:p>
            <w:pPr>
              <w:snapToGrid w:val="0"/>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用量t</w:t>
            </w:r>
          </w:p>
        </w:tc>
        <w:tc>
          <w:tcPr>
            <w:tcW w:w="1894" w:type="dxa"/>
            <w:vAlign w:val="center"/>
          </w:tcPr>
          <w:p>
            <w:pPr>
              <w:snapToGrid w:val="0"/>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合计t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重晶石</w:t>
            </w:r>
          </w:p>
        </w:tc>
        <w:tc>
          <w:tcPr>
            <w:tcW w:w="2261"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p>
        </w:tc>
        <w:tc>
          <w:tcPr>
            <w:tcW w:w="1658"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p>
        </w:tc>
        <w:tc>
          <w:tcPr>
            <w:tcW w:w="1894" w:type="dxa"/>
            <w:vAlign w:val="center"/>
          </w:tcPr>
          <w:p>
            <w:pPr>
              <w:snapToGrid w:val="0"/>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堵漏剂</w:t>
            </w:r>
          </w:p>
        </w:tc>
        <w:tc>
          <w:tcPr>
            <w:tcW w:w="2261"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p>
        </w:tc>
        <w:tc>
          <w:tcPr>
            <w:tcW w:w="1658"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p>
        </w:tc>
        <w:tc>
          <w:tcPr>
            <w:tcW w:w="1894" w:type="dxa"/>
            <w:vAlign w:val="center"/>
          </w:tcPr>
          <w:p>
            <w:pPr>
              <w:snapToGrid w:val="0"/>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06" w:type="dxa"/>
            <w:vAlign w:val="center"/>
          </w:tcPr>
          <w:p>
            <w:pPr>
              <w:spacing w:line="120" w:lineRule="atLeast"/>
              <w:jc w:val="center"/>
              <w:rPr>
                <w:rFonts w:ascii="Times New Roman" w:hAnsi="Times New Roman" w:eastAsia="宋体" w:cs="Times New Roman"/>
                <w:color w:val="000000" w:themeColor="text1"/>
                <w:spacing w:val="4"/>
                <w:szCs w:val="21"/>
                <w14:textFill>
                  <w14:solidFill>
                    <w14:schemeClr w14:val="tx1"/>
                  </w14:solidFill>
                </w14:textFill>
              </w:rPr>
            </w:pPr>
            <w:r>
              <w:rPr>
                <w:rFonts w:ascii="Times New Roman" w:hAnsi="Times New Roman" w:eastAsia="宋体" w:cs="Times New Roman"/>
                <w:color w:val="000000" w:themeColor="text1"/>
                <w:spacing w:val="4"/>
                <w:szCs w:val="21"/>
                <w14:textFill>
                  <w14:solidFill>
                    <w14:schemeClr w14:val="tx1"/>
                  </w14:solidFill>
                </w14:textFill>
              </w:rPr>
              <w:t>可选材料</w:t>
            </w:r>
          </w:p>
        </w:tc>
        <w:tc>
          <w:tcPr>
            <w:tcW w:w="5813" w:type="dxa"/>
            <w:gridSpan w:val="3"/>
            <w:vAlign w:val="center"/>
          </w:tcPr>
          <w:p>
            <w:pPr>
              <w:widowControl/>
              <w:spacing w:line="240" w:lineRule="atLeast"/>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SP-8：JT-888、SY-3、JK-3、SJ-1、SD-HBJ、HJ-3、BLA-HV、YL-JS；</w:t>
            </w:r>
          </w:p>
          <w:p>
            <w:pPr>
              <w:spacing w:line="120" w:lineRule="atLeast"/>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PMHA-2</w:t>
            </w:r>
            <w:r>
              <w:rPr>
                <w:rFonts w:ascii="Times New Roman" w:hAnsi="Times New Roman" w:eastAsia="宋体" w:cs="Times New Roman"/>
                <w:color w:val="000000" w:themeColor="text1"/>
                <w:spacing w:val="-8"/>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FA367、</w:t>
            </w:r>
            <w:r>
              <w:rPr>
                <w:rFonts w:ascii="Times New Roman" w:hAnsi="Times New Roman" w:eastAsia="宋体" w:cs="Times New Roman"/>
                <w:color w:val="000000" w:themeColor="text1"/>
                <w:spacing w:val="-8"/>
                <w:szCs w:val="21"/>
                <w14:textFill>
                  <w14:solidFill>
                    <w14:schemeClr w14:val="tx1"/>
                  </w14:solidFill>
                </w14:textFill>
              </w:rPr>
              <w:t>GJD-4</w:t>
            </w:r>
            <w:r>
              <w:rPr>
                <w:rFonts w:ascii="Times New Roman" w:hAnsi="Times New Roman" w:eastAsia="宋体" w:cs="Times New Roman"/>
                <w:color w:val="000000" w:themeColor="text1"/>
                <w:szCs w:val="21"/>
                <w14:textFill>
                  <w14:solidFill>
                    <w14:schemeClr w14:val="tx1"/>
                  </w14:solidFill>
                </w14:textFill>
              </w:rPr>
              <w:t>、YL-HP、YL-JB、JB66、IND30</w:t>
            </w:r>
          </w:p>
        </w:tc>
      </w:tr>
    </w:tbl>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钻井需要使用钻井液，构成循环流体，从而将钻井岩屑从井底携带至地面。本项目钻井采用无毒无害的水基钻井液，一开采用坂土-CMC钻井液，主要成分是坂土、重晶石、CMC（中）和Na</w:t>
      </w:r>
      <w:r>
        <w:rPr>
          <w:rFonts w:ascii="Times New Roman" w:hAnsi="Times New Roman" w:eastAsia="宋体" w:cs="Times New Roman"/>
          <w:color w:val="000000" w:themeColor="text1"/>
          <w:kern w:val="0"/>
          <w:sz w:val="24"/>
          <w:vertAlign w:val="sub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CO</w:t>
      </w:r>
      <w:r>
        <w:rPr>
          <w:rFonts w:ascii="Times New Roman" w:hAnsi="Times New Roman" w:eastAsia="宋体" w:cs="Times New Roman"/>
          <w:color w:val="000000" w:themeColor="text1"/>
          <w:kern w:val="0"/>
          <w:sz w:val="24"/>
          <w:vertAlign w:val="sub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等；二开</w:t>
      </w:r>
      <w:r>
        <w:rPr>
          <w:rFonts w:ascii="Times New Roman" w:hAnsi="Times New Roman" w:eastAsia="宋体" w:cs="Times New Roman"/>
          <w:color w:val="000000" w:themeColor="text1"/>
          <w:sz w:val="24"/>
          <w14:textFill>
            <w14:solidFill>
              <w14:schemeClr w14:val="tx1"/>
            </w14:solidFill>
          </w14:textFill>
        </w:rPr>
        <w:t>钾钙基聚合物钻井完井液</w:t>
      </w:r>
      <w:r>
        <w:rPr>
          <w:rFonts w:ascii="Times New Roman" w:hAnsi="Times New Roman" w:eastAsia="宋体" w:cs="Times New Roman"/>
          <w:color w:val="000000" w:themeColor="text1"/>
          <w:kern w:val="0"/>
          <w:sz w:val="24"/>
          <w:lang w:bidi="ar"/>
          <w14:textFill>
            <w14:solidFill>
              <w14:schemeClr w14:val="tx1"/>
            </w14:solidFill>
          </w14:textFill>
        </w:rPr>
        <w:t>，主要成分为重晶石、坂土、YB-1、阳离子乳化沥青等。</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②射孔液</w:t>
      </w:r>
    </w:p>
    <w:p>
      <w:pPr>
        <w:widowControl/>
        <w:spacing w:line="360" w:lineRule="auto"/>
        <w:ind w:firstLine="480" w:firstLineChars="20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陆9井区呼图壁组油藏属高孔、高渗储集层，射孔后直接转机抽生产，射孔液选用</w:t>
      </w:r>
      <w:r>
        <w:rPr>
          <w:rFonts w:ascii="Times New Roman" w:hAnsi="Times New Roman" w:eastAsia="宋体" w:cs="Times New Roman"/>
          <w:color w:val="000000" w:themeColor="text1"/>
          <w:kern w:val="0"/>
          <w:sz w:val="24"/>
          <w:lang w:bidi="ar"/>
          <w14:textFill>
            <w14:solidFill>
              <w14:schemeClr w14:val="tx1"/>
            </w14:solidFill>
          </w14:textFill>
        </w:rPr>
        <w:t>2%的KCl溶液或防膨性能达到要求</w:t>
      </w:r>
      <w:r>
        <w:rPr>
          <w:rFonts w:hint="eastAsia" w:ascii="Times New Roman" w:hAnsi="Times New Roman" w:eastAsia="宋体" w:cs="Times New Roman"/>
          <w:color w:val="000000" w:themeColor="text1"/>
          <w:kern w:val="0"/>
          <w:sz w:val="24"/>
          <w:lang w:bidi="ar"/>
          <w14:textFill>
            <w14:solidFill>
              <w14:schemeClr w14:val="tx1"/>
            </w14:solidFill>
          </w14:textFill>
        </w:rPr>
        <w:t>的其他</w:t>
      </w:r>
      <w:r>
        <w:rPr>
          <w:rFonts w:ascii="Times New Roman" w:hAnsi="Times New Roman" w:eastAsia="宋体" w:cs="Times New Roman"/>
          <w:color w:val="000000" w:themeColor="text1"/>
          <w:kern w:val="0"/>
          <w:sz w:val="24"/>
          <w:lang w:bidi="ar"/>
          <w14:textFill>
            <w14:solidFill>
              <w14:schemeClr w14:val="tx1"/>
            </w14:solidFill>
          </w14:textFill>
        </w:rPr>
        <w:t>防膨液。</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根据建设单位提供资料，单井射孔液用量30m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～40m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，本次射孔按最大使用量40m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/口计，</w:t>
      </w:r>
      <w:r>
        <w:rPr>
          <w:rFonts w:hint="eastAsia" w:ascii="Times New Roman" w:hAnsi="Times New Roman" w:eastAsia="宋体" w:cs="Times New Roman"/>
          <w:color w:val="000000" w:themeColor="text1"/>
          <w:kern w:val="0"/>
          <w:sz w:val="24"/>
          <w:lang w:bidi="ar"/>
          <w14:textFill>
            <w14:solidFill>
              <w14:schemeClr w14:val="tx1"/>
            </w14:solidFill>
          </w14:textFill>
        </w:rPr>
        <w:t>井数37口，</w:t>
      </w:r>
      <w:r>
        <w:rPr>
          <w:rFonts w:ascii="Times New Roman" w:hAnsi="Times New Roman" w:eastAsia="宋体" w:cs="Times New Roman"/>
          <w:color w:val="000000" w:themeColor="text1"/>
          <w:kern w:val="0"/>
          <w:sz w:val="24"/>
          <w:lang w:bidi="ar"/>
          <w14:textFill>
            <w14:solidFill>
              <w14:schemeClr w14:val="tx1"/>
            </w14:solidFill>
          </w14:textFill>
        </w:rPr>
        <w:t>则射孔液用量1</w:t>
      </w:r>
      <w:r>
        <w:rPr>
          <w:rFonts w:hint="eastAsia" w:ascii="Times New Roman" w:hAnsi="Times New Roman" w:eastAsia="宋体" w:cs="Times New Roman"/>
          <w:color w:val="000000" w:themeColor="text1"/>
          <w:kern w:val="0"/>
          <w:sz w:val="24"/>
          <w:lang w:bidi="ar"/>
          <w14:textFill>
            <w14:solidFill>
              <w14:schemeClr w14:val="tx1"/>
            </w14:solidFill>
          </w14:textFill>
        </w:rPr>
        <w:t>48</w:t>
      </w:r>
      <w:r>
        <w:rPr>
          <w:rFonts w:ascii="Times New Roman" w:hAnsi="Times New Roman" w:eastAsia="宋体" w:cs="Times New Roman"/>
          <w:color w:val="000000" w:themeColor="text1"/>
          <w:kern w:val="0"/>
          <w:sz w:val="24"/>
          <w:lang w:bidi="ar"/>
          <w14:textFill>
            <w14:solidFill>
              <w14:schemeClr w14:val="tx1"/>
            </w14:solidFill>
          </w14:textFill>
        </w:rPr>
        <w:t>0m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③柴油</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本项目钻机钻进由柴油机供电驱动，</w:t>
      </w:r>
      <w:r>
        <w:rPr>
          <w:rFonts w:ascii="Times New Roman" w:hAnsi="Times New Roman" w:cs="Times New Roman"/>
          <w:color w:val="000000" w:themeColor="text1"/>
          <w:sz w:val="24"/>
          <w14:textFill>
            <w14:solidFill>
              <w14:schemeClr w14:val="tx1"/>
            </w14:solidFill>
          </w14:textFill>
        </w:rPr>
        <w:t>每个井队配备钻井钻机（电钻）2台，柴油发电机2台，柴油消耗量平均2t/d，本项目新钻井</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口，均为定向井，老井转注</w:t>
      </w:r>
      <w:r>
        <w:rPr>
          <w:rFonts w:hint="eastAsia" w:ascii="Times New Roman" w:hAnsi="Times New Roman" w:cs="Times New Roman"/>
          <w:color w:val="000000" w:themeColor="text1"/>
          <w:sz w:val="24"/>
          <w14:textFill>
            <w14:solidFill>
              <w14:schemeClr w14:val="tx1"/>
            </w14:solidFill>
          </w14:textFill>
        </w:rPr>
        <w:t>9</w:t>
      </w:r>
      <w:r>
        <w:rPr>
          <w:rFonts w:ascii="Times New Roman" w:hAnsi="Times New Roman" w:cs="Times New Roman"/>
          <w:color w:val="000000" w:themeColor="text1"/>
          <w:sz w:val="24"/>
          <w14:textFill>
            <w14:solidFill>
              <w14:schemeClr w14:val="tx1"/>
            </w14:solidFill>
          </w14:textFill>
        </w:rPr>
        <w:t>口。钻井周期</w:t>
      </w:r>
      <w:r>
        <w:rPr>
          <w:rFonts w:hint="eastAsia" w:ascii="Times New Roman" w:hAnsi="Times New Roman" w:cs="Times New Roman"/>
          <w:color w:val="000000" w:themeColor="text1"/>
          <w:sz w:val="24"/>
          <w14:textFill>
            <w14:solidFill>
              <w14:schemeClr w14:val="tx1"/>
            </w14:solidFill>
          </w14:textFill>
        </w:rPr>
        <w:t>425.5</w:t>
      </w:r>
      <w:r>
        <w:rPr>
          <w:rFonts w:ascii="Times New Roman" w:hAnsi="Times New Roman" w:cs="Times New Roman"/>
          <w:color w:val="000000" w:themeColor="text1"/>
          <w:sz w:val="24"/>
          <w14:textFill>
            <w14:solidFill>
              <w14:schemeClr w14:val="tx1"/>
            </w14:solidFill>
          </w14:textFill>
        </w:rPr>
        <w:t>d，施工期间共耗柴油</w:t>
      </w:r>
      <w:r>
        <w:rPr>
          <w:rFonts w:hint="eastAsia" w:ascii="Times New Roman" w:hAnsi="Times New Roman" w:cs="Times New Roman"/>
          <w:color w:val="000000" w:themeColor="text1"/>
          <w:sz w:val="24"/>
          <w14:textFill>
            <w14:solidFill>
              <w14:schemeClr w14:val="tx1"/>
            </w14:solidFill>
          </w14:textFill>
        </w:rPr>
        <w:t>851</w:t>
      </w:r>
      <w:r>
        <w:rPr>
          <w:rFonts w:ascii="Times New Roman" w:hAnsi="Times New Roman" w:cs="Times New Roman"/>
          <w:color w:val="000000" w:themeColor="text1"/>
          <w:sz w:val="24"/>
          <w14:textFill>
            <w14:solidFill>
              <w14:schemeClr w14:val="tx1"/>
            </w14:solidFill>
          </w14:textFill>
        </w:rPr>
        <w:t>t。</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（2）主要原辅材料理化性</w:t>
      </w:r>
    </w:p>
    <w:p>
      <w:pPr>
        <w:spacing w:line="360" w:lineRule="auto"/>
        <w:ind w:firstLine="480" w:firstLineChars="200"/>
        <w:jc w:val="left"/>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①钻井液</w:t>
      </w:r>
    </w:p>
    <w:p>
      <w:pPr>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钻井液主要成分理化性质见表3.5-1</w:t>
      </w:r>
      <w:r>
        <w:rPr>
          <w:rFonts w:hint="eastAsia" w:ascii="Times New Roman" w:hAnsi="Times New Roman" w:cs="Times New Roman"/>
          <w:color w:val="000000" w:themeColor="text1"/>
          <w:kern w:val="0"/>
          <w:sz w:val="24"/>
          <w:lang w:val="en-US" w:eastAsia="zh-CN"/>
          <w14:textFill>
            <w14:solidFill>
              <w14:schemeClr w14:val="tx1"/>
            </w14:solidFill>
          </w14:textFill>
        </w:rPr>
        <w:t>5</w:t>
      </w:r>
      <w:r>
        <w:rPr>
          <w:rFonts w:ascii="Times New Roman" w:hAnsi="Times New Roman" w:cs="Times New Roman"/>
          <w:color w:val="000000" w:themeColor="text1"/>
          <w:kern w:val="0"/>
          <w:sz w:val="24"/>
          <w14:textFill>
            <w14:solidFill>
              <w14:schemeClr w14:val="tx1"/>
            </w14:solidFill>
          </w14:textFill>
        </w:rPr>
        <w:t>。</w:t>
      </w:r>
    </w:p>
    <w:p>
      <w:pPr>
        <w:spacing w:line="360" w:lineRule="auto"/>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表3.5-1</w:t>
      </w:r>
      <w:r>
        <w:rPr>
          <w:rFonts w:hint="eastAsia" w:ascii="Times New Roman" w:hAnsi="Times New Roman" w:cs="Times New Roman"/>
          <w:b/>
          <w:bCs/>
          <w:color w:val="000000" w:themeColor="text1"/>
          <w:kern w:val="0"/>
          <w:szCs w:val="21"/>
          <w:lang w:val="en-US" w:eastAsia="zh-CN"/>
          <w14:textFill>
            <w14:solidFill>
              <w14:schemeClr w14:val="tx1"/>
            </w14:solidFill>
          </w14:textFill>
        </w:rPr>
        <w:t>5</w:t>
      </w:r>
      <w:r>
        <w:rPr>
          <w:rFonts w:ascii="Times New Roman" w:hAnsi="Times New Roman" w:cs="Times New Roman"/>
          <w:b/>
          <w:bCs/>
          <w:color w:val="000000" w:themeColor="text1"/>
          <w:kern w:val="0"/>
          <w:szCs w:val="21"/>
          <w14:textFill>
            <w14:solidFill>
              <w14:schemeClr w14:val="tx1"/>
            </w14:solidFill>
          </w14:textFill>
        </w:rPr>
        <w:t xml:space="preserve">  钻井液主要成分理化性质</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85"/>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Align w:val="center"/>
          </w:tcPr>
          <w:p>
            <w:pPr>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类型</w:t>
            </w:r>
          </w:p>
        </w:tc>
        <w:tc>
          <w:tcPr>
            <w:tcW w:w="985" w:type="dxa"/>
            <w:vAlign w:val="center"/>
          </w:tcPr>
          <w:p>
            <w:pPr>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成分</w:t>
            </w:r>
          </w:p>
        </w:tc>
        <w:tc>
          <w:tcPr>
            <w:tcW w:w="6802" w:type="dxa"/>
            <w:vAlign w:val="center"/>
          </w:tcPr>
          <w:p>
            <w:pPr>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restart"/>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水基钻井液</w:t>
            </w:r>
          </w:p>
        </w:tc>
        <w:tc>
          <w:tcPr>
            <w:tcW w:w="985"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坂土</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又称膨润土，主要成分为蒙脱石，外观是适当粒度的粉末，因含杂质的不同，有白色、灰色、灰黄色和紫红色等颜色，易吸潮，吸潮后结块。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CMC（中）</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羧甲基纤维素（CMC）属阴离子型纤维素醚类，外观为白色或微黄色絮状纤维粉末或白色粉末，无臭无味，无毒；易溶于冷水或热水，形成具有一定黏度的透明溶液。溶液为中性或微碱性，不溶于乙醇、乙醚、异丙醇、丙酮等有机溶剂，可溶于含水60%的乙醇或丙酮溶液。有吸湿性，对光热稳定，黏度随温度升高而降低，溶液在pH值2~10稳定，pH低于2，有固体析出，pH值高于10黏度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Na</w:t>
            </w:r>
            <w:r>
              <w:rPr>
                <w:rFonts w:ascii="Times New Roman" w:hAnsi="Times New Roman" w:cs="Times New Roman"/>
                <w:color w:val="000000" w:themeColor="text1"/>
                <w:szCs w:val="21"/>
                <w:vertAlign w:val="subscript"/>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CO</w:t>
            </w:r>
            <w:r>
              <w:rPr>
                <w:rFonts w:ascii="Times New Roman" w:hAnsi="Times New Roman" w:cs="Times New Roman"/>
                <w:color w:val="000000" w:themeColor="text1"/>
                <w:szCs w:val="21"/>
                <w:vertAlign w:val="subscript"/>
                <w14:textFill>
                  <w14:solidFill>
                    <w14:schemeClr w14:val="tx1"/>
                  </w14:solidFill>
                </w14:textFill>
              </w:rPr>
              <w:t>3</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碳酸钠，白色粉末结晶，易溶于水，水溶</w:t>
            </w:r>
            <w:r>
              <w:rPr>
                <w:rFonts w:hint="eastAsia" w:ascii="Times New Roman" w:hAnsi="Times New Roman" w:cs="Times New Roman"/>
                <w:color w:val="000000" w:themeColor="text1"/>
                <w:kern w:val="0"/>
                <w:szCs w:val="21"/>
                <w14:textFill>
                  <w14:solidFill>
                    <w14:schemeClr w14:val="tx1"/>
                  </w14:solidFill>
                </w14:textFill>
              </w:rPr>
              <w:t>液</w:t>
            </w:r>
            <w:r>
              <w:rPr>
                <w:rFonts w:ascii="Times New Roman" w:hAnsi="Times New Roman" w:cs="Times New Roman"/>
                <w:color w:val="000000" w:themeColor="text1"/>
                <w:kern w:val="0"/>
                <w:szCs w:val="21"/>
                <w14:textFill>
                  <w14:solidFill>
                    <w14:schemeClr w14:val="tx1"/>
                  </w14:solidFill>
                </w14:textFill>
              </w:rPr>
              <w:t>呈碱性，在空气中易吸潮结块。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NaOH</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氢氧化钠又称烧碱、火碱或苛性钠。白色结晶，有液体、固体片状三种产品，纯度从50%至99%不等，密度2g/cm</w:t>
            </w:r>
            <w:r>
              <w:rPr>
                <w:rFonts w:ascii="Times New Roman" w:hAnsi="Times New Roman" w:cs="Times New Roman"/>
                <w:color w:val="000000" w:themeColor="text1"/>
                <w:kern w:val="0"/>
                <w:szCs w:val="21"/>
                <w:vertAlign w:val="superscript"/>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～2.2g/cm</w:t>
            </w:r>
            <w:r>
              <w:rPr>
                <w:rFonts w:ascii="Times New Roman" w:hAnsi="Times New Roman" w:cs="Times New Roman"/>
                <w:color w:val="000000" w:themeColor="text1"/>
                <w:kern w:val="0"/>
                <w:szCs w:val="21"/>
                <w:vertAlign w:val="superscript"/>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，易吸潮，有强烈的腐蚀性。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SP-8</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聚丙烯酰胺钾盐，一种无色无味的结晶体，常见于粉末状或颗粒状。其分子结构含有聚丙烯酰胺基团和钾离子，具有良好的溶解性和稳定性。聚丙烯酰胺钾盐在水中具有高度的吸水性，能迅速形成胶体溶液。此外，它还具有较好的胶凝性和黏附性，可用于沉淀、固化和黏合等多种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PMHA-2</w:t>
            </w:r>
          </w:p>
        </w:tc>
        <w:tc>
          <w:tcPr>
            <w:tcW w:w="6802" w:type="dxa"/>
            <w:vAlign w:val="center"/>
          </w:tcPr>
          <w:p>
            <w:pPr>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复合金属两性离子聚合物，由复合金属离子与乙烯基单体，阳离子单体聚合而成。产品外观呈白色或灰色细颗粒或粉末</w:t>
            </w:r>
            <w:r>
              <w:rPr>
                <w:rFonts w:hint="eastAsia"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复配铵盐</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淡黄色粉末，溶于水，含有-COOH、-COONH</w:t>
            </w:r>
            <w:r>
              <w:rPr>
                <w:rFonts w:ascii="Times New Roman" w:hAnsi="Times New Roman" w:cs="Times New Roman"/>
                <w:color w:val="000000" w:themeColor="text1"/>
                <w:kern w:val="0"/>
                <w:szCs w:val="21"/>
                <w:vertAlign w:val="subscript"/>
                <w14:textFill>
                  <w14:solidFill>
                    <w14:schemeClr w14:val="tx1"/>
                  </w14:solidFill>
                </w14:textFill>
              </w:rPr>
              <w:t>4</w:t>
            </w:r>
            <w:r>
              <w:rPr>
                <w:rFonts w:ascii="Times New Roman" w:hAnsi="Times New Roman" w:cs="Times New Roman"/>
                <w:color w:val="000000" w:themeColor="text1"/>
                <w:kern w:val="0"/>
                <w:szCs w:val="21"/>
                <w14:textFill>
                  <w14:solidFill>
                    <w14:schemeClr w14:val="tx1"/>
                  </w14:solidFill>
                </w14:textFill>
              </w:rPr>
              <w:t>，-CONH、-CONH</w:t>
            </w:r>
            <w:r>
              <w:rPr>
                <w:rFonts w:ascii="Times New Roman" w:hAnsi="Times New Roman" w:cs="Times New Roman"/>
                <w:color w:val="000000" w:themeColor="text1"/>
                <w:kern w:val="0"/>
                <w:szCs w:val="21"/>
                <w:vertAlign w:val="subscript"/>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、-CN等基团，分子量在10000~50000之间，有降低高压差失水的功能和良好的热稳定性。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HY-2</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降滤失剂，外观为黑褐色或灰色粉末，水分≤15%，pH值7~11。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阳离子乳化沥青</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沥青粉，又称沥青沉淀物，是一种从石油沥青中提取的黏稠物质，主要由芳香类和</w:t>
            </w:r>
            <w:r>
              <w:rPr>
                <w:rFonts w:hint="eastAsia" w:ascii="Times New Roman" w:hAnsi="Times New Roman" w:cs="Times New Roman"/>
                <w:color w:val="000000" w:themeColor="text1"/>
                <w:kern w:val="0"/>
                <w:szCs w:val="21"/>
                <w14:textFill>
                  <w14:solidFill>
                    <w14:schemeClr w14:val="tx1"/>
                  </w14:solidFill>
                </w14:textFill>
              </w:rPr>
              <w:t>环烷烃</w:t>
            </w:r>
            <w:r>
              <w:rPr>
                <w:rFonts w:ascii="Times New Roman" w:hAnsi="Times New Roman" w:cs="Times New Roman"/>
                <w:color w:val="000000" w:themeColor="text1"/>
                <w:kern w:val="0"/>
                <w:szCs w:val="21"/>
                <w14:textFill>
                  <w14:solidFill>
                    <w14:schemeClr w14:val="tx1"/>
                  </w14:solidFill>
                </w14:textFill>
              </w:rPr>
              <w:t>类组成。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超细碳酸钙</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化学式为CaCO</w:t>
            </w:r>
            <w:r>
              <w:rPr>
                <w:rFonts w:ascii="Times New Roman" w:hAnsi="Times New Roman" w:cs="Times New Roman"/>
                <w:color w:val="000000" w:themeColor="text1"/>
                <w:kern w:val="0"/>
                <w:szCs w:val="21"/>
                <w:vertAlign w:val="subscript"/>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是石灰石、大理石等的主要成分。碳酸钙通常为白色晶体，无味，基本上不溶于水，易与酸反应放出二氧化碳。白色微细结晶粉末，无味、无臭。有无定形和结晶两种形态。结晶型中又可分为斜方晶系和六方晶系（无水碳酸钙为无色斜方晶体，六水碳酸钙为无色单斜晶体），呈柱状或菱形，密度为2.93g/cm</w:t>
            </w:r>
            <w:r>
              <w:rPr>
                <w:rFonts w:ascii="Times New Roman" w:hAnsi="Times New Roman" w:cs="Times New Roman"/>
                <w:color w:val="000000" w:themeColor="text1"/>
                <w:kern w:val="0"/>
                <w:szCs w:val="21"/>
                <w:vertAlign w:val="superscript"/>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液体润滑剂</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主要成分为醇醚类、酯类等，或选择同类型润滑剂，密度0.94g/cm</w:t>
            </w:r>
            <w:r>
              <w:rPr>
                <w:rFonts w:ascii="Times New Roman" w:hAnsi="Times New Roman" w:cs="Times New Roman"/>
                <w:color w:val="000000" w:themeColor="text1"/>
                <w:kern w:val="0"/>
                <w:szCs w:val="21"/>
                <w:vertAlign w:val="superscript"/>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～1.04g/cm</w:t>
            </w:r>
            <w:r>
              <w:rPr>
                <w:rFonts w:ascii="Times New Roman" w:hAnsi="Times New Roman" w:cs="Times New Roman"/>
                <w:color w:val="000000" w:themeColor="text1"/>
                <w:kern w:val="0"/>
                <w:szCs w:val="21"/>
                <w:vertAlign w:val="superscript"/>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，pH值7~9。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YB-1</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油气层保护剂，外观为固体粉末或粉粒，水分≤10%，密度≤1.5g/cm</w:t>
            </w:r>
            <w:r>
              <w:rPr>
                <w:rFonts w:ascii="Times New Roman" w:hAnsi="Times New Roman" w:cs="Times New Roman"/>
                <w:color w:val="000000" w:themeColor="text1"/>
                <w:kern w:val="0"/>
                <w:szCs w:val="21"/>
                <w:vertAlign w:val="superscript"/>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，pH值6~9。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黄原胶</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又名汉生胶，是由野油菜黄单胞杆菌以碳水化合物为主要原料</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如玉米淀粉</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经发酵工程生产的一种作用广泛的微生物胞外多糖。它具有独特的流变性，良好的水溶性、对热及酸碱的稳定性、与多种盐类有很好的相容性，作为增稠剂、悬浮剂、乳化剂、稳定剂</w:t>
            </w:r>
            <w:r>
              <w:rPr>
                <w:rFonts w:hint="eastAsia"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WC-1</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石灰石粉WC-1密度≥2.7g/cm</w:t>
            </w:r>
            <w:r>
              <w:rPr>
                <w:rFonts w:ascii="Times New Roman" w:hAnsi="Times New Roman" w:cs="Times New Roman"/>
                <w:color w:val="000000" w:themeColor="text1"/>
                <w:kern w:val="0"/>
                <w:szCs w:val="21"/>
                <w:vertAlign w:val="superscript"/>
                <w14:textFill>
                  <w14:solidFill>
                    <w14:schemeClr w14:val="tx1"/>
                  </w14:solidFill>
                </w14:textFill>
              </w:rPr>
              <w:t>3</w:t>
            </w:r>
            <w:r>
              <w:rPr>
                <w:rFonts w:ascii="Times New Roman" w:hAnsi="Times New Roman" w:cs="Times New Roman"/>
                <w:color w:val="000000" w:themeColor="text1"/>
                <w:kern w:val="0"/>
                <w:szCs w:val="21"/>
                <w14:textFill>
                  <w14:solidFill>
                    <w14:schemeClr w14:val="tx1"/>
                  </w14:solidFill>
                </w14:textFill>
              </w:rPr>
              <w:t>，碳酸钙含量≥90%，酸不</w:t>
            </w:r>
            <w:r>
              <w:rPr>
                <w:rFonts w:hint="eastAsia" w:ascii="Times New Roman" w:hAnsi="Times New Roman" w:cs="Times New Roman"/>
                <w:color w:val="000000" w:themeColor="text1"/>
                <w:kern w:val="0"/>
                <w:szCs w:val="21"/>
                <w14:textFill>
                  <w14:solidFill>
                    <w14:schemeClr w14:val="tx1"/>
                  </w14:solidFill>
                </w14:textFill>
              </w:rPr>
              <w:t>溶</w:t>
            </w:r>
            <w:r>
              <w:rPr>
                <w:rFonts w:ascii="Times New Roman" w:hAnsi="Times New Roman" w:cs="Times New Roman"/>
                <w:color w:val="000000" w:themeColor="text1"/>
                <w:kern w:val="0"/>
                <w:szCs w:val="21"/>
                <w14:textFill>
                  <w14:solidFill>
                    <w14:schemeClr w14:val="tx1"/>
                  </w14:solidFill>
                </w14:textFill>
              </w:rPr>
              <w:t>物含量≤10%，水溶物含量≤0.1%。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2"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c>
          <w:tcPr>
            <w:tcW w:w="98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重晶石</w:t>
            </w:r>
          </w:p>
        </w:tc>
        <w:tc>
          <w:tcPr>
            <w:tcW w:w="6802"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化学组成为BaSO</w:t>
            </w:r>
            <w:r>
              <w:rPr>
                <w:rFonts w:ascii="Times New Roman" w:hAnsi="Times New Roman" w:cs="Times New Roman"/>
                <w:color w:val="000000" w:themeColor="text1"/>
                <w:kern w:val="0"/>
                <w:szCs w:val="21"/>
                <w:vertAlign w:val="subscript"/>
                <w14:textFill>
                  <w14:solidFill>
                    <w14:schemeClr w14:val="tx1"/>
                  </w14:solidFill>
                </w14:textFill>
              </w:rPr>
              <w:t>4</w:t>
            </w:r>
            <w:r>
              <w:rPr>
                <w:rFonts w:ascii="Times New Roman" w:hAnsi="Times New Roman" w:cs="Times New Roman"/>
                <w:color w:val="000000" w:themeColor="text1"/>
                <w:kern w:val="0"/>
                <w:szCs w:val="21"/>
                <w14:textFill>
                  <w14:solidFill>
                    <w14:schemeClr w14:val="tx1"/>
                  </w14:solidFill>
                </w14:textFill>
              </w:rPr>
              <w:t>，常呈厚板状或柱状晶体，多为致密块状、板状或粒状集合体。质纯时无色透明，含杂质时被染成各种颜色，条痕白色，玻璃光泽，透明至半透明。</w:t>
            </w:r>
          </w:p>
        </w:tc>
      </w:tr>
    </w:tbl>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②射孔液</w:t>
      </w:r>
    </w:p>
    <w:p>
      <w:pPr>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本项目射孔液采用2%的KCl溶液或防膨性能达到要求</w:t>
      </w:r>
      <w:r>
        <w:rPr>
          <w:rFonts w:hint="eastAsia" w:ascii="Times New Roman" w:hAnsi="Times New Roman" w:cs="Times New Roman"/>
          <w:color w:val="000000" w:themeColor="text1"/>
          <w:kern w:val="0"/>
          <w:sz w:val="24"/>
          <w14:textFill>
            <w14:solidFill>
              <w14:schemeClr w14:val="tx1"/>
            </w14:solidFill>
          </w14:textFill>
        </w:rPr>
        <w:t>的其他</w:t>
      </w:r>
      <w:r>
        <w:rPr>
          <w:rFonts w:ascii="Times New Roman" w:hAnsi="Times New Roman" w:cs="Times New Roman"/>
          <w:color w:val="000000" w:themeColor="text1"/>
          <w:kern w:val="0"/>
          <w:sz w:val="24"/>
          <w14:textFill>
            <w14:solidFill>
              <w14:schemeClr w14:val="tx1"/>
            </w14:solidFill>
          </w14:textFill>
        </w:rPr>
        <w:t>防膨液，射孔液主要成分理化性质见表3.5-1</w:t>
      </w:r>
      <w:r>
        <w:rPr>
          <w:rFonts w:hint="eastAsia" w:ascii="Times New Roman" w:hAnsi="Times New Roman" w:cs="Times New Roman"/>
          <w:color w:val="000000" w:themeColor="text1"/>
          <w:kern w:val="0"/>
          <w:sz w:val="24"/>
          <w:lang w:val="en-US" w:eastAsia="zh-CN"/>
          <w14:textFill>
            <w14:solidFill>
              <w14:schemeClr w14:val="tx1"/>
            </w14:solidFill>
          </w14:textFill>
        </w:rPr>
        <w:t>6</w:t>
      </w:r>
      <w:r>
        <w:rPr>
          <w:rFonts w:ascii="Times New Roman" w:hAnsi="Times New Roman" w:cs="Times New Roman"/>
          <w:color w:val="000000" w:themeColor="text1"/>
          <w:kern w:val="0"/>
          <w:sz w:val="24"/>
          <w14:textFill>
            <w14:solidFill>
              <w14:schemeClr w14:val="tx1"/>
            </w14:solidFill>
          </w14:textFill>
        </w:rPr>
        <w:t>。</w:t>
      </w:r>
    </w:p>
    <w:p>
      <w:pPr>
        <w:pStyle w:val="25"/>
        <w:spacing w:line="360" w:lineRule="auto"/>
        <w:rPr>
          <w:rFonts w:ascii="Times New Roman" w:hAnsi="Times New Roman" w:eastAsia="宋体" w:cs="Times New Roman"/>
          <w:bCs/>
          <w:color w:val="000000" w:themeColor="text1"/>
          <w:kern w:val="0"/>
          <w:sz w:val="21"/>
          <w:szCs w:val="21"/>
          <w14:textFill>
            <w14:solidFill>
              <w14:schemeClr w14:val="tx1"/>
            </w14:solidFill>
          </w14:textFill>
        </w:rPr>
      </w:pPr>
      <w:r>
        <w:rPr>
          <w:rFonts w:ascii="Times New Roman" w:hAnsi="Times New Roman" w:cs="Times New Roman"/>
          <w:bCs/>
          <w:color w:val="000000" w:themeColor="text1"/>
          <w:kern w:val="0"/>
          <w:sz w:val="21"/>
          <w:szCs w:val="21"/>
          <w14:textFill>
            <w14:solidFill>
              <w14:schemeClr w14:val="tx1"/>
            </w14:solidFill>
          </w14:textFill>
        </w:rPr>
        <w:t>表3.5-1</w:t>
      </w:r>
      <w:r>
        <w:rPr>
          <w:rFonts w:hint="eastAsia" w:ascii="Times New Roman" w:cs="Times New Roman"/>
          <w:bCs/>
          <w:color w:val="000000" w:themeColor="text1"/>
          <w:kern w:val="0"/>
          <w:sz w:val="21"/>
          <w:szCs w:val="21"/>
          <w:lang w:val="en-US" w:eastAsia="zh-CN"/>
          <w14:textFill>
            <w14:solidFill>
              <w14:schemeClr w14:val="tx1"/>
            </w14:solidFill>
          </w14:textFill>
        </w:rPr>
        <w:t>6</w:t>
      </w:r>
      <w:r>
        <w:rPr>
          <w:rFonts w:ascii="Times New Roman" w:hAnsi="Times New Roman" w:cs="Times New Roman"/>
          <w:bCs/>
          <w:color w:val="000000" w:themeColor="text1"/>
          <w:kern w:val="0"/>
          <w:sz w:val="21"/>
          <w:szCs w:val="21"/>
          <w14:textFill>
            <w14:solidFill>
              <w14:schemeClr w14:val="tx1"/>
            </w14:solidFill>
          </w14:textFill>
        </w:rPr>
        <w:t xml:space="preserve">  拟建项目射孔液主要成分理化性质</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735"/>
        <w:gridCol w:w="5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4" w:type="dxa"/>
            <w:vAlign w:val="center"/>
          </w:tcPr>
          <w:p>
            <w:pPr>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序号</w:t>
            </w:r>
          </w:p>
        </w:tc>
        <w:tc>
          <w:tcPr>
            <w:tcW w:w="1735" w:type="dxa"/>
            <w:vAlign w:val="center"/>
          </w:tcPr>
          <w:p>
            <w:pPr>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射孔液主要成分</w:t>
            </w:r>
          </w:p>
        </w:tc>
        <w:tc>
          <w:tcPr>
            <w:tcW w:w="5690" w:type="dxa"/>
            <w:vAlign w:val="center"/>
          </w:tcPr>
          <w:p>
            <w:pPr>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4"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w:t>
            </w:r>
          </w:p>
        </w:tc>
        <w:tc>
          <w:tcPr>
            <w:tcW w:w="173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 w:val="20"/>
                <w:szCs w:val="20"/>
                <w:lang w:bidi="ar"/>
                <w14:textFill>
                  <w14:solidFill>
                    <w14:schemeClr w14:val="tx1"/>
                  </w14:solidFill>
                </w14:textFill>
              </w:rPr>
              <w:t>KCl</w:t>
            </w:r>
          </w:p>
        </w:tc>
        <w:tc>
          <w:tcPr>
            <w:tcW w:w="5690"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无色细长菱形或成一立方晶体，或白色结晶小颗粒粉末，外观如同食盐，无臭、味咸。皮肤接触后用清水清洗干净即可。</w:t>
            </w:r>
          </w:p>
        </w:tc>
      </w:tr>
    </w:tbl>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3.5.</w:t>
      </w:r>
      <w:r>
        <w:rPr>
          <w:rFonts w:hint="eastAsia" w:ascii="Times New Roman" w:hAnsi="Times New Roman"/>
          <w:color w:val="000000" w:themeColor="text1"/>
          <w:sz w:val="28"/>
          <w:szCs w:val="28"/>
          <w14:textFill>
            <w14:solidFill>
              <w14:schemeClr w14:val="tx1"/>
            </w14:solidFill>
          </w14:textFill>
        </w:rPr>
        <w:t>7</w:t>
      </w:r>
      <w:r>
        <w:rPr>
          <w:rFonts w:ascii="Times New Roman" w:hAnsi="Times New Roman"/>
          <w:color w:val="000000" w:themeColor="text1"/>
          <w:sz w:val="28"/>
          <w:szCs w:val="28"/>
          <w14:textFill>
            <w14:solidFill>
              <w14:schemeClr w14:val="tx1"/>
            </w14:solidFill>
          </w14:textFill>
        </w:rPr>
        <w:t>.5劳动定员</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本项目施工期</w:t>
      </w:r>
      <w:r>
        <w:rPr>
          <w:rFonts w:ascii="Times New Roman" w:hAnsi="Times New Roman" w:cs="Times New Roman"/>
          <w:color w:val="000000" w:themeColor="text1"/>
          <w:sz w:val="24"/>
          <w14:textFill>
            <w14:solidFill>
              <w14:schemeClr w14:val="tx1"/>
            </w14:solidFill>
          </w14:textFill>
        </w:rPr>
        <w:t>施工人数为</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0人，运营期不新增定员，运营期人员均依托公司现有人员，由</w:t>
      </w:r>
      <w:r>
        <w:rPr>
          <w:rFonts w:hint="eastAsia" w:ascii="Times New Roman" w:hAnsi="Times New Roman" w:cs="Times New Roman"/>
          <w:color w:val="000000" w:themeColor="text1"/>
          <w:sz w:val="24"/>
          <w14:textFill>
            <w14:solidFill>
              <w14:schemeClr w14:val="tx1"/>
            </w14:solidFill>
          </w14:textFill>
        </w:rPr>
        <w:t>陆梁油田作业区</w:t>
      </w:r>
      <w:r>
        <w:rPr>
          <w:rFonts w:ascii="Times New Roman" w:hAnsi="Times New Roman" w:cs="Times New Roman"/>
          <w:color w:val="000000" w:themeColor="text1"/>
          <w:sz w:val="24"/>
          <w14:textFill>
            <w14:solidFill>
              <w14:schemeClr w14:val="tx1"/>
            </w14:solidFill>
          </w14:textFill>
        </w:rPr>
        <w:t>负责管理运行。</w:t>
      </w:r>
      <w:bookmarkEnd w:id="247"/>
    </w:p>
    <w:bookmarkEnd w:id="238"/>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3.5.</w:t>
      </w:r>
      <w:r>
        <w:rPr>
          <w:rFonts w:hint="eastAsia" w:ascii="Times New Roman" w:hAnsi="Times New Roman" w:eastAsia="黑体" w:cs="Times New Roman"/>
          <w:b/>
          <w:color w:val="000000" w:themeColor="text1"/>
          <w:sz w:val="30"/>
          <w:szCs w:val="30"/>
          <w14:textFill>
            <w14:solidFill>
              <w14:schemeClr w14:val="tx1"/>
            </w14:solidFill>
          </w14:textFill>
        </w:rPr>
        <w:t>8</w:t>
      </w:r>
      <w:r>
        <w:rPr>
          <w:rFonts w:ascii="Times New Roman" w:hAnsi="Times New Roman" w:eastAsia="黑体" w:cs="Times New Roman"/>
          <w:b/>
          <w:color w:val="000000" w:themeColor="text1"/>
          <w:sz w:val="30"/>
          <w:szCs w:val="30"/>
          <w14:textFill>
            <w14:solidFill>
              <w14:schemeClr w14:val="tx1"/>
            </w14:solidFill>
          </w14:textFill>
        </w:rPr>
        <w:t>公辅工程</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3.5.</w:t>
      </w:r>
      <w:r>
        <w:rPr>
          <w:rFonts w:hint="eastAsia" w:ascii="Times New Roman" w:hAnsi="Times New Roman"/>
          <w:color w:val="000000" w:themeColor="text1"/>
          <w:sz w:val="28"/>
          <w:szCs w:val="28"/>
          <w14:textFill>
            <w14:solidFill>
              <w14:schemeClr w14:val="tx1"/>
            </w14:solidFill>
          </w14:textFill>
        </w:rPr>
        <w:t>8</w:t>
      </w:r>
      <w:r>
        <w:rPr>
          <w:rFonts w:ascii="Times New Roman" w:hAnsi="Times New Roman"/>
          <w:color w:val="000000" w:themeColor="text1"/>
          <w:sz w:val="28"/>
          <w:szCs w:val="28"/>
          <w14:textFill>
            <w14:solidFill>
              <w14:schemeClr w14:val="tx1"/>
            </w14:solidFill>
          </w14:textFill>
        </w:rPr>
        <w:t>.1防腐保温</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（1）设计内容</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本项目管线</w:t>
      </w:r>
      <w:r>
        <w:rPr>
          <w:rFonts w:ascii="Times New Roman" w:hAnsi="Times New Roman" w:eastAsia="宋体" w:cs="Times New Roman"/>
          <w:color w:val="000000" w:themeColor="text1"/>
          <w:kern w:val="0"/>
          <w:sz w:val="24"/>
          <w:lang w:bidi="ar"/>
          <w14:textFill>
            <w14:solidFill>
              <w14:schemeClr w14:val="tx1"/>
            </w14:solidFill>
          </w14:textFill>
        </w:rPr>
        <w:t>为埋地保温及埋地不保温塑料合金防腐蚀复合管做钢接头防腐。</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（2）防腐层结构</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1）管体外壁：保温层采用硬质聚氨酯泡沫塑料，厚度为30mm，厚度偏差±3mm；防护层采用聚乙烯塑料，厚度≥3.0mm。采</w:t>
      </w:r>
      <w:r>
        <w:rPr>
          <w:rFonts w:hint="eastAsia" w:ascii="宋体" w:hAnsi="宋体" w:eastAsia="宋体" w:cs="宋体"/>
          <w:color w:val="000000" w:themeColor="text1"/>
          <w:kern w:val="0"/>
          <w:sz w:val="24"/>
          <w:lang w:bidi="ar"/>
          <w14:textFill>
            <w14:solidFill>
              <w14:schemeClr w14:val="tx1"/>
            </w14:solidFill>
          </w14:textFill>
        </w:rPr>
        <w:t>用“管中管法”施工</w:t>
      </w:r>
      <w:r>
        <w:rPr>
          <w:rFonts w:ascii="Times New Roman" w:hAnsi="Times New Roman" w:eastAsia="宋体" w:cs="Times New Roman"/>
          <w:color w:val="000000" w:themeColor="text1"/>
          <w:kern w:val="0"/>
          <w:sz w:val="24"/>
          <w:lang w:bidi="ar"/>
          <w14:textFill>
            <w14:solidFill>
              <w14:schemeClr w14:val="tx1"/>
            </w14:solidFill>
          </w14:textFill>
        </w:rPr>
        <w:t>工艺。</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2）埋地管道钢接头：弹性聚氨酯防腐漆底漆-面漆-面漆、玻璃布、面漆-面漆、玻璃布、面漆-面漆，防腐层干膜厚度≥600μm。除锈等级为St3级。</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3.5.</w:t>
      </w:r>
      <w:r>
        <w:rPr>
          <w:rFonts w:hint="eastAsia" w:ascii="Times New Roman" w:hAnsi="Times New Roman"/>
          <w:color w:val="000000" w:themeColor="text1"/>
          <w:sz w:val="28"/>
          <w:szCs w:val="28"/>
          <w14:textFill>
            <w14:solidFill>
              <w14:schemeClr w14:val="tx1"/>
            </w14:solidFill>
          </w14:textFill>
        </w:rPr>
        <w:t>8</w:t>
      </w:r>
      <w:r>
        <w:rPr>
          <w:rFonts w:ascii="Times New Roman" w:hAnsi="Times New Roman"/>
          <w:color w:val="000000" w:themeColor="text1"/>
          <w:sz w:val="28"/>
          <w:szCs w:val="28"/>
          <w14:textFill>
            <w14:solidFill>
              <w14:schemeClr w14:val="tx1"/>
            </w14:solidFill>
          </w14:textFill>
        </w:rPr>
        <w:t>.2供配电工程</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（1）供电电源</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①</w:t>
      </w:r>
      <w:r>
        <w:rPr>
          <w:rFonts w:ascii="Times New Roman" w:hAnsi="Times New Roman" w:eastAsia="宋体" w:cs="Times New Roman"/>
          <w:color w:val="000000" w:themeColor="text1"/>
          <w:kern w:val="0"/>
          <w:sz w:val="24"/>
          <w:lang w:bidi="ar"/>
          <w14:textFill>
            <w14:solidFill>
              <w14:schemeClr w14:val="tx1"/>
            </w14:solidFill>
          </w14:textFill>
        </w:rPr>
        <w:t>集油区部分</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新建10kV架空线路引自110kV变电站10kV出线柜，共计约4.5km，导线采用JL/G1A-95/20型导线，架空线路引接处设隔离开关一体式真空断路器、避雷器，下设R≤10Ω接地装置。</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②</w:t>
      </w:r>
      <w:r>
        <w:rPr>
          <w:rFonts w:ascii="Times New Roman" w:hAnsi="Times New Roman" w:eastAsia="宋体" w:cs="Times New Roman"/>
          <w:color w:val="000000" w:themeColor="text1"/>
          <w:kern w:val="0"/>
          <w:sz w:val="24"/>
          <w:lang w:bidi="ar"/>
          <w14:textFill>
            <w14:solidFill>
              <w14:schemeClr w14:val="tx1"/>
            </w14:solidFill>
          </w14:textFill>
        </w:rPr>
        <w:t>新建计量站部分</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电源引自站外新建10kV架空线路架空线。</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③</w:t>
      </w:r>
      <w:r>
        <w:rPr>
          <w:rFonts w:ascii="Times New Roman" w:hAnsi="Times New Roman" w:cs="Times New Roman"/>
          <w:color w:val="000000" w:themeColor="text1"/>
          <w:sz w:val="24"/>
          <w14:textFill>
            <w14:solidFill>
              <w14:schemeClr w14:val="tx1"/>
            </w14:solidFill>
          </w14:textFill>
        </w:rPr>
        <w:t>恒流配水撬部分</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电源引自站外新建10kV架空线路架空线。</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（2）配电系统</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①</w:t>
      </w:r>
      <w:r>
        <w:rPr>
          <w:rFonts w:ascii="Times New Roman" w:hAnsi="Times New Roman" w:cs="Times New Roman"/>
          <w:color w:val="000000" w:themeColor="text1"/>
          <w:sz w:val="24"/>
          <w14:textFill>
            <w14:solidFill>
              <w14:schemeClr w14:val="tx1"/>
            </w14:solidFill>
          </w14:textFill>
        </w:rPr>
        <w:t>集油区部分</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抽油机采用单变压器带单井的供电方式。根据抽油机布置情况，新建50kVA杆架式变电站19座，新建63kVA杆架式变电站9座，电缆采用聚乙烯铜芯电缆直埋地敷设至采油井用电点。杆架式变电站0.4kV侧设无功补偿装置，新建60kvar无功补偿装置12套，补偿后功率因数均达0.9。</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②</w:t>
      </w:r>
      <w:r>
        <w:rPr>
          <w:rFonts w:ascii="Times New Roman" w:hAnsi="Times New Roman" w:cs="Times New Roman"/>
          <w:color w:val="000000" w:themeColor="text1"/>
          <w:sz w:val="24"/>
          <w14:textFill>
            <w14:solidFill>
              <w14:schemeClr w14:val="tx1"/>
            </w14:solidFill>
          </w14:textFill>
        </w:rPr>
        <w:t>新建计量站部分</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新建计量站新建50kVA杆架式变电站5座，电缆采用聚乙烯铜芯电缆直埋地敷设至用电点。杆架式变电站0.4kV侧设无功补偿装置，新建20kvar无功补偿装置1套，补偿后功率因数均达0.9。</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③</w:t>
      </w:r>
      <w:r>
        <w:rPr>
          <w:rFonts w:ascii="Times New Roman" w:hAnsi="Times New Roman" w:cs="Times New Roman"/>
          <w:color w:val="000000" w:themeColor="text1"/>
          <w:sz w:val="24"/>
          <w14:textFill>
            <w14:solidFill>
              <w14:schemeClr w14:val="tx1"/>
            </w14:solidFill>
          </w14:textFill>
        </w:rPr>
        <w:t>新建恒流配水撬部分</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新建</w:t>
      </w:r>
      <w:r>
        <w:rPr>
          <w:rFonts w:hint="eastAsia" w:ascii="Times New Roman" w:hAnsi="Times New Roman" w:cs="Times New Roman"/>
          <w:color w:val="000000" w:themeColor="text1"/>
          <w:sz w:val="24"/>
          <w14:textFill>
            <w14:solidFill>
              <w14:schemeClr w14:val="tx1"/>
            </w14:solidFill>
          </w14:textFill>
        </w:rPr>
        <w:t>配水站</w:t>
      </w:r>
      <w:r>
        <w:rPr>
          <w:rFonts w:ascii="Times New Roman" w:hAnsi="Times New Roman" w:cs="Times New Roman"/>
          <w:color w:val="000000" w:themeColor="text1"/>
          <w:sz w:val="24"/>
          <w14:textFill>
            <w14:solidFill>
              <w14:schemeClr w14:val="tx1"/>
            </w14:solidFill>
          </w14:textFill>
        </w:rPr>
        <w:t>新建30kVA杆架式变电站</w:t>
      </w: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座，电缆采用聚乙烯铜芯电缆直埋地敷设至用电点。杆架式变电站0.4kV侧设无功补偿装置，新建20kvar无功补偿装置1套，补偿后功率因数均达0.9。</w:t>
      </w:r>
    </w:p>
    <w:p>
      <w:pPr>
        <w:pStyle w:val="25"/>
        <w:spacing w:line="360" w:lineRule="auto"/>
        <w:ind w:firstLine="480" w:firstLineChars="200"/>
        <w:jc w:val="left"/>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本工程电气部分主要工程量详见表3.5-1</w:t>
      </w:r>
      <w:r>
        <w:rPr>
          <w:rFonts w:hint="eastAsia" w:ascii="Times New Roman" w:cs="Times New Roman"/>
          <w:b w:val="0"/>
          <w:bCs/>
          <w:color w:val="000000" w:themeColor="text1"/>
          <w:lang w:val="en-US" w:eastAsia="zh-CN"/>
          <w14:textFill>
            <w14:solidFill>
              <w14:schemeClr w14:val="tx1"/>
            </w14:solidFill>
          </w14:textFill>
        </w:rPr>
        <w:t>7</w:t>
      </w:r>
      <w:r>
        <w:rPr>
          <w:rFonts w:ascii="Times New Roman" w:hAnsi="Times New Roman" w:cs="Times New Roman"/>
          <w:b w:val="0"/>
          <w:bCs/>
          <w:color w:val="000000" w:themeColor="text1"/>
          <w14:textFill>
            <w14:solidFill>
              <w14:schemeClr w14:val="tx1"/>
            </w14:solidFill>
          </w14:textFill>
        </w:rPr>
        <w:t>。</w:t>
      </w:r>
    </w:p>
    <w:p>
      <w:pPr>
        <w:widowControl/>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表3.5-1</w:t>
      </w:r>
      <w:r>
        <w:rPr>
          <w:rFonts w:hint="eastAsia" w:ascii="Times New Roman" w:hAnsi="Times New Roman" w:eastAsia="宋体" w:cs="Times New Roman"/>
          <w:b/>
          <w:bCs/>
          <w:color w:val="000000" w:themeColor="text1"/>
          <w:kern w:val="0"/>
          <w:szCs w:val="21"/>
          <w:lang w:val="en-US" w:eastAsia="zh-CN" w:bidi="ar"/>
          <w14:textFill>
            <w14:solidFill>
              <w14:schemeClr w14:val="tx1"/>
            </w14:solidFill>
          </w14:textFill>
        </w:rPr>
        <w:t>7</w:t>
      </w:r>
      <w:r>
        <w:rPr>
          <w:rFonts w:ascii="Times New Roman" w:hAnsi="Times New Roman" w:eastAsia="宋体" w:cs="Times New Roman"/>
          <w:b/>
          <w:bCs/>
          <w:color w:val="000000" w:themeColor="text1"/>
          <w:kern w:val="0"/>
          <w:szCs w:val="21"/>
          <w:lang w:bidi="ar"/>
          <w14:textFill>
            <w14:solidFill>
              <w14:schemeClr w14:val="tx1"/>
            </w14:solidFill>
          </w14:textFill>
        </w:rPr>
        <w:t xml:space="preserve">  电气部分主要工程量表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3525"/>
        <w:gridCol w:w="1178"/>
        <w:gridCol w:w="1607"/>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序号</w:t>
            </w:r>
          </w:p>
        </w:tc>
        <w:tc>
          <w:tcPr>
            <w:tcW w:w="3525" w:type="dxa"/>
            <w:vAlign w:val="center"/>
          </w:tcPr>
          <w:p>
            <w:pPr>
              <w:pStyle w:val="10"/>
              <w:ind w:left="-69" w:right="-107"/>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名称</w:t>
            </w:r>
          </w:p>
        </w:tc>
        <w:tc>
          <w:tcPr>
            <w:tcW w:w="1178" w:type="dxa"/>
            <w:vAlign w:val="center"/>
          </w:tcPr>
          <w:p>
            <w:pPr>
              <w:pStyle w:val="10"/>
              <w:ind w:left="-69" w:right="-107"/>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单位</w:t>
            </w:r>
          </w:p>
        </w:tc>
        <w:tc>
          <w:tcPr>
            <w:tcW w:w="1607" w:type="dxa"/>
            <w:vAlign w:val="center"/>
          </w:tcPr>
          <w:p>
            <w:pPr>
              <w:pStyle w:val="10"/>
              <w:ind w:left="-69" w:right="-107"/>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数量</w:t>
            </w:r>
          </w:p>
        </w:tc>
        <w:tc>
          <w:tcPr>
            <w:tcW w:w="1242" w:type="dxa"/>
            <w:vAlign w:val="center"/>
          </w:tcPr>
          <w:p>
            <w:pPr>
              <w:pStyle w:val="10"/>
              <w:ind w:left="-69" w:right="-107"/>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A</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集油区部分</w:t>
            </w:r>
          </w:p>
        </w:tc>
        <w:tc>
          <w:tcPr>
            <w:tcW w:w="1178"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c>
          <w:tcPr>
            <w:tcW w:w="1607"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10kV KYN28柜含保护装置</w:t>
            </w:r>
          </w:p>
        </w:tc>
        <w:tc>
          <w:tcPr>
            <w:tcW w:w="1178"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面</w:t>
            </w:r>
          </w:p>
        </w:tc>
        <w:tc>
          <w:tcPr>
            <w:tcW w:w="1607"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ZA-YJV22-8.7/10 3×95</w:t>
            </w:r>
          </w:p>
        </w:tc>
        <w:tc>
          <w:tcPr>
            <w:tcW w:w="1178"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300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10kV架空线路JL/G1A-95/20</w:t>
            </w:r>
          </w:p>
        </w:tc>
        <w:tc>
          <w:tcPr>
            <w:tcW w:w="1178"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km</w:t>
            </w:r>
          </w:p>
        </w:tc>
        <w:tc>
          <w:tcPr>
            <w:tcW w:w="1607"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4.5</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钢芯铝绞线JL/G1A-95/20</w:t>
            </w:r>
          </w:p>
        </w:tc>
        <w:tc>
          <w:tcPr>
            <w:tcW w:w="1178"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km</w:t>
            </w:r>
          </w:p>
        </w:tc>
        <w:tc>
          <w:tcPr>
            <w:tcW w:w="1607"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15</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砼电杆φ190I L=10m</w:t>
            </w:r>
          </w:p>
        </w:tc>
        <w:tc>
          <w:tcPr>
            <w:tcW w:w="1178"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根</w:t>
            </w:r>
          </w:p>
        </w:tc>
        <w:tc>
          <w:tcPr>
            <w:tcW w:w="1607"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10kV架空线路不停电接火</w:t>
            </w:r>
          </w:p>
        </w:tc>
        <w:tc>
          <w:tcPr>
            <w:tcW w:w="1178"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处</w:t>
            </w:r>
          </w:p>
        </w:tc>
        <w:tc>
          <w:tcPr>
            <w:tcW w:w="1607"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苇把子</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r>
              <w:rPr>
                <w:rFonts w:hint="eastAsia" w:ascii="Times New Roman" w:hAnsi="Times New Roman" w:eastAsia="宋体" w:cs="Times New Roman"/>
                <w:color w:val="000000" w:themeColor="text1"/>
                <w:kern w:val="0"/>
                <w:sz w:val="21"/>
                <w:szCs w:val="21"/>
                <w:vertAlign w:val="superscript"/>
                <w:lang w:bidi="ar"/>
                <w14:textFill>
                  <w14:solidFill>
                    <w14:schemeClr w14:val="tx1"/>
                  </w14:solidFill>
                </w14:textFill>
              </w:rPr>
              <w:t>2</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6300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10kV户外真空断路器ZW32A（G）-12/T630-2</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台</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避雷器HY5WS-17/50 DL-TL带脱离器</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组</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短路故障指示器</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组</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接地模块MSD-Ⅲ φ260×1000mm</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个</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6</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11</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接地扁钢-40×4热镀锌</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80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热镀锌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电潜泵杆架式变电站</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座</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19</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能效二级油浸式变压器SNX2-M 10/0.4kV 50kVAD,yn11</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台</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户外挂式补偿箱20kvar防风沙、雨雪</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面</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避雷器HY5WS-17/50 DL-TL带脱离器</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组</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复合绝缘跌开式熔断器HRW12-12/100 10A</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组</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每组3只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户外挂式配电箱防风沙、雨雪</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面</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电力电缆</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255</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镀锌焊接钢管</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接地模块MSD-Ⅲ φ260×1000mm</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个</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接地扁钢-40×4热镀锌</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100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11）</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镀锡铜编织带TZX-6mm</w:t>
            </w:r>
            <w:r>
              <w:rPr>
                <w:rFonts w:ascii="Times New Roman" w:hAnsi="Times New Roman" w:eastAsia="宋体" w:cs="Times New Roman"/>
                <w:color w:val="000000" w:themeColor="text1"/>
                <w:kern w:val="0"/>
                <w:sz w:val="21"/>
                <w:szCs w:val="21"/>
                <w:vertAlign w:val="superscript"/>
                <w:lang w:bidi="ar"/>
                <w14:textFill>
                  <w14:solidFill>
                    <w14:schemeClr w14:val="tx1"/>
                  </w14:solidFill>
                </w14:textFill>
              </w:rPr>
              <w:t>2</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一</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抽油机杆架式变电站</w:t>
            </w:r>
          </w:p>
        </w:tc>
        <w:tc>
          <w:tcPr>
            <w:tcW w:w="1178"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座</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9</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能效二级油浸式变压器SNX2-M 10/0.4kV 63kVA D,yn11</w:t>
            </w:r>
          </w:p>
        </w:tc>
        <w:tc>
          <w:tcPr>
            <w:tcW w:w="1178"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台</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户外挂式补偿箱20kvar防风沙、雨雪</w:t>
            </w:r>
          </w:p>
        </w:tc>
        <w:tc>
          <w:tcPr>
            <w:tcW w:w="1178"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面</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避雷器HY5WS-17/50 DL-TL带脱离器</w:t>
            </w:r>
          </w:p>
        </w:tc>
        <w:tc>
          <w:tcPr>
            <w:tcW w:w="1178"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组</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复合绝缘跌开式熔断器HRW12-12/100 10A</w:t>
            </w:r>
          </w:p>
        </w:tc>
        <w:tc>
          <w:tcPr>
            <w:tcW w:w="1178"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组</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每组3只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户外挂式配电箱防风沙、雨雪</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面</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电力电缆</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255</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镀锌焊接钢管</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接地模块MSD-Ⅲ φ260×1000mm</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个</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接地扁钢-40×4热镀锌</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100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热镀锌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镀锡铜编织带TZX-6mm</w:t>
            </w:r>
            <w:r>
              <w:rPr>
                <w:rFonts w:ascii="Times New Roman" w:hAnsi="Times New Roman" w:eastAsia="宋体" w:cs="Times New Roman"/>
                <w:color w:val="000000" w:themeColor="text1"/>
                <w:kern w:val="0"/>
                <w:sz w:val="21"/>
                <w:szCs w:val="21"/>
                <w:vertAlign w:val="superscript"/>
                <w:lang w:bidi="ar"/>
                <w14:textFill>
                  <w14:solidFill>
                    <w14:schemeClr w14:val="tx1"/>
                  </w14:solidFill>
                </w14:textFill>
              </w:rPr>
              <w:t>2</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30</w:t>
            </w:r>
          </w:p>
        </w:tc>
        <w:tc>
          <w:tcPr>
            <w:tcW w:w="1242"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二</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新建计量站部分</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座</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5</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杆架式变电站</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座</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每座含有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 xml:space="preserve">能效二级油浸式变压器SNX2-M 10/0.4kV 50kVA </w:t>
            </w:r>
            <w:r>
              <w:rPr>
                <w:rFonts w:ascii="Times New Roman" w:hAnsi="Times New Roman" w:eastAsia="宋体" w:cs="Times New Roman"/>
                <w:color w:val="000000" w:themeColor="text1"/>
                <w:kern w:val="0"/>
                <w:sz w:val="21"/>
                <w:szCs w:val="21"/>
                <w:lang w:bidi="ar"/>
                <w14:textFill>
                  <w14:solidFill>
                    <w14:schemeClr w14:val="tx1"/>
                  </w14:solidFill>
                </w14:textFill>
              </w:rPr>
              <w:t>D,yn11</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台</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户外挂式补偿箱20kvar防风沙、雨雪</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面</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避雷器HY5WS-17/50 DL-TL带脱离器</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组</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复合绝缘跌开式熔断器HRW12-12/100 10A</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组</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每组3只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户外挂式配电箱防风沙、雨雪</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面</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电力电缆</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255</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镀锌焊接钢管</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接地模块MSD-</w:t>
            </w:r>
            <w:r>
              <w:rPr>
                <w:rFonts w:hint="default" w:ascii="Times New Roman" w:hAnsi="Times New Roman" w:eastAsia="宋体" w:cs="Times New Roman"/>
                <w:color w:val="000000" w:themeColor="text1"/>
                <w:kern w:val="0"/>
                <w:sz w:val="21"/>
                <w:szCs w:val="21"/>
                <w:lang w:bidi="ar"/>
                <w14:textFill>
                  <w14:solidFill>
                    <w14:schemeClr w14:val="tx1"/>
                  </w14:solidFill>
                </w14:textFill>
              </w:rPr>
              <w:t>Ⅲφ</w:t>
            </w:r>
            <w:r>
              <w:rPr>
                <w:rFonts w:hint="eastAsia" w:ascii="Times New Roman" w:hAnsi="Times New Roman" w:eastAsia="宋体" w:cs="Times New Roman"/>
                <w:color w:val="000000" w:themeColor="text1"/>
                <w:kern w:val="0"/>
                <w:sz w:val="21"/>
                <w:szCs w:val="21"/>
                <w:lang w:bidi="ar"/>
                <w14:textFill>
                  <w14:solidFill>
                    <w14:schemeClr w14:val="tx1"/>
                  </w14:solidFill>
                </w14:textFill>
              </w:rPr>
              <w:t>260×1000mm</w:t>
            </w:r>
          </w:p>
        </w:tc>
        <w:tc>
          <w:tcPr>
            <w:tcW w:w="1178"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个</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4</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接地扁钢-40×4热镀锌</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100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热镀锌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p>
        </w:tc>
        <w:tc>
          <w:tcPr>
            <w:tcW w:w="3525"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镀锡铜编织带TZX-6mm</w:t>
            </w:r>
            <w:r>
              <w:rPr>
                <w:rFonts w:ascii="Times New Roman" w:hAnsi="Times New Roman" w:eastAsia="宋体" w:cs="Times New Roman"/>
                <w:color w:val="000000" w:themeColor="text1"/>
                <w:kern w:val="0"/>
                <w:sz w:val="21"/>
                <w:szCs w:val="21"/>
                <w:vertAlign w:val="superscript"/>
                <w:lang w:bidi="ar"/>
                <w14:textFill>
                  <w14:solidFill>
                    <w14:schemeClr w14:val="tx1"/>
                  </w14:solidFill>
                </w14:textFill>
              </w:rPr>
              <w:t>2</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三</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恒流配水撬</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座</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杆架式变电站</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座</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每座含有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能效二级油浸式变压器SNX2-M 10/0.4kV 30kVA </w:t>
            </w:r>
            <w:r>
              <w:rPr>
                <w:rFonts w:ascii="Times New Roman" w:hAnsi="Times New Roman" w:eastAsia="宋体" w:cs="Times New Roman"/>
                <w:color w:val="000000" w:themeColor="text1"/>
                <w:kern w:val="0"/>
                <w:szCs w:val="21"/>
                <w:lang w:bidi="ar"/>
                <w14:textFill>
                  <w14:solidFill>
                    <w14:schemeClr w14:val="tx1"/>
                  </w14:solidFill>
                </w14:textFill>
              </w:rPr>
              <w:t>D,yn11</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台</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户外挂式补偿箱20kvar防风沙、雨雪</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面</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避雷器HY5WS-17/50 DL-TL带脱离器</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组</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复合绝缘跌开式熔断器HRW12-12/100 7.5A</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组</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每组3只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户外挂式配电箱防风沙、雨雪</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面</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电力电缆</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165</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镀锌焊接钢管</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接地模块MSD</w:t>
            </w:r>
            <w:r>
              <w:rPr>
                <w:rFonts w:hint="default" w:ascii="Times New Roman" w:hAnsi="Times New Roman" w:eastAsia="宋体" w:cs="Times New Roman"/>
                <w:color w:val="000000" w:themeColor="text1"/>
                <w:kern w:val="0"/>
                <w:szCs w:val="21"/>
                <w:lang w:bidi="ar"/>
                <w14:textFill>
                  <w14:solidFill>
                    <w14:schemeClr w14:val="tx1"/>
                  </w14:solidFill>
                </w14:textFill>
              </w:rPr>
              <w:t>-Ⅲφ</w:t>
            </w:r>
            <w:r>
              <w:rPr>
                <w:rFonts w:hint="eastAsia" w:ascii="Times New Roman" w:hAnsi="Times New Roman" w:eastAsia="宋体" w:cs="Times New Roman"/>
                <w:color w:val="000000" w:themeColor="text1"/>
                <w:kern w:val="0"/>
                <w:szCs w:val="21"/>
                <w:lang w:bidi="ar"/>
                <w14:textFill>
                  <w14:solidFill>
                    <w14:schemeClr w14:val="tx1"/>
                  </w14:solidFill>
                </w14:textFill>
              </w:rPr>
              <w:t>260×1000mm</w:t>
            </w:r>
          </w:p>
        </w:tc>
        <w:tc>
          <w:tcPr>
            <w:tcW w:w="1178" w:type="dxa"/>
            <w:vAlign w:val="center"/>
          </w:tcPr>
          <w:p>
            <w:pPr>
              <w:pStyle w:val="10"/>
              <w:ind w:left="-69" w:right="-107"/>
              <w:rPr>
                <w:rFonts w:ascii="Times New Roman" w:hAnsi="Times New Roman" w:eastAsia="宋体" w:cs="Times New Roman"/>
                <w:color w:val="000000" w:themeColor="text1"/>
                <w:kern w:val="0"/>
                <w:sz w:val="21"/>
                <w:szCs w:val="21"/>
                <w:lang w:bidi="ar"/>
                <w14:textFill>
                  <w14:solidFill>
                    <w14:schemeClr w14:val="tx1"/>
                  </w14:solidFill>
                </w14:textFill>
              </w:rPr>
            </w:pPr>
            <w:r>
              <w:rPr>
                <w:rFonts w:hint="eastAsia" w:ascii="Times New Roman" w:hAnsi="Times New Roman" w:eastAsia="宋体" w:cs="Times New Roman"/>
                <w:color w:val="000000" w:themeColor="text1"/>
                <w:kern w:val="0"/>
                <w:sz w:val="21"/>
                <w:szCs w:val="21"/>
                <w:lang w:bidi="ar"/>
                <w14:textFill>
                  <w14:solidFill>
                    <w14:schemeClr w14:val="tx1"/>
                  </w14:solidFill>
                </w14:textFill>
              </w:rPr>
              <w:t>个</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4</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接地扁钢-40×4热镀锌</w:t>
            </w:r>
          </w:p>
        </w:tc>
        <w:tc>
          <w:tcPr>
            <w:tcW w:w="1178"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100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热镀锌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p>
        </w:tc>
        <w:tc>
          <w:tcPr>
            <w:tcW w:w="352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镀锡铜编织带TZX-6mm</w:t>
            </w:r>
            <w:r>
              <w:rPr>
                <w:rFonts w:ascii="Times New Roman" w:hAnsi="Times New Roman" w:eastAsia="宋体" w:cs="Times New Roman"/>
                <w:color w:val="000000" w:themeColor="text1"/>
                <w:kern w:val="0"/>
                <w:szCs w:val="21"/>
                <w:vertAlign w:val="superscript"/>
                <w:lang w:bidi="ar"/>
                <w14:textFill>
                  <w14:solidFill>
                    <w14:schemeClr w14:val="tx1"/>
                  </w14:solidFill>
                </w14:textFill>
              </w:rPr>
              <w:t>2</w:t>
            </w:r>
          </w:p>
        </w:tc>
        <w:tc>
          <w:tcPr>
            <w:tcW w:w="1178"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二</w:t>
            </w:r>
          </w:p>
        </w:tc>
        <w:tc>
          <w:tcPr>
            <w:tcW w:w="3525"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通信部分</w:t>
            </w:r>
          </w:p>
        </w:tc>
        <w:tc>
          <w:tcPr>
            <w:tcW w:w="1178"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3525"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生产监控接入换机（4千兆光，24千兆电口）</w:t>
            </w:r>
          </w:p>
        </w:tc>
        <w:tc>
          <w:tcPr>
            <w:tcW w:w="1178"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套</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POE供电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3525"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工业以太网交换机6电2光</w:t>
            </w:r>
          </w:p>
        </w:tc>
        <w:tc>
          <w:tcPr>
            <w:tcW w:w="1178"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套</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3525"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网络防护箱</w:t>
            </w:r>
          </w:p>
        </w:tc>
        <w:tc>
          <w:tcPr>
            <w:tcW w:w="1178"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套</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3525"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8芯单模光缆</w:t>
            </w:r>
          </w:p>
        </w:tc>
        <w:tc>
          <w:tcPr>
            <w:tcW w:w="1178"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150</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3525"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6类网线</w:t>
            </w:r>
          </w:p>
        </w:tc>
        <w:tc>
          <w:tcPr>
            <w:tcW w:w="1178" w:type="dxa"/>
            <w:vAlign w:val="center"/>
          </w:tcPr>
          <w:p>
            <w:pPr>
              <w:ind w:left="-69" w:right="-107"/>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箱</w:t>
            </w:r>
          </w:p>
        </w:tc>
        <w:tc>
          <w:tcPr>
            <w:tcW w:w="1607"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1242" w:type="dxa"/>
            <w:vAlign w:val="center"/>
          </w:tcPr>
          <w:p>
            <w:pPr>
              <w:pStyle w:val="10"/>
              <w:ind w:left="-69" w:right="-107"/>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305m/箱</w:t>
            </w:r>
          </w:p>
        </w:tc>
      </w:tr>
    </w:tbl>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3.5.</w:t>
      </w:r>
      <w:r>
        <w:rPr>
          <w:rFonts w:hint="eastAsia" w:cs="Times New Roman"/>
          <w:color w:val="000000" w:themeColor="text1"/>
          <w:kern w:val="0"/>
          <w14:textFill>
            <w14:solidFill>
              <w14:schemeClr w14:val="tx1"/>
            </w14:solidFill>
          </w14:textFill>
        </w:rPr>
        <w:t>8</w:t>
      </w:r>
      <w:r>
        <w:rPr>
          <w:rFonts w:cs="Times New Roman"/>
          <w:color w:val="000000" w:themeColor="text1"/>
          <w:kern w:val="0"/>
          <w14:textFill>
            <w14:solidFill>
              <w14:schemeClr w14:val="tx1"/>
            </w14:solidFill>
          </w14:textFill>
        </w:rPr>
        <w:t>.3仪表自动化工程</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（1）采油井场</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新部署</w:t>
      </w:r>
      <w:r>
        <w:rPr>
          <w:rFonts w:hint="eastAsia" w:ascii="Times New Roman" w:hAnsi="Times New Roman" w:eastAsia="宋体" w:cs="Times New Roman"/>
          <w:color w:val="000000" w:themeColor="text1"/>
          <w:kern w:val="0"/>
          <w:sz w:val="24"/>
          <w:lang w:bidi="ar"/>
          <w14:textFill>
            <w14:solidFill>
              <w14:schemeClr w14:val="tx1"/>
            </w14:solidFill>
          </w14:textFill>
        </w:rPr>
        <w:t>28</w:t>
      </w:r>
      <w:r>
        <w:rPr>
          <w:rFonts w:ascii="Times New Roman" w:hAnsi="Times New Roman" w:eastAsia="宋体" w:cs="Times New Roman"/>
          <w:color w:val="000000" w:themeColor="text1"/>
          <w:kern w:val="0"/>
          <w:sz w:val="24"/>
          <w:lang w:bidi="ar"/>
          <w14:textFill>
            <w14:solidFill>
              <w14:schemeClr w14:val="tx1"/>
            </w14:solidFill>
          </w14:textFill>
        </w:rPr>
        <w:t>座采油井场，全部采用电潜泵井，采油井工艺及仪表均采用标准化设计。采油井没有自喷期，单口采油井主要测控内容如下：</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井口油压（回压）检测   1点（ZigBee Pro）</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井口套压检测    1点（ZigBee Pro）</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无线三相电参检测（包括启停控制、运行状态检测、三相电流、电压检测）1点（ZigBee Pro）</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采用DN50钢管固定设置1套5.8GHz无线网桥RT远端站，用于RTU数据的上传。最终井场仪表数据上传至陆梁作业区生产监控平台进行集中监控、管理。</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（2）计量站</w:t>
      </w:r>
      <w:r>
        <w:rPr>
          <w:rFonts w:hint="eastAsia" w:ascii="Times New Roman" w:hAnsi="Times New Roman" w:eastAsia="宋体" w:cs="Times New Roman"/>
          <w:color w:val="000000" w:themeColor="text1"/>
          <w:kern w:val="0"/>
          <w:sz w:val="24"/>
          <w:lang w:bidi="ar"/>
          <w14:textFill>
            <w14:solidFill>
              <w14:schemeClr w14:val="tx1"/>
            </w14:solidFill>
          </w14:textFill>
        </w:rPr>
        <w:t>扩建</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次新建计量站8井式计量站采用标准化设计；新建计量站12井式计量站采用标准化设计。在计量站计量装置计量间新增1台静态分析型含水分析仪，相关数据通过通讯电缆统一接入计量撬PLC。计量撬RTU开列5.8G无线网桥远端站RT，将数据通过5.8G无线网桥上传至陆梁作业区生产监控平台进行集中监控、管理。</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无线数据传输网络</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根据油区井场分布，依托陆24计量站和陆梁集中处理站已建通信塔，分别新建1套5.8GHz点对多点无线网桥AP基站，覆盖本次所有新建井场。无线网桥点对多点AP基站设置在通信塔上的高度以保证数据可靠传输为原则设置。本工程井场数据经网桥AP基站汇聚后，再经已建无线网桥通信链路传至陆梁公寓已建SCADA系统进行集中监控、管理。</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（4）</w:t>
      </w:r>
      <w:r>
        <w:rPr>
          <w:rFonts w:ascii="Times New Roman" w:hAnsi="Times New Roman" w:eastAsia="宋体" w:cs="Times New Roman"/>
          <w:color w:val="000000" w:themeColor="text1"/>
          <w:kern w:val="0"/>
          <w:sz w:val="24"/>
          <w:lang w:bidi="ar"/>
          <w14:textFill>
            <w14:solidFill>
              <w14:schemeClr w14:val="tx1"/>
            </w14:solidFill>
          </w14:textFill>
        </w:rPr>
        <w:t>网络安全</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陆梁油田无线数据传输网络（5.8G无线微波）所依托的已建无线基站AP备已配置及启用接入认证加密（WPA/WPA2/WPA-WPA2，支持至少AES-128位加密算法）及黑白名单功能，支持WIDS和WIPS功能，确保只有在白名单列表中的无线设备才能接入数据网络，实现无线数据传输网络信息安全。在无线接入区部署安全接入网关，客户端证书发送至安全网关进行身份识别，安全网关将访问身份鉴别系统以验证证书的有效性。一旦接入认证通过，移动客户端建立了端到端安全可靠的通道。无线接入通过采用Portal认证、802.1X协议认证、静态IP/MAC地址绑定以及身份鉴别与安全加密等多种技术手段，实现无线接入安全认证。视频和过程生产数据采用VLAN划分，实现逻辑隔离功能。</w:t>
      </w:r>
    </w:p>
    <w:p>
      <w:pPr>
        <w:widowControl/>
        <w:spacing w:line="360" w:lineRule="auto"/>
        <w:ind w:firstLine="480" w:firstLineChars="200"/>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本工程仪表部分主要工程量详见表3.5-</w:t>
      </w:r>
      <w:r>
        <w:rPr>
          <w:rFonts w:hint="eastAsia" w:ascii="Times New Roman" w:hAnsi="Times New Roman" w:eastAsia="宋体" w:cs="Times New Roman"/>
          <w:color w:val="000000" w:themeColor="text1"/>
          <w:kern w:val="0"/>
          <w:sz w:val="24"/>
          <w:lang w:bidi="ar"/>
          <w14:textFill>
            <w14:solidFill>
              <w14:schemeClr w14:val="tx1"/>
            </w14:solidFill>
          </w14:textFill>
        </w:rPr>
        <w:t>1</w:t>
      </w:r>
      <w:r>
        <w:rPr>
          <w:rFonts w:hint="eastAsia" w:ascii="Times New Roman" w:hAnsi="Times New Roman" w:eastAsia="宋体" w:cs="Times New Roman"/>
          <w:color w:val="000000" w:themeColor="text1"/>
          <w:kern w:val="0"/>
          <w:sz w:val="24"/>
          <w:lang w:val="en-US" w:eastAsia="zh-CN" w:bidi="ar"/>
          <w14:textFill>
            <w14:solidFill>
              <w14:schemeClr w14:val="tx1"/>
            </w14:solidFill>
          </w14:textFill>
        </w:rPr>
        <w:t>8</w:t>
      </w:r>
      <w:r>
        <w:rPr>
          <w:rFonts w:ascii="Times New Roman" w:hAnsi="Times New Roman" w:eastAsia="宋体" w:cs="Times New Roman"/>
          <w:color w:val="000000" w:themeColor="text1"/>
          <w:kern w:val="0"/>
          <w:sz w:val="24"/>
          <w:lang w:bidi="ar"/>
          <w14:textFill>
            <w14:solidFill>
              <w14:schemeClr w14:val="tx1"/>
            </w14:solidFill>
          </w14:textFill>
        </w:rPr>
        <w:t>。</w:t>
      </w:r>
    </w:p>
    <w:p>
      <w:pPr>
        <w:widowControl/>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表3.5-</w:t>
      </w:r>
      <w:r>
        <w:rPr>
          <w:rFonts w:hint="eastAsia" w:ascii="Times New Roman" w:hAnsi="Times New Roman" w:eastAsia="宋体" w:cs="Times New Roman"/>
          <w:b/>
          <w:bCs/>
          <w:color w:val="000000" w:themeColor="text1"/>
          <w:kern w:val="0"/>
          <w:szCs w:val="21"/>
          <w:lang w:bidi="ar"/>
          <w14:textFill>
            <w14:solidFill>
              <w14:schemeClr w14:val="tx1"/>
            </w14:solidFill>
          </w14:textFill>
        </w:rPr>
        <w:t>1</w:t>
      </w:r>
      <w:r>
        <w:rPr>
          <w:rFonts w:hint="eastAsia" w:ascii="Times New Roman" w:hAnsi="Times New Roman" w:eastAsia="宋体" w:cs="Times New Roman"/>
          <w:b/>
          <w:bCs/>
          <w:color w:val="000000" w:themeColor="text1"/>
          <w:kern w:val="0"/>
          <w:szCs w:val="21"/>
          <w:lang w:val="en-US" w:eastAsia="zh-CN" w:bidi="ar"/>
          <w14:textFill>
            <w14:solidFill>
              <w14:schemeClr w14:val="tx1"/>
            </w14:solidFill>
          </w14:textFill>
        </w:rPr>
        <w:t>8</w:t>
      </w:r>
      <w:r>
        <w:rPr>
          <w:rFonts w:ascii="Times New Roman" w:hAnsi="Times New Roman" w:eastAsia="宋体" w:cs="Times New Roman"/>
          <w:b/>
          <w:bCs/>
          <w:color w:val="000000" w:themeColor="text1"/>
          <w:kern w:val="0"/>
          <w:szCs w:val="21"/>
          <w:lang w:bidi="ar"/>
          <w14:textFill>
            <w14:solidFill>
              <w14:schemeClr w14:val="tx1"/>
            </w14:solidFill>
          </w14:textFill>
        </w:rPr>
        <w:t xml:space="preserve">  仪表部分主要工程量表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5336"/>
        <w:gridCol w:w="1136"/>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b/>
                <w:bCs/>
                <w:color w:val="000000" w:themeColor="text1"/>
                <w:kern w:val="0"/>
                <w:szCs w:val="21"/>
                <w:lang w:bidi="ar"/>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序号</w:t>
            </w:r>
          </w:p>
        </w:tc>
        <w:tc>
          <w:tcPr>
            <w:tcW w:w="5336" w:type="dxa"/>
            <w:vAlign w:val="center"/>
          </w:tcPr>
          <w:p>
            <w:pPr>
              <w:widowControl/>
              <w:jc w:val="center"/>
              <w:rPr>
                <w:rFonts w:ascii="Times New Roman" w:hAnsi="Times New Roman" w:eastAsia="宋体" w:cs="Times New Roman"/>
                <w:b/>
                <w:bCs/>
                <w:color w:val="000000" w:themeColor="text1"/>
                <w:kern w:val="0"/>
                <w:szCs w:val="21"/>
                <w:lang w:bidi="ar"/>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名称</w:t>
            </w:r>
          </w:p>
        </w:tc>
        <w:tc>
          <w:tcPr>
            <w:tcW w:w="1136" w:type="dxa"/>
            <w:vAlign w:val="center"/>
          </w:tcPr>
          <w:p>
            <w:pPr>
              <w:widowControl/>
              <w:jc w:val="center"/>
              <w:rPr>
                <w:rFonts w:ascii="Times New Roman" w:hAnsi="Times New Roman" w:eastAsia="宋体" w:cs="Times New Roman"/>
                <w:b/>
                <w:bCs/>
                <w:color w:val="000000" w:themeColor="text1"/>
                <w:kern w:val="0"/>
                <w:szCs w:val="21"/>
                <w:lang w:bidi="ar"/>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单位</w:t>
            </w:r>
          </w:p>
        </w:tc>
        <w:tc>
          <w:tcPr>
            <w:tcW w:w="1095" w:type="dxa"/>
            <w:vAlign w:val="center"/>
          </w:tcPr>
          <w:p>
            <w:pPr>
              <w:widowControl/>
              <w:jc w:val="center"/>
              <w:rPr>
                <w:rFonts w:ascii="Times New Roman" w:hAnsi="Times New Roman" w:eastAsia="宋体" w:cs="Times New Roman"/>
                <w:b/>
                <w:bCs/>
                <w:color w:val="000000" w:themeColor="text1"/>
                <w:kern w:val="0"/>
                <w:szCs w:val="21"/>
                <w:lang w:bidi="ar"/>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一</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采油井场（共28座），以下为单座工程量</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通集20141相关仪表设备</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RTU</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套</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5.8G无线网桥远端RT设备</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套</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4</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超五类铠装屏蔽双绞线</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ASPT-100MHz-CAT.5e 4×2×18AWG</w:t>
            </w: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5</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铜芯聚氯乙烯绝缘软电线</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BVR-1×16mm</w:t>
            </w:r>
            <w:r>
              <w:rPr>
                <w:rFonts w:ascii="Times New Roman" w:hAnsi="Times New Roman" w:eastAsia="宋体" w:cs="Times New Roman"/>
                <w:color w:val="000000" w:themeColor="text1"/>
                <w:kern w:val="0"/>
                <w:szCs w:val="21"/>
                <w:vertAlign w:val="superscript"/>
                <w:lang w:bidi="ar"/>
                <w14:textFill>
                  <w14:solidFill>
                    <w14:schemeClr w14:val="tx1"/>
                  </w14:solidFill>
                </w14:textFill>
              </w:rPr>
              <w:t>2</w:t>
            </w:r>
            <w:r>
              <w:rPr>
                <w:rFonts w:ascii="Times New Roman" w:hAnsi="Times New Roman" w:eastAsia="宋体" w:cs="Times New Roman"/>
                <w:color w:val="000000" w:themeColor="text1"/>
                <w:kern w:val="0"/>
                <w:szCs w:val="21"/>
                <w:lang w:bidi="ar"/>
                <w14:textFill>
                  <w14:solidFill>
                    <w14:schemeClr w14:val="tx1"/>
                  </w14:solidFill>
                </w14:textFill>
              </w:rPr>
              <w:t>（黄绿色）</w:t>
            </w: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6</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低压流体输送用焊接钢管（热镀锌）（GB/T3091-2015）</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DN25 Q235B</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DN50 Q235B</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二</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计量站（共5座计量站，8井式1座、12井式4座）</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通集20201、20202相关仪表设备</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静态分析型含水分析仪</w:t>
            </w:r>
          </w:p>
        </w:tc>
        <w:tc>
          <w:tcPr>
            <w:tcW w:w="1136" w:type="dxa"/>
            <w:shd w:val="clear" w:color="auto" w:fill="auto"/>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套</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3</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计量撬自带远程测控终端RTU扩容（MODBUS TCP）</w:t>
            </w:r>
          </w:p>
        </w:tc>
        <w:tc>
          <w:tcPr>
            <w:tcW w:w="1136" w:type="dxa"/>
            <w:shd w:val="clear" w:color="auto" w:fill="auto"/>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套</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4</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5.8G无线无线网桥远端RT设备</w:t>
            </w:r>
          </w:p>
        </w:tc>
        <w:tc>
          <w:tcPr>
            <w:tcW w:w="1136" w:type="dxa"/>
            <w:shd w:val="clear" w:color="auto" w:fill="auto"/>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套</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5</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阻燃铜芯聚乙烯绝缘聚氯乙烯护套铜丝编织铠装屏蔽控制软电缆</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ZA-KVVP22-450/750V-16×1.5mm</w:t>
            </w:r>
            <w:r>
              <w:rPr>
                <w:rFonts w:ascii="Times New Roman" w:hAnsi="Times New Roman" w:eastAsia="宋体" w:cs="Times New Roman"/>
                <w:color w:val="000000" w:themeColor="text1"/>
                <w:kern w:val="0"/>
                <w:szCs w:val="21"/>
                <w:vertAlign w:val="superscript"/>
                <w:lang w:bidi="ar"/>
                <w14:textFill>
                  <w14:solidFill>
                    <w14:schemeClr w14:val="tx1"/>
                  </w14:solidFill>
                </w14:textFill>
              </w:rPr>
              <w:t>2</w:t>
            </w: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6</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铜芯聚氯乙烯绝缘电线BVR-1×6mm</w:t>
            </w:r>
            <w:r>
              <w:rPr>
                <w:rFonts w:ascii="Times New Roman" w:hAnsi="Times New Roman" w:eastAsia="宋体" w:cs="Times New Roman"/>
                <w:color w:val="000000" w:themeColor="text1"/>
                <w:kern w:val="0"/>
                <w:szCs w:val="21"/>
                <w:vertAlign w:val="superscript"/>
                <w:lang w:bidi="ar"/>
                <w14:textFill>
                  <w14:solidFill>
                    <w14:schemeClr w14:val="tx1"/>
                  </w14:solidFill>
                </w14:textFill>
              </w:rPr>
              <w:t>2</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7</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低压流体输送用焊接钢管</w:t>
            </w:r>
            <w:r>
              <w:rPr>
                <w:rFonts w:hint="eastAsia" w:ascii="Times New Roman" w:hAnsi="Times New Roman" w:eastAsia="宋体" w:cs="Times New Roman"/>
                <w:color w:val="000000" w:themeColor="text1"/>
                <w:kern w:val="0"/>
                <w:szCs w:val="21"/>
                <w:lang w:bidi="ar"/>
                <w14:textFill>
                  <w14:solidFill>
                    <w14:schemeClr w14:val="tx1"/>
                  </w14:solidFill>
                </w14:textFill>
              </w:rPr>
              <w:t>（</w:t>
            </w:r>
            <w:r>
              <w:rPr>
                <w:rFonts w:ascii="Times New Roman" w:hAnsi="Times New Roman" w:eastAsia="宋体" w:cs="Times New Roman"/>
                <w:color w:val="000000" w:themeColor="text1"/>
                <w:kern w:val="0"/>
                <w:szCs w:val="21"/>
                <w:lang w:bidi="ar"/>
                <w14:textFill>
                  <w14:solidFill>
                    <w14:schemeClr w14:val="tx1"/>
                  </w14:solidFill>
                </w14:textFill>
              </w:rPr>
              <w:t>DN50（Φ60.3×3.8），Q235B</w:t>
            </w:r>
            <w:r>
              <w:rPr>
                <w:rFonts w:hint="eastAsia" w:ascii="Times New Roman" w:hAnsi="Times New Roman" w:eastAsia="宋体" w:cs="Times New Roman"/>
                <w:color w:val="000000" w:themeColor="text1"/>
                <w:kern w:val="0"/>
                <w:szCs w:val="21"/>
                <w:lang w:bidi="ar"/>
                <w14:textFill>
                  <w14:solidFill>
                    <w14:schemeClr w14:val="tx1"/>
                  </w14:solidFill>
                </w14:textFill>
              </w:rPr>
              <w:t>）</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m</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三</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陆梁作业区已建SCADA组态、扩容</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1</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陆梁作业区生产监控平台组态、扩容、调试</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套</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包含：28座采油井场，1座8井式计量撬，4座12井式计量撬</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w:t>
            </w: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陆梁作业区功图系统扩容、组态</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套</w:t>
            </w: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53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包含：28座采油井场</w:t>
            </w:r>
          </w:p>
        </w:tc>
        <w:tc>
          <w:tcPr>
            <w:tcW w:w="1136"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c>
          <w:tcPr>
            <w:tcW w:w="1095"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p>
        </w:tc>
      </w:tr>
    </w:tbl>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3.5.</w:t>
      </w:r>
      <w:r>
        <w:rPr>
          <w:rFonts w:hint="eastAsia" w:ascii="Times New Roman" w:hAnsi="Times New Roman"/>
          <w:color w:val="000000" w:themeColor="text1"/>
          <w:sz w:val="28"/>
          <w:szCs w:val="28"/>
          <w14:textFill>
            <w14:solidFill>
              <w14:schemeClr w14:val="tx1"/>
            </w14:solidFill>
          </w14:textFill>
        </w:rPr>
        <w:t>8</w:t>
      </w:r>
      <w:r>
        <w:rPr>
          <w:rFonts w:ascii="Times New Roman" w:hAnsi="Times New Roman"/>
          <w:color w:val="000000" w:themeColor="text1"/>
          <w:sz w:val="28"/>
          <w:szCs w:val="28"/>
          <w14:textFill>
            <w14:solidFill>
              <w14:schemeClr w14:val="tx1"/>
            </w14:solidFill>
          </w14:textFill>
        </w:rPr>
        <w:t>.4道路工程</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本次开发部署区域位于老区，区内建有比较完善的油田路网，交通便利，依托性较好。本次不需新建道路，巡井道路可依托已建道路。</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3.5.</w:t>
      </w:r>
      <w:r>
        <w:rPr>
          <w:rFonts w:hint="eastAsia" w:ascii="Times New Roman" w:hAnsi="Times New Roman"/>
          <w:color w:val="000000" w:themeColor="text1"/>
          <w:sz w:val="28"/>
          <w:szCs w:val="28"/>
          <w14:textFill>
            <w14:solidFill>
              <w14:schemeClr w14:val="tx1"/>
            </w14:solidFill>
          </w14:textFill>
        </w:rPr>
        <w:t>8</w:t>
      </w:r>
      <w:r>
        <w:rPr>
          <w:rFonts w:ascii="Times New Roman" w:hAnsi="Times New Roman"/>
          <w:color w:val="000000" w:themeColor="text1"/>
          <w:sz w:val="28"/>
          <w:szCs w:val="28"/>
          <w14:textFill>
            <w14:solidFill>
              <w14:schemeClr w14:val="tx1"/>
            </w14:solidFill>
          </w14:textFill>
        </w:rPr>
        <w:t>.5供排水</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（1）供水</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①施工期</w:t>
      </w:r>
    </w:p>
    <w:p>
      <w:pPr>
        <w:pStyle w:val="60"/>
        <w:adjustRightInd/>
        <w:snapToGrid/>
        <w:rPr>
          <w:rFonts w:ascii="Times New Roman" w:hAnsi="Times New Roman" w:cs="Times New Roman"/>
          <w:color w:val="000000" w:themeColor="text1"/>
          <w:highlight w:val="yellow"/>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本项目施工期供水来自</w:t>
      </w:r>
      <w:r>
        <w:rPr>
          <w:rFonts w:hint="eastAsia" w:ascii="Times New Roman" w:hAnsi="Times New Roman" w:cs="Times New Roman"/>
          <w:color w:val="000000" w:themeColor="text1"/>
          <w14:textFill>
            <w14:solidFill>
              <w14:schemeClr w14:val="tx1"/>
            </w14:solidFill>
          </w14:textFill>
        </w:rPr>
        <w:t>陆梁油田作业区</w:t>
      </w:r>
      <w:r>
        <w:rPr>
          <w:rFonts w:ascii="Times New Roman" w:hAnsi="Times New Roman" w:cs="Times New Roman"/>
          <w:color w:val="000000" w:themeColor="text1"/>
          <w14:textFill>
            <w14:solidFill>
              <w14:schemeClr w14:val="tx1"/>
            </w14:solidFill>
          </w14:textFill>
        </w:rPr>
        <w:t>，在钻井过程中生产用水主要为泥浆配比用水，根据建设单位提供的资料，泥浆配比用水约为泥浆用量的90%，则整个钻井周期单井用水量156.6m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28</w:t>
      </w:r>
      <w:r>
        <w:rPr>
          <w:rFonts w:ascii="Times New Roman" w:hAnsi="Times New Roman" w:cs="Times New Roman"/>
          <w:color w:val="000000" w:themeColor="text1"/>
          <w14:textFill>
            <w14:solidFill>
              <w14:schemeClr w14:val="tx1"/>
            </w14:solidFill>
          </w14:textFill>
        </w:rPr>
        <w:t>口井预计用水量</w:t>
      </w:r>
      <w:r>
        <w:rPr>
          <w:rFonts w:hint="eastAsia" w:ascii="Times New Roman" w:hAnsi="Times New Roman" w:cs="Times New Roman"/>
          <w:color w:val="000000" w:themeColor="text1"/>
          <w14:textFill>
            <w14:solidFill>
              <w14:schemeClr w14:val="tx1"/>
            </w14:solidFill>
          </w14:textFill>
        </w:rPr>
        <w:t>4384.8</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施工期管道试压用水量</w:t>
      </w:r>
      <w:r>
        <w:rPr>
          <w:rFonts w:hint="eastAsia" w:ascii="Times New Roman" w:hAnsi="Times New Roman" w:cs="Times New Roman"/>
          <w:color w:val="000000" w:themeColor="text1"/>
          <w14:textFill>
            <w14:solidFill>
              <w14:schemeClr w14:val="tx1"/>
            </w14:solidFill>
          </w14:textFill>
        </w:rPr>
        <w:t>95.38</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pStyle w:val="60"/>
        <w:adjustRightInd/>
        <w:snapToGrid/>
        <w:rPr>
          <w:rFonts w:ascii="Times New Roman" w:hAnsi="Times New Roman" w:cs="Times New Roman"/>
          <w:color w:val="000000" w:themeColor="text1"/>
          <w:highlight w:val="yellow"/>
          <w14:textFill>
            <w14:solidFill>
              <w14:schemeClr w14:val="tx1"/>
            </w14:solidFill>
          </w14:textFill>
        </w:rPr>
      </w:pPr>
      <w:r>
        <w:rPr>
          <w:rFonts w:ascii="Times New Roman" w:hAnsi="Times New Roman" w:cs="Times New Roman"/>
          <w:color w:val="000000" w:themeColor="text1"/>
          <w14:textFill>
            <w14:solidFill>
              <w14:schemeClr w14:val="tx1"/>
            </w14:solidFill>
          </w14:textFill>
        </w:rPr>
        <w:t>射孔液用水主要来自陆梁集中处理站处理达标后的水，</w:t>
      </w:r>
      <w:r>
        <w:rPr>
          <w:rFonts w:ascii="Times New Roman" w:hAnsi="Times New Roman" w:eastAsia="宋体" w:cs="Times New Roman"/>
          <w:color w:val="000000" w:themeColor="text1"/>
          <w:kern w:val="0"/>
          <w:lang w:bidi="ar"/>
          <w14:textFill>
            <w14:solidFill>
              <w14:schemeClr w14:val="tx1"/>
            </w14:solidFill>
          </w14:textFill>
        </w:rPr>
        <w:t>单井射孔液用量</w:t>
      </w:r>
      <w:r>
        <w:rPr>
          <w:rFonts w:hint="eastAsia" w:ascii="Times New Roman" w:hAnsi="Times New Roman" w:eastAsia="宋体" w:cs="Times New Roman"/>
          <w:color w:val="000000" w:themeColor="text1"/>
          <w:kern w:val="0"/>
          <w:lang w:bidi="ar"/>
          <w14:textFill>
            <w14:solidFill>
              <w14:schemeClr w14:val="tx1"/>
            </w14:solidFill>
          </w14:textFill>
        </w:rPr>
        <w:t>30</w:t>
      </w:r>
      <w:r>
        <w:rPr>
          <w:rFonts w:ascii="Times New Roman" w:hAnsi="Times New Roman" w:eastAsia="宋体" w:cs="Times New Roman"/>
          <w:color w:val="000000" w:themeColor="text1"/>
          <w:kern w:val="0"/>
          <w:lang w:bidi="ar"/>
          <w14:textFill>
            <w14:solidFill>
              <w14:schemeClr w14:val="tx1"/>
            </w14:solidFill>
          </w14:textFill>
        </w:rPr>
        <w:t>m</w:t>
      </w:r>
      <w:r>
        <w:rPr>
          <w:rFonts w:ascii="Times New Roman" w:hAnsi="Times New Roman" w:eastAsia="宋体" w:cs="Times New Roman"/>
          <w:color w:val="000000" w:themeColor="text1"/>
          <w:kern w:val="0"/>
          <w:vertAlign w:val="superscript"/>
          <w:lang w:bidi="ar"/>
          <w14:textFill>
            <w14:solidFill>
              <w14:schemeClr w14:val="tx1"/>
            </w14:solidFill>
          </w14:textFill>
        </w:rPr>
        <w:t>3</w:t>
      </w:r>
      <w:r>
        <w:rPr>
          <w:rFonts w:ascii="Times New Roman" w:hAnsi="Times New Roman" w:eastAsia="宋体" w:cs="Times New Roman"/>
          <w:color w:val="000000" w:themeColor="text1"/>
          <w:kern w:val="0"/>
          <w:lang w:bidi="ar"/>
          <w14:textFill>
            <w14:solidFill>
              <w14:schemeClr w14:val="tx1"/>
            </w14:solidFill>
          </w14:textFill>
        </w:rPr>
        <w:t>～</w:t>
      </w:r>
      <w:r>
        <w:rPr>
          <w:rFonts w:hint="eastAsia" w:ascii="Times New Roman" w:hAnsi="Times New Roman" w:eastAsia="宋体" w:cs="Times New Roman"/>
          <w:color w:val="000000" w:themeColor="text1"/>
          <w:kern w:val="0"/>
          <w:lang w:bidi="ar"/>
          <w14:textFill>
            <w14:solidFill>
              <w14:schemeClr w14:val="tx1"/>
            </w14:solidFill>
          </w14:textFill>
        </w:rPr>
        <w:t>40</w:t>
      </w:r>
      <w:r>
        <w:rPr>
          <w:rFonts w:ascii="Times New Roman" w:hAnsi="Times New Roman" w:eastAsia="宋体" w:cs="Times New Roman"/>
          <w:color w:val="000000" w:themeColor="text1"/>
          <w:kern w:val="0"/>
          <w:lang w:bidi="ar"/>
          <w14:textFill>
            <w14:solidFill>
              <w14:schemeClr w14:val="tx1"/>
            </w14:solidFill>
          </w14:textFill>
        </w:rPr>
        <w:t>m</w:t>
      </w:r>
      <w:r>
        <w:rPr>
          <w:rFonts w:ascii="Times New Roman" w:hAnsi="Times New Roman" w:eastAsia="宋体" w:cs="Times New Roman"/>
          <w:color w:val="000000" w:themeColor="text1"/>
          <w:kern w:val="0"/>
          <w:vertAlign w:val="superscript"/>
          <w:lang w:bidi="ar"/>
          <w14:textFill>
            <w14:solidFill>
              <w14:schemeClr w14:val="tx1"/>
            </w14:solidFill>
          </w14:textFill>
        </w:rPr>
        <w:t>3</w:t>
      </w:r>
      <w:r>
        <w:rPr>
          <w:rFonts w:ascii="Times New Roman" w:hAnsi="Times New Roman" w:eastAsia="宋体" w:cs="Times New Roman"/>
          <w:color w:val="000000" w:themeColor="text1"/>
          <w:kern w:val="0"/>
          <w:lang w:bidi="ar"/>
          <w14:textFill>
            <w14:solidFill>
              <w14:schemeClr w14:val="tx1"/>
            </w14:solidFill>
          </w14:textFill>
        </w:rPr>
        <w:t>，本次射孔按最大使用量</w:t>
      </w:r>
      <w:r>
        <w:rPr>
          <w:rFonts w:hint="eastAsia" w:ascii="Times New Roman" w:hAnsi="Times New Roman" w:eastAsia="宋体" w:cs="Times New Roman"/>
          <w:color w:val="000000" w:themeColor="text1"/>
          <w:kern w:val="0"/>
          <w:lang w:bidi="ar"/>
          <w14:textFill>
            <w14:solidFill>
              <w14:schemeClr w14:val="tx1"/>
            </w14:solidFill>
          </w14:textFill>
        </w:rPr>
        <w:t>4</w:t>
      </w:r>
      <w:r>
        <w:rPr>
          <w:rFonts w:ascii="Times New Roman" w:hAnsi="Times New Roman" w:eastAsia="宋体" w:cs="Times New Roman"/>
          <w:color w:val="000000" w:themeColor="text1"/>
          <w:kern w:val="0"/>
          <w:lang w:bidi="ar"/>
          <w14:textFill>
            <w14:solidFill>
              <w14:schemeClr w14:val="tx1"/>
            </w14:solidFill>
          </w14:textFill>
        </w:rPr>
        <w:t>0m</w:t>
      </w:r>
      <w:r>
        <w:rPr>
          <w:rFonts w:ascii="Times New Roman" w:hAnsi="Times New Roman" w:eastAsia="宋体" w:cs="Times New Roman"/>
          <w:color w:val="000000" w:themeColor="text1"/>
          <w:kern w:val="0"/>
          <w:vertAlign w:val="superscript"/>
          <w:lang w:bidi="ar"/>
          <w14:textFill>
            <w14:solidFill>
              <w14:schemeClr w14:val="tx1"/>
            </w14:solidFill>
          </w14:textFill>
        </w:rPr>
        <w:t>3</w:t>
      </w:r>
      <w:r>
        <w:rPr>
          <w:rFonts w:ascii="Times New Roman" w:hAnsi="Times New Roman" w:eastAsia="宋体" w:cs="Times New Roman"/>
          <w:color w:val="000000" w:themeColor="text1"/>
          <w:kern w:val="0"/>
          <w:lang w:bidi="ar"/>
          <w14:textFill>
            <w14:solidFill>
              <w14:schemeClr w14:val="tx1"/>
            </w14:solidFill>
          </w14:textFill>
        </w:rPr>
        <w:t>/口计，则射孔液用量</w:t>
      </w:r>
      <w:r>
        <w:rPr>
          <w:rFonts w:hint="eastAsia" w:ascii="Times New Roman" w:hAnsi="Times New Roman" w:eastAsia="宋体" w:cs="Times New Roman"/>
          <w:color w:val="000000" w:themeColor="text1"/>
          <w:kern w:val="0"/>
          <w:lang w:bidi="ar"/>
          <w14:textFill>
            <w14:solidFill>
              <w14:schemeClr w14:val="tx1"/>
            </w14:solidFill>
          </w14:textFill>
        </w:rPr>
        <w:t>148</w:t>
      </w:r>
      <w:r>
        <w:rPr>
          <w:rFonts w:ascii="Times New Roman" w:hAnsi="Times New Roman" w:eastAsia="宋体" w:cs="Times New Roman"/>
          <w:color w:val="000000" w:themeColor="text1"/>
          <w:kern w:val="0"/>
          <w:lang w:bidi="ar"/>
          <w14:textFill>
            <w14:solidFill>
              <w14:schemeClr w14:val="tx1"/>
            </w14:solidFill>
          </w14:textFill>
        </w:rPr>
        <w:t>0m</w:t>
      </w:r>
      <w:r>
        <w:rPr>
          <w:rFonts w:ascii="Times New Roman" w:hAnsi="Times New Roman" w:eastAsia="宋体" w:cs="Times New Roman"/>
          <w:color w:val="000000" w:themeColor="text1"/>
          <w:kern w:val="0"/>
          <w:vertAlign w:val="superscript"/>
          <w:lang w:bidi="ar"/>
          <w14:textFill>
            <w14:solidFill>
              <w14:schemeClr w14:val="tx1"/>
            </w14:solidFill>
          </w14:textFill>
        </w:rPr>
        <w:t>3</w:t>
      </w:r>
      <w:r>
        <w:rPr>
          <w:rFonts w:ascii="Times New Roman" w:hAnsi="Times New Roman" w:eastAsia="宋体" w:cs="Times New Roman"/>
          <w:color w:val="000000" w:themeColor="text1"/>
          <w:kern w:val="0"/>
          <w:lang w:bidi="ar"/>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射孔</w:t>
      </w:r>
      <w:r>
        <w:rPr>
          <w:rFonts w:hint="eastAsia" w:ascii="Times New Roman" w:hAnsi="Times New Roman" w:eastAsia="宋体" w:cs="Times New Roman"/>
          <w:color w:val="000000" w:themeColor="text1"/>
          <w14:textFill>
            <w14:solidFill>
              <w14:schemeClr w14:val="tx1"/>
            </w14:solidFill>
          </w14:textFill>
        </w:rPr>
        <w:t>液</w:t>
      </w:r>
      <w:r>
        <w:rPr>
          <w:rFonts w:ascii="Times New Roman" w:hAnsi="Times New Roman" w:cs="Times New Roman"/>
          <w:color w:val="000000" w:themeColor="text1"/>
          <w14:textFill>
            <w14:solidFill>
              <w14:schemeClr w14:val="tx1"/>
            </w14:solidFill>
          </w14:textFill>
        </w:rPr>
        <w:t>配比用水约为射孔液的90%，则</w:t>
      </w:r>
      <w:r>
        <w:rPr>
          <w:rFonts w:hint="eastAsia" w:ascii="Times New Roman" w:hAnsi="Times New Roman" w:cs="Times New Roman"/>
          <w:color w:val="000000" w:themeColor="text1"/>
          <w:lang w:val="en-US" w:eastAsia="zh-CN"/>
          <w14:textFill>
            <w14:solidFill>
              <w14:schemeClr w14:val="tx1"/>
            </w14:solidFill>
          </w14:textFill>
        </w:rPr>
        <w:t>射孔</w:t>
      </w:r>
      <w:r>
        <w:rPr>
          <w:rFonts w:ascii="Times New Roman" w:hAnsi="Times New Roman" w:cs="Times New Roman"/>
          <w:color w:val="000000" w:themeColor="text1"/>
          <w14:textFill>
            <w14:solidFill>
              <w14:schemeClr w14:val="tx1"/>
            </w14:solidFill>
          </w14:textFill>
        </w:rPr>
        <w:t>液用水量约</w:t>
      </w:r>
      <w:r>
        <w:rPr>
          <w:rFonts w:hint="eastAsia" w:ascii="Times New Roman" w:hAnsi="Times New Roman" w:cs="Times New Roman"/>
          <w:color w:val="000000" w:themeColor="text1"/>
          <w14:textFill>
            <w14:solidFill>
              <w14:schemeClr w14:val="tx1"/>
            </w14:solidFill>
          </w14:textFill>
        </w:rPr>
        <w:t>1332</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项目施工人员不另设生活营地，施工人员食宿依托陆梁集中公寓，生活用水及排水均依托钻井公寓供排水设施，本环评不再进行核算。</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②运营期</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运营期不新增劳动定员，无生活用水，用水节点主要为井下作业用水，洗井液为提前配置，无需单独供水。</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（2）排水</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①施工期</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施工人员食宿本项目施工人员生活用水依托陆梁集中公寓，不再进行单独核算及评价。施工期管道试压产生量</w:t>
      </w:r>
      <w:r>
        <w:rPr>
          <w:rFonts w:hint="eastAsia" w:ascii="Times New Roman" w:hAnsi="Times New Roman" w:cs="Times New Roman"/>
          <w:color w:val="000000" w:themeColor="text1"/>
          <w14:textFill>
            <w14:solidFill>
              <w14:schemeClr w14:val="tx1"/>
            </w14:solidFill>
          </w14:textFill>
        </w:rPr>
        <w:t>31.25</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，试压废水用于场地降尘。射孔液与采出液一起管输至陆梁集中处理站处理，不外排。</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②运营期</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运营期井下作业废水、采出水依托陆梁集中处理站处理达标后用于回注油藏，不向外环境排放。</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3.5.</w:t>
      </w:r>
      <w:r>
        <w:rPr>
          <w:rFonts w:hint="eastAsia" w:ascii="Times New Roman" w:hAnsi="Times New Roman"/>
          <w:color w:val="000000" w:themeColor="text1"/>
          <w:sz w:val="28"/>
          <w:szCs w:val="28"/>
          <w14:textFill>
            <w14:solidFill>
              <w14:schemeClr w14:val="tx1"/>
            </w14:solidFill>
          </w14:textFill>
        </w:rPr>
        <w:t>8</w:t>
      </w:r>
      <w:r>
        <w:rPr>
          <w:rFonts w:ascii="Times New Roman" w:hAnsi="Times New Roman"/>
          <w:color w:val="000000" w:themeColor="text1"/>
          <w:sz w:val="28"/>
          <w:szCs w:val="28"/>
          <w14:textFill>
            <w14:solidFill>
              <w14:schemeClr w14:val="tx1"/>
            </w14:solidFill>
          </w14:textFill>
        </w:rPr>
        <w:t>.6消防</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石油天然气工程设计防火规范》GB50183-2004，新建多通阀撬可不设灭火系统和消防冷却水系统。在多通阀撬旁配置2具8kg手提式磷酸铵盐干粉灭火器。室外布置灭火器设遮阳防雨罩，室外灭火器选择耐温范围为-40℃~55℃的灭火器。采油井场依托计量站的消防设施。</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消防部分主要工程量见表</w:t>
      </w:r>
      <w:r>
        <w:rPr>
          <w:rFonts w:hint="eastAsia" w:ascii="Times New Roman" w:hAnsi="Times New Roman" w:cs="Times New Roman"/>
          <w:color w:val="000000" w:themeColor="text1"/>
          <w:sz w:val="24"/>
          <w14:textFill>
            <w14:solidFill>
              <w14:schemeClr w14:val="tx1"/>
            </w14:solidFill>
          </w14:textFill>
        </w:rPr>
        <w:t>3.5-1</w:t>
      </w:r>
      <w:r>
        <w:rPr>
          <w:rFonts w:hint="eastAsia" w:ascii="Times New Roman" w:hAnsi="Times New Roman" w:cs="Times New Roman"/>
          <w:color w:val="000000" w:themeColor="text1"/>
          <w:sz w:val="24"/>
          <w:lang w:val="en-US" w:eastAsia="zh-CN"/>
          <w14:textFill>
            <w14:solidFill>
              <w14:schemeClr w14:val="tx1"/>
            </w14:solidFill>
          </w14:textFill>
        </w:rPr>
        <w:t>9</w:t>
      </w:r>
      <w:r>
        <w:rPr>
          <w:rFonts w:ascii="Times New Roman" w:hAnsi="Times New Roman" w:cs="Times New Roman"/>
          <w:color w:val="000000" w:themeColor="text1"/>
          <w:sz w:val="24"/>
          <w14:textFill>
            <w14:solidFill>
              <w14:schemeClr w14:val="tx1"/>
            </w14:solidFill>
          </w14:textFill>
        </w:rPr>
        <w:t>。</w:t>
      </w:r>
    </w:p>
    <w:p>
      <w:pPr>
        <w:widowControl/>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表3.5-1</w:t>
      </w:r>
      <w:r>
        <w:rPr>
          <w:rFonts w:hint="eastAsia" w:ascii="Times New Roman" w:hAnsi="Times New Roman" w:cs="Times New Roman"/>
          <w:b/>
          <w:bCs/>
          <w:color w:val="000000" w:themeColor="text1"/>
          <w:szCs w:val="21"/>
          <w:lang w:val="en-US" w:eastAsia="zh-CN"/>
          <w14:textFill>
            <w14:solidFill>
              <w14:schemeClr w14:val="tx1"/>
            </w14:solidFill>
          </w14:textFill>
        </w:rPr>
        <w:t>9</w:t>
      </w:r>
      <w:r>
        <w:rPr>
          <w:rFonts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 xml:space="preserve"> </w:t>
      </w:r>
      <w:r>
        <w:rPr>
          <w:rFonts w:ascii="Times New Roman" w:hAnsi="Times New Roman" w:cs="Times New Roman"/>
          <w:b/>
          <w:bCs/>
          <w:color w:val="000000" w:themeColor="text1"/>
          <w:szCs w:val="21"/>
          <w14:textFill>
            <w14:solidFill>
              <w14:schemeClr w14:val="tx1"/>
            </w14:solidFill>
          </w14:textFill>
        </w:rPr>
        <w:t>主要工程量表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4442"/>
        <w:gridCol w:w="1662"/>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9"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序号</w:t>
            </w:r>
          </w:p>
        </w:tc>
        <w:tc>
          <w:tcPr>
            <w:tcW w:w="4442"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名称</w:t>
            </w:r>
          </w:p>
        </w:tc>
        <w:tc>
          <w:tcPr>
            <w:tcW w:w="1662"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单位</w:t>
            </w:r>
          </w:p>
        </w:tc>
        <w:tc>
          <w:tcPr>
            <w:tcW w:w="1069"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9"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4442"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MF/ABC8型手提式磷酸铵盐干粉灭火器</w:t>
            </w:r>
          </w:p>
        </w:tc>
        <w:tc>
          <w:tcPr>
            <w:tcW w:w="1662"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具</w:t>
            </w:r>
          </w:p>
        </w:tc>
        <w:tc>
          <w:tcPr>
            <w:tcW w:w="1069"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r>
    </w:tbl>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3.5.</w:t>
      </w:r>
      <w:r>
        <w:rPr>
          <w:rFonts w:hint="eastAsia" w:ascii="Times New Roman" w:hAnsi="Times New Roman" w:eastAsia="黑体" w:cs="Times New Roman"/>
          <w:b/>
          <w:color w:val="000000" w:themeColor="text1"/>
          <w:sz w:val="30"/>
          <w:szCs w:val="30"/>
          <w14:textFill>
            <w14:solidFill>
              <w14:schemeClr w14:val="tx1"/>
            </w14:solidFill>
          </w14:textFill>
        </w:rPr>
        <w:t>9</w:t>
      </w:r>
      <w:r>
        <w:rPr>
          <w:rFonts w:ascii="Times New Roman" w:hAnsi="Times New Roman" w:eastAsia="黑体" w:cs="Times New Roman"/>
          <w:b/>
          <w:color w:val="000000" w:themeColor="text1"/>
          <w:sz w:val="30"/>
          <w:szCs w:val="30"/>
          <w14:textFill>
            <w14:solidFill>
              <w14:schemeClr w14:val="tx1"/>
            </w14:solidFill>
          </w14:textFill>
        </w:rPr>
        <w:t>依托工程</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本项目原油、伴生气及采出水均依托陆梁集中处理站进行处理。</w:t>
      </w:r>
      <w:r>
        <w:rPr>
          <w:rFonts w:ascii="Times New Roman" w:hAnsi="Times New Roman" w:cs="Times New Roman"/>
          <w:color w:val="000000" w:themeColor="text1"/>
          <w:kern w:val="0"/>
          <w:sz w:val="24"/>
          <w14:textFill>
            <w14:solidFill>
              <w14:schemeClr w14:val="tx1"/>
            </w14:solidFill>
          </w14:textFill>
        </w:rPr>
        <w:t>注水依托</w:t>
      </w:r>
      <w:r>
        <w:rPr>
          <w:rFonts w:ascii="Times New Roman" w:hAnsi="Times New Roman" w:cs="Times New Roman"/>
          <w:color w:val="000000" w:themeColor="text1"/>
          <w:sz w:val="24"/>
          <w14:textFill>
            <w14:solidFill>
              <w14:schemeClr w14:val="tx1"/>
            </w14:solidFill>
          </w14:textFill>
        </w:rPr>
        <w:t>陆梁集中处理站</w:t>
      </w:r>
      <w:r>
        <w:rPr>
          <w:rFonts w:ascii="Times New Roman" w:hAnsi="Times New Roman" w:cs="Times New Roman"/>
          <w:color w:val="000000" w:themeColor="text1"/>
          <w:kern w:val="0"/>
          <w:sz w:val="24"/>
          <w14:textFill>
            <w14:solidFill>
              <w14:schemeClr w14:val="tx1"/>
            </w14:solidFill>
          </w14:textFill>
        </w:rPr>
        <w:t>的水。</w:t>
      </w:r>
      <w:r>
        <w:rPr>
          <w:rFonts w:ascii="Times New Roman" w:hAnsi="Times New Roman" w:cs="Times New Roman"/>
          <w:color w:val="000000" w:themeColor="text1"/>
          <w:sz w:val="24"/>
          <w14:textFill>
            <w14:solidFill>
              <w14:schemeClr w14:val="tx1"/>
            </w14:solidFill>
          </w14:textFill>
        </w:rPr>
        <w:t>陆梁油田作业区于2011年对该作业区开发区域进行了环境影响后评价工作，并于2011年11月24日取得《关于中国石油新疆油田分公司陆梁油田作业区环境影响后评价报告书的审查意见》（新环评价函</w:t>
      </w:r>
      <w:r>
        <w:rPr>
          <w:rFonts w:ascii="Times New Roman" w:hAnsi="Times New Roman" w:eastAsia="宋体" w:cs="Times New Roman"/>
          <w:color w:val="000000" w:themeColor="text1"/>
          <w:sz w:val="24"/>
          <w14:textFill>
            <w14:solidFill>
              <w14:schemeClr w14:val="tx1"/>
            </w14:solidFill>
          </w14:textFill>
        </w:rPr>
        <w:t>〔2011〕</w:t>
      </w:r>
      <w:r>
        <w:rPr>
          <w:rFonts w:ascii="Times New Roman" w:hAnsi="Times New Roman" w:cs="Times New Roman"/>
          <w:color w:val="000000" w:themeColor="text1"/>
          <w:sz w:val="24"/>
          <w14:textFill>
            <w14:solidFill>
              <w14:schemeClr w14:val="tx1"/>
            </w14:solidFill>
          </w14:textFill>
        </w:rPr>
        <w:t>1120号）。</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3.5.</w:t>
      </w:r>
      <w:r>
        <w:rPr>
          <w:rFonts w:hint="eastAsia" w:ascii="Times New Roman" w:hAnsi="Times New Roman"/>
          <w:color w:val="000000" w:themeColor="text1"/>
          <w:sz w:val="28"/>
          <w:szCs w:val="28"/>
          <w14:textFill>
            <w14:solidFill>
              <w14:schemeClr w14:val="tx1"/>
            </w14:solidFill>
          </w14:textFill>
        </w:rPr>
        <w:t>9</w:t>
      </w:r>
      <w:r>
        <w:rPr>
          <w:rFonts w:ascii="Times New Roman" w:hAnsi="Times New Roman"/>
          <w:color w:val="000000" w:themeColor="text1"/>
          <w:sz w:val="28"/>
          <w:szCs w:val="28"/>
          <w14:textFill>
            <w14:solidFill>
              <w14:schemeClr w14:val="tx1"/>
            </w14:solidFill>
          </w14:textFill>
        </w:rPr>
        <w:t>.1陆梁集中处理站</w:t>
      </w:r>
    </w:p>
    <w:p>
      <w:pPr>
        <w:spacing w:line="360" w:lineRule="auto"/>
        <w:ind w:firstLine="482"/>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（1）基本情况</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陆梁集中处理站地处陆梁油田主力产油区的南面，距油田东西向主干道以北150m。陆梁集中处理站于2001年11月全面建成投产，是一座高效集油、气、水集中处理，油田注水和站区</w:t>
      </w:r>
      <w:r>
        <w:rPr>
          <w:rFonts w:hint="eastAsia" w:ascii="Times New Roman" w:hAnsi="Times New Roman" w:cs="Times New Roman"/>
          <w:color w:val="000000" w:themeColor="text1"/>
          <w:sz w:val="24"/>
          <w14:textFill>
            <w14:solidFill>
              <w14:schemeClr w14:val="tx1"/>
            </w14:solidFill>
          </w14:textFill>
        </w:rPr>
        <w:t>采暖于一体的</w:t>
      </w:r>
      <w:r>
        <w:rPr>
          <w:rFonts w:ascii="Times New Roman" w:hAnsi="Times New Roman" w:cs="Times New Roman"/>
          <w:color w:val="000000" w:themeColor="text1"/>
          <w:sz w:val="24"/>
          <w14:textFill>
            <w14:solidFill>
              <w14:schemeClr w14:val="tx1"/>
            </w14:solidFill>
          </w14:textFill>
        </w:rPr>
        <w:t>综合性站库。处理站内概况见下图3.5-</w:t>
      </w:r>
      <w:r>
        <w:rPr>
          <w:rFonts w:hint="eastAsia" w:ascii="Times New Roman" w:hAnsi="Times New Roman" w:cs="Times New Roman"/>
          <w:color w:val="000000" w:themeColor="text1"/>
          <w:sz w:val="24"/>
          <w:lang w:val="en-US" w:eastAsia="zh-CN"/>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w:t>
      </w:r>
    </w:p>
    <w:p>
      <w:pPr>
        <w:pStyle w:val="2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5274310" cy="3721735"/>
            <wp:effectExtent l="9525" t="9525" r="12065" b="215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5274310" cy="3721735"/>
                    </a:xfrm>
                    <a:prstGeom prst="rect">
                      <a:avLst/>
                    </a:prstGeom>
                    <a:ln>
                      <a:solidFill>
                        <a:schemeClr val="tx1"/>
                      </a:solidFill>
                    </a:ln>
                  </pic:spPr>
                </pic:pic>
              </a:graphicData>
            </a:graphic>
          </wp:inline>
        </w:drawing>
      </w:r>
    </w:p>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图3.5-</w:t>
      </w:r>
      <w:r>
        <w:rPr>
          <w:rFonts w:hint="eastAsia" w:cs="Times New Roman"/>
          <w:color w:val="000000" w:themeColor="text1"/>
          <w:sz w:val="21"/>
          <w:szCs w:val="21"/>
          <w:lang w:val="en-US" w:eastAsia="zh-CN"/>
          <w14:textFill>
            <w14:solidFill>
              <w14:schemeClr w14:val="tx1"/>
            </w14:solidFill>
          </w14:textFill>
        </w:rPr>
        <w:t>5</w:t>
      </w:r>
      <w:r>
        <w:rPr>
          <w:rFonts w:cs="Times New Roman"/>
          <w:color w:val="000000" w:themeColor="text1"/>
          <w:sz w:val="21"/>
          <w:szCs w:val="21"/>
          <w14:textFill>
            <w14:solidFill>
              <w14:schemeClr w14:val="tx1"/>
            </w14:solidFill>
          </w14:textFill>
        </w:rPr>
        <w:t xml:space="preserve">  陆梁集中处理站平面布置图</w:t>
      </w:r>
    </w:p>
    <w:p>
      <w:pPr>
        <w:spacing w:line="360" w:lineRule="auto"/>
        <w:ind w:firstLine="482"/>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（2）环保手续</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陆梁集中处理站设有原油处理系统、天然气处理系统、老化油处理系统、污水处理系统、注水系统和外输系统，具体的环保手续履行情况详见下表3.5-</w:t>
      </w:r>
      <w:r>
        <w:rPr>
          <w:rFonts w:hint="eastAsia" w:ascii="Times New Roman" w:hAnsi="Times New Roman" w:cs="Times New Roman"/>
          <w:color w:val="000000" w:themeColor="text1"/>
          <w:sz w:val="24"/>
          <w:lang w:val="en-US" w:eastAsia="zh-CN"/>
          <w14:textFill>
            <w14:solidFill>
              <w14:schemeClr w14:val="tx1"/>
            </w14:solidFill>
          </w14:textFill>
        </w:rPr>
        <w:t>20</w:t>
      </w:r>
      <w:r>
        <w:rPr>
          <w:rFonts w:ascii="Times New Roman" w:hAnsi="Times New Roman" w:cs="Times New Roman"/>
          <w:color w:val="000000" w:themeColor="text1"/>
          <w:sz w:val="24"/>
          <w14:textFill>
            <w14:solidFill>
              <w14:schemeClr w14:val="tx1"/>
            </w14:solidFill>
          </w14:textFill>
        </w:rPr>
        <w:t>。</w:t>
      </w:r>
    </w:p>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表3.5-</w:t>
      </w:r>
      <w:r>
        <w:rPr>
          <w:rFonts w:hint="eastAsia" w:cs="Times New Roman"/>
          <w:color w:val="000000" w:themeColor="text1"/>
          <w:sz w:val="21"/>
          <w:szCs w:val="21"/>
          <w:lang w:val="en-US" w:eastAsia="zh-CN"/>
          <w14:textFill>
            <w14:solidFill>
              <w14:schemeClr w14:val="tx1"/>
            </w14:solidFill>
          </w14:textFill>
        </w:rPr>
        <w:t>20</w:t>
      </w:r>
      <w:r>
        <w:rPr>
          <w:rFonts w:cs="Times New Roman"/>
          <w:color w:val="000000" w:themeColor="text1"/>
          <w:sz w:val="21"/>
          <w:szCs w:val="21"/>
          <w14:textFill>
            <w14:solidFill>
              <w14:schemeClr w14:val="tx1"/>
            </w14:solidFill>
          </w14:textFill>
        </w:rPr>
        <w:t xml:space="preserve"> 陆梁集中处理站主要环保手续履行情况</w:t>
      </w:r>
    </w:p>
    <w:tbl>
      <w:tblPr>
        <w:tblStyle w:val="2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402"/>
        <w:gridCol w:w="1701"/>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工程名称</w:t>
            </w:r>
          </w:p>
        </w:tc>
        <w:tc>
          <w:tcPr>
            <w:tcW w:w="3402"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主要建设内容</w:t>
            </w:r>
          </w:p>
        </w:tc>
        <w:tc>
          <w:tcPr>
            <w:tcW w:w="1701"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环评批复</w:t>
            </w:r>
          </w:p>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及时间</w:t>
            </w:r>
          </w:p>
        </w:tc>
        <w:tc>
          <w:tcPr>
            <w:tcW w:w="1638"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验收批复</w:t>
            </w:r>
          </w:p>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中国石油新疆油田分公司陆梁油田开发建设项目</w:t>
            </w:r>
          </w:p>
        </w:tc>
        <w:tc>
          <w:tcPr>
            <w:tcW w:w="3402"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配套建设原油处理系统、天然气处理系统、污水处理系统等。</w:t>
            </w:r>
          </w:p>
        </w:tc>
        <w:tc>
          <w:tcPr>
            <w:tcW w:w="1701"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环审</w:t>
            </w:r>
            <w:r>
              <w:rPr>
                <w:rFonts w:ascii="Times New Roman" w:hAnsi="Times New Roman" w:eastAsia="宋体" w:cs="Times New Roman"/>
                <w:color w:val="000000" w:themeColor="text1"/>
                <w14:textFill>
                  <w14:solidFill>
                    <w14:schemeClr w14:val="tx1"/>
                  </w14:solidFill>
                </w14:textFill>
              </w:rPr>
              <w:t>〔2003〕</w:t>
            </w:r>
            <w:r>
              <w:rPr>
                <w:rFonts w:ascii="Times New Roman" w:hAnsi="Times New Roman" w:cs="Times New Roman"/>
                <w:color w:val="000000" w:themeColor="text1"/>
                <w14:textFill>
                  <w14:solidFill>
                    <w14:schemeClr w14:val="tx1"/>
                  </w14:solidFill>
                </w14:textFill>
              </w:rPr>
              <w:t>69号，2003年2月25日</w:t>
            </w:r>
          </w:p>
        </w:tc>
        <w:tc>
          <w:tcPr>
            <w:tcW w:w="163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环验</w:t>
            </w:r>
            <w:r>
              <w:rPr>
                <w:rFonts w:ascii="Times New Roman" w:hAnsi="Times New Roman" w:eastAsia="宋体" w:cs="Times New Roman"/>
                <w:color w:val="000000" w:themeColor="text1"/>
                <w14:textFill>
                  <w14:solidFill>
                    <w14:schemeClr w14:val="tx1"/>
                  </w14:solidFill>
                </w14:textFill>
              </w:rPr>
              <w:t>〔2005〕</w:t>
            </w:r>
            <w:r>
              <w:rPr>
                <w:rFonts w:ascii="Times New Roman" w:hAnsi="Times New Roman" w:cs="Times New Roman"/>
                <w:color w:val="000000" w:themeColor="text1"/>
                <w14:textFill>
                  <w14:solidFill>
                    <w14:schemeClr w14:val="tx1"/>
                  </w14:solidFill>
                </w14:textFill>
              </w:rPr>
              <w:t>071号，2005年8月16日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新疆油田公司陆梁集中处理站污水处理系统扩建工程</w:t>
            </w:r>
          </w:p>
        </w:tc>
        <w:tc>
          <w:tcPr>
            <w:tcW w:w="3402"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在现有陆梁油田集中处理站现有场地新建1座污水处理设施，新增污废水处理能力5000m³/天，改扩建后陆梁油田集中处理站污水处理系统处理规模达到10000m³/天。</w:t>
            </w:r>
          </w:p>
        </w:tc>
        <w:tc>
          <w:tcPr>
            <w:tcW w:w="1701"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新环评价函</w:t>
            </w:r>
            <w:r>
              <w:rPr>
                <w:rFonts w:ascii="Times New Roman" w:hAnsi="Times New Roman" w:eastAsia="宋体" w:cs="Times New Roman"/>
                <w:color w:val="000000" w:themeColor="text1"/>
                <w14:textFill>
                  <w14:solidFill>
                    <w14:schemeClr w14:val="tx1"/>
                  </w14:solidFill>
                </w14:textFill>
              </w:rPr>
              <w:t>〔2013〕</w:t>
            </w:r>
            <w:r>
              <w:rPr>
                <w:rFonts w:ascii="Times New Roman" w:hAnsi="Times New Roman" w:cs="Times New Roman"/>
                <w:color w:val="000000" w:themeColor="text1"/>
                <w14:textFill>
                  <w14:solidFill>
                    <w14:schemeClr w14:val="tx1"/>
                  </w14:solidFill>
                </w14:textFill>
              </w:rPr>
              <w:t>273号，2013年4月9日</w:t>
            </w:r>
          </w:p>
        </w:tc>
        <w:tc>
          <w:tcPr>
            <w:tcW w:w="163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新环函</w:t>
            </w:r>
            <w:r>
              <w:rPr>
                <w:rFonts w:ascii="Times New Roman" w:hAnsi="Times New Roman" w:eastAsia="宋体" w:cs="Times New Roman"/>
                <w:color w:val="000000" w:themeColor="text1"/>
                <w14:textFill>
                  <w14:solidFill>
                    <w14:schemeClr w14:val="tx1"/>
                  </w14:solidFill>
                </w14:textFill>
              </w:rPr>
              <w:t>〔2016〕</w:t>
            </w:r>
            <w:r>
              <w:rPr>
                <w:rFonts w:ascii="Times New Roman" w:hAnsi="Times New Roman" w:cs="Times New Roman"/>
                <w:color w:val="000000" w:themeColor="text1"/>
                <w14:textFill>
                  <w14:solidFill>
                    <w14:schemeClr w14:val="tx1"/>
                  </w14:solidFill>
                </w14:textFill>
              </w:rPr>
              <w:t>23号，2016年1月7日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陆梁集中处理站改扩建工程</w:t>
            </w:r>
          </w:p>
        </w:tc>
        <w:tc>
          <w:tcPr>
            <w:tcW w:w="3402"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对原油处理系统进行改造，在两相分离器后增加卧式三相分离器3座；老化油处理系统改扩建，利用旧60m³缓冲罐1座、破乳剂加药橇1座以及5m³/小时提升泵1</w:t>
            </w:r>
            <w:r>
              <w:rPr>
                <w:rFonts w:hint="eastAsia" w:ascii="Times New Roman" w:hAnsi="Times New Roman" w:cs="Times New Roman"/>
                <w:color w:val="000000" w:themeColor="text1"/>
                <w14:textFill>
                  <w14:solidFill>
                    <w14:schemeClr w14:val="tx1"/>
                  </w14:solidFill>
                </w14:textFill>
              </w:rPr>
              <w:t>台</w:t>
            </w:r>
            <w:r>
              <w:rPr>
                <w:rFonts w:ascii="Times New Roman" w:hAnsi="Times New Roman" w:cs="Times New Roman"/>
                <w:color w:val="000000" w:themeColor="text1"/>
                <w14:textFill>
                  <w14:solidFill>
                    <w14:schemeClr w14:val="tx1"/>
                  </w14:solidFill>
                </w14:textFill>
              </w:rPr>
              <w:t>，500千瓦蒸汽加热器1台；污水处理系统，增加1座250立方米反应罐，配套建设净化剂、助凝剂加药橇2套及管网、阀门等。</w:t>
            </w:r>
          </w:p>
        </w:tc>
        <w:tc>
          <w:tcPr>
            <w:tcW w:w="1701"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新环函</w:t>
            </w:r>
            <w:r>
              <w:rPr>
                <w:rFonts w:ascii="Times New Roman" w:hAnsi="Times New Roman" w:eastAsia="宋体" w:cs="Times New Roman"/>
                <w:color w:val="000000" w:themeColor="text1"/>
                <w14:textFill>
                  <w14:solidFill>
                    <w14:schemeClr w14:val="tx1"/>
                  </w14:solidFill>
                </w14:textFill>
              </w:rPr>
              <w:t>〔2015〕</w:t>
            </w:r>
            <w:r>
              <w:rPr>
                <w:rFonts w:ascii="Times New Roman" w:hAnsi="Times New Roman" w:cs="Times New Roman"/>
                <w:color w:val="000000" w:themeColor="text1"/>
                <w14:textFill>
                  <w14:solidFill>
                    <w14:schemeClr w14:val="tx1"/>
                  </w14:solidFill>
                </w14:textFill>
              </w:rPr>
              <w:t>877号，2015年8月4日</w:t>
            </w:r>
          </w:p>
        </w:tc>
        <w:tc>
          <w:tcPr>
            <w:tcW w:w="163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塔地环验收</w:t>
            </w:r>
            <w:r>
              <w:rPr>
                <w:rFonts w:ascii="Times New Roman" w:hAnsi="Times New Roman" w:eastAsia="宋体" w:cs="Times New Roman"/>
                <w:color w:val="000000" w:themeColor="text1"/>
                <w14:textFill>
                  <w14:solidFill>
                    <w14:schemeClr w14:val="tx1"/>
                  </w14:solidFill>
                </w14:textFill>
              </w:rPr>
              <w:t>〔2017〕</w:t>
            </w:r>
            <w:r>
              <w:rPr>
                <w:rFonts w:ascii="Times New Roman" w:hAnsi="Times New Roman" w:cs="Times New Roman"/>
                <w:color w:val="000000" w:themeColor="text1"/>
                <w14:textFill>
                  <w14:solidFill>
                    <w14:schemeClr w14:val="tx1"/>
                  </w14:solidFill>
                </w14:textFill>
              </w:rPr>
              <w:t>3号，2017年7月12日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陆梁油田污水及注水系统扩建整体工程</w:t>
            </w:r>
          </w:p>
        </w:tc>
        <w:tc>
          <w:tcPr>
            <w:tcW w:w="3402"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对现有的污水处理</w:t>
            </w:r>
            <w:r>
              <w:rPr>
                <w:rFonts w:hint="eastAsia" w:ascii="Times New Roman" w:hAnsi="Times New Roman" w:cs="Times New Roman"/>
                <w:color w:val="000000" w:themeColor="text1"/>
                <w14:textFill>
                  <w14:solidFill>
                    <w14:schemeClr w14:val="tx1"/>
                  </w14:solidFill>
                </w14:textFill>
              </w:rPr>
              <w:t>系统</w:t>
            </w:r>
            <w:r>
              <w:rPr>
                <w:rFonts w:ascii="Times New Roman" w:hAnsi="Times New Roman" w:cs="Times New Roman"/>
                <w:color w:val="000000" w:themeColor="text1"/>
                <w14:textFill>
                  <w14:solidFill>
                    <w14:schemeClr w14:val="tx1"/>
                  </w14:solidFill>
                </w14:textFill>
              </w:rPr>
              <w:t>进行改造，废水处理能力由10000m³/d提升为2</w:t>
            </w:r>
            <w:r>
              <w:rPr>
                <w:rFonts w:hint="eastAsia" w:ascii="Times New Roman" w:hAnsi="Times New Roman" w:cs="Times New Roman"/>
                <w:color w:val="000000" w:themeColor="text1"/>
                <w14:textFill>
                  <w14:solidFill>
                    <w14:schemeClr w14:val="tx1"/>
                  </w14:solidFill>
                </w14:textFill>
              </w:rPr>
              <w:t>0</w:t>
            </w:r>
            <w:r>
              <w:rPr>
                <w:rFonts w:ascii="Times New Roman" w:hAnsi="Times New Roman" w:cs="Times New Roman"/>
                <w:color w:val="000000" w:themeColor="text1"/>
                <w14:textFill>
                  <w14:solidFill>
                    <w14:schemeClr w14:val="tx1"/>
                  </w14:solidFill>
                </w14:textFill>
              </w:rPr>
              <w:t>000m³/d。</w:t>
            </w:r>
          </w:p>
        </w:tc>
        <w:tc>
          <w:tcPr>
            <w:tcW w:w="1701"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新环函</w:t>
            </w:r>
            <w:r>
              <w:rPr>
                <w:rFonts w:ascii="Times New Roman" w:hAnsi="Times New Roman" w:eastAsia="宋体" w:cs="Times New Roman"/>
                <w:color w:val="000000" w:themeColor="text1"/>
                <w14:textFill>
                  <w14:solidFill>
                    <w14:schemeClr w14:val="tx1"/>
                  </w14:solidFill>
                </w14:textFill>
              </w:rPr>
              <w:t>〔2018〕</w:t>
            </w:r>
            <w:r>
              <w:rPr>
                <w:rFonts w:ascii="Times New Roman" w:hAnsi="Times New Roman" w:cs="Times New Roman"/>
                <w:color w:val="000000" w:themeColor="text1"/>
                <w14:textFill>
                  <w14:solidFill>
                    <w14:schemeClr w14:val="tx1"/>
                  </w14:solidFill>
                </w14:textFill>
              </w:rPr>
              <w:t>16号，2018年1月5日</w:t>
            </w:r>
          </w:p>
        </w:tc>
        <w:tc>
          <w:tcPr>
            <w:tcW w:w="163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2020年9月18日</w:t>
            </w:r>
            <w:r>
              <w:rPr>
                <w:rFonts w:hint="eastAsia" w:ascii="Times New Roman" w:hAnsi="Times New Roman" w:cs="Times New Roman"/>
                <w:color w:val="000000" w:themeColor="text1"/>
                <w14:textFill>
                  <w14:solidFill>
                    <w14:schemeClr w14:val="tx1"/>
                  </w14:solidFill>
                </w14:textFill>
              </w:rPr>
              <w:t>已通过企业</w:t>
            </w:r>
            <w:r>
              <w:rPr>
                <w:rFonts w:ascii="Times New Roman" w:hAnsi="Times New Roman" w:cs="Times New Roman"/>
                <w:color w:val="000000" w:themeColor="text1"/>
                <w14:textFill>
                  <w14:solidFill>
                    <w14:schemeClr w14:val="tx1"/>
                  </w14:solidFill>
                </w14:textFill>
              </w:rPr>
              <w:t>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新疆油田陆梁和石西原油密闭处理与稳定改造工程（陆梁部分）</w:t>
            </w:r>
          </w:p>
        </w:tc>
        <w:tc>
          <w:tcPr>
            <w:tcW w:w="3402"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新建1套70×10</w:t>
            </w:r>
            <w:r>
              <w:rPr>
                <w:rFonts w:ascii="Times New Roman" w:hAnsi="Times New Roman" w:cs="Times New Roman"/>
                <w:color w:val="000000" w:themeColor="text1"/>
                <w:vertAlign w:val="super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t/a的原油密闭处理系统，并对外输和配套系统改造。</w:t>
            </w:r>
          </w:p>
        </w:tc>
        <w:tc>
          <w:tcPr>
            <w:tcW w:w="1701"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和生环评函字</w:t>
            </w:r>
            <w:r>
              <w:rPr>
                <w:rFonts w:ascii="Times New Roman" w:hAnsi="Times New Roman" w:eastAsia="宋体" w:cs="Times New Roman"/>
                <w:color w:val="000000" w:themeColor="text1"/>
                <w14:textFill>
                  <w14:solidFill>
                    <w14:schemeClr w14:val="tx1"/>
                  </w14:solidFill>
                </w14:textFill>
              </w:rPr>
              <w:t>〔2019〕</w:t>
            </w:r>
            <w:r>
              <w:rPr>
                <w:rFonts w:ascii="Times New Roman" w:hAnsi="Times New Roman" w:cs="Times New Roman"/>
                <w:color w:val="000000" w:themeColor="text1"/>
                <w14:textFill>
                  <w14:solidFill>
                    <w14:schemeClr w14:val="tx1"/>
                  </w14:solidFill>
                </w14:textFill>
              </w:rPr>
              <w:t>26号，2019年7月12日</w:t>
            </w:r>
          </w:p>
        </w:tc>
        <w:tc>
          <w:tcPr>
            <w:tcW w:w="1638" w:type="dxa"/>
            <w:vAlign w:val="center"/>
          </w:tcPr>
          <w:p>
            <w:pPr>
              <w:pStyle w:val="17"/>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2023年5月17日已通过企业</w:t>
            </w:r>
            <w:r>
              <w:rPr>
                <w:rFonts w:ascii="Times New Roman" w:hAnsi="Times New Roman" w:cs="Times New Roman"/>
                <w:color w:val="000000" w:themeColor="text1"/>
                <w14:textFill>
                  <w14:solidFill>
                    <w14:schemeClr w14:val="tx1"/>
                  </w14:solidFill>
                </w14:textFill>
              </w:rPr>
              <w:t>自主验收</w:t>
            </w:r>
          </w:p>
        </w:tc>
      </w:tr>
    </w:tbl>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（3）主要依托工程内容</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1）原油处理系统</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根据《新疆油田陆梁和石西原油密闭处理与稳定改造工程》2021年进行陆梁集中处理站原油处理系统进行密闭改造，改造后采用</w:t>
      </w:r>
      <w:r>
        <w:rPr>
          <w:rFonts w:hint="eastAsia" w:ascii="Times New Roman" w:hAnsi="Times New Roman" w:cs="Times New Roman"/>
          <w:color w:val="000000" w:themeColor="text1"/>
          <w:sz w:val="24"/>
          <w14:textFill>
            <w14:solidFill>
              <w14:schemeClr w14:val="tx1"/>
            </w14:solidFill>
          </w14:textFill>
        </w:rPr>
        <w:t>“高效聚结游离水脱除器+相变加热炉+高效聚结热化学脱水器”脱水工艺</w:t>
      </w:r>
      <w:r>
        <w:rPr>
          <w:rFonts w:ascii="Times New Roman" w:hAnsi="Times New Roman" w:cs="Times New Roman"/>
          <w:color w:val="000000" w:themeColor="text1"/>
          <w:sz w:val="24"/>
          <w14:textFill>
            <w14:solidFill>
              <w14:schemeClr w14:val="tx1"/>
            </w14:solidFill>
          </w14:textFill>
        </w:rPr>
        <w:t>，设计处理能力为70×10</w:t>
      </w:r>
      <w:r>
        <w:rPr>
          <w:rFonts w:ascii="Times New Roman" w:hAnsi="Times New Roman" w:cs="Times New Roman"/>
          <w:color w:val="000000" w:themeColor="text1"/>
          <w:sz w:val="24"/>
          <w:vertAlign w:val="super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t/a。改造后工艺流程图如下所示。</w:t>
      </w:r>
    </w:p>
    <w:p>
      <w:pPr>
        <w:pStyle w:val="2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114300" distR="114300">
            <wp:extent cx="5264150" cy="1448435"/>
            <wp:effectExtent l="0" t="0" r="12700" b="184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6"/>
                    <a:stretch>
                      <a:fillRect/>
                    </a:stretch>
                  </pic:blipFill>
                  <pic:spPr>
                    <a:xfrm>
                      <a:off x="0" y="0"/>
                      <a:ext cx="5264150" cy="1448435"/>
                    </a:xfrm>
                    <a:prstGeom prst="rect">
                      <a:avLst/>
                    </a:prstGeom>
                    <a:noFill/>
                    <a:ln>
                      <a:noFill/>
                    </a:ln>
                  </pic:spPr>
                </pic:pic>
              </a:graphicData>
            </a:graphic>
          </wp:inline>
        </w:drawing>
      </w:r>
    </w:p>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图3.5-</w:t>
      </w:r>
      <w:r>
        <w:rPr>
          <w:rFonts w:hint="eastAsia" w:cs="Times New Roman"/>
          <w:color w:val="000000" w:themeColor="text1"/>
          <w:sz w:val="21"/>
          <w:szCs w:val="21"/>
          <w:lang w:val="en-US" w:eastAsia="zh-CN"/>
          <w14:textFill>
            <w14:solidFill>
              <w14:schemeClr w14:val="tx1"/>
            </w14:solidFill>
          </w14:textFill>
        </w:rPr>
        <w:t>6</w:t>
      </w:r>
      <w:r>
        <w:rPr>
          <w:rFonts w:cs="Times New Roman"/>
          <w:color w:val="000000" w:themeColor="text1"/>
          <w:sz w:val="21"/>
          <w:szCs w:val="21"/>
          <w14:textFill>
            <w14:solidFill>
              <w14:schemeClr w14:val="tx1"/>
            </w14:solidFill>
          </w14:textFill>
        </w:rPr>
        <w:t xml:space="preserve">  陆梁集中处理站原油处理（改造后）流程图</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陆梁处理站（密闭）处理流程：</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油区来液（</w:t>
      </w:r>
      <w:r>
        <w:rPr>
          <w:rFonts w:hint="eastAsia" w:ascii="Times New Roman" w:hAnsi="Times New Roman" w:cs="Times New Roman"/>
          <w:color w:val="000000" w:themeColor="text1"/>
          <w:sz w:val="24"/>
          <w14:textFill>
            <w14:solidFill>
              <w14:schemeClr w14:val="tx1"/>
            </w14:solidFill>
          </w14:textFill>
        </w:rPr>
        <w:t>20~25℃，0.25~0.30MPa，含水≤90%</w:t>
      </w:r>
      <w:r>
        <w:rPr>
          <w:rFonts w:ascii="Times New Roman" w:hAnsi="Times New Roman" w:cs="Times New Roman"/>
          <w:color w:val="000000" w:themeColor="text1"/>
          <w:sz w:val="24"/>
          <w14:textFill>
            <w14:solidFill>
              <w14:schemeClr w14:val="tx1"/>
            </w14:solidFill>
          </w14:textFill>
        </w:rPr>
        <w:t>）先进入游离水脱除器，分离出低含水原油（</w:t>
      </w:r>
      <w:r>
        <w:rPr>
          <w:rFonts w:hint="eastAsia" w:ascii="Times New Roman" w:hAnsi="Times New Roman" w:cs="Times New Roman"/>
          <w:color w:val="000000" w:themeColor="text1"/>
          <w:sz w:val="24"/>
          <w14:textFill>
            <w14:solidFill>
              <w14:schemeClr w14:val="tx1"/>
            </w14:solidFill>
          </w14:textFill>
        </w:rPr>
        <w:t>含水≤15%</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经提升泵升压至0.60~0.65MPa，经相变加热炉换热升温至（50~55℃、0.60~0.65MPa）进入高效聚结热化学脱水器进行热化学脱水</w:t>
      </w:r>
      <w:r>
        <w:rPr>
          <w:rFonts w:ascii="Times New Roman" w:hAnsi="Times New Roman" w:cs="Times New Roman"/>
          <w:color w:val="000000" w:themeColor="text1"/>
          <w:sz w:val="24"/>
          <w14:textFill>
            <w14:solidFill>
              <w14:schemeClr w14:val="tx1"/>
            </w14:solidFill>
          </w14:textFill>
        </w:rPr>
        <w:t>，合格净化油（55℃~60℃、</w:t>
      </w:r>
      <w:r>
        <w:rPr>
          <w:rFonts w:hint="eastAsia" w:ascii="Times New Roman" w:hAnsi="Times New Roman" w:cs="Times New Roman"/>
          <w:color w:val="000000" w:themeColor="text1"/>
          <w:sz w:val="24"/>
          <w14:textFill>
            <w14:solidFill>
              <w14:schemeClr w14:val="tx1"/>
            </w14:solidFill>
          </w14:textFill>
        </w:rPr>
        <w:t>0.50~0.55MPa</w:t>
      </w:r>
      <w:r>
        <w:rPr>
          <w:rFonts w:ascii="Times New Roman" w:hAnsi="Times New Roman" w:cs="Times New Roman"/>
          <w:color w:val="000000" w:themeColor="text1"/>
          <w:sz w:val="24"/>
          <w14:textFill>
            <w14:solidFill>
              <w14:schemeClr w14:val="tx1"/>
            </w14:solidFill>
          </w14:textFill>
        </w:rPr>
        <w:t>，含水≤0.5%）</w:t>
      </w:r>
      <w:r>
        <w:rPr>
          <w:rFonts w:hint="eastAsia" w:ascii="Times New Roman" w:hAnsi="Times New Roman" w:cs="Times New Roman"/>
          <w:color w:val="000000" w:themeColor="text1"/>
          <w:sz w:val="24"/>
          <w14:textFill>
            <w14:solidFill>
              <w14:schemeClr w14:val="tx1"/>
            </w14:solidFill>
          </w14:textFill>
        </w:rPr>
        <w:t>与加热至55℃的夏盐11处理站净化油（含水≤0.5%）混合进入压力缓冲罐后经外输泵输至石西集中处理站进行原油稳定。</w:t>
      </w:r>
      <w:r>
        <w:rPr>
          <w:rFonts w:ascii="Times New Roman" w:hAnsi="Times New Roman" w:cs="Times New Roman"/>
          <w:color w:val="000000" w:themeColor="text1"/>
          <w:sz w:val="24"/>
          <w14:textFill>
            <w14:solidFill>
              <w14:schemeClr w14:val="tx1"/>
            </w14:solidFill>
          </w14:textFill>
        </w:rPr>
        <w:t>游离水脱除器分离出的伴生气经除油器脱液、压控后，输送到伴生气处理系统处理。游离水脱除器脱出的含油污水进入采出水处理系统。</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2）伴生气处理系统</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陆梁集中处理站天然气处理装置2002年9月施工建设，于2002年12月30日正式投产。伴生气设计处理能力15×10</w:t>
      </w:r>
      <w:r>
        <w:rPr>
          <w:rFonts w:ascii="Times New Roman" w:hAnsi="Times New Roman" w:cs="Times New Roman"/>
          <w:color w:val="000000" w:themeColor="text1"/>
          <w:sz w:val="24"/>
          <w:vertAlign w:val="super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/d，目前实际处理量为</w:t>
      </w:r>
      <w:r>
        <w:rPr>
          <w:rFonts w:hint="eastAsia" w:ascii="Times New Roman" w:hAnsi="Times New Roman" w:cs="Times New Roman"/>
          <w:color w:val="000000" w:themeColor="text1"/>
          <w:sz w:val="24"/>
          <w14:textFill>
            <w14:solidFill>
              <w14:schemeClr w14:val="tx1"/>
            </w14:solidFill>
          </w14:textFill>
        </w:rPr>
        <w:t>10</w:t>
      </w:r>
      <w:r>
        <w:rPr>
          <w:rFonts w:ascii="Times New Roman" w:hAnsi="Times New Roman" w:cs="Times New Roman"/>
          <w:color w:val="000000" w:themeColor="text1"/>
          <w:sz w:val="24"/>
          <w14:textFill>
            <w14:solidFill>
              <w14:schemeClr w14:val="tx1"/>
            </w14:solidFill>
          </w14:textFill>
        </w:rPr>
        <w:t>×10</w:t>
      </w:r>
      <w:r>
        <w:rPr>
          <w:rFonts w:ascii="Times New Roman" w:hAnsi="Times New Roman" w:cs="Times New Roman"/>
          <w:color w:val="000000" w:themeColor="text1"/>
          <w:sz w:val="24"/>
          <w:vertAlign w:val="super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①主要生产设施</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陆梁集中处理站天然气处理系统主要生产设备见表3.5-</w:t>
      </w:r>
      <w:r>
        <w:rPr>
          <w:rFonts w:hint="eastAsia" w:ascii="Times New Roman" w:hAnsi="Times New Roman" w:cs="Times New Roman"/>
          <w:color w:val="000000" w:themeColor="text1"/>
          <w:sz w:val="24"/>
          <w:lang w:val="en-US" w:eastAsia="zh-CN"/>
          <w14:textFill>
            <w14:solidFill>
              <w14:schemeClr w14:val="tx1"/>
            </w14:solidFill>
          </w14:textFill>
        </w:rPr>
        <w:t>21</w:t>
      </w:r>
      <w:r>
        <w:rPr>
          <w:rFonts w:ascii="Times New Roman" w:hAnsi="Times New Roman" w:cs="Times New Roman"/>
          <w:color w:val="000000" w:themeColor="text1"/>
          <w:sz w:val="24"/>
          <w14:textFill>
            <w14:solidFill>
              <w14:schemeClr w14:val="tx1"/>
            </w14:solidFill>
          </w14:textFill>
        </w:rPr>
        <w:t>。</w:t>
      </w:r>
    </w:p>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表3.5-</w:t>
      </w:r>
      <w:r>
        <w:rPr>
          <w:rFonts w:hint="eastAsia" w:cs="Times New Roman"/>
          <w:color w:val="000000" w:themeColor="text1"/>
          <w:sz w:val="21"/>
          <w:szCs w:val="21"/>
          <w:lang w:val="en-US" w:eastAsia="zh-CN"/>
          <w14:textFill>
            <w14:solidFill>
              <w14:schemeClr w14:val="tx1"/>
            </w14:solidFill>
          </w14:textFill>
        </w:rPr>
        <w:t>21</w:t>
      </w:r>
      <w:r>
        <w:rPr>
          <w:rFonts w:cs="Times New Roman"/>
          <w:color w:val="000000" w:themeColor="text1"/>
          <w:sz w:val="21"/>
          <w:szCs w:val="21"/>
          <w14:textFill>
            <w14:solidFill>
              <w14:schemeClr w14:val="tx1"/>
            </w14:solidFill>
          </w14:textFill>
        </w:rPr>
        <w:t xml:space="preserve">  伴生气处理系统主要生产设备</w:t>
      </w:r>
    </w:p>
    <w:tbl>
      <w:tblPr>
        <w:tblStyle w:val="2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59"/>
        <w:gridCol w:w="1070"/>
        <w:gridCol w:w="1224"/>
        <w:gridCol w:w="3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序号</w:t>
            </w:r>
          </w:p>
        </w:tc>
        <w:tc>
          <w:tcPr>
            <w:tcW w:w="1559"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名称</w:t>
            </w:r>
          </w:p>
        </w:tc>
        <w:tc>
          <w:tcPr>
            <w:tcW w:w="1070"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压力（MPa）</w:t>
            </w:r>
          </w:p>
        </w:tc>
        <w:tc>
          <w:tcPr>
            <w:tcW w:w="1224"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数量（台）</w:t>
            </w:r>
          </w:p>
        </w:tc>
        <w:tc>
          <w:tcPr>
            <w:tcW w:w="3765"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155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天然气压缩机</w:t>
            </w:r>
          </w:p>
        </w:tc>
        <w:tc>
          <w:tcPr>
            <w:tcW w:w="1070"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5.8</w:t>
            </w:r>
          </w:p>
        </w:tc>
        <w:tc>
          <w:tcPr>
            <w:tcW w:w="1224"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p>
        </w:tc>
        <w:tc>
          <w:tcPr>
            <w:tcW w:w="376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排量7.8-8.5×10</w:t>
            </w:r>
            <w:r>
              <w:rPr>
                <w:rFonts w:ascii="Times New Roman" w:hAnsi="Times New Roman" w:cs="Times New Roman"/>
                <w:color w:val="000000" w:themeColor="text1"/>
                <w:vertAlign w:val="super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Nm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/d，转速 440r/min，功率473kW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p>
        </w:tc>
        <w:tc>
          <w:tcPr>
            <w:tcW w:w="155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精滤器</w:t>
            </w:r>
          </w:p>
        </w:tc>
        <w:tc>
          <w:tcPr>
            <w:tcW w:w="1070"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5.8</w:t>
            </w:r>
          </w:p>
        </w:tc>
        <w:tc>
          <w:tcPr>
            <w:tcW w:w="1224"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p>
        </w:tc>
        <w:tc>
          <w:tcPr>
            <w:tcW w:w="376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容器净重1394.32kg，设计温度75℃，介质容积0.55m</w:t>
            </w:r>
            <w:r>
              <w:rPr>
                <w:rFonts w:ascii="Times New Roman" w:hAnsi="Times New Roman" w:cs="Times New Roman"/>
                <w:color w:val="000000" w:themeColor="text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w:t>
            </w:r>
          </w:p>
        </w:tc>
        <w:tc>
          <w:tcPr>
            <w:tcW w:w="155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出口分离器</w:t>
            </w:r>
          </w:p>
        </w:tc>
        <w:tc>
          <w:tcPr>
            <w:tcW w:w="1070"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6.0</w:t>
            </w:r>
          </w:p>
        </w:tc>
        <w:tc>
          <w:tcPr>
            <w:tcW w:w="1224"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376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容器净重3089kg，设计温度40℃，介质容积1.26m</w:t>
            </w:r>
            <w:r>
              <w:rPr>
                <w:rFonts w:ascii="Times New Roman" w:hAnsi="Times New Roman" w:cs="Times New Roman"/>
                <w:color w:val="000000" w:themeColor="text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p>
        </w:tc>
        <w:tc>
          <w:tcPr>
            <w:tcW w:w="155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井口分离器</w:t>
            </w:r>
          </w:p>
        </w:tc>
        <w:tc>
          <w:tcPr>
            <w:tcW w:w="1070"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0.4</w:t>
            </w:r>
          </w:p>
        </w:tc>
        <w:tc>
          <w:tcPr>
            <w:tcW w:w="1224"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376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容器净重3089kg，设计温度40℃，介质容积1.26m</w:t>
            </w:r>
            <w:r>
              <w:rPr>
                <w:rFonts w:ascii="Times New Roman" w:hAnsi="Times New Roman" w:cs="Times New Roman"/>
                <w:color w:val="000000" w:themeColor="text1"/>
                <w:vertAlign w:val="superscript"/>
                <w14:textFill>
                  <w14:solidFill>
                    <w14:schemeClr w14:val="tx1"/>
                  </w14:solidFill>
                </w14:textFill>
              </w:rPr>
              <w:t>3</w:t>
            </w:r>
          </w:p>
        </w:tc>
      </w:tr>
    </w:tbl>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②主要工艺流程</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油田伴生气（0.25MPa，25℃）进入压缩机进口分离器进行分离，分离后天然气约4万方气去旁边的燃气发电站，剩余天然气进入压缩机增压，增压至3.5MPa~3.8MPa，经空冷器冷却至45℃后进入压缩机出口分离器分离，分离出的气相注入乙二醇去气气换热器进行预冷，温度降至0~5℃，预冷后天然气先进入一级低温分离器进行分离，分离出的气相注入乙二醇后去丙烷制冷橇，温度降至-15℃后，进入二级低温分离器进行气液分离，分出的天然气去气气换热器、气液换热器进行复热，复热后温度升为33℃~38℃后计量外输，外输压力2.3MPa~2.7MPa，经配气间后进入彩石克管网。一级低温分离器分出的烃液（0.4MPa、5℃）及二级低温分离器分出的烃液（0.4MPa、-15℃）混合后，进入液烃分离器进行分离，分离出的气相去压缩机进口分离器，油相进入埋地污油罐，水相进入天然气处理站的乙二醇再生装置进行再生。具体流程如下图所示。</w:t>
      </w:r>
    </w:p>
    <w:p>
      <w:pPr>
        <w:pStyle w:val="2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5274310" cy="2557780"/>
            <wp:effectExtent l="0" t="0" r="254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2557780"/>
                    </a:xfrm>
                    <a:prstGeom prst="rect">
                      <a:avLst/>
                    </a:prstGeom>
                    <a:solidFill>
                      <a:srgbClr val="000000"/>
                    </a:solidFill>
                    <a:ln>
                      <a:noFill/>
                    </a:ln>
                  </pic:spPr>
                </pic:pic>
              </a:graphicData>
            </a:graphic>
          </wp:inline>
        </w:drawing>
      </w:r>
    </w:p>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图3.5-</w:t>
      </w:r>
      <w:r>
        <w:rPr>
          <w:rFonts w:hint="eastAsia" w:cs="Times New Roman"/>
          <w:color w:val="000000" w:themeColor="text1"/>
          <w:sz w:val="21"/>
          <w:szCs w:val="21"/>
          <w:lang w:val="en-US" w:eastAsia="zh-CN"/>
          <w14:textFill>
            <w14:solidFill>
              <w14:schemeClr w14:val="tx1"/>
            </w14:solidFill>
          </w14:textFill>
        </w:rPr>
        <w:t>7</w:t>
      </w:r>
      <w:r>
        <w:rPr>
          <w:rFonts w:cs="Times New Roman"/>
          <w:color w:val="000000" w:themeColor="text1"/>
          <w:sz w:val="21"/>
          <w:szCs w:val="21"/>
          <w14:textFill>
            <w14:solidFill>
              <w14:schemeClr w14:val="tx1"/>
            </w14:solidFill>
          </w14:textFill>
        </w:rPr>
        <w:t xml:space="preserve">  陆梁集中处理站伴生气处理流程示意图</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3）污水处理系统</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①处理规模</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陆梁油田集中处理站采出水处理系统始建于2001年，原设计规模5000m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/d，采用</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重力除油-旋流反应-沉降过滤</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工艺流程。该站于2013年扩建至10000m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/d，2016年增设1座250m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反应罐，2019年作业区实施《陆梁油田采出水及注水系统扩建整体工程》，将陆梁集中处理站采出水处理能力由10000m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/d扩建至2</w:t>
      </w:r>
      <w:r>
        <w:rPr>
          <w:rFonts w:hint="eastAsia" w:ascii="Times New Roman" w:hAnsi="Times New Roman" w:cs="Times New Roman"/>
          <w:color w:val="000000" w:themeColor="text1"/>
          <w:sz w:val="24"/>
          <w14:textFill>
            <w14:solidFill>
              <w14:schemeClr w14:val="tx1"/>
            </w14:solidFill>
          </w14:textFill>
        </w:rPr>
        <w:t>0</w:t>
      </w:r>
      <w:r>
        <w:rPr>
          <w:rFonts w:ascii="Times New Roman" w:hAnsi="Times New Roman" w:cs="Times New Roman"/>
          <w:color w:val="000000" w:themeColor="text1"/>
          <w:sz w:val="24"/>
          <w14:textFill>
            <w14:solidFill>
              <w14:schemeClr w14:val="tx1"/>
            </w14:solidFill>
          </w14:textFill>
        </w:rPr>
        <w:t>000m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/d。目前实际日处理采出水量约</w:t>
      </w:r>
      <w:r>
        <w:rPr>
          <w:rFonts w:hint="eastAsia" w:ascii="Times New Roman" w:hAnsi="Times New Roman" w:cs="Times New Roman"/>
          <w:color w:val="000000" w:themeColor="text1"/>
          <w:sz w:val="24"/>
          <w14:textFill>
            <w14:solidFill>
              <w14:schemeClr w14:val="tx1"/>
            </w14:solidFill>
          </w14:textFill>
        </w:rPr>
        <w:t>18</w:t>
      </w:r>
      <w:r>
        <w:rPr>
          <w:rFonts w:ascii="Times New Roman" w:hAnsi="Times New Roman" w:cs="Times New Roman"/>
          <w:color w:val="000000" w:themeColor="text1"/>
          <w:sz w:val="24"/>
          <w14:textFill>
            <w14:solidFill>
              <w14:schemeClr w14:val="tx1"/>
            </w14:solidFill>
          </w14:textFill>
        </w:rPr>
        <w:t>000m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/d，采出水处理合格后全部回注陆9等井区。</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②主要生产设施</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w:t>
      </w:r>
      <w:r>
        <w:rPr>
          <w:rFonts w:hint="eastAsia" w:ascii="Times New Roman" w:hAnsi="Times New Roman" w:cs="Times New Roman"/>
          <w:color w:val="000000" w:themeColor="text1"/>
          <w:sz w:val="24"/>
          <w14:textFill>
            <w14:solidFill>
              <w14:schemeClr w14:val="tx1"/>
            </w14:solidFill>
          </w14:textFill>
        </w:rPr>
        <w:t>联合站</w:t>
      </w:r>
      <w:r>
        <w:rPr>
          <w:rFonts w:ascii="Times New Roman" w:hAnsi="Times New Roman" w:cs="Times New Roman"/>
          <w:color w:val="000000" w:themeColor="text1"/>
          <w:sz w:val="24"/>
          <w14:textFill>
            <w14:solidFill>
              <w14:schemeClr w14:val="tx1"/>
            </w14:solidFill>
          </w14:textFill>
        </w:rPr>
        <w:t>污水处理</w:t>
      </w:r>
      <w:r>
        <w:rPr>
          <w:rFonts w:hint="eastAsia" w:ascii="Times New Roman" w:hAnsi="Times New Roman" w:cs="Times New Roman"/>
          <w:color w:val="000000" w:themeColor="text1"/>
          <w:sz w:val="24"/>
          <w14:textFill>
            <w14:solidFill>
              <w14:schemeClr w14:val="tx1"/>
            </w14:solidFill>
          </w14:textFill>
        </w:rPr>
        <w:t>系统</w:t>
      </w:r>
      <w:r>
        <w:rPr>
          <w:rFonts w:ascii="Times New Roman" w:hAnsi="Times New Roman" w:cs="Times New Roman"/>
          <w:color w:val="000000" w:themeColor="text1"/>
          <w:sz w:val="24"/>
          <w14:textFill>
            <w14:solidFill>
              <w14:schemeClr w14:val="tx1"/>
            </w14:solidFill>
          </w14:textFill>
        </w:rPr>
        <w:t>主要装置见表3.5-2</w:t>
      </w:r>
      <w:r>
        <w:rPr>
          <w:rFonts w:hint="eastAsia" w:ascii="Times New Roman" w:hAnsi="Times New Roman" w:cs="Times New Roman"/>
          <w:color w:val="000000" w:themeColor="text1"/>
          <w:sz w:val="24"/>
          <w:lang w:val="en-US" w:eastAsia="zh-CN"/>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p>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表3.5-2</w:t>
      </w:r>
      <w:r>
        <w:rPr>
          <w:rFonts w:hint="eastAsia" w:cs="Times New Roman"/>
          <w:color w:val="000000" w:themeColor="text1"/>
          <w:sz w:val="21"/>
          <w:szCs w:val="21"/>
          <w:lang w:val="en-US" w:eastAsia="zh-CN"/>
          <w14:textFill>
            <w14:solidFill>
              <w14:schemeClr w14:val="tx1"/>
            </w14:solidFill>
          </w14:textFill>
        </w:rPr>
        <w:t>2</w:t>
      </w:r>
      <w:r>
        <w:rPr>
          <w:rFonts w:cs="Times New Roman"/>
          <w:color w:val="000000" w:themeColor="text1"/>
          <w:sz w:val="21"/>
          <w:szCs w:val="21"/>
          <w14:textFill>
            <w14:solidFill>
              <w14:schemeClr w14:val="tx1"/>
            </w14:solidFill>
          </w14:textFill>
        </w:rPr>
        <w:t xml:space="preserve">  陆梁污水处理站主要装置一览表</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748"/>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序号</w:t>
            </w:r>
          </w:p>
        </w:tc>
        <w:tc>
          <w:tcPr>
            <w:tcW w:w="6748"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设备设施名称</w:t>
            </w:r>
          </w:p>
        </w:tc>
        <w:tc>
          <w:tcPr>
            <w:tcW w:w="1099"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新调储罐</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新反应提升泵Q=280m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/h、H=45m</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除油缓冲罐</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老调储罐</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老反应提升泵Q=280m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/h、H=45m</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反应罐</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混凝沉降罐</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过滤缓冲罐</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污油罐</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新地下泵房反洗泵Q=100m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/h、H=75m</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新地下泵房回收水泵Q=100m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/h、H=30m</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新地下泵房回收污泥泵Q=30m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/h、H=60m</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污泥沉降池</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14</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污泥沉降池</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400m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回收水池</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16</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次氯酸水罐、浓盐水罐、稀盐水罐、软化水罐、除垢罐、次氯酸钠罐</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各1个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17</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次氯酸泵Q=3m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/h、H=50m</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老过滤器29.3m</w:t>
            </w:r>
            <w:r>
              <w:rPr>
                <w:rFonts w:ascii="Times New Roman" w:hAnsi="Times New Roman" w:cs="Times New Roman"/>
                <w:color w:val="000000" w:themeColor="text1"/>
                <w:vertAlign w:val="superscript"/>
                <w14:textFill>
                  <w14:solidFill>
                    <w14:schemeClr w14:val="tx1"/>
                  </w14:solidFill>
                </w14:textFill>
              </w:rPr>
              <w:t>3</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 w:hRule="atLeast"/>
          <w:jc w:val="center"/>
        </w:trPr>
        <w:tc>
          <w:tcPr>
            <w:tcW w:w="67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19</w:t>
            </w:r>
          </w:p>
        </w:tc>
        <w:tc>
          <w:tcPr>
            <w:tcW w:w="6748"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新过滤器29.3m</w:t>
            </w:r>
            <w:r>
              <w:rPr>
                <w:rFonts w:ascii="Times New Roman" w:hAnsi="Times New Roman" w:cs="Times New Roman"/>
                <w:color w:val="000000" w:themeColor="text1"/>
                <w:vertAlign w:val="superscript"/>
                <w14:textFill>
                  <w14:solidFill>
                    <w14:schemeClr w14:val="tx1"/>
                  </w14:solidFill>
                </w14:textFill>
              </w:rPr>
              <w:t>3</w:t>
            </w:r>
          </w:p>
        </w:tc>
        <w:tc>
          <w:tcPr>
            <w:tcW w:w="1099"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6台</w:t>
            </w:r>
          </w:p>
        </w:tc>
      </w:tr>
    </w:tbl>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③主要工艺流程</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污水处理工艺以新疆油田“离子调整旋流反应法处理技术”为基础，采用重力除油、旋流反应、混凝沉降、过滤流程，使出水水质达到《碎屑岩油藏注水水质指标技术要求及分析方法》（SY/T5329-2022）标准后回注地层。</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原油系统来水（T＜50℃，含油量≤1000mg/L，悬浮物≤300mg/L）进入3座2000m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调储罐进行水量、水质调节，使得来水经初步沉降后可除去大部分浮油和大颗粒悬浮物，保证出水含油小于150mg/L，悬浮物含量小于150mg/L。污水经调储罐除油后经提升进入反应沉降单元。这一单元由6座250m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反应罐和2座1000m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混凝沉降罐组成，在反应单元按一定顺序和时间间隔连续加入3种药剂，污水经过化学反应后经1000m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混凝沉降罐沉降，再经两级过滤处理，净化水经投加次氯酸钠杀菌剂后直接进入注水泵进口用于油田注水。</w:t>
      </w:r>
    </w:p>
    <w:p>
      <w:pPr>
        <w:pStyle w:val="26"/>
        <w:rPr>
          <w:rFonts w:cs="Times New Roman"/>
          <w:color w:val="000000" w:themeColor="text1"/>
          <w14:textFill>
            <w14:solidFill>
              <w14:schemeClr w14:val="tx1"/>
            </w14:solidFill>
          </w14:textFill>
        </w:rPr>
      </w:pPr>
      <w:r>
        <w:rPr>
          <w:rFonts w:eastAsia="黑体" w:cs="Times New Roman"/>
          <w:color w:val="000000" w:themeColor="text1"/>
          <w:szCs w:val="28"/>
          <w14:textFill>
            <w14:solidFill>
              <w14:schemeClr w14:val="tx1"/>
            </w14:solidFill>
          </w14:textFill>
        </w:rPr>
        <w:object>
          <v:shape id="_x0000_i1025" o:spt="75" type="#_x0000_t75" style="height:196pt;width:407pt;" o:ole="t" filled="f" o:preferrelative="t" stroked="f" coordsize="21600,21600">
            <v:path/>
            <v:fill on="f" focussize="0,0"/>
            <v:stroke on="f" joinstyle="miter"/>
            <v:imagedata r:id="rId29" o:title=""/>
            <o:lock v:ext="edit" aspectratio="f"/>
            <w10:wrap type="none"/>
            <w10:anchorlock/>
          </v:shape>
          <o:OLEObject Type="Embed" ProgID="StaticMetafile" ShapeID="_x0000_i1025" DrawAspect="Content" ObjectID="_1468075725" r:id="rId28">
            <o:LockedField>false</o:LockedField>
          </o:OLEObject>
        </w:object>
      </w:r>
    </w:p>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图3.5-</w:t>
      </w:r>
      <w:r>
        <w:rPr>
          <w:rFonts w:hint="eastAsia" w:cs="Times New Roman"/>
          <w:color w:val="000000" w:themeColor="text1"/>
          <w:sz w:val="21"/>
          <w:szCs w:val="21"/>
          <w:lang w:val="en-US" w:eastAsia="zh-CN"/>
          <w14:textFill>
            <w14:solidFill>
              <w14:schemeClr w14:val="tx1"/>
            </w14:solidFill>
          </w14:textFill>
        </w:rPr>
        <w:t>8</w:t>
      </w:r>
      <w:r>
        <w:rPr>
          <w:rFonts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14:textFill>
            <w14:solidFill>
              <w14:schemeClr w14:val="tx1"/>
            </w14:solidFill>
          </w14:textFill>
        </w:rPr>
        <w:t xml:space="preserve"> </w:t>
      </w:r>
      <w:r>
        <w:rPr>
          <w:rFonts w:cs="Times New Roman"/>
          <w:color w:val="000000" w:themeColor="text1"/>
          <w:sz w:val="21"/>
          <w:szCs w:val="21"/>
          <w14:textFill>
            <w14:solidFill>
              <w14:schemeClr w14:val="tx1"/>
            </w14:solidFill>
          </w14:textFill>
        </w:rPr>
        <w:t>陆梁集中处理站污水处理工艺流程图</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（4）依托可行性分析</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陆梁集中处理站依托系统能力平衡见表3.5-2</w:t>
      </w:r>
      <w:r>
        <w:rPr>
          <w:rFonts w:hint="eastAsia" w:ascii="Times New Roman" w:hAnsi="Times New Roman"/>
          <w:color w:val="000000" w:themeColor="text1"/>
          <w:lang w:val="en-US" w:eastAsia="zh-CN"/>
          <w14:textFill>
            <w14:solidFill>
              <w14:schemeClr w14:val="tx1"/>
            </w14:solidFill>
          </w14:textFill>
        </w:rPr>
        <w:t>3</w:t>
      </w:r>
      <w:r>
        <w:rPr>
          <w:rFonts w:ascii="Times New Roman" w:hAnsi="Times New Roman"/>
          <w:color w:val="000000" w:themeColor="text1"/>
          <w14:textFill>
            <w14:solidFill>
              <w14:schemeClr w14:val="tx1"/>
            </w14:solidFill>
          </w14:textFill>
        </w:rPr>
        <w:t>。</w:t>
      </w:r>
    </w:p>
    <w:p>
      <w:pPr>
        <w:pStyle w:val="31"/>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表3.5-2</w:t>
      </w:r>
      <w:r>
        <w:rPr>
          <w:rFonts w:hint="eastAsia" w:ascii="Times New Roman" w:hAnsi="Times New Roman"/>
          <w:b/>
          <w:bCs/>
          <w:color w:val="000000" w:themeColor="text1"/>
          <w:sz w:val="21"/>
          <w:szCs w:val="21"/>
          <w:lang w:val="en-US" w:eastAsia="zh-CN"/>
          <w14:textFill>
            <w14:solidFill>
              <w14:schemeClr w14:val="tx1"/>
            </w14:solidFill>
          </w14:textFill>
        </w:rPr>
        <w:t>3</w:t>
      </w:r>
      <w:r>
        <w:rPr>
          <w:rFonts w:ascii="Times New Roman" w:hAnsi="Times New Roman"/>
          <w:b/>
          <w:bCs/>
          <w:color w:val="000000" w:themeColor="text1"/>
          <w:sz w:val="21"/>
          <w:szCs w:val="21"/>
          <w14:textFill>
            <w14:solidFill>
              <w14:schemeClr w14:val="tx1"/>
            </w14:solidFill>
          </w14:textFill>
        </w:rPr>
        <w:t xml:space="preserve">  </w:t>
      </w:r>
      <w:r>
        <w:rPr>
          <w:rFonts w:hint="eastAsia" w:ascii="Times New Roman" w:hAnsi="Times New Roman"/>
          <w:b/>
          <w:bCs/>
          <w:color w:val="000000" w:themeColor="text1"/>
          <w:sz w:val="21"/>
          <w:szCs w:val="21"/>
          <w14:textFill>
            <w14:solidFill>
              <w14:schemeClr w14:val="tx1"/>
            </w14:solidFill>
          </w14:textFill>
        </w:rPr>
        <w:t>陆梁集中处理站</w:t>
      </w:r>
      <w:r>
        <w:rPr>
          <w:rFonts w:ascii="Times New Roman" w:hAnsi="Times New Roman"/>
          <w:b/>
          <w:bCs/>
          <w:color w:val="000000" w:themeColor="text1"/>
          <w:sz w:val="21"/>
          <w:szCs w:val="21"/>
          <w14:textFill>
            <w14:solidFill>
              <w14:schemeClr w14:val="tx1"/>
            </w14:solidFill>
          </w14:textFill>
        </w:rPr>
        <w:t>依托系统能力平衡表</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724"/>
        <w:gridCol w:w="1381"/>
        <w:gridCol w:w="1321"/>
        <w:gridCol w:w="1414"/>
        <w:gridCol w:w="1085"/>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7" w:type="dxa"/>
            <w:vAlign w:val="center"/>
          </w:tcPr>
          <w:p>
            <w:pPr>
              <w:pStyle w:val="31"/>
              <w:widowControl w:val="0"/>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依托工程名称</w:t>
            </w:r>
          </w:p>
        </w:tc>
        <w:tc>
          <w:tcPr>
            <w:tcW w:w="1724" w:type="dxa"/>
            <w:vAlign w:val="center"/>
          </w:tcPr>
          <w:p>
            <w:pPr>
              <w:pStyle w:val="31"/>
              <w:widowControl w:val="0"/>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设计处理能力</w:t>
            </w:r>
          </w:p>
        </w:tc>
        <w:tc>
          <w:tcPr>
            <w:tcW w:w="1381" w:type="dxa"/>
            <w:vAlign w:val="center"/>
          </w:tcPr>
          <w:p>
            <w:pPr>
              <w:pStyle w:val="31"/>
              <w:widowControl w:val="0"/>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实际处理能力</w:t>
            </w:r>
          </w:p>
        </w:tc>
        <w:tc>
          <w:tcPr>
            <w:tcW w:w="1321" w:type="dxa"/>
            <w:vAlign w:val="center"/>
          </w:tcPr>
          <w:p>
            <w:pPr>
              <w:pStyle w:val="31"/>
              <w:widowControl w:val="0"/>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剩余处理能力</w:t>
            </w:r>
          </w:p>
        </w:tc>
        <w:tc>
          <w:tcPr>
            <w:tcW w:w="1414" w:type="dxa"/>
            <w:vAlign w:val="center"/>
          </w:tcPr>
          <w:p>
            <w:pPr>
              <w:pStyle w:val="31"/>
              <w:widowControl w:val="0"/>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本项目预测量</w:t>
            </w:r>
          </w:p>
        </w:tc>
        <w:tc>
          <w:tcPr>
            <w:tcW w:w="1085" w:type="dxa"/>
            <w:vAlign w:val="center"/>
          </w:tcPr>
          <w:p>
            <w:pPr>
              <w:pStyle w:val="31"/>
              <w:widowControl w:val="0"/>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新增负荷</w:t>
            </w:r>
          </w:p>
        </w:tc>
        <w:tc>
          <w:tcPr>
            <w:tcW w:w="797" w:type="dxa"/>
            <w:vAlign w:val="center"/>
          </w:tcPr>
          <w:p>
            <w:pPr>
              <w:pStyle w:val="31"/>
              <w:widowControl w:val="0"/>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平衡情况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7"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原油处理</w:t>
            </w:r>
          </w:p>
        </w:tc>
        <w:tc>
          <w:tcPr>
            <w:tcW w:w="1724"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70</w:t>
            </w:r>
            <w:r>
              <w:rPr>
                <w:rFonts w:ascii="Times New Roman" w:hAnsi="Times New Roman"/>
                <w:color w:val="000000" w:themeColor="text1"/>
                <w:sz w:val="21"/>
                <w:szCs w:val="21"/>
                <w14:textFill>
                  <w14:solidFill>
                    <w14:schemeClr w14:val="tx1"/>
                  </w14:solidFill>
                </w14:textFill>
              </w:rPr>
              <w:t>×10</w:t>
            </w:r>
            <w:r>
              <w:rPr>
                <w:rFonts w:ascii="Times New Roman" w:hAnsi="Times New Roman"/>
                <w:color w:val="000000" w:themeColor="text1"/>
                <w:sz w:val="21"/>
                <w:szCs w:val="21"/>
                <w:vertAlign w:val="superscript"/>
                <w14:textFill>
                  <w14:solidFill>
                    <w14:schemeClr w14:val="tx1"/>
                  </w14:solidFill>
                </w14:textFill>
              </w:rPr>
              <w:t>4</w:t>
            </w:r>
            <w:r>
              <w:rPr>
                <w:rFonts w:ascii="Times New Roman" w:hAnsi="Times New Roman"/>
                <w:color w:val="000000" w:themeColor="text1"/>
                <w:sz w:val="21"/>
                <w:szCs w:val="21"/>
                <w14:textFill>
                  <w14:solidFill>
                    <w14:schemeClr w14:val="tx1"/>
                  </w14:solidFill>
                </w14:textFill>
              </w:rPr>
              <w:t>t/a</w:t>
            </w:r>
          </w:p>
        </w:tc>
        <w:tc>
          <w:tcPr>
            <w:tcW w:w="1381"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48.67</w:t>
            </w:r>
            <w:r>
              <w:rPr>
                <w:rFonts w:ascii="Times New Roman" w:hAnsi="Times New Roman"/>
                <w:color w:val="000000" w:themeColor="text1"/>
                <w:sz w:val="21"/>
                <w:szCs w:val="21"/>
                <w14:textFill>
                  <w14:solidFill>
                    <w14:schemeClr w14:val="tx1"/>
                  </w14:solidFill>
                </w14:textFill>
              </w:rPr>
              <w:t>×10</w:t>
            </w:r>
            <w:r>
              <w:rPr>
                <w:rFonts w:ascii="Times New Roman" w:hAnsi="Times New Roman"/>
                <w:color w:val="000000" w:themeColor="text1"/>
                <w:sz w:val="21"/>
                <w:szCs w:val="21"/>
                <w:vertAlign w:val="superscript"/>
                <w14:textFill>
                  <w14:solidFill>
                    <w14:schemeClr w14:val="tx1"/>
                  </w14:solidFill>
                </w14:textFill>
              </w:rPr>
              <w:t>4</w:t>
            </w:r>
            <w:r>
              <w:rPr>
                <w:rFonts w:ascii="Times New Roman" w:hAnsi="Times New Roman"/>
                <w:color w:val="000000" w:themeColor="text1"/>
                <w:sz w:val="21"/>
                <w:szCs w:val="21"/>
                <w14:textFill>
                  <w14:solidFill>
                    <w14:schemeClr w14:val="tx1"/>
                  </w14:solidFill>
                </w14:textFill>
              </w:rPr>
              <w:t>t/a</w:t>
            </w:r>
          </w:p>
        </w:tc>
        <w:tc>
          <w:tcPr>
            <w:tcW w:w="1321"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21.31</w:t>
            </w:r>
            <w:r>
              <w:rPr>
                <w:rFonts w:ascii="Times New Roman" w:hAnsi="Times New Roman"/>
                <w:color w:val="000000" w:themeColor="text1"/>
                <w:sz w:val="21"/>
                <w:szCs w:val="21"/>
                <w14:textFill>
                  <w14:solidFill>
                    <w14:schemeClr w14:val="tx1"/>
                  </w14:solidFill>
                </w14:textFill>
              </w:rPr>
              <w:t>×10</w:t>
            </w:r>
            <w:r>
              <w:rPr>
                <w:rFonts w:ascii="Times New Roman" w:hAnsi="Times New Roman"/>
                <w:color w:val="000000" w:themeColor="text1"/>
                <w:sz w:val="21"/>
                <w:szCs w:val="21"/>
                <w:vertAlign w:val="superscript"/>
                <w14:textFill>
                  <w14:solidFill>
                    <w14:schemeClr w14:val="tx1"/>
                  </w14:solidFill>
                </w14:textFill>
              </w:rPr>
              <w:t>4</w:t>
            </w:r>
            <w:r>
              <w:rPr>
                <w:rFonts w:ascii="Times New Roman" w:hAnsi="Times New Roman"/>
                <w:color w:val="000000" w:themeColor="text1"/>
                <w:sz w:val="21"/>
                <w:szCs w:val="21"/>
                <w14:textFill>
                  <w14:solidFill>
                    <w14:schemeClr w14:val="tx1"/>
                  </w14:solidFill>
                </w14:textFill>
              </w:rPr>
              <w:t>t/a</w:t>
            </w:r>
          </w:p>
        </w:tc>
        <w:tc>
          <w:tcPr>
            <w:tcW w:w="1414"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2.52</w:t>
            </w:r>
            <w:r>
              <w:rPr>
                <w:rFonts w:ascii="Times New Roman" w:hAnsi="Times New Roman"/>
                <w:color w:val="000000" w:themeColor="text1"/>
                <w:sz w:val="21"/>
                <w:szCs w:val="21"/>
                <w14:textFill>
                  <w14:solidFill>
                    <w14:schemeClr w14:val="tx1"/>
                  </w14:solidFill>
                </w14:textFill>
              </w:rPr>
              <w:t>×10</w:t>
            </w:r>
            <w:r>
              <w:rPr>
                <w:rFonts w:ascii="Times New Roman" w:hAnsi="Times New Roman"/>
                <w:color w:val="000000" w:themeColor="text1"/>
                <w:sz w:val="21"/>
                <w:szCs w:val="21"/>
                <w:vertAlign w:val="superscript"/>
                <w14:textFill>
                  <w14:solidFill>
                    <w14:schemeClr w14:val="tx1"/>
                  </w14:solidFill>
                </w14:textFill>
              </w:rPr>
              <w:t>4</w:t>
            </w:r>
            <w:r>
              <w:rPr>
                <w:rFonts w:ascii="Times New Roman" w:hAnsi="Times New Roman"/>
                <w:color w:val="000000" w:themeColor="text1"/>
                <w:sz w:val="21"/>
                <w:szCs w:val="21"/>
                <w14:textFill>
                  <w14:solidFill>
                    <w14:schemeClr w14:val="tx1"/>
                  </w14:solidFill>
                </w14:textFill>
              </w:rPr>
              <w:t>t/a</w:t>
            </w:r>
          </w:p>
        </w:tc>
        <w:tc>
          <w:tcPr>
            <w:tcW w:w="1085"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11.83</w:t>
            </w:r>
            <w:r>
              <w:rPr>
                <w:rFonts w:ascii="Times New Roman" w:hAnsi="Times New Roman"/>
                <w:color w:val="000000" w:themeColor="text1"/>
                <w:sz w:val="21"/>
                <w:szCs w:val="21"/>
                <w14:textFill>
                  <w14:solidFill>
                    <w14:schemeClr w14:val="tx1"/>
                  </w14:solidFill>
                </w14:textFill>
              </w:rPr>
              <w:t>%</w:t>
            </w:r>
          </w:p>
        </w:tc>
        <w:tc>
          <w:tcPr>
            <w:tcW w:w="797"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可满足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7"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天然气处理</w:t>
            </w:r>
          </w:p>
        </w:tc>
        <w:tc>
          <w:tcPr>
            <w:tcW w:w="1724" w:type="dxa"/>
            <w:vAlign w:val="center"/>
          </w:tcPr>
          <w:p>
            <w:pPr>
              <w:widowControl/>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15</w:t>
            </w:r>
            <w:r>
              <w:rPr>
                <w:rFonts w:ascii="Times New Roman" w:hAnsi="Times New Roman" w:cs="Times New Roman"/>
                <w:color w:val="000000" w:themeColor="text1"/>
                <w:kern w:val="0"/>
                <w:szCs w:val="21"/>
                <w14:textFill>
                  <w14:solidFill>
                    <w14:schemeClr w14:val="tx1"/>
                  </w14:solidFill>
                </w14:textFill>
              </w:rPr>
              <w:t>×10</w:t>
            </w:r>
            <w:r>
              <w:rPr>
                <w:rFonts w:ascii="Times New Roman" w:hAnsi="Times New Roman" w:cs="Times New Roman"/>
                <w:color w:val="000000" w:themeColor="text1"/>
                <w:kern w:val="0"/>
                <w:szCs w:val="21"/>
                <w:vertAlign w:val="superscript"/>
                <w14:textFill>
                  <w14:solidFill>
                    <w14:schemeClr w14:val="tx1"/>
                  </w14:solidFill>
                </w14:textFill>
              </w:rPr>
              <w:t>4</w:t>
            </w:r>
            <w:r>
              <w:rPr>
                <w:rFonts w:ascii="Times New Roman" w:hAnsi="Times New Roman" w:eastAsia="宋体" w:cs="Times New Roman"/>
                <w:color w:val="000000" w:themeColor="text1"/>
                <w:kern w:val="0"/>
                <w:szCs w:val="21"/>
                <w:lang w:bidi="ar"/>
                <w14:textFill>
                  <w14:solidFill>
                    <w14:schemeClr w14:val="tx1"/>
                  </w14:solidFill>
                </w14:textFill>
              </w:rPr>
              <w:t>Nm</w:t>
            </w:r>
            <w:r>
              <w:rPr>
                <w:rFonts w:ascii="Times New Roman" w:hAnsi="Times New Roman" w:eastAsia="宋体" w:cs="Times New Roman"/>
                <w:color w:val="000000" w:themeColor="text1"/>
                <w:kern w:val="0"/>
                <w:szCs w:val="21"/>
                <w:vertAlign w:val="superscript"/>
                <w:lang w:bidi="ar"/>
                <w14:textFill>
                  <w14:solidFill>
                    <w14:schemeClr w14:val="tx1"/>
                  </w14:solidFill>
                </w14:textFill>
              </w:rPr>
              <w:t>3</w:t>
            </w:r>
            <w:r>
              <w:rPr>
                <w:rFonts w:ascii="Times New Roman" w:hAnsi="Times New Roman" w:eastAsia="宋体" w:cs="Times New Roman"/>
                <w:color w:val="000000" w:themeColor="text1"/>
                <w:kern w:val="0"/>
                <w:szCs w:val="21"/>
                <w:lang w:bidi="ar"/>
                <w14:textFill>
                  <w14:solidFill>
                    <w14:schemeClr w14:val="tx1"/>
                  </w14:solidFill>
                </w14:textFill>
              </w:rPr>
              <w:t>/d</w:t>
            </w:r>
          </w:p>
        </w:tc>
        <w:tc>
          <w:tcPr>
            <w:tcW w:w="1381"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11×10</w:t>
            </w:r>
            <w:r>
              <w:rPr>
                <w:rFonts w:ascii="Times New Roman" w:hAnsi="Times New Roman"/>
                <w:color w:val="000000" w:themeColor="text1"/>
                <w:sz w:val="21"/>
                <w:szCs w:val="21"/>
                <w:vertAlign w:val="superscript"/>
                <w14:textFill>
                  <w14:solidFill>
                    <w14:schemeClr w14:val="tx1"/>
                  </w14:solidFill>
                </w14:textFill>
              </w:rPr>
              <w:t>4</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/d</w:t>
            </w:r>
          </w:p>
        </w:tc>
        <w:tc>
          <w:tcPr>
            <w:tcW w:w="1321"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4×10</w:t>
            </w:r>
            <w:r>
              <w:rPr>
                <w:rFonts w:ascii="Times New Roman" w:hAnsi="Times New Roman"/>
                <w:color w:val="000000" w:themeColor="text1"/>
                <w:sz w:val="21"/>
                <w:szCs w:val="21"/>
                <w:vertAlign w:val="superscript"/>
                <w14:textFill>
                  <w14:solidFill>
                    <w14:schemeClr w14:val="tx1"/>
                  </w14:solidFill>
                </w14:textFill>
              </w:rPr>
              <w:t>4</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/d</w:t>
            </w:r>
          </w:p>
        </w:tc>
        <w:tc>
          <w:tcPr>
            <w:tcW w:w="1414"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2194.8m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/d</w:t>
            </w:r>
          </w:p>
        </w:tc>
        <w:tc>
          <w:tcPr>
            <w:tcW w:w="1085"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5.49</w:t>
            </w:r>
            <w:r>
              <w:rPr>
                <w:rFonts w:ascii="Times New Roman" w:hAnsi="Times New Roman"/>
                <w:color w:val="000000" w:themeColor="text1"/>
                <w:sz w:val="21"/>
                <w:szCs w:val="21"/>
                <w14:textFill>
                  <w14:solidFill>
                    <w14:schemeClr w14:val="tx1"/>
                  </w14:solidFill>
                </w14:textFill>
              </w:rPr>
              <w:t>%</w:t>
            </w:r>
          </w:p>
        </w:tc>
        <w:tc>
          <w:tcPr>
            <w:tcW w:w="797"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可满足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7"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污水</w:t>
            </w:r>
            <w:r>
              <w:rPr>
                <w:rFonts w:ascii="Times New Roman" w:hAnsi="Times New Roman"/>
                <w:color w:val="000000" w:themeColor="text1"/>
                <w:sz w:val="21"/>
                <w:szCs w:val="21"/>
                <w14:textFill>
                  <w14:solidFill>
                    <w14:schemeClr w14:val="tx1"/>
                  </w14:solidFill>
                </w14:textFill>
              </w:rPr>
              <w:t>处理</w:t>
            </w:r>
          </w:p>
        </w:tc>
        <w:tc>
          <w:tcPr>
            <w:tcW w:w="1724"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2.0×10</w:t>
            </w:r>
            <w:r>
              <w:rPr>
                <w:rFonts w:ascii="Times New Roman" w:hAnsi="Times New Roman" w:eastAsia="宋体" w:cs="Times New Roman"/>
                <w:color w:val="000000" w:themeColor="text1"/>
                <w:kern w:val="0"/>
                <w:szCs w:val="21"/>
                <w:vertAlign w:val="superscript"/>
                <w:lang w:bidi="ar"/>
                <w14:textFill>
                  <w14:solidFill>
                    <w14:schemeClr w14:val="tx1"/>
                  </w14:solidFill>
                </w14:textFill>
              </w:rPr>
              <w:t>4</w:t>
            </w:r>
            <w:r>
              <w:rPr>
                <w:rFonts w:ascii="Times New Roman" w:hAnsi="Times New Roman" w:eastAsia="宋体" w:cs="Times New Roman"/>
                <w:color w:val="000000" w:themeColor="text1"/>
                <w:kern w:val="0"/>
                <w:szCs w:val="21"/>
                <w:lang w:bidi="ar"/>
                <w14:textFill>
                  <w14:solidFill>
                    <w14:schemeClr w14:val="tx1"/>
                  </w14:solidFill>
                </w14:textFill>
              </w:rPr>
              <w:t>m</w:t>
            </w:r>
            <w:r>
              <w:rPr>
                <w:rFonts w:ascii="Times New Roman" w:hAnsi="Times New Roman" w:eastAsia="宋体" w:cs="Times New Roman"/>
                <w:color w:val="000000" w:themeColor="text1"/>
                <w:kern w:val="0"/>
                <w:szCs w:val="21"/>
                <w:vertAlign w:val="superscript"/>
                <w:lang w:bidi="ar"/>
                <w14:textFill>
                  <w14:solidFill>
                    <w14:schemeClr w14:val="tx1"/>
                  </w14:solidFill>
                </w14:textFill>
              </w:rPr>
              <w:t>3</w:t>
            </w:r>
            <w:r>
              <w:rPr>
                <w:rFonts w:ascii="Times New Roman" w:hAnsi="Times New Roman" w:eastAsia="宋体" w:cs="Times New Roman"/>
                <w:color w:val="000000" w:themeColor="text1"/>
                <w:kern w:val="0"/>
                <w:szCs w:val="21"/>
                <w:lang w:bidi="ar"/>
                <w14:textFill>
                  <w14:solidFill>
                    <w14:schemeClr w14:val="tx1"/>
                  </w14:solidFill>
                </w14:textFill>
              </w:rPr>
              <w:t>/d（最大处理能力2.3×10</w:t>
            </w:r>
            <w:r>
              <w:rPr>
                <w:rFonts w:ascii="Times New Roman" w:hAnsi="Times New Roman" w:eastAsia="宋体" w:cs="Times New Roman"/>
                <w:color w:val="000000" w:themeColor="text1"/>
                <w:kern w:val="0"/>
                <w:szCs w:val="21"/>
                <w:vertAlign w:val="superscript"/>
                <w:lang w:bidi="ar"/>
                <w14:textFill>
                  <w14:solidFill>
                    <w14:schemeClr w14:val="tx1"/>
                  </w14:solidFill>
                </w14:textFill>
              </w:rPr>
              <w:t>4</w:t>
            </w:r>
            <w:r>
              <w:rPr>
                <w:rFonts w:ascii="Times New Roman" w:hAnsi="Times New Roman" w:eastAsia="宋体" w:cs="Times New Roman"/>
                <w:color w:val="000000" w:themeColor="text1"/>
                <w:kern w:val="0"/>
                <w:szCs w:val="21"/>
                <w:lang w:bidi="ar"/>
                <w14:textFill>
                  <w14:solidFill>
                    <w14:schemeClr w14:val="tx1"/>
                  </w14:solidFill>
                </w14:textFill>
              </w:rPr>
              <w:t>m</w:t>
            </w:r>
            <w:r>
              <w:rPr>
                <w:rFonts w:ascii="Times New Roman" w:hAnsi="Times New Roman" w:eastAsia="宋体" w:cs="Times New Roman"/>
                <w:color w:val="000000" w:themeColor="text1"/>
                <w:kern w:val="0"/>
                <w:szCs w:val="21"/>
                <w:vertAlign w:val="superscript"/>
                <w:lang w:bidi="ar"/>
                <w14:textFill>
                  <w14:solidFill>
                    <w14:schemeClr w14:val="tx1"/>
                  </w14:solidFill>
                </w14:textFill>
              </w:rPr>
              <w:t>3</w:t>
            </w:r>
            <w:r>
              <w:rPr>
                <w:rFonts w:ascii="Times New Roman" w:hAnsi="Times New Roman" w:eastAsia="宋体" w:cs="Times New Roman"/>
                <w:color w:val="000000" w:themeColor="text1"/>
                <w:kern w:val="0"/>
                <w:szCs w:val="21"/>
                <w:lang w:bidi="ar"/>
                <w14:textFill>
                  <w14:solidFill>
                    <w14:schemeClr w14:val="tx1"/>
                  </w14:solidFill>
                </w14:textFill>
              </w:rPr>
              <w:t>/d）</w:t>
            </w:r>
          </w:p>
        </w:tc>
        <w:tc>
          <w:tcPr>
            <w:tcW w:w="1381"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1.89×10</w:t>
            </w:r>
            <w:r>
              <w:rPr>
                <w:rFonts w:ascii="Times New Roman" w:hAnsi="Times New Roman"/>
                <w:color w:val="000000" w:themeColor="text1"/>
                <w:sz w:val="21"/>
                <w:szCs w:val="21"/>
                <w:vertAlign w:val="superscript"/>
                <w:lang w:bidi="ar"/>
                <w14:textFill>
                  <w14:solidFill>
                    <w14:schemeClr w14:val="tx1"/>
                  </w14:solidFill>
                </w14:textFill>
              </w:rPr>
              <w:t>4</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/d</w:t>
            </w:r>
          </w:p>
        </w:tc>
        <w:tc>
          <w:tcPr>
            <w:tcW w:w="1321"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4100m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/d</w:t>
            </w:r>
          </w:p>
        </w:tc>
        <w:tc>
          <w:tcPr>
            <w:tcW w:w="1414"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11</w:t>
            </w:r>
            <w:r>
              <w:rPr>
                <w:rFonts w:hint="eastAsia" w:ascii="Times New Roman" w:hAnsi="Times New Roman"/>
                <w:color w:val="000000" w:themeColor="text1"/>
                <w:sz w:val="21"/>
                <w:szCs w:val="21"/>
                <w14:textFill>
                  <w14:solidFill>
                    <w14:schemeClr w14:val="tx1"/>
                  </w14:solidFill>
                </w14:textFill>
              </w:rPr>
              <w:t>2</w:t>
            </w:r>
            <w:r>
              <w:rPr>
                <w:rFonts w:hint="eastAsia" w:ascii="Times New Roman" w:hAnsi="Times New Roman"/>
                <w:color w:val="000000" w:themeColor="text1"/>
                <w:sz w:val="21"/>
                <w:szCs w:val="21"/>
                <w:lang w:val="en-US" w:eastAsia="zh-CN"/>
                <w14:textFill>
                  <w14:solidFill>
                    <w14:schemeClr w14:val="tx1"/>
                  </w14:solidFill>
                </w14:textFill>
              </w:rPr>
              <w:t>2.08</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/d</w:t>
            </w:r>
          </w:p>
        </w:tc>
        <w:tc>
          <w:tcPr>
            <w:tcW w:w="1085" w:type="dxa"/>
            <w:vAlign w:val="center"/>
          </w:tcPr>
          <w:p>
            <w:pPr>
              <w:pStyle w:val="31"/>
              <w:widowControl w:val="0"/>
              <w:spacing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27.</w:t>
            </w:r>
            <w:r>
              <w:rPr>
                <w:rFonts w:hint="eastAsia" w:ascii="Times New Roman" w:hAnsi="Times New Roman"/>
                <w:color w:val="000000" w:themeColor="text1"/>
                <w:sz w:val="21"/>
                <w:szCs w:val="21"/>
                <w:lang w:val="en-US" w:eastAsia="zh-CN"/>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w:t>
            </w:r>
          </w:p>
        </w:tc>
        <w:tc>
          <w:tcPr>
            <w:tcW w:w="797"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可满足</w:t>
            </w:r>
          </w:p>
        </w:tc>
      </w:tr>
    </w:tbl>
    <w:p>
      <w:pPr>
        <w:pStyle w:val="25"/>
        <w:spacing w:line="360" w:lineRule="auto"/>
        <w:jc w:val="left"/>
        <w:rPr>
          <w:rFonts w:ascii="Times New Roman" w:hAnsi="Times New Roman" w:cs="Times New Roman"/>
          <w:b w:val="0"/>
          <w:bCs/>
          <w:color w:val="000000" w:themeColor="text1"/>
          <w:kern w:val="0"/>
          <w:sz w:val="18"/>
          <w:szCs w:val="18"/>
          <w14:textFill>
            <w14:solidFill>
              <w14:schemeClr w14:val="tx1"/>
            </w14:solidFill>
          </w14:textFill>
        </w:rPr>
      </w:pPr>
      <w:r>
        <w:rPr>
          <w:rFonts w:hint="eastAsia" w:ascii="Times New Roman" w:hAnsi="Times New Roman" w:cs="Times New Roman"/>
          <w:b w:val="0"/>
          <w:bCs/>
          <w:color w:val="000000" w:themeColor="text1"/>
          <w:sz w:val="18"/>
          <w:szCs w:val="18"/>
          <w14:textFill>
            <w14:solidFill>
              <w14:schemeClr w14:val="tx1"/>
            </w14:solidFill>
          </w14:textFill>
        </w:rPr>
        <w:t>注：</w:t>
      </w:r>
      <w:r>
        <w:rPr>
          <w:rFonts w:hint="eastAsia" w:ascii="Times New Roman" w:hAnsi="Times New Roman" w:cs="Times New Roman"/>
          <w:b w:val="0"/>
          <w:bCs/>
          <w:color w:val="000000" w:themeColor="text1"/>
          <w:kern w:val="0"/>
          <w:sz w:val="18"/>
          <w:szCs w:val="18"/>
          <w14:textFill>
            <w14:solidFill>
              <w14:schemeClr w14:val="tx1"/>
            </w14:solidFill>
          </w14:textFill>
        </w:rPr>
        <w:t>根据设计方案，联合站</w:t>
      </w:r>
      <w:r>
        <w:rPr>
          <w:rFonts w:ascii="Times New Roman" w:hAnsi="Times New Roman" w:cs="Times New Roman"/>
          <w:b w:val="0"/>
          <w:bCs/>
          <w:color w:val="000000" w:themeColor="text1"/>
          <w:kern w:val="0"/>
          <w:sz w:val="18"/>
          <w:szCs w:val="18"/>
          <w14:textFill>
            <w14:solidFill>
              <w14:schemeClr w14:val="tx1"/>
            </w14:solidFill>
          </w14:textFill>
        </w:rPr>
        <w:t>采出水处理系统</w:t>
      </w:r>
      <w:r>
        <w:rPr>
          <w:rFonts w:ascii="Times New Roman" w:hAnsi="Times New Roman" w:eastAsia="宋体" w:cs="Times New Roman"/>
          <w:b w:val="0"/>
          <w:bCs/>
          <w:color w:val="000000" w:themeColor="text1"/>
          <w:sz w:val="18"/>
          <w:szCs w:val="18"/>
          <w14:textFill>
            <w14:solidFill>
              <w14:schemeClr w14:val="tx1"/>
            </w14:solidFill>
          </w14:textFill>
        </w:rPr>
        <w:t>有操作弹性</w:t>
      </w:r>
      <w:r>
        <w:rPr>
          <w:rFonts w:hint="eastAsia" w:ascii="Times New Roman" w:hAnsi="Times New Roman" w:eastAsia="宋体" w:cs="Times New Roman"/>
          <w:b w:val="0"/>
          <w:bCs/>
          <w:color w:val="000000" w:themeColor="text1"/>
          <w:sz w:val="18"/>
          <w:szCs w:val="18"/>
          <w14:textFill>
            <w14:solidFill>
              <w14:schemeClr w14:val="tx1"/>
            </w14:solidFill>
          </w14:textFill>
        </w:rPr>
        <w:t>，</w:t>
      </w:r>
      <w:r>
        <w:rPr>
          <w:rFonts w:ascii="Times New Roman" w:hAnsi="Times New Roman" w:cs="Times New Roman"/>
          <w:b w:val="0"/>
          <w:bCs/>
          <w:color w:val="000000" w:themeColor="text1"/>
          <w:kern w:val="0"/>
          <w:sz w:val="18"/>
          <w:szCs w:val="18"/>
          <w14:textFill>
            <w14:solidFill>
              <w14:schemeClr w14:val="tx1"/>
            </w14:solidFill>
          </w14:textFill>
        </w:rPr>
        <w:t>最大处理能力为23000m</w:t>
      </w:r>
      <w:r>
        <w:rPr>
          <w:rFonts w:ascii="Times New Roman" w:hAnsi="Times New Roman" w:cs="Times New Roman"/>
          <w:b w:val="0"/>
          <w:bCs/>
          <w:color w:val="000000" w:themeColor="text1"/>
          <w:kern w:val="0"/>
          <w:sz w:val="18"/>
          <w:szCs w:val="18"/>
          <w:vertAlign w:val="superscript"/>
          <w14:textFill>
            <w14:solidFill>
              <w14:schemeClr w14:val="tx1"/>
            </w14:solidFill>
          </w14:textFill>
        </w:rPr>
        <w:t>3</w:t>
      </w:r>
      <w:r>
        <w:rPr>
          <w:rFonts w:ascii="Times New Roman" w:hAnsi="Times New Roman" w:cs="Times New Roman"/>
          <w:b w:val="0"/>
          <w:bCs/>
          <w:color w:val="000000" w:themeColor="text1"/>
          <w:kern w:val="0"/>
          <w:sz w:val="18"/>
          <w:szCs w:val="18"/>
          <w14:textFill>
            <w14:solidFill>
              <w14:schemeClr w14:val="tx1"/>
            </w14:solidFill>
          </w14:textFill>
        </w:rPr>
        <w:t>/d，可以满足处理需求。</w:t>
      </w:r>
    </w:p>
    <w:p>
      <w:pPr>
        <w:pStyle w:val="25"/>
        <w:spacing w:line="360" w:lineRule="auto"/>
        <w:ind w:firstLine="480" w:firstLineChars="200"/>
        <w:jc w:val="left"/>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根据上表3.5-2</w:t>
      </w:r>
      <w:r>
        <w:rPr>
          <w:rFonts w:hint="eastAsia" w:ascii="Times New Roman" w:cs="Times New Roman"/>
          <w:b w:val="0"/>
          <w:bCs/>
          <w:color w:val="000000" w:themeColor="text1"/>
          <w:lang w:val="en-US" w:eastAsia="zh-CN"/>
          <w14:textFill>
            <w14:solidFill>
              <w14:schemeClr w14:val="tx1"/>
            </w14:solidFill>
          </w14:textFill>
        </w:rPr>
        <w:t>3</w:t>
      </w:r>
      <w:r>
        <w:rPr>
          <w:rFonts w:ascii="Times New Roman" w:hAnsi="Times New Roman" w:cs="Times New Roman"/>
          <w:b w:val="0"/>
          <w:bCs/>
          <w:color w:val="000000" w:themeColor="text1"/>
          <w14:textFill>
            <w14:solidFill>
              <w14:schemeClr w14:val="tx1"/>
            </w14:solidFill>
          </w14:textFill>
        </w:rPr>
        <w:t>，本项目新增原油、采出水和</w:t>
      </w:r>
      <w:r>
        <w:rPr>
          <w:rFonts w:hint="eastAsia" w:ascii="Times New Roman" w:hAnsi="Times New Roman" w:cs="Times New Roman"/>
          <w:b w:val="0"/>
          <w:bCs/>
          <w:color w:val="000000" w:themeColor="text1"/>
          <w14:textFill>
            <w14:solidFill>
              <w14:schemeClr w14:val="tx1"/>
            </w14:solidFill>
          </w14:textFill>
        </w:rPr>
        <w:t>污水</w:t>
      </w:r>
      <w:r>
        <w:rPr>
          <w:rFonts w:ascii="Times New Roman" w:hAnsi="Times New Roman" w:cs="Times New Roman"/>
          <w:b w:val="0"/>
          <w:bCs/>
          <w:color w:val="000000" w:themeColor="text1"/>
          <w14:textFill>
            <w14:solidFill>
              <w14:schemeClr w14:val="tx1"/>
            </w14:solidFill>
          </w14:textFill>
        </w:rPr>
        <w:t>均能在</w:t>
      </w:r>
      <w:r>
        <w:rPr>
          <w:rFonts w:hint="eastAsia" w:ascii="Times New Roman" w:hAnsi="Times New Roman" w:cs="Times New Roman"/>
          <w:b w:val="0"/>
          <w:bCs/>
          <w:color w:val="000000" w:themeColor="text1"/>
          <w14:textFill>
            <w14:solidFill>
              <w14:schemeClr w14:val="tx1"/>
            </w14:solidFill>
          </w14:textFill>
        </w:rPr>
        <w:t>陆梁集中处理站</w:t>
      </w:r>
      <w:r>
        <w:rPr>
          <w:rFonts w:ascii="Times New Roman" w:hAnsi="Times New Roman" w:cs="Times New Roman"/>
          <w:b w:val="0"/>
          <w:bCs/>
          <w:color w:val="000000" w:themeColor="text1"/>
          <w14:textFill>
            <w14:solidFill>
              <w14:schemeClr w14:val="tx1"/>
            </w14:solidFill>
          </w14:textFill>
        </w:rPr>
        <w:t>处理，故依托可行</w:t>
      </w:r>
      <w:r>
        <w:rPr>
          <w:rFonts w:ascii="Times New Roman" w:hAnsi="Times New Roman" w:cs="Times New Roman"/>
          <w:b w:val="0"/>
          <w:bCs/>
          <w:color w:val="000000" w:themeColor="text1"/>
          <w:lang w:bidi="ar"/>
          <w14:textFill>
            <w14:solidFill>
              <w14:schemeClr w14:val="tx1"/>
            </w14:solidFill>
          </w14:textFill>
        </w:rPr>
        <w:t>。</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3.5.</w:t>
      </w:r>
      <w:r>
        <w:rPr>
          <w:rFonts w:hint="eastAsia" w:ascii="Times New Roman" w:hAnsi="Times New Roman"/>
          <w:color w:val="000000" w:themeColor="text1"/>
          <w:sz w:val="28"/>
          <w:szCs w:val="28"/>
          <w14:textFill>
            <w14:solidFill>
              <w14:schemeClr w14:val="tx1"/>
            </w14:solidFill>
          </w14:textFill>
        </w:rPr>
        <w:t>9</w:t>
      </w:r>
      <w:r>
        <w:rPr>
          <w:rFonts w:ascii="Times New Roman" w:hAnsi="Times New Roman"/>
          <w:color w:val="000000" w:themeColor="text1"/>
          <w:sz w:val="28"/>
          <w:szCs w:val="28"/>
          <w14:textFill>
            <w14:solidFill>
              <w14:schemeClr w14:val="tx1"/>
            </w14:solidFill>
          </w14:textFill>
        </w:rPr>
        <w:t>.2陆梁注水站</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陆梁油田注水站于2001年建成投产，与集中处理站合建。根据陆9井区地层需求，油区管网建成初期即采用分压注水，设16MPa和10MPa两套压力系统。设计总注水规模为4800m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/d，其中高压系统能力2400m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/d，次高压系统能力2400m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/d。高压注水系统负责陆9J</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x</w:t>
      </w:r>
      <w:r>
        <w:rPr>
          <w:rFonts w:ascii="Times New Roman" w:hAnsi="Times New Roman" w:cs="Times New Roman"/>
          <w:color w:val="000000" w:themeColor="text1"/>
          <w:sz w:val="24"/>
          <w:vertAlign w:val="sub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、陆22J</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x</w:t>
      </w:r>
      <w:r>
        <w:rPr>
          <w:rFonts w:ascii="Times New Roman" w:hAnsi="Times New Roman" w:cs="Times New Roman"/>
          <w:color w:val="000000" w:themeColor="text1"/>
          <w:sz w:val="24"/>
          <w:vertAlign w:val="sub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、陆22K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h及陆9K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h油藏部分注水井注水任务，注入水源采用净化水；次高压注水系统负责陆9K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h油藏大部分注水井注水任务，注入水源采用清水。</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2020年对高压系统进行了改造，新建Q=350m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/h H=1600m多级离心泵2台（1用1备），Q=42m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/hP=16MPa柱塞泵3台</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2用1备</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，新建Q=43.5m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/h H=15.3m喂水泵2台（2用）高压系统改造后设计注水规模为10800m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/d。目前16MPa高压注水系统管辖150口注水井，运行现状为</w:t>
      </w:r>
      <w:r>
        <w:rPr>
          <w:rFonts w:hint="eastAsia" w:ascii="Times New Roman" w:hAnsi="Times New Roman" w:cs="Times New Roman"/>
          <w:color w:val="000000" w:themeColor="text1"/>
          <w:sz w:val="24"/>
          <w14:textFill>
            <w14:solidFill>
              <w14:schemeClr w14:val="tx1"/>
            </w14:solidFill>
          </w14:textFill>
        </w:rPr>
        <w:t>7230</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/d，剩余注水</w:t>
      </w:r>
      <w:r>
        <w:rPr>
          <w:rFonts w:hint="eastAsia" w:ascii="Times New Roman" w:hAnsi="Times New Roman" w:cs="Times New Roman"/>
          <w:color w:val="000000" w:themeColor="text1"/>
          <w:sz w:val="24"/>
          <w14:textFill>
            <w14:solidFill>
              <w14:schemeClr w14:val="tx1"/>
            </w14:solidFill>
          </w14:textFill>
        </w:rPr>
        <w:t>3570</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/d。次高压系统配注量12800m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/d，实注量7294m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w:t>
      </w:r>
      <w:r>
        <w:rPr>
          <w:rFonts w:hint="eastAsia" w:ascii="Times New Roman" w:hAnsi="Times New Roman" w:cs="Times New Roman"/>
          <w:color w:val="000000" w:themeColor="text1"/>
          <w:sz w:val="24"/>
          <w14:textFill>
            <w14:solidFill>
              <w14:schemeClr w14:val="tx1"/>
            </w14:solidFill>
          </w14:textFill>
        </w:rPr>
        <w:t>，剩余注水5506</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共有注水井122口，欠注井数32口，占总井数的17.2%。</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本次</w:t>
      </w:r>
      <w:r>
        <w:rPr>
          <w:rFonts w:hint="eastAsia" w:ascii="Times New Roman" w:hAnsi="Times New Roman" w:eastAsia="宋体" w:cs="Times New Roman"/>
          <w:color w:val="000000" w:themeColor="text1"/>
          <w:kern w:val="0"/>
          <w:sz w:val="24"/>
          <w:lang w:bidi="ar"/>
          <w14:textFill>
            <w14:solidFill>
              <w14:schemeClr w14:val="tx1"/>
            </w14:solidFill>
          </w14:textFill>
        </w:rPr>
        <w:t>老井转注9口井，单井最大注水量150m</w:t>
      </w:r>
      <w:r>
        <w:rPr>
          <w:rFonts w:hint="eastAsia"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hint="eastAsia" w:ascii="Times New Roman" w:hAnsi="Times New Roman" w:eastAsia="宋体" w:cs="Times New Roman"/>
          <w:color w:val="000000" w:themeColor="text1"/>
          <w:kern w:val="0"/>
          <w:sz w:val="24"/>
          <w:lang w:bidi="ar"/>
          <w14:textFill>
            <w14:solidFill>
              <w14:schemeClr w14:val="tx1"/>
            </w14:solidFill>
          </w14:textFill>
        </w:rPr>
        <w:t>/d，合计每天最大注水量为1350m</w:t>
      </w:r>
      <w:r>
        <w:rPr>
          <w:rFonts w:hint="eastAsia"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hint="eastAsia" w:ascii="Times New Roman" w:hAnsi="Times New Roman" w:eastAsia="宋体" w:cs="Times New Roman"/>
          <w:color w:val="000000" w:themeColor="text1"/>
          <w:kern w:val="0"/>
          <w:sz w:val="24"/>
          <w:lang w:bidi="ar"/>
          <w14:textFill>
            <w14:solidFill>
              <w14:schemeClr w14:val="tx1"/>
            </w14:solidFill>
          </w14:textFill>
        </w:rPr>
        <w:t>，陆梁注水站注水规模满足本项目注水量需求，依托可行。</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3.5.</w:t>
      </w:r>
      <w:r>
        <w:rPr>
          <w:rFonts w:hint="eastAsia" w:ascii="Times New Roman" w:hAnsi="Times New Roman"/>
          <w:color w:val="000000" w:themeColor="text1"/>
          <w:sz w:val="28"/>
          <w:szCs w:val="28"/>
          <w14:textFill>
            <w14:solidFill>
              <w14:schemeClr w14:val="tx1"/>
            </w14:solidFill>
          </w14:textFill>
        </w:rPr>
        <w:t>9</w:t>
      </w:r>
      <w:r>
        <w:rPr>
          <w:rFonts w:ascii="Times New Roman" w:hAnsi="Times New Roman"/>
          <w:color w:val="000000" w:themeColor="text1"/>
          <w:sz w:val="28"/>
          <w:szCs w:val="28"/>
          <w14:textFill>
            <w14:solidFill>
              <w14:schemeClr w14:val="tx1"/>
            </w14:solidFill>
          </w14:textFill>
        </w:rPr>
        <w:t>.3危险废物贮存及处置</w:t>
      </w:r>
    </w:p>
    <w:p>
      <w:pPr>
        <w:spacing w:line="360" w:lineRule="auto"/>
        <w:ind w:firstLine="480"/>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陆梁油田作业区污泥暂存场</w:t>
      </w:r>
    </w:p>
    <w:p>
      <w:pPr>
        <w:spacing w:line="360" w:lineRule="auto"/>
        <w:ind w:firstLine="48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①概况</w:t>
      </w:r>
    </w:p>
    <w:p>
      <w:pPr>
        <w:spacing w:line="360" w:lineRule="auto"/>
        <w:ind w:firstLine="48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陆梁污泥暂存池位于塔城地区和布克赛尔蒙古自治县，西北距和布克赛尔蒙古自治县中心城区约140km，东距陆梁集中处理站边界约157m。</w:t>
      </w:r>
    </w:p>
    <w:p>
      <w:pPr>
        <w:spacing w:line="360" w:lineRule="auto"/>
        <w:ind w:firstLine="480"/>
        <w:rPr>
          <w:rFonts w:hint="eastAsia" w:ascii="Times New Roman" w:hAnsi="Times New Roman" w:cs="Times New Roman"/>
          <w:color w:val="000000" w:themeColor="text1"/>
          <w:sz w:val="24"/>
          <w:lang w:val="en-US" w:eastAsia="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2016年</w:t>
      </w:r>
      <w:r>
        <w:rPr>
          <w:rFonts w:hint="eastAsia" w:ascii="Times New Roman" w:hAnsi="Times New Roman" w:cs="Times New Roman"/>
          <w:color w:val="000000" w:themeColor="text1"/>
          <w:sz w:val="24"/>
          <w:lang w:val="en-US" w:eastAsia="zh-CN"/>
          <w14:textFill>
            <w14:solidFill>
              <w14:schemeClr w14:val="tx1"/>
            </w14:solidFill>
          </w14:textFill>
        </w:rPr>
        <w:t>建有1座污泥暂存池，规格</w:t>
      </w:r>
      <w:r>
        <w:rPr>
          <w:rFonts w:ascii="Times New Roman" w:hAnsi="Times New Roman" w:cs="Times New Roman"/>
          <w:color w:val="000000" w:themeColor="text1"/>
          <w:sz w:val="24"/>
          <w14:textFill>
            <w14:solidFill>
              <w14:schemeClr w14:val="tx1"/>
            </w14:solidFill>
          </w14:textFill>
        </w:rPr>
        <w:t>92m×92m的正方形区域，池底采用下沉式设计，低于自然地表0.2m，四周设1.2m高围堰，池体有效总容积为10665m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池体自上而下采取</w:t>
      </w:r>
      <w:r>
        <w:rPr>
          <w:rFonts w:hint="eastAsia" w:ascii="宋体" w:hAnsi="宋体" w:eastAsia="宋体" w:cs="宋体"/>
          <w:color w:val="000000" w:themeColor="text1"/>
          <w:sz w:val="24"/>
          <w:lang w:val="en-US" w:eastAsia="zh-CN"/>
          <w14:textFill>
            <w14:solidFill>
              <w14:schemeClr w14:val="tx1"/>
            </w14:solidFill>
          </w14:textFill>
        </w:rPr>
        <w:t>“混</w:t>
      </w:r>
      <w:r>
        <w:rPr>
          <w:rFonts w:hint="eastAsia" w:ascii="Times New Roman" w:hAnsi="Times New Roman" w:cs="Times New Roman"/>
          <w:color w:val="000000" w:themeColor="text1"/>
          <w:sz w:val="24"/>
          <w:lang w:val="en-US" w:eastAsia="zh-CN"/>
          <w14:textFill>
            <w14:solidFill>
              <w14:schemeClr w14:val="tx1"/>
            </w14:solidFill>
          </w14:textFill>
        </w:rPr>
        <w:t>凝土</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原土</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无纺布</w:t>
      </w:r>
      <w:r>
        <w:rPr>
          <w:rFonts w:hint="default" w:ascii="Times New Roman" w:hAnsi="Times New Roman" w:cs="Times New Roman"/>
          <w:color w:val="000000" w:themeColor="text1"/>
          <w:sz w:val="24"/>
          <w:lang w:val="en-US" w:eastAsia="zh-CN"/>
          <w14:textFill>
            <w14:solidFill>
              <w14:schemeClr w14:val="tx1"/>
            </w14:solidFill>
          </w14:textFill>
        </w:rPr>
        <w:t>+HDPE</w:t>
      </w:r>
      <w:r>
        <w:rPr>
          <w:rFonts w:hint="eastAsia" w:ascii="Times New Roman" w:hAnsi="Times New Roman" w:cs="Times New Roman"/>
          <w:color w:val="000000" w:themeColor="text1"/>
          <w:sz w:val="24"/>
          <w:lang w:val="en-US" w:eastAsia="zh-CN"/>
          <w14:textFill>
            <w14:solidFill>
              <w14:schemeClr w14:val="tx1"/>
            </w14:solidFill>
          </w14:textFill>
        </w:rPr>
        <w:t>膜</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原土压实</w:t>
      </w:r>
      <w:r>
        <w:rPr>
          <w:rFonts w:hint="eastAsia" w:ascii="宋体" w:hAnsi="宋体" w:eastAsia="宋体" w:cs="宋体"/>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的防渗措施，由于池体过大，人工加盖防晒防雨布的效果并不理想，2023年停用。</w:t>
      </w:r>
    </w:p>
    <w:p>
      <w:pPr>
        <w:spacing w:line="360" w:lineRule="auto"/>
        <w:ind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2024年4月在原有污泥暂存池西北角新建1座含油污泥暂存场，设计含油污泥最大暂存量取2000t（约1429m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），尺寸为26m</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44m，设计堆高1.5m，围墙高2m，设计暂存量大于作业区最大暂存量。设计为单层门钢架结构，地坪利用现有污泥暂储池地面（地面防渗层完整，具备防腐、防渗、防漏功能）；暂存场三面建设钢混墙，一面为钢铁门，方便运输车辆进出；顶部加盖彩钢板顶棚，具备防风、防雨、防晒功能。2024年12月通过企业自主验收。</w:t>
      </w:r>
    </w:p>
    <w:p>
      <w:pPr>
        <w:spacing w:line="360" w:lineRule="auto"/>
        <w:ind w:firstLine="48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②环保手续</w:t>
      </w:r>
    </w:p>
    <w:p>
      <w:pPr>
        <w:spacing w:line="360" w:lineRule="auto"/>
        <w:ind w:firstLine="48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陆梁油田污泥暂存池环保手续履行情况见表3.5-24。</w:t>
      </w:r>
    </w:p>
    <w:p>
      <w:pPr>
        <w:spacing w:line="360" w:lineRule="auto"/>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表3.5-24  陆梁油田污泥暂存池环保手续履行情况一览表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3160"/>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spacing w:line="240" w:lineRule="auto"/>
              <w:jc w:val="cente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工程名称</w:t>
            </w:r>
          </w:p>
        </w:tc>
        <w:tc>
          <w:tcPr>
            <w:tcW w:w="3160" w:type="dxa"/>
            <w:vAlign w:val="center"/>
          </w:tcPr>
          <w:p>
            <w:pPr>
              <w:spacing w:line="240" w:lineRule="auto"/>
              <w:jc w:val="cente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环评批复及时间</w:t>
            </w:r>
          </w:p>
        </w:tc>
        <w:tc>
          <w:tcPr>
            <w:tcW w:w="2522" w:type="dxa"/>
            <w:vAlign w:val="center"/>
          </w:tcPr>
          <w:p>
            <w:pPr>
              <w:spacing w:line="240" w:lineRule="auto"/>
              <w:jc w:val="cente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验收情况及时间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spacing w:line="240" w:lineRule="auto"/>
              <w:jc w:val="center"/>
              <w:rPr>
                <w:rFonts w:hint="default" w:ascii="Times New Roman" w:hAnsi="Times New Roman" w:cs="Times New Roman" w:eastAsiaTheme="minorEastAsia"/>
                <w:color w:val="000000" w:themeColor="text1"/>
                <w:sz w:val="21"/>
                <w:szCs w:val="21"/>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中国石油新疆油田公司陆梁作业区陆梁污泥暂存池工程</w:t>
            </w:r>
          </w:p>
        </w:tc>
        <w:tc>
          <w:tcPr>
            <w:tcW w:w="3160" w:type="dxa"/>
            <w:vAlign w:val="center"/>
          </w:tcPr>
          <w:p>
            <w:pPr>
              <w:spacing w:line="240" w:lineRule="auto"/>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2016年12月6日取得原新疆维吾尔自治区环境保护厅（新环函</w:t>
            </w:r>
            <w:r>
              <w:rPr>
                <w:rFonts w:hint="default" w:ascii="Times New Roman" w:hAnsi="Times New Roman" w:cs="Times New Roman" w:eastAsiaTheme="minorEastAsia"/>
                <w:color w:val="000000" w:themeColor="text1"/>
                <w:sz w:val="21"/>
                <w:szCs w:val="21"/>
                <w14:textFill>
                  <w14:solidFill>
                    <w14:schemeClr w14:val="tx1"/>
                  </w14:solidFill>
                </w14:textFill>
              </w:rPr>
              <w:t>〔2016〕1853号</w:t>
            </w: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）的批复</w:t>
            </w:r>
          </w:p>
        </w:tc>
        <w:tc>
          <w:tcPr>
            <w:tcW w:w="2522" w:type="dxa"/>
            <w:vAlign w:val="center"/>
          </w:tcPr>
          <w:p>
            <w:pPr>
              <w:spacing w:line="240" w:lineRule="auto"/>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2017年11月通过企业自主验收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spacing w:line="240" w:lineRule="auto"/>
              <w:jc w:val="center"/>
              <w:rPr>
                <w:rFonts w:hint="default" w:ascii="Times New Roman" w:hAnsi="Times New Roman" w:cs="Times New Roman" w:eastAsiaTheme="minorEastAsia"/>
                <w:color w:val="000000" w:themeColor="text1"/>
                <w:sz w:val="21"/>
                <w:szCs w:val="21"/>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陆梁油田作业区污泥暂存场改造工程</w:t>
            </w:r>
          </w:p>
        </w:tc>
        <w:tc>
          <w:tcPr>
            <w:tcW w:w="3160" w:type="dxa"/>
            <w:vAlign w:val="center"/>
          </w:tcPr>
          <w:p>
            <w:pPr>
              <w:spacing w:line="240" w:lineRule="auto"/>
              <w:jc w:val="center"/>
              <w:rPr>
                <w:rFonts w:hint="default" w:ascii="Times New Roman" w:hAnsi="Times New Roman" w:cs="Times New Roman" w:eastAsiaTheme="minorEastAsia"/>
                <w:color w:val="000000" w:themeColor="text1"/>
                <w:sz w:val="21"/>
                <w:szCs w:val="21"/>
                <w:vertAlign w:val="baseline"/>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2023年12月21日取得伊犁哈萨克自治州塔城地区生态环境局（塔地环字〔2023〕264号）的批复</w:t>
            </w:r>
          </w:p>
        </w:tc>
        <w:tc>
          <w:tcPr>
            <w:tcW w:w="2522" w:type="dxa"/>
            <w:vAlign w:val="center"/>
          </w:tcPr>
          <w:p>
            <w:pPr>
              <w:spacing w:line="240" w:lineRule="auto"/>
              <w:jc w:val="cente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2024年12月通过企业自主验收</w:t>
            </w:r>
          </w:p>
        </w:tc>
      </w:tr>
    </w:tbl>
    <w:p>
      <w:pPr>
        <w:spacing w:line="360" w:lineRule="auto"/>
        <w:ind w:firstLine="48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③依托可行性分析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w:t>
      </w:r>
      <w:r>
        <w:rPr>
          <w:rFonts w:hint="eastAsia" w:ascii="Times New Roman" w:hAnsi="Times New Roman" w:cs="Times New Roman"/>
          <w:color w:val="000000" w:themeColor="text1"/>
          <w:sz w:val="24"/>
          <w14:textFill>
            <w14:solidFill>
              <w14:schemeClr w14:val="tx1"/>
            </w14:solidFill>
          </w14:textFill>
        </w:rPr>
        <w:t>项目</w:t>
      </w:r>
      <w:r>
        <w:rPr>
          <w:rFonts w:ascii="Times New Roman" w:hAnsi="Times New Roman" w:cs="Times New Roman"/>
          <w:color w:val="000000" w:themeColor="text1"/>
          <w:sz w:val="24"/>
          <w14:textFill>
            <w14:solidFill>
              <w14:schemeClr w14:val="tx1"/>
            </w14:solidFill>
          </w14:textFill>
        </w:rPr>
        <w:t>产生的含油污泥量</w:t>
      </w:r>
      <w:r>
        <w:rPr>
          <w:rFonts w:hint="eastAsia" w:ascii="Times New Roman" w:hAnsi="Times New Roman" w:cs="Times New Roman"/>
          <w:color w:val="000000" w:themeColor="text1"/>
          <w:sz w:val="24"/>
          <w:lang w:val="en-US" w:eastAsia="zh-CN"/>
          <w14:textFill>
            <w14:solidFill>
              <w14:schemeClr w14:val="tx1"/>
            </w14:solidFill>
          </w14:textFill>
        </w:rPr>
        <w:t>228.72t/a</w:t>
      </w:r>
      <w:r>
        <w:rPr>
          <w:rFonts w:ascii="Times New Roman" w:hAnsi="Times New Roman" w:cs="Times New Roman"/>
          <w:color w:val="000000" w:themeColor="text1"/>
          <w:sz w:val="24"/>
          <w14:textFill>
            <w14:solidFill>
              <w14:schemeClr w14:val="tx1"/>
            </w14:solidFill>
          </w14:textFill>
        </w:rPr>
        <w:t>，相对于污泥暂存池的有效总容积所占比例较小，且污泥暂存池的防渗措施及其相应的环保设施符合《危险废物贮存污染控制标准》（GB18597-2023）中相关要求。因此，本工程可以依托陆梁污泥暂存池可行。</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（2）危废废物处置依托可行性分析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博达生态环保有限公司是一家有危险废物处理运营资质的单位，位于克拉玛依石化工业园南二路以北、东六街以西之间地块</w:t>
      </w:r>
      <w:r>
        <w:rPr>
          <w:rFonts w:hint="eastAsia" w:ascii="Times New Roman" w:hAnsi="Times New Roman" w:cs="Times New Roman"/>
          <w:color w:val="000000" w:themeColor="text1"/>
          <w:sz w:val="24"/>
          <w14:textFill>
            <w14:solidFill>
              <w14:schemeClr w14:val="tx1"/>
            </w14:solidFill>
          </w14:textFill>
        </w:rPr>
        <w:t>。2018年</w:t>
      </w:r>
      <w:r>
        <w:rPr>
          <w:rFonts w:ascii="Times New Roman" w:hAnsi="Times New Roman" w:cs="Times New Roman"/>
          <w:color w:val="000000" w:themeColor="text1"/>
          <w:sz w:val="24"/>
          <w14:textFill>
            <w14:solidFill>
              <w14:schemeClr w14:val="tx1"/>
            </w14:solidFill>
          </w14:textFill>
        </w:rPr>
        <w:t>克拉玛依博达生态环保科技有限责任公司废弃物处置再生利用项目</w:t>
      </w:r>
      <w:r>
        <w:rPr>
          <w:rFonts w:hint="eastAsia" w:ascii="Times New Roman" w:hAnsi="Times New Roman" w:cs="Times New Roman"/>
          <w:color w:val="000000" w:themeColor="text1"/>
          <w:sz w:val="24"/>
          <w14:textFill>
            <w14:solidFill>
              <w14:schemeClr w14:val="tx1"/>
            </w14:solidFill>
          </w14:textFill>
        </w:rPr>
        <w:t>建</w:t>
      </w:r>
      <w:r>
        <w:rPr>
          <w:rFonts w:ascii="Times New Roman" w:hAnsi="Times New Roman" w:cs="Times New Roman"/>
          <w:color w:val="000000" w:themeColor="text1"/>
          <w:sz w:val="24"/>
          <w14:textFill>
            <w14:solidFill>
              <w14:schemeClr w14:val="tx1"/>
            </w14:solidFill>
          </w14:textFill>
        </w:rPr>
        <w:t>于克拉玛依市白碱滩区，石油化工园区东南7km，克拉玛依危险废物处置中心西侧250m，石西公路东侧，厂区中心地理坐标N45°33′51.05″、E85°10′43.69″</w:t>
      </w:r>
      <w:r>
        <w:rPr>
          <w:rFonts w:hint="eastAsia" w:ascii="Times New Roman" w:hAnsi="Times New Roman" w:cs="Times New Roman"/>
          <w:color w:val="000000" w:themeColor="text1"/>
          <w:sz w:val="24"/>
          <w14:textFill>
            <w14:solidFill>
              <w14:schemeClr w14:val="tx1"/>
            </w14:solidFill>
          </w14:textFill>
        </w:rPr>
        <w:t>。</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博达公司于2006年开始建设，原设计处理能力为100m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/d，并履行了环保手续，但由于后期的市场调研将扩大含油污泥的处理规模，追加投资将处理规模扩大至300m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/d，并委托中勘冶金勘察设计研究院有限责任公司对其进行了环境影响评价，克拉玛依市环保局于2007年4月以克环保函</w:t>
      </w:r>
      <w:r>
        <w:rPr>
          <w:rFonts w:ascii="Times New Roman" w:hAnsi="Times New Roman" w:eastAsia="宋体" w:cs="Times New Roman"/>
          <w:color w:val="000000" w:themeColor="text1"/>
          <w:sz w:val="24"/>
          <w14:textFill>
            <w14:solidFill>
              <w14:schemeClr w14:val="tx1"/>
            </w14:solidFill>
          </w14:textFill>
        </w:rPr>
        <w:t>〔2007〕</w:t>
      </w:r>
      <w:r>
        <w:rPr>
          <w:rFonts w:ascii="Times New Roman" w:hAnsi="Times New Roman" w:cs="Times New Roman"/>
          <w:color w:val="000000" w:themeColor="text1"/>
          <w:sz w:val="24"/>
          <w14:textFill>
            <w14:solidFill>
              <w14:schemeClr w14:val="tx1"/>
            </w14:solidFill>
          </w14:textFill>
        </w:rPr>
        <w:t>28号文件对项目进行了批复。根据《建设项目环境保护管理条例》和《建设项目竣工环境保护验收管理办法》的有关规定及程序，2007年11月，克拉玛依市环境科研监测中心站对现有工程进行了竣工环境保护验收监测，克拉玛依市环保局进行了竣工环保验收。2010年由于生产的需要，建设单位在厂区北侧扩建2座50m×70m×6m的污水沉降池，作为含油污水进入厂区的预处理分离油水，并于2010年9月报克拉玛依市环境保护局以克环保函</w:t>
      </w:r>
      <w:r>
        <w:rPr>
          <w:rFonts w:ascii="Times New Roman" w:hAnsi="Times New Roman" w:eastAsia="宋体" w:cs="Times New Roman"/>
          <w:color w:val="000000" w:themeColor="text1"/>
          <w:sz w:val="24"/>
          <w14:textFill>
            <w14:solidFill>
              <w14:schemeClr w14:val="tx1"/>
            </w14:solidFill>
          </w14:textFill>
        </w:rPr>
        <w:t>〔2010〕</w:t>
      </w:r>
      <w:r>
        <w:rPr>
          <w:rFonts w:ascii="Times New Roman" w:hAnsi="Times New Roman" w:cs="Times New Roman"/>
          <w:color w:val="000000" w:themeColor="text1"/>
          <w:sz w:val="24"/>
          <w14:textFill>
            <w14:solidFill>
              <w14:schemeClr w14:val="tx1"/>
            </w14:solidFill>
          </w14:textFill>
        </w:rPr>
        <w:t>127号文件进行了批复，于2011年4月建设投入使用，2011年8月，克拉玛依市环境科研监测中心站对污水储池扩量工程进行了竣工环境保护验收监测，克拉玛依市环保局进行了竣工环保验收。验收监测报告认为，落地油及清罐油泥治理及扩量工程，立项、环评、初步设计及试生产报批手续齐全，环保设施与主体工程同时设计，同时施工，同时投入使用，环保设施运行基本正常，对环评和初步设计的要求落实到位。2018年原新疆维吾尔自治区环境保护厅对《关于克拉玛依博达生态环保科技有限责任公司油田污泥污水处理项目升级改造固体废物污染防治设施项目》（新环函</w:t>
      </w:r>
      <w:r>
        <w:rPr>
          <w:rFonts w:ascii="Times New Roman" w:hAnsi="Times New Roman" w:eastAsia="宋体" w:cs="Times New Roman"/>
          <w:color w:val="000000" w:themeColor="text1"/>
          <w:sz w:val="24"/>
          <w14:textFill>
            <w14:solidFill>
              <w14:schemeClr w14:val="tx1"/>
            </w14:solidFill>
          </w14:textFill>
        </w:rPr>
        <w:t>〔2018〕1182号</w:t>
      </w:r>
      <w:r>
        <w:rPr>
          <w:rFonts w:ascii="Times New Roman" w:hAnsi="Times New Roman" w:cs="Times New Roman"/>
          <w:color w:val="000000" w:themeColor="text1"/>
          <w:sz w:val="24"/>
          <w14:textFill>
            <w14:solidFill>
              <w14:schemeClr w14:val="tx1"/>
            </w14:solidFill>
          </w14:textFill>
        </w:rPr>
        <w:t>）予以批复，2019年6月通过新疆维吾尔自治区生态环境厅验收（新环审</w:t>
      </w:r>
      <w:r>
        <w:rPr>
          <w:rFonts w:ascii="Times New Roman" w:hAnsi="Times New Roman" w:eastAsia="宋体" w:cs="Times New Roman"/>
          <w:color w:val="000000" w:themeColor="text1"/>
          <w:sz w:val="24"/>
          <w14:textFill>
            <w14:solidFill>
              <w14:schemeClr w14:val="tx1"/>
            </w14:solidFill>
          </w14:textFill>
        </w:rPr>
        <w:t>〔2019〕67号</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博达</w:t>
      </w:r>
      <w:r>
        <w:rPr>
          <w:rFonts w:ascii="Times New Roman" w:hAnsi="Times New Roman" w:cs="Times New Roman"/>
          <w:color w:val="000000" w:themeColor="text1"/>
          <w:sz w:val="24"/>
          <w14:textFill>
            <w14:solidFill>
              <w14:schemeClr w14:val="tx1"/>
            </w14:solidFill>
          </w14:textFill>
        </w:rPr>
        <w:t>废弃物处置再生利用项目</w:t>
      </w:r>
      <w:r>
        <w:rPr>
          <w:rFonts w:hint="eastAsia" w:ascii="Times New Roman" w:hAnsi="Times New Roman" w:cs="Times New Roman"/>
          <w:color w:val="000000" w:themeColor="text1"/>
          <w:sz w:val="24"/>
          <w14:textFill>
            <w14:solidFill>
              <w14:schemeClr w14:val="tx1"/>
            </w14:solidFill>
          </w14:textFill>
        </w:rPr>
        <w:t>设计</w:t>
      </w:r>
      <w:r>
        <w:rPr>
          <w:rFonts w:ascii="Times New Roman" w:hAnsi="Times New Roman" w:cs="Times New Roman"/>
          <w:color w:val="000000" w:themeColor="text1"/>
          <w:sz w:val="24"/>
          <w14:textFill>
            <w14:solidFill>
              <w14:schemeClr w14:val="tx1"/>
            </w14:solidFill>
          </w14:textFill>
        </w:rPr>
        <w:t>处理能力为118.5万t/a（其中含油泥废液34万t/a、含油污泥30万t/a、干化油泥及废矿物油40.5万t/a、含油钻井废弃物10.5万t/a、废防渗膜及废树脂3.5万t/a）</w:t>
      </w:r>
      <w:r>
        <w:rPr>
          <w:rFonts w:hint="eastAsia" w:ascii="Times New Roman" w:hAnsi="Times New Roman" w:cs="Times New Roman"/>
          <w:color w:val="000000" w:themeColor="text1"/>
          <w:sz w:val="24"/>
          <w14:textFill>
            <w14:solidFill>
              <w14:schemeClr w14:val="tx1"/>
            </w14:solidFill>
          </w14:textFill>
        </w:rPr>
        <w:t>，该项目于2018年</w:t>
      </w:r>
      <w:r>
        <w:rPr>
          <w:rFonts w:ascii="Times New Roman" w:hAnsi="Times New Roman" w:cs="Times New Roman"/>
          <w:color w:val="000000" w:themeColor="text1"/>
          <w:sz w:val="24"/>
          <w14:textFill>
            <w14:solidFill>
              <w14:schemeClr w14:val="tx1"/>
            </w14:solidFill>
          </w14:textFill>
        </w:rPr>
        <w:t>原新疆维吾尔自治区环境保护厅对《关于克拉玛依博达生态环保科技有限责任公司</w:t>
      </w:r>
      <w:r>
        <w:rPr>
          <w:rFonts w:hint="eastAsia" w:ascii="Times New Roman" w:hAnsi="Times New Roman" w:cs="Times New Roman"/>
          <w:color w:val="000000" w:themeColor="text1"/>
          <w:sz w:val="24"/>
          <w14:textFill>
            <w14:solidFill>
              <w14:schemeClr w14:val="tx1"/>
            </w14:solidFill>
          </w14:textFill>
        </w:rPr>
        <w:t>废弃物处置再生利用项目</w:t>
      </w:r>
      <w:r>
        <w:rPr>
          <w:rFonts w:ascii="Times New Roman" w:hAnsi="Times New Roman" w:cs="Times New Roman"/>
          <w:color w:val="000000" w:themeColor="text1"/>
          <w:sz w:val="24"/>
          <w14:textFill>
            <w14:solidFill>
              <w14:schemeClr w14:val="tx1"/>
            </w14:solidFill>
          </w14:textFill>
        </w:rPr>
        <w:t>》（新环函</w:t>
      </w:r>
      <w:r>
        <w:rPr>
          <w:rFonts w:ascii="Times New Roman" w:hAnsi="Times New Roman" w:eastAsia="宋体" w:cs="Times New Roman"/>
          <w:color w:val="000000" w:themeColor="text1"/>
          <w:sz w:val="24"/>
          <w14:textFill>
            <w14:solidFill>
              <w14:schemeClr w14:val="tx1"/>
            </w14:solidFill>
          </w14:textFill>
        </w:rPr>
        <w:t>〔2018〕1</w:t>
      </w:r>
      <w:r>
        <w:rPr>
          <w:rFonts w:hint="eastAsia" w:ascii="Times New Roman" w:hAnsi="Times New Roman" w:eastAsia="宋体" w:cs="Times New Roman"/>
          <w:color w:val="000000" w:themeColor="text1"/>
          <w:sz w:val="24"/>
          <w14:textFill>
            <w14:solidFill>
              <w14:schemeClr w14:val="tx1"/>
            </w14:solidFill>
          </w14:textFill>
        </w:rPr>
        <w:t>447</w:t>
      </w:r>
      <w:r>
        <w:rPr>
          <w:rFonts w:ascii="Times New Roman" w:hAnsi="Times New Roman" w:eastAsia="宋体" w:cs="Times New Roman"/>
          <w:color w:val="000000" w:themeColor="text1"/>
          <w:sz w:val="24"/>
          <w14:textFill>
            <w14:solidFill>
              <w14:schemeClr w14:val="tx1"/>
            </w14:solidFill>
          </w14:textFill>
        </w:rPr>
        <w:t>号</w:t>
      </w:r>
      <w:r>
        <w:rPr>
          <w:rFonts w:ascii="Times New Roman" w:hAnsi="Times New Roman" w:cs="Times New Roman"/>
          <w:color w:val="000000" w:themeColor="text1"/>
          <w:sz w:val="24"/>
          <w14:textFill>
            <w14:solidFill>
              <w14:schemeClr w14:val="tx1"/>
            </w14:solidFill>
          </w14:textFill>
        </w:rPr>
        <w:t>）予以批复，20</w:t>
      </w:r>
      <w:r>
        <w:rPr>
          <w:rFonts w:hint="eastAsia" w:ascii="Times New Roman" w:hAnsi="Times New Roman" w:cs="Times New Roman"/>
          <w:color w:val="000000" w:themeColor="text1"/>
          <w:sz w:val="24"/>
          <w14:textFill>
            <w14:solidFill>
              <w14:schemeClr w14:val="tx1"/>
            </w14:solidFill>
          </w14:textFill>
        </w:rPr>
        <w:t>23</w:t>
      </w:r>
      <w:r>
        <w:rPr>
          <w:rFonts w:ascii="Times New Roman" w:hAnsi="Times New Roman" w:cs="Times New Roman"/>
          <w:color w:val="000000" w:themeColor="text1"/>
          <w:sz w:val="24"/>
          <w14:textFill>
            <w14:solidFill>
              <w14:schemeClr w14:val="tx1"/>
            </w14:solidFill>
          </w14:textFill>
        </w:rPr>
        <w:t>年</w:t>
      </w:r>
      <w:r>
        <w:rPr>
          <w:rFonts w:hint="eastAsia" w:ascii="Times New Roman" w:hAnsi="Times New Roman" w:cs="Times New Roman"/>
          <w:color w:val="000000" w:themeColor="text1"/>
          <w:sz w:val="24"/>
          <w14:textFill>
            <w14:solidFill>
              <w14:schemeClr w14:val="tx1"/>
            </w14:solidFill>
          </w14:textFill>
        </w:rPr>
        <w:t>10</w:t>
      </w:r>
      <w:r>
        <w:rPr>
          <w:rFonts w:ascii="Times New Roman" w:hAnsi="Times New Roman" w:cs="Times New Roman"/>
          <w:color w:val="000000" w:themeColor="text1"/>
          <w:sz w:val="24"/>
          <w14:textFill>
            <w14:solidFill>
              <w14:schemeClr w14:val="tx1"/>
            </w14:solidFill>
          </w14:textFill>
        </w:rPr>
        <w:t>月通过</w:t>
      </w:r>
      <w:r>
        <w:rPr>
          <w:rFonts w:hint="eastAsia" w:ascii="Times New Roman" w:hAnsi="Times New Roman" w:cs="Times New Roman"/>
          <w:color w:val="000000" w:themeColor="text1"/>
          <w:sz w:val="24"/>
          <w14:textFill>
            <w14:solidFill>
              <w14:schemeClr w14:val="tx1"/>
            </w14:solidFill>
          </w14:textFill>
        </w:rPr>
        <w:t>企业自主</w:t>
      </w:r>
      <w:r>
        <w:rPr>
          <w:rFonts w:ascii="Times New Roman" w:hAnsi="Times New Roman" w:cs="Times New Roman"/>
          <w:color w:val="000000" w:themeColor="text1"/>
          <w:sz w:val="24"/>
          <w14:textFill>
            <w14:solidFill>
              <w14:schemeClr w14:val="tx1"/>
            </w14:solidFill>
          </w14:textFill>
        </w:rPr>
        <w:t>验收。</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依托可行性分析：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克拉玛依博达生态环保科技有限责任公司具有自治区环保厅颁发的《危险废物经营许可证》（编号6502040</w:t>
      </w:r>
      <w:r>
        <w:rPr>
          <w:rFonts w:hint="eastAsia" w:ascii="Times New Roman" w:hAnsi="Times New Roman" w:cs="Times New Roman"/>
          <w:color w:val="000000" w:themeColor="text1"/>
          <w:sz w:val="24"/>
          <w14:textFill>
            <w14:solidFill>
              <w14:schemeClr w14:val="tx1"/>
            </w14:solidFill>
          </w14:textFill>
        </w:rPr>
        <w:t>11</w:t>
      </w:r>
      <w:r>
        <w:rPr>
          <w:rFonts w:ascii="Times New Roman" w:hAnsi="Times New Roman" w:cs="Times New Roman"/>
          <w:color w:val="000000" w:themeColor="text1"/>
          <w:sz w:val="24"/>
          <w14:textFill>
            <w14:solidFill>
              <w14:schemeClr w14:val="tx1"/>
            </w14:solidFill>
          </w14:textFill>
        </w:rPr>
        <w:t>7），年处理能力</w:t>
      </w:r>
      <w:r>
        <w:rPr>
          <w:rFonts w:hint="eastAsia" w:ascii="Times New Roman" w:hAnsi="Times New Roman" w:cs="Times New Roman"/>
          <w:color w:val="000000" w:themeColor="text1"/>
          <w:sz w:val="24"/>
          <w14:textFill>
            <w14:solidFill>
              <w14:schemeClr w14:val="tx1"/>
            </w14:solidFill>
          </w14:textFill>
        </w:rPr>
        <w:t>118.5</w:t>
      </w:r>
      <w:r>
        <w:rPr>
          <w:rFonts w:ascii="Times New Roman" w:hAnsi="Times New Roman" w:cs="Times New Roman"/>
          <w:color w:val="000000" w:themeColor="text1"/>
          <w:sz w:val="24"/>
          <w14:textFill>
            <w14:solidFill>
              <w14:schemeClr w14:val="tx1"/>
            </w14:solidFill>
          </w14:textFill>
        </w:rPr>
        <w:t>万t/a，</w:t>
      </w:r>
      <w:r>
        <w:rPr>
          <w:rFonts w:ascii="Times New Roman" w:hAnsi="Times New Roman" w:eastAsia="宋体" w:cs="Times New Roman"/>
          <w:color w:val="000000" w:themeColor="text1"/>
          <w:kern w:val="0"/>
          <w:sz w:val="24"/>
          <w:lang w:bidi="ar"/>
          <w14:textFill>
            <w14:solidFill>
              <w14:schemeClr w14:val="tx1"/>
            </w14:solidFill>
          </w14:textFill>
        </w:rPr>
        <w:t>实际处理量35×10</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4</w:t>
      </w:r>
      <w:r>
        <w:rPr>
          <w:rFonts w:ascii="Times New Roman" w:hAnsi="Times New Roman" w:eastAsia="宋体" w:cs="Times New Roman"/>
          <w:color w:val="000000" w:themeColor="text1"/>
          <w:kern w:val="0"/>
          <w:sz w:val="24"/>
          <w:lang w:bidi="ar"/>
          <w14:textFill>
            <w14:solidFill>
              <w14:schemeClr w14:val="tx1"/>
            </w14:solidFill>
          </w14:textFill>
        </w:rPr>
        <w:t>t/a，留有</w:t>
      </w:r>
      <w:r>
        <w:rPr>
          <w:rFonts w:hint="eastAsia" w:ascii="Times New Roman" w:hAnsi="Times New Roman" w:eastAsia="宋体" w:cs="Times New Roman"/>
          <w:color w:val="000000" w:themeColor="text1"/>
          <w:kern w:val="0"/>
          <w:sz w:val="24"/>
          <w:lang w:bidi="ar"/>
          <w14:textFill>
            <w14:solidFill>
              <w14:schemeClr w14:val="tx1"/>
            </w14:solidFill>
          </w14:textFill>
        </w:rPr>
        <w:t>83.5</w:t>
      </w:r>
      <w:r>
        <w:rPr>
          <w:rFonts w:ascii="Times New Roman" w:hAnsi="Times New Roman" w:eastAsia="宋体" w:cs="Times New Roman"/>
          <w:color w:val="000000" w:themeColor="text1"/>
          <w:kern w:val="0"/>
          <w:sz w:val="24"/>
          <w:lang w:bidi="ar"/>
          <w14:textFill>
            <w14:solidFill>
              <w14:schemeClr w14:val="tx1"/>
            </w14:solidFill>
          </w14:textFill>
        </w:rPr>
        <w:t>×10</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4</w:t>
      </w:r>
      <w:r>
        <w:rPr>
          <w:rFonts w:ascii="Times New Roman" w:hAnsi="Times New Roman" w:eastAsia="宋体" w:cs="Times New Roman"/>
          <w:color w:val="000000" w:themeColor="text1"/>
          <w:kern w:val="0"/>
          <w:sz w:val="24"/>
          <w:lang w:bidi="ar"/>
          <w14:textFill>
            <w14:solidFill>
              <w14:schemeClr w14:val="tx1"/>
            </w14:solidFill>
          </w14:textFill>
        </w:rPr>
        <w:t>t/a的富余量</w:t>
      </w:r>
      <w:r>
        <w:rPr>
          <w:rFonts w:ascii="Times New Roman" w:hAnsi="Times New Roman" w:cs="Times New Roman"/>
          <w:color w:val="000000" w:themeColor="text1"/>
          <w:sz w:val="24"/>
          <w14:textFill>
            <w14:solidFill>
              <w14:schemeClr w14:val="tx1"/>
            </w14:solidFill>
          </w14:textFill>
        </w:rPr>
        <w:t>。本项目</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口采油井全部投产后预计油泥最大产生量为</w:t>
      </w:r>
      <w:r>
        <w:rPr>
          <w:rFonts w:hint="eastAsia" w:ascii="Times New Roman" w:hAnsi="Times New Roman" w:cs="Times New Roman"/>
          <w:color w:val="000000" w:themeColor="text1"/>
          <w:sz w:val="24"/>
          <w14:textFill>
            <w14:solidFill>
              <w14:schemeClr w14:val="tx1"/>
            </w14:solidFill>
          </w14:textFill>
        </w:rPr>
        <w:t>228.72</w:t>
      </w:r>
      <w:r>
        <w:rPr>
          <w:rFonts w:ascii="Times New Roman" w:hAnsi="Times New Roman" w:cs="Times New Roman"/>
          <w:color w:val="000000" w:themeColor="text1"/>
          <w:sz w:val="24"/>
          <w14:textFill>
            <w14:solidFill>
              <w14:schemeClr w14:val="tx1"/>
            </w14:solidFill>
          </w14:textFill>
        </w:rPr>
        <w:t>t/a，占比较小，完全在博达公司的处理能力范围内。</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3.5.</w:t>
      </w:r>
      <w:r>
        <w:rPr>
          <w:rFonts w:hint="eastAsia" w:ascii="Times New Roman" w:hAnsi="Times New Roman"/>
          <w:color w:val="000000" w:themeColor="text1"/>
          <w:sz w:val="28"/>
          <w:szCs w:val="28"/>
          <w14:textFill>
            <w14:solidFill>
              <w14:schemeClr w14:val="tx1"/>
            </w14:solidFill>
          </w14:textFill>
        </w:rPr>
        <w:t>9</w:t>
      </w:r>
      <w:r>
        <w:rPr>
          <w:rFonts w:ascii="Times New Roman" w:hAnsi="Times New Roman"/>
          <w:color w:val="000000" w:themeColor="text1"/>
          <w:sz w:val="28"/>
          <w:szCs w:val="28"/>
          <w14:textFill>
            <w14:solidFill>
              <w14:schemeClr w14:val="tx1"/>
            </w14:solidFill>
          </w14:textFill>
        </w:rPr>
        <w:t>.4</w:t>
      </w:r>
      <w:r>
        <w:rPr>
          <w:rFonts w:hint="eastAsia" w:ascii="Times New Roman" w:hAnsi="Times New Roman"/>
          <w:color w:val="000000" w:themeColor="text1"/>
          <w:sz w:val="28"/>
          <w:szCs w:val="28"/>
          <w14:textFill>
            <w14:solidFill>
              <w14:schemeClr w14:val="tx1"/>
            </w14:solidFill>
          </w14:textFill>
        </w:rPr>
        <w:t>乌尔禾生活垃圾填埋场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（1）环保手续履行情况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克拉玛依市乌尔禾区生活垃圾处理工程于2016年7月通过原克拉玛依市环境保护局审批，文号“克环保函评</w:t>
      </w:r>
      <w:r>
        <w:rPr>
          <w:rFonts w:ascii="Times New Roman" w:hAnsi="Times New Roman" w:cs="Times New Roman"/>
          <w:color w:val="000000" w:themeColor="text1"/>
          <w:sz w:val="24"/>
          <w14:textFill>
            <w14:solidFill>
              <w14:schemeClr w14:val="tx1"/>
            </w14:solidFill>
          </w14:textFill>
        </w:rPr>
        <w:t>价</w:t>
      </w:r>
      <m:oMath>
        <m:r>
          <m:rPr>
            <m:sty m:val="p"/>
          </m:rPr>
          <w:rPr>
            <w:rFonts w:ascii="Cambria Math" w:hAnsi="Cambria Math" w:cs="Times New Roman"/>
            <w:color w:val="000000" w:themeColor="text1"/>
            <w:sz w:val="24"/>
            <w14:textFill>
              <w14:solidFill>
                <w14:schemeClr w14:val="tx1"/>
              </w14:solidFill>
            </w14:textFill>
          </w:rPr>
          <m:t>〔</m:t>
        </m:r>
      </m:oMath>
      <w:r>
        <w:rPr>
          <w:rFonts w:ascii="Times New Roman" w:hAnsi="Times New Roman" w:cs="Times New Roman"/>
          <w:color w:val="000000" w:themeColor="text1"/>
          <w:sz w:val="24"/>
          <w14:textFill>
            <w14:solidFill>
              <w14:schemeClr w14:val="tx1"/>
            </w14:solidFill>
          </w14:textFill>
        </w:rPr>
        <w:t>2016〕376号</w:t>
      </w:r>
      <w:r>
        <w:rPr>
          <w:rFonts w:hint="eastAsia" w:ascii="Times New Roman" w:hAnsi="Times New Roman" w:cs="Times New Roman"/>
          <w:color w:val="000000" w:themeColor="text1"/>
          <w:sz w:val="24"/>
          <w14:textFill>
            <w14:solidFill>
              <w14:schemeClr w14:val="tx1"/>
            </w14:solidFill>
          </w14:textFill>
        </w:rPr>
        <w:t>”。2017年11月完成近期和管理区主体工程建设，2019年6月通过环保竣工验收。</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（2）基本情况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克拉玛依市乌尔禾区生活垃圾处理工程位于克拉玛依乌尔禾区西南方，217国道东侧，卫生填埋场占地面积11.31ha，填埋场设计总库容为77万m3。服务年限为2018年至2030年。近期（2023年）生活垃圾日清运处置87t，累计处理量23.56万t；远期（2030年）生活垃圾日清运处置98t，累计处理量47.64万t。本项目西北侧距离乌尔禾生活垃圾填埋场33km。</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（3）依托可行性</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目前，乌尔禾生活垃圾填埋场有较多剩余容量，本项目施工期产生的生活垃圾为</w:t>
      </w:r>
      <w:r>
        <w:rPr>
          <w:rFonts w:hint="eastAsia" w:ascii="Times New Roman" w:hAnsi="Times New Roman" w:cs="Times New Roman"/>
          <w:color w:val="000000" w:themeColor="text1"/>
          <w:sz w:val="24"/>
          <w:lang w:val="en-US" w:eastAsia="zh-CN"/>
          <w14:textFill>
            <w14:solidFill>
              <w14:schemeClr w14:val="tx1"/>
            </w14:solidFill>
          </w14:textFill>
        </w:rPr>
        <w:t>11.66</w:t>
      </w:r>
      <w:r>
        <w:rPr>
          <w:rFonts w:hint="eastAsia" w:ascii="Times New Roman" w:hAnsi="Times New Roman" w:cs="Times New Roman"/>
          <w:color w:val="000000" w:themeColor="text1"/>
          <w:sz w:val="24"/>
          <w14:textFill>
            <w14:solidFill>
              <w14:schemeClr w14:val="tx1"/>
            </w14:solidFill>
          </w14:textFill>
        </w:rPr>
        <w:t>t，产生量较少，垃圾填埋场的剩余规模可完全满足本工程产生的生活垃圾。</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3.5.</w:t>
      </w:r>
      <w:r>
        <w:rPr>
          <w:rFonts w:hint="eastAsia" w:ascii="Times New Roman" w:hAnsi="Times New Roman"/>
          <w:color w:val="000000" w:themeColor="text1"/>
          <w:sz w:val="28"/>
          <w:szCs w:val="28"/>
          <w14:textFill>
            <w14:solidFill>
              <w14:schemeClr w14:val="tx1"/>
            </w14:solidFill>
          </w14:textFill>
        </w:rPr>
        <w:t>9</w:t>
      </w:r>
      <w:r>
        <w:rPr>
          <w:rFonts w:ascii="Times New Roman" w:hAnsi="Times New Roman"/>
          <w:color w:val="000000" w:themeColor="text1"/>
          <w:sz w:val="28"/>
          <w:szCs w:val="28"/>
          <w14:textFill>
            <w14:solidFill>
              <w14:schemeClr w14:val="tx1"/>
            </w14:solidFill>
          </w14:textFill>
        </w:rPr>
        <w:t>.5陆梁公寓生活污水一体化处理设施</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（1）基本概况</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陆梁公寓生活污水处理设施建于2002年，设计规模为168m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污水处理流程为：生活污水→集水池→一元化污水处理装置→外排，该设施投产初期出水水质良好，后期由于装置腐蚀、污水泵堵塞、自动化程度低、管理不便等系列问题导致出水逐渐超标，因此作业区于2014年对该装置进行了提标改造，设计处理规模提升至350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/d。一体化污水处理设施工艺流程见下图。</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274310" cy="2788920"/>
            <wp:effectExtent l="0" t="0" r="254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lum bright="6000" contrast="6000"/>
                    </a:blip>
                    <a:stretch>
                      <a:fillRect/>
                    </a:stretch>
                  </pic:blipFill>
                  <pic:spPr>
                    <a:xfrm>
                      <a:off x="0" y="0"/>
                      <a:ext cx="5274310" cy="2788920"/>
                    </a:xfrm>
                    <a:prstGeom prst="rect">
                      <a:avLst/>
                    </a:prstGeom>
                  </pic:spPr>
                </pic:pic>
              </a:graphicData>
            </a:graphic>
          </wp:inline>
        </w:drawing>
      </w:r>
    </w:p>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图3.5-</w:t>
      </w:r>
      <w:r>
        <w:rPr>
          <w:rFonts w:hint="eastAsia" w:cs="Times New Roman"/>
          <w:color w:val="000000" w:themeColor="text1"/>
          <w:sz w:val="21"/>
          <w:szCs w:val="21"/>
          <w:lang w:val="en-US" w:eastAsia="zh-CN"/>
          <w14:textFill>
            <w14:solidFill>
              <w14:schemeClr w14:val="tx1"/>
            </w14:solidFill>
          </w14:textFill>
        </w:rPr>
        <w:t>9</w:t>
      </w:r>
      <w:r>
        <w:rPr>
          <w:rFonts w:hint="eastAsia" w:cs="Times New Roman"/>
          <w:color w:val="000000" w:themeColor="text1"/>
          <w:sz w:val="21"/>
          <w:szCs w:val="21"/>
          <w14:textFill>
            <w14:solidFill>
              <w14:schemeClr w14:val="tx1"/>
            </w14:solidFill>
          </w14:textFill>
        </w:rPr>
        <w:t xml:space="preserve"> </w:t>
      </w:r>
      <w:r>
        <w:rPr>
          <w:rFonts w:cs="Times New Roman"/>
          <w:color w:val="000000" w:themeColor="text1"/>
          <w:sz w:val="21"/>
          <w:szCs w:val="21"/>
          <w14:textFill>
            <w14:solidFill>
              <w14:schemeClr w14:val="tx1"/>
            </w14:solidFill>
          </w14:textFill>
        </w:rPr>
        <w:t xml:space="preserve"> 陆梁公寓生活污水一体化处理装置工艺流程图</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（2）环保手续</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陆梁公寓生活污水一体化处理装置环保手续履行情况见表3.5-2</w:t>
      </w:r>
      <w:r>
        <w:rPr>
          <w:rFonts w:hint="eastAsia" w:ascii="Times New Roman" w:hAnsi="Times New Roman" w:cs="Times New Roman"/>
          <w:color w:val="000000" w:themeColor="text1"/>
          <w:sz w:val="24"/>
          <w:lang w:val="en-US" w:eastAsia="zh-CN"/>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w:t>
      </w:r>
    </w:p>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表3.5-2</w:t>
      </w:r>
      <w:r>
        <w:rPr>
          <w:rFonts w:hint="eastAsia" w:cs="Times New Roman"/>
          <w:color w:val="000000" w:themeColor="text1"/>
          <w:sz w:val="21"/>
          <w:szCs w:val="21"/>
          <w:lang w:val="en-US" w:eastAsia="zh-CN"/>
          <w14:textFill>
            <w14:solidFill>
              <w14:schemeClr w14:val="tx1"/>
            </w14:solidFill>
          </w14:textFill>
        </w:rPr>
        <w:t>5</w:t>
      </w:r>
      <w:r>
        <w:rPr>
          <w:rFonts w:cs="Times New Roman"/>
          <w:color w:val="000000" w:themeColor="text1"/>
          <w:sz w:val="21"/>
          <w:szCs w:val="21"/>
          <w14:textFill>
            <w14:solidFill>
              <w14:schemeClr w14:val="tx1"/>
            </w14:solidFill>
          </w14:textFill>
        </w:rPr>
        <w:t xml:space="preserve">  陆梁公寓生活污水处理环保手续履行情况一览表</w:t>
      </w:r>
    </w:p>
    <w:tbl>
      <w:tblPr>
        <w:tblStyle w:val="23"/>
        <w:tblW w:w="8600" w:type="dxa"/>
        <w:tblInd w:w="-7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049"/>
        <w:gridCol w:w="3144"/>
        <w:gridCol w:w="240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3" w:hRule="atLeast"/>
        </w:trPr>
        <w:tc>
          <w:tcPr>
            <w:tcW w:w="3049"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工程名称</w:t>
            </w:r>
          </w:p>
        </w:tc>
        <w:tc>
          <w:tcPr>
            <w:tcW w:w="3144"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环评批复及时间</w:t>
            </w:r>
          </w:p>
        </w:tc>
        <w:tc>
          <w:tcPr>
            <w:tcW w:w="2407"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验收批复及时间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3" w:hRule="atLeast"/>
        </w:trPr>
        <w:tc>
          <w:tcPr>
            <w:tcW w:w="3049"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中国石油新疆油田分公司陆梁油田开发建设项目</w:t>
            </w:r>
          </w:p>
        </w:tc>
        <w:tc>
          <w:tcPr>
            <w:tcW w:w="3144"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环审</w:t>
            </w:r>
            <w:r>
              <w:rPr>
                <w:rFonts w:ascii="Times New Roman" w:hAnsi="Times New Roman" w:eastAsia="宋体" w:cs="Times New Roman"/>
                <w:color w:val="000000" w:themeColor="text1"/>
                <w14:textFill>
                  <w14:solidFill>
                    <w14:schemeClr w14:val="tx1"/>
                  </w14:solidFill>
                </w14:textFill>
              </w:rPr>
              <w:t>〔2003〕</w:t>
            </w:r>
            <w:r>
              <w:rPr>
                <w:rFonts w:ascii="Times New Roman" w:hAnsi="Times New Roman" w:cs="Times New Roman"/>
                <w:color w:val="000000" w:themeColor="text1"/>
                <w14:textFill>
                  <w14:solidFill>
                    <w14:schemeClr w14:val="tx1"/>
                  </w14:solidFill>
                </w14:textFill>
              </w:rPr>
              <w:t>69号，2003年2月25日</w:t>
            </w:r>
          </w:p>
        </w:tc>
        <w:tc>
          <w:tcPr>
            <w:tcW w:w="2407"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环验</w:t>
            </w:r>
            <w:r>
              <w:rPr>
                <w:rFonts w:ascii="Times New Roman" w:hAnsi="Times New Roman" w:eastAsia="宋体" w:cs="Times New Roman"/>
                <w:color w:val="000000" w:themeColor="text1"/>
                <w14:textFill>
                  <w14:solidFill>
                    <w14:schemeClr w14:val="tx1"/>
                  </w14:solidFill>
                </w14:textFill>
              </w:rPr>
              <w:t>〔2005〕</w:t>
            </w:r>
            <w:r>
              <w:rPr>
                <w:rFonts w:ascii="Times New Roman" w:hAnsi="Times New Roman" w:cs="Times New Roman"/>
                <w:color w:val="000000" w:themeColor="text1"/>
                <w14:textFill>
                  <w14:solidFill>
                    <w14:schemeClr w14:val="tx1"/>
                  </w14:solidFill>
                </w14:textFill>
              </w:rPr>
              <w:t>071号，2005年8月16日</w:t>
            </w:r>
          </w:p>
        </w:tc>
      </w:tr>
    </w:tbl>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（3）依托可行性分析</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陆梁公寓生活污水一体化处理装置设计处理能力为350m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/d，目前实际处理量约为100m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/d，仍有较大的余量，本项目施工期</w:t>
      </w:r>
      <w:r>
        <w:rPr>
          <w:rFonts w:hint="eastAsia" w:ascii="Times New Roman" w:hAnsi="Times New Roman" w:cs="Times New Roman"/>
          <w:color w:val="000000" w:themeColor="text1"/>
          <w:sz w:val="24"/>
          <w14:textFill>
            <w14:solidFill>
              <w14:schemeClr w14:val="tx1"/>
            </w14:solidFill>
          </w14:textFill>
        </w:rPr>
        <w:t>生活污水</w:t>
      </w:r>
      <w:r>
        <w:rPr>
          <w:rFonts w:ascii="Times New Roman" w:hAnsi="Times New Roman" w:cs="Times New Roman"/>
          <w:color w:val="000000" w:themeColor="text1"/>
          <w:sz w:val="24"/>
          <w14:textFill>
            <w14:solidFill>
              <w14:schemeClr w14:val="tx1"/>
            </w14:solidFill>
          </w14:textFill>
        </w:rPr>
        <w:t>产生量约为</w:t>
      </w:r>
      <w:r>
        <w:rPr>
          <w:rFonts w:hint="eastAsia" w:ascii="Times New Roman" w:hAnsi="Times New Roman" w:cs="Times New Roman"/>
          <w:color w:val="000000" w:themeColor="text1"/>
          <w:sz w:val="24"/>
          <w14:textFill>
            <w14:solidFill>
              <w14:schemeClr w14:val="tx1"/>
            </w14:solidFill>
          </w14:textFill>
        </w:rPr>
        <w:t>4.09</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/d，依托可行。</w:t>
      </w:r>
    </w:p>
    <w:p>
      <w:pPr>
        <w:pStyle w:val="30"/>
        <w:spacing w:line="360" w:lineRule="auto"/>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本项目与依托工程相对位置关系图见图3.5-1</w:t>
      </w:r>
      <w:r>
        <w:rPr>
          <w:rFonts w:hint="eastAsia" w:cs="Times New Roman"/>
          <w:color w:val="000000" w:themeColor="text1"/>
          <w:sz w:val="24"/>
          <w:lang w:val="en-US" w:eastAsia="zh-CN"/>
          <w14:textFill>
            <w14:solidFill>
              <w14:schemeClr w14:val="tx1"/>
            </w14:solidFill>
          </w14:textFill>
        </w:rPr>
        <w:t>0</w:t>
      </w:r>
      <w:r>
        <w:rPr>
          <w:rFonts w:cs="Times New Roman"/>
          <w:color w:val="000000" w:themeColor="text1"/>
          <w:sz w:val="24"/>
          <w14:textFill>
            <w14:solidFill>
              <w14:schemeClr w14:val="tx1"/>
            </w14:solidFill>
          </w14:textFill>
        </w:rPr>
        <w:t>。本项目污染物与依托工程去向关系图见图3.5-1</w:t>
      </w:r>
      <w:r>
        <w:rPr>
          <w:rFonts w:hint="eastAsia" w:cs="Times New Roman"/>
          <w:color w:val="000000" w:themeColor="text1"/>
          <w:sz w:val="24"/>
          <w:lang w:val="en-US" w:eastAsia="zh-CN"/>
          <w14:textFill>
            <w14:solidFill>
              <w14:schemeClr w14:val="tx1"/>
            </w14:solidFill>
          </w14:textFill>
        </w:rPr>
        <w:t>1</w:t>
      </w:r>
      <w:r>
        <w:rPr>
          <w:rFonts w:cs="Times New Roman"/>
          <w:color w:val="000000" w:themeColor="text1"/>
          <w:sz w:val="24"/>
          <w14:textFill>
            <w14:solidFill>
              <w14:schemeClr w14:val="tx1"/>
            </w14:solidFill>
          </w14:textFill>
        </w:rPr>
        <w:t>。</w:t>
      </w:r>
    </w:p>
    <w:p>
      <w:pPr>
        <w:pStyle w:val="30"/>
        <w:spacing w:line="360" w:lineRule="auto"/>
        <w:rPr>
          <w:rFonts w:cs="Times New Roman"/>
          <w:color w:val="000000" w:themeColor="text1"/>
          <w:sz w:val="24"/>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30"/>
        <w:spacing w:line="360" w:lineRule="auto"/>
        <w:ind w:left="0" w:leftChars="0" w:firstLine="0" w:firstLineChars="0"/>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mc:AlternateContent>
          <mc:Choice Requires="wpg">
            <w:drawing>
              <wp:anchor distT="0" distB="0" distL="114300" distR="114300" simplePos="0" relativeHeight="251671552" behindDoc="0" locked="0" layoutInCell="1" allowOverlap="1">
                <wp:simplePos x="0" y="0"/>
                <wp:positionH relativeFrom="column">
                  <wp:posOffset>-60325</wp:posOffset>
                </wp:positionH>
                <wp:positionV relativeFrom="paragraph">
                  <wp:posOffset>7620</wp:posOffset>
                </wp:positionV>
                <wp:extent cx="5640070" cy="1424305"/>
                <wp:effectExtent l="4445" t="0" r="0" b="0"/>
                <wp:wrapNone/>
                <wp:docPr id="17" name="组合 17"/>
                <wp:cNvGraphicFramePr/>
                <a:graphic xmlns:a="http://schemas.openxmlformats.org/drawingml/2006/main">
                  <a:graphicData uri="http://schemas.microsoft.com/office/word/2010/wordprocessingGroup">
                    <wpg:wgp>
                      <wpg:cNvGrpSpPr/>
                      <wpg:grpSpPr>
                        <a:xfrm>
                          <a:off x="0" y="0"/>
                          <a:ext cx="5640070" cy="1424305"/>
                          <a:chOff x="1928" y="1237438"/>
                          <a:chExt cx="8882" cy="2243"/>
                        </a:xfrm>
                      </wpg:grpSpPr>
                      <wpg:grpSp>
                        <wpg:cNvPr id="34" name="组合 192"/>
                        <wpg:cNvGrpSpPr/>
                        <wpg:grpSpPr>
                          <a:xfrm>
                            <a:off x="1928" y="1237438"/>
                            <a:ext cx="8882" cy="1721"/>
                            <a:chOff x="1928" y="1237438"/>
                            <a:chExt cx="8882" cy="1721"/>
                          </a:xfrm>
                        </wpg:grpSpPr>
                        <wpg:grpSp>
                          <wpg:cNvPr id="78" name="组合 184"/>
                          <wpg:cNvGrpSpPr/>
                          <wpg:grpSpPr>
                            <a:xfrm>
                              <a:off x="1928" y="1237438"/>
                              <a:ext cx="8882" cy="1721"/>
                              <a:chOff x="1928" y="1206260"/>
                              <a:chExt cx="8882" cy="1721"/>
                            </a:xfrm>
                          </wpg:grpSpPr>
                          <wpg:grpSp>
                            <wpg:cNvPr id="79" name="组合 178"/>
                            <wpg:cNvGrpSpPr/>
                            <wpg:grpSpPr>
                              <a:xfrm>
                                <a:off x="1928" y="1206498"/>
                                <a:ext cx="8882" cy="1483"/>
                                <a:chOff x="1842" y="1205845"/>
                                <a:chExt cx="8882" cy="1483"/>
                              </a:xfrm>
                            </wpg:grpSpPr>
                            <wpg:grpSp>
                              <wpg:cNvPr id="80" name="组合 177"/>
                              <wpg:cNvGrpSpPr/>
                              <wpg:grpSpPr>
                                <a:xfrm>
                                  <a:off x="1842" y="1206192"/>
                                  <a:ext cx="4795" cy="764"/>
                                  <a:chOff x="1842" y="1206192"/>
                                  <a:chExt cx="4795" cy="764"/>
                                </a:xfrm>
                              </wpg:grpSpPr>
                              <wps:wsp>
                                <wps:cNvPr id="81" name="文本框 80"/>
                                <wps:cNvSpPr txBox="1"/>
                                <wps:spPr>
                                  <a:xfrm>
                                    <a:off x="1842" y="1206192"/>
                                    <a:ext cx="1239"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cs="Times New Roman"/>
                                        </w:rPr>
                                      </w:pPr>
                                      <w:r>
                                        <w:rPr>
                                          <w:rFonts w:hint="eastAsia" w:ascii="Times New Roman" w:hAnsi="Times New Roman" w:cs="Times New Roman"/>
                                        </w:rPr>
                                        <w:t>本项目28口采油井井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81"/>
                                <wps:cNvSpPr txBox="1"/>
                                <wps:spPr>
                                  <a:xfrm>
                                    <a:off x="3987" y="1206196"/>
                                    <a:ext cx="1468"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陆梁集中处理站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直接箭头连接符 86"/>
                                <wps:cNvCnPr>
                                  <a:stCxn id="80" idx="3"/>
                                  <a:endCxn id="81" idx="1"/>
                                </wps:cNvCnPr>
                                <wps:spPr>
                                  <a:xfrm>
                                    <a:off x="3081" y="1206572"/>
                                    <a:ext cx="906" cy="4"/>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3" name="直接箭头连接符 92"/>
                                <wps:cNvCnPr>
                                  <a:stCxn id="81" idx="3"/>
                                </wps:cNvCnPr>
                                <wps:spPr>
                                  <a:xfrm flipV="1">
                                    <a:off x="5469" y="1206573"/>
                                    <a:ext cx="1168" cy="3"/>
                                  </a:xfrm>
                                  <a:prstGeom prst="straightConnector1">
                                    <a:avLst/>
                                  </a:prstGeom>
                                  <a:ln>
                                    <a:solidFill>
                                      <a:schemeClr val="tx1"/>
                                    </a:solidFill>
                                    <a:prstDash val="sys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grpSp>
                              <wpg:cNvPr id="96" name="组合 176"/>
                              <wpg:cNvGrpSpPr/>
                              <wpg:grpSpPr>
                                <a:xfrm>
                                  <a:off x="6623" y="1205845"/>
                                  <a:ext cx="4101" cy="1483"/>
                                  <a:chOff x="6743" y="1206055"/>
                                  <a:chExt cx="4101" cy="1483"/>
                                </a:xfrm>
                              </wpg:grpSpPr>
                              <wpg:grpSp>
                                <wpg:cNvPr id="97" name="组合 97"/>
                                <wpg:cNvGrpSpPr/>
                                <wpg:grpSpPr>
                                  <a:xfrm>
                                    <a:off x="6743" y="1206055"/>
                                    <a:ext cx="4101" cy="1483"/>
                                    <a:chOff x="6743" y="1206055"/>
                                    <a:chExt cx="4101" cy="1483"/>
                                  </a:xfrm>
                                </wpg:grpSpPr>
                                <wps:wsp>
                                  <wps:cNvPr id="100" name="文本框 83"/>
                                  <wps:cNvSpPr txBox="1"/>
                                  <wps:spPr>
                                    <a:xfrm>
                                      <a:off x="6743" y="1206055"/>
                                      <a:ext cx="772" cy="39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外输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文本框 84"/>
                                  <wps:cNvSpPr txBox="1"/>
                                  <wps:spPr>
                                    <a:xfrm>
                                      <a:off x="6764" y="1206554"/>
                                      <a:ext cx="3747" cy="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color w:val="000000" w:themeColor="text1"/>
                                            <w:kern w:val="44"/>
                                            <w:szCs w:val="21"/>
                                            <w14:textFill>
                                              <w14:solidFill>
                                                <w14:schemeClr w14:val="tx1"/>
                                              </w14:solidFill>
                                            </w14:textFill>
                                          </w:rPr>
                                        </w:pPr>
                                        <w:r>
                                          <w:rPr>
                                            <w:rFonts w:hint="eastAsia" w:ascii="Times New Roman" w:hAnsi="Times New Roman" w:eastAsia="宋体" w:cs="Times New Roman"/>
                                            <w:color w:val="000000" w:themeColor="text1"/>
                                            <w:kern w:val="44"/>
                                            <w:szCs w:val="21"/>
                                            <w14:textFill>
                                              <w14:solidFill>
                                                <w14:schemeClr w14:val="tx1"/>
                                              </w14:solidFill>
                                            </w14:textFill>
                                          </w:rPr>
                                          <w:t>陆梁集中处理站污水处理系统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85"/>
                                  <wps:cNvSpPr txBox="1"/>
                                  <wps:spPr>
                                    <a:xfrm>
                                      <a:off x="6751" y="1207119"/>
                                      <a:ext cx="4093"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t>克拉玛依博达生态环保科技有限责任公司</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03" name="肘形连接符 96"/>
                                <wps:cNvCnPr>
                                  <a:stCxn id="83" idx="1"/>
                                </wps:cNvCnPr>
                                <wps:spPr>
                                  <a:xfrm rot="10800000" flipH="1" flipV="1">
                                    <a:off x="6743" y="1206253"/>
                                    <a:ext cx="8" cy="1076"/>
                                  </a:xfrm>
                                  <a:prstGeom prst="bentConnector3">
                                    <a:avLst>
                                      <a:gd name="adj1" fmla="val -13137500"/>
                                    </a:avLst>
                                  </a:prstGeom>
                                  <a:ln>
                                    <a:solidFill>
                                      <a:schemeClr val="tx1"/>
                                    </a:solidFill>
                                    <a:prstDash val="sysDash"/>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wpg:grpSp>
                          </wpg:grpSp>
                          <wpg:grpSp>
                            <wpg:cNvPr id="108" name="组合 182"/>
                            <wpg:cNvGrpSpPr/>
                            <wpg:grpSpPr>
                              <a:xfrm>
                                <a:off x="5569" y="1206260"/>
                                <a:ext cx="1263" cy="1511"/>
                                <a:chOff x="5569" y="1206260"/>
                                <a:chExt cx="1263" cy="1511"/>
                              </a:xfrm>
                            </wpg:grpSpPr>
                            <wps:wsp>
                              <wps:cNvPr id="109" name="文本框 179"/>
                              <wps:cNvSpPr txBox="1"/>
                              <wps:spPr>
                                <a:xfrm>
                                  <a:off x="5715" y="1206260"/>
                                  <a:ext cx="791"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原油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80"/>
                              <wps:cNvSpPr txBox="1"/>
                              <wps:spPr>
                                <a:xfrm>
                                  <a:off x="5569" y="1207324"/>
                                  <a:ext cx="1263"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含油污泥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181"/>
                              <wps:cNvSpPr txBox="1"/>
                              <wps:spPr>
                                <a:xfrm>
                                  <a:off x="5642" y="1206782"/>
                                  <a:ext cx="971" cy="4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采出水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113" name="文本框 191"/>
                          <wps:cNvSpPr txBox="1"/>
                          <wps:spPr>
                            <a:xfrm>
                              <a:off x="3118" y="1237947"/>
                              <a:ext cx="1028" cy="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cs="Times New Roman"/>
                                  </w:rPr>
                                  <w:t>采出液</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5" name="组合 196"/>
                        <wpg:cNvGrpSpPr/>
                        <wpg:grpSpPr>
                          <a:xfrm>
                            <a:off x="2548" y="1238783"/>
                            <a:ext cx="8078" cy="898"/>
                            <a:chOff x="2548" y="1238783"/>
                            <a:chExt cx="8078" cy="898"/>
                          </a:xfrm>
                        </wpg:grpSpPr>
                        <wps:wsp>
                          <wps:cNvPr id="116" name="文本框 193"/>
                          <wps:cNvSpPr txBox="1"/>
                          <wps:spPr>
                            <a:xfrm>
                              <a:off x="2941" y="1239008"/>
                              <a:ext cx="2720" cy="4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井下作业废水、废洗井液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文本框 194"/>
                          <wps:cNvSpPr txBox="1"/>
                          <wps:spPr>
                            <a:xfrm>
                              <a:off x="6740" y="1239274"/>
                              <a:ext cx="3886" cy="4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cs="Times New Roman"/>
                                    <w:color w:val="000000" w:themeColor="text1"/>
                                    <w:kern w:val="44"/>
                                    <w:szCs w:val="21"/>
                                    <w14:textFill>
                                      <w14:solidFill>
                                        <w14:schemeClr w14:val="tx1"/>
                                      </w14:solidFill>
                                    </w14:textFill>
                                  </w:rPr>
                                </w:pPr>
                                <w:r>
                                  <w:rPr>
                                    <w:rFonts w:hint="eastAsia" w:ascii="Times New Roman" w:hAnsi="Times New Roman" w:eastAsia="宋体" w:cs="Times New Roman"/>
                                    <w:color w:val="000000" w:themeColor="text1"/>
                                    <w:kern w:val="44"/>
                                    <w:szCs w:val="21"/>
                                    <w14:textFill>
                                      <w14:solidFill>
                                        <w14:schemeClr w14:val="tx1"/>
                                      </w14:solidFill>
                                    </w14:textFill>
                                  </w:rPr>
                                  <w:t>陆梁集中处理站污水处理系统</w:t>
                                </w:r>
                              </w:p>
                              <w:p>
                                <w:pPr>
                                  <w:rPr>
                                    <w:rFonts w:eastAsia="宋体"/>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肘形连接符 195"/>
                          <wps:cNvCnPr>
                            <a:stCxn id="80" idx="2"/>
                          </wps:cNvCnPr>
                          <wps:spPr>
                            <a:xfrm rot="5400000" flipV="1">
                              <a:off x="4296" y="1237034"/>
                              <a:ext cx="695" cy="4192"/>
                            </a:xfrm>
                            <a:prstGeom prst="bentConnector2">
                              <a:avLst/>
                            </a:prstGeom>
                            <a:ln>
                              <a:solidFill>
                                <a:schemeClr val="tx1"/>
                              </a:solidFill>
                              <a:prstDash val="sys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4.75pt;margin-top:0.6pt;height:112.15pt;width:444.1pt;z-index:251671552;mso-width-relative:page;mso-height-relative:page;" coordorigin="1928,1237438" coordsize="8882,2243" o:gfxdata="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">
                <o:lock v:ext="edit" aspectratio="f"/>
                <v:group id="组合 192" o:spid="_x0000_s1026" o:spt="203" style="position:absolute;left:1928;top:1237438;height:1721;width:8882;" coordorigin="1928,1237438" coordsize="8882,1721"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group id="组合 184" o:spid="_x0000_s1026" o:spt="203" style="position:absolute;left:1928;top:1237438;height:1721;width:8882;" coordorigin="1928,1206260" coordsize="8882,1721"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group id="组合 178" o:spid="_x0000_s1026" o:spt="203" style="position:absolute;left:1928;top:1206498;height:1483;width:8882;" coordorigin="1842,1205845" coordsize="8882,1483"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group id="组合 177" o:spid="_x0000_s1026" o:spt="203" style="position:absolute;left:1842;top:1206192;height:764;width:4795;" coordorigin="1842,1206192" coordsize="4795,764"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文本框 80" o:spid="_x0000_s1026" o:spt="202" type="#_x0000_t202" style="position:absolute;left:1842;top:1206192;height:760;width:1239;" fillcolor="#FFFFFF [3201]" filled="t" stroked="t" coordsize="21600,21600" o:gfxdata="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srI6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ascii="Times New Roman" w:hAnsi="Times New Roman" w:cs="Times New Roman"/>
                                  </w:rPr>
                                </w:pPr>
                                <w:r>
                                  <w:rPr>
                                    <w:rFonts w:hint="eastAsia" w:ascii="Times New Roman" w:hAnsi="Times New Roman" w:cs="Times New Roman"/>
                                  </w:rPr>
                                  <w:t>本项目28口采油井井</w:t>
                                </w:r>
                              </w:p>
                            </w:txbxContent>
                          </v:textbox>
                        </v:shape>
                        <v:shape id="文本框 81" o:spid="_x0000_s1026" o:spt="202" type="#_x0000_t202" style="position:absolute;left:3987;top:1206196;height:760;width:1468;" fillcolor="#FFFFFF [3201]" filled="t" stroked="t" coordsize="21600,21600" o:gfxdata="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LInW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pPr>
                                <w:r>
                                  <w:rPr>
                                    <w:rFonts w:hint="eastAsia"/>
                                  </w:rPr>
                                  <w:t>陆梁集中处理站</w:t>
                                </w:r>
                              </w:p>
                            </w:txbxContent>
                          </v:textbox>
                        </v:shape>
                        <v:shape id="直接箭头连接符 86" o:spid="_x0000_s1026" o:spt="32" type="#_x0000_t32" style="position:absolute;left:3081;top:1206572;height:4;width:906;" filled="f" stroked="t" coordsize="21600,21600" o:gfxdata="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Gpu/&#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92" o:spid="_x0000_s1026" o:spt="32" type="#_x0000_t32" style="position:absolute;left:5469;top:1206573;flip:y;height:3;width:1168;" filled="f" stroked="t" coordsize="21600,21600" o:gfxdata="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ttvugAAANsA&#10;AAAPAAAAAAAAAAEAIAAAACIAAABkcnMvZG93bnJldi54bWxQSwECFAAUAAAACACHTuJAMy8FnjsA&#10;AAA5AAAAEAAAAAAAAAABACAAAAAJAQAAZHJzL3NoYXBleG1sLnhtbFBLBQYAAAAABgAGAFsBAACz&#10;AwAAAAA=&#10;">
                          <v:fill on="f" focussize="0,0"/>
                          <v:stroke weight="1pt" color="#000000 [3213]" miterlimit="8" joinstyle="miter" dashstyle="3 1" endarrow="block"/>
                          <v:imagedata o:title=""/>
                          <o:lock v:ext="edit" aspectratio="f"/>
                        </v:shape>
                      </v:group>
                      <v:group id="组合 176" o:spid="_x0000_s1026" o:spt="203" style="position:absolute;left:6623;top:1205845;height:1483;width:4101;" coordorigin="6743,1206055" coordsize="4101,1483"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6743;top:1206055;height:1483;width:4101;" coordorigin="6743,1206055" coordsize="4101,1483"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文本框 83" o:spid="_x0000_s1026" o:spt="202" type="#_x0000_t202" style="position:absolute;left:6743;top:1206055;height:396;width:772;" filled="f" stroked="f" coordsize="21600,21600" o:gfxdata="UEsDBAoAAAAAAIdO4kAAAAAAAAAAAAAAAAAEAAAAZHJzL1BLAwQUAAAACACHTuJAr8oNjs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g2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外输</w:t>
                                  </w:r>
                                </w:p>
                              </w:txbxContent>
                            </v:textbox>
                          </v:shape>
                          <v:shape id="文本框 84" o:spid="_x0000_s1026" o:spt="202" type="#_x0000_t202" style="position:absolute;left:6764;top:1206554;height:470;width:3747;" filled="f" stroked="f" coordsize="21600,21600" o:gfxdata="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GqB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color w:val="000000" w:themeColor="text1"/>
                                      <w:kern w:val="44"/>
                                      <w:szCs w:val="21"/>
                                      <w14:textFill>
                                        <w14:solidFill>
                                          <w14:schemeClr w14:val="tx1"/>
                                        </w14:solidFill>
                                      </w14:textFill>
                                    </w:rPr>
                                  </w:pPr>
                                  <w:r>
                                    <w:rPr>
                                      <w:rFonts w:hint="eastAsia" w:ascii="Times New Roman" w:hAnsi="Times New Roman" w:eastAsia="宋体" w:cs="Times New Roman"/>
                                      <w:color w:val="000000" w:themeColor="text1"/>
                                      <w:kern w:val="44"/>
                                      <w:szCs w:val="21"/>
                                      <w14:textFill>
                                        <w14:solidFill>
                                          <w14:schemeClr w14:val="tx1"/>
                                        </w14:solidFill>
                                      </w14:textFill>
                                    </w:rPr>
                                    <w:t>陆梁集中处理站污水处理系统</w:t>
                                  </w:r>
                                </w:p>
                              </w:txbxContent>
                            </v:textbox>
                          </v:shape>
                          <v:shape id="文本框 85" o:spid="_x0000_s1026" o:spt="202" type="#_x0000_t202" style="position:absolute;left:6751;top:1207119;height:419;width:4093;" filled="f" stroked="f" coordsize="21600,21600" o:gfxdata="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m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t>克拉玛依博达生态环保科技有限责任公司</w:t>
                                  </w:r>
                                </w:p>
                              </w:txbxContent>
                            </v:textbox>
                          </v:shape>
                        </v:group>
                        <v:shape id="肘形连接符 96" o:spid="_x0000_s1026" o:spt="34" type="#_x0000_t34" style="position:absolute;left:6743;top:1206253;flip:x y;height:1076;width:8;rotation:11796480f;" filled="f" stroked="t" coordsize="21600,21600" o:gfxdata="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6JZO8AAAA&#10;3AAAAA8AAAAAAAAAAQAgAAAAIgAAAGRycy9kb3ducmV2LnhtbFBLAQIUABQAAAAIAIdO4kAzLwWe&#10;OwAAADkAAAAQAAAAAAAAAAEAIAAAAAsBAABkcnMvc2hhcGV4bWwueG1sUEsFBgAAAAAGAAYAWwEA&#10;ALUDAAAAAA==&#10;" adj="-2837700">
                          <v:fill on="f" focussize="0,0"/>
                          <v:stroke weight="1pt" color="#000000 [3213]" miterlimit="8" joinstyle="miter" dashstyle="3 1" startarrow="block" endarrow="block"/>
                          <v:imagedata o:title=""/>
                          <o:lock v:ext="edit" aspectratio="f"/>
                        </v:shape>
                      </v:group>
                    </v:group>
                    <v:group id="组合 182" o:spid="_x0000_s1026" o:spt="203" style="position:absolute;left:5569;top:1206260;height:1511;width:1263;" coordorigin="5569,1206260" coordsize="1263,1511"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文本框 179" o:spid="_x0000_s1026" o:spt="202" type="#_x0000_t202" style="position:absolute;left:5715;top:1206260;height:447;width:791;"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原油</w:t>
                              </w:r>
                            </w:p>
                          </w:txbxContent>
                        </v:textbox>
                      </v:shape>
                      <v:shape id="文本框 180" o:spid="_x0000_s1026" o:spt="202" type="#_x0000_t202" style="position:absolute;left:5569;top:1207324;height:447;width:1263;"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含油污泥</w:t>
                              </w:r>
                            </w:p>
                          </w:txbxContent>
                        </v:textbox>
                      </v:shape>
                      <v:shape id="文本框 181" o:spid="_x0000_s1026" o:spt="202" type="#_x0000_t202" style="position:absolute;left:5642;top:1206782;height:447;width:971;" filled="f" stroked="f" coordsize="21600,21600" o:gfxdata="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8+y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采出水</w:t>
                              </w:r>
                            </w:p>
                          </w:txbxContent>
                        </v:textbox>
                      </v:shape>
                    </v:group>
                  </v:group>
                  <v:shape id="文本框 191" o:spid="_x0000_s1026" o:spt="202" type="#_x0000_t202" style="position:absolute;left:3118;top:1237947;height:425;width:1028;"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ascii="Times New Roman" w:hAnsi="Times New Roman" w:cs="Times New Roman"/>
                            </w:rPr>
                            <w:t>采出液</w:t>
                          </w:r>
                        </w:p>
                      </w:txbxContent>
                    </v:textbox>
                  </v:shape>
                </v:group>
                <v:group id="组合 196" o:spid="_x0000_s1026" o:spt="203" style="position:absolute;left:2548;top:1238783;height:898;width:8078;" coordorigin="2548,1238783" coordsize="8078,898"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文本框 193" o:spid="_x0000_s1026" o:spt="202" type="#_x0000_t202" style="position:absolute;left:2941;top:1239008;height:448;width:2720;" filled="f" stroked="f" coordsize="21600,21600" o:gfxdata="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mv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井下作业废水、废洗井液</w:t>
                          </w:r>
                        </w:p>
                      </w:txbxContent>
                    </v:textbox>
                  </v:shape>
                  <v:shape id="文本框 194" o:spid="_x0000_s1026" o:spt="202" type="#_x0000_t202" style="position:absolute;left:6740;top:1239274;height:407;width:3886;"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eastAsia="宋体" w:cs="Times New Roman"/>
                              <w:color w:val="000000" w:themeColor="text1"/>
                              <w:kern w:val="44"/>
                              <w:szCs w:val="21"/>
                              <w14:textFill>
                                <w14:solidFill>
                                  <w14:schemeClr w14:val="tx1"/>
                                </w14:solidFill>
                              </w14:textFill>
                            </w:rPr>
                          </w:pPr>
                          <w:r>
                            <w:rPr>
                              <w:rFonts w:hint="eastAsia" w:ascii="Times New Roman" w:hAnsi="Times New Roman" w:eastAsia="宋体" w:cs="Times New Roman"/>
                              <w:color w:val="000000" w:themeColor="text1"/>
                              <w:kern w:val="44"/>
                              <w:szCs w:val="21"/>
                              <w14:textFill>
                                <w14:solidFill>
                                  <w14:schemeClr w14:val="tx1"/>
                                </w14:solidFill>
                              </w14:textFill>
                            </w:rPr>
                            <w:t>陆梁集中处理站污水处理系统</w:t>
                          </w:r>
                        </w:p>
                        <w:p>
                          <w:pPr>
                            <w:rPr>
                              <w:rFonts w:eastAsia="宋体"/>
                              <w:szCs w:val="21"/>
                            </w:rPr>
                          </w:pPr>
                        </w:p>
                        <w:p/>
                      </w:txbxContent>
                    </v:textbox>
                  </v:shape>
                  <v:shape id="肘形连接符 195" o:spid="_x0000_s1026" o:spt="33" type="#_x0000_t33" style="position:absolute;left:4296;top:1237034;flip:y;height:4192;width:695;rotation:-5898240f;" filled="f" stroked="t" coordsize="21600,21600" o:gfxdata="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fGGS/&#10;AAAA3AAAAA8AAAAAAAAAAQAgAAAAIgAAAGRycy9kb3ducmV2LnhtbFBLAQIUABQAAAAIAIdO4kAz&#10;LwWeOwAAADkAAAAQAAAAAAAAAAEAIAAAAA4BAABkcnMvc2hhcGV4bWwueG1sUEsFBgAAAAAGAAYA&#10;WwEAALgDAAAAAA==&#10;">
                    <v:fill on="f" focussize="0,0"/>
                    <v:stroke weight="1pt" color="#000000 [3213]" miterlimit="8" joinstyle="miter" dashstyle="3 1" endarrow="block"/>
                    <v:imagedata o:title=""/>
                    <o:lock v:ext="edit" aspectratio="f"/>
                  </v:shape>
                </v:group>
              </v:group>
            </w:pict>
          </mc:Fallback>
        </mc:AlternateContent>
      </w:r>
    </w:p>
    <w:p>
      <w:pPr>
        <w:pStyle w:val="30"/>
        <w:spacing w:line="360" w:lineRule="auto"/>
        <w:rPr>
          <w:rFonts w:cs="Times New Roman"/>
          <w:color w:val="000000" w:themeColor="text1"/>
          <w:sz w:val="24"/>
          <w14:textFill>
            <w14:solidFill>
              <w14:schemeClr w14:val="tx1"/>
            </w14:solidFill>
          </w14:textFill>
        </w:rPr>
      </w:pPr>
    </w:p>
    <w:p>
      <w:pPr>
        <w:pStyle w:val="30"/>
        <w:spacing w:line="360" w:lineRule="auto"/>
        <w:rPr>
          <w:rFonts w:cs="Times New Roman"/>
          <w:color w:val="000000" w:themeColor="text1"/>
          <w:sz w:val="24"/>
          <w14:textFill>
            <w14:solidFill>
              <w14:schemeClr w14:val="tx1"/>
            </w14:solidFill>
          </w14:textFill>
        </w:rPr>
      </w:pPr>
    </w:p>
    <w:p>
      <w:pPr>
        <w:pStyle w:val="30"/>
        <w:spacing w:line="360" w:lineRule="auto"/>
        <w:rPr>
          <w:rFonts w:cs="Times New Roman"/>
          <w:color w:val="000000" w:themeColor="text1"/>
          <w:sz w:val="24"/>
          <w14:textFill>
            <w14:solidFill>
              <w14:schemeClr w14:val="tx1"/>
            </w14:solidFill>
          </w14:textFill>
        </w:rPr>
      </w:pPr>
    </w:p>
    <w:p>
      <w:pPr>
        <w:pStyle w:val="30"/>
        <w:spacing w:line="360" w:lineRule="auto"/>
        <w:rPr>
          <w:rFonts w:cs="Times New Roman"/>
          <w:color w:val="000000" w:themeColor="text1"/>
          <w:sz w:val="24"/>
          <w14:textFill>
            <w14:solidFill>
              <w14:schemeClr w14:val="tx1"/>
            </w14:solidFill>
          </w14:textFill>
        </w:rPr>
      </w:pPr>
    </w:p>
    <w:p>
      <w:pPr>
        <w:tabs>
          <w:tab w:val="left" w:pos="3465"/>
        </w:tabs>
        <w:spacing w:line="360" w:lineRule="auto"/>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图3.5-1</w:t>
      </w:r>
      <w:r>
        <w:rPr>
          <w:rFonts w:hint="eastAsia" w:ascii="Times New Roman" w:hAnsi="Times New Roman" w:eastAsia="宋体" w:cs="Times New Roman"/>
          <w:b/>
          <w:color w:val="000000" w:themeColor="text1"/>
          <w:szCs w:val="21"/>
          <w:lang w:val="en-US" w:eastAsia="zh-CN"/>
          <w14:textFill>
            <w14:solidFill>
              <w14:schemeClr w14:val="tx1"/>
            </w14:solidFill>
          </w14:textFill>
        </w:rPr>
        <w:t>1</w:t>
      </w:r>
      <w:r>
        <w:rPr>
          <w:rFonts w:ascii="Times New Roman" w:hAnsi="Times New Roman" w:eastAsia="宋体" w:cs="Times New Roman"/>
          <w:b/>
          <w:color w:val="000000" w:themeColor="text1"/>
          <w:szCs w:val="21"/>
          <w14:textFill>
            <w14:solidFill>
              <w14:schemeClr w14:val="tx1"/>
            </w14:solidFill>
          </w14:textFill>
        </w:rPr>
        <w:t xml:space="preserve">  本项目污染物与依托工程去向关系图</w:t>
      </w:r>
    </w:p>
    <w:p>
      <w:pPr>
        <w:pStyle w:val="3"/>
        <w:spacing w:before="10" w:after="10"/>
        <w:rPr>
          <w:rFonts w:ascii="Times New Roman" w:hAnsi="Times New Roman" w:cs="Times New Roman"/>
          <w:color w:val="000000" w:themeColor="text1"/>
          <w14:textFill>
            <w14:solidFill>
              <w14:schemeClr w14:val="tx1"/>
            </w14:solidFill>
          </w14:textFill>
        </w:rPr>
      </w:pPr>
      <w:bookmarkStart w:id="248" w:name="_Toc32315"/>
      <w:bookmarkStart w:id="249" w:name="_Toc8191"/>
      <w:bookmarkStart w:id="250" w:name="_Toc31924"/>
      <w:r>
        <w:rPr>
          <w:rFonts w:ascii="Times New Roman" w:hAnsi="Times New Roman" w:cs="Times New Roman"/>
          <w:color w:val="000000" w:themeColor="text1"/>
          <w14:textFill>
            <w14:solidFill>
              <w14:schemeClr w14:val="tx1"/>
            </w14:solidFill>
          </w14:textFill>
        </w:rPr>
        <w:t>3.6现有工程开发</w:t>
      </w:r>
      <w:bookmarkEnd w:id="248"/>
      <w:r>
        <w:rPr>
          <w:rFonts w:ascii="Times New Roman" w:hAnsi="Times New Roman" w:cs="Times New Roman"/>
          <w:color w:val="000000" w:themeColor="text1"/>
          <w14:textFill>
            <w14:solidFill>
              <w14:schemeClr w14:val="tx1"/>
            </w14:solidFill>
          </w14:textFill>
        </w:rPr>
        <w:t>回顾</w:t>
      </w:r>
      <w:bookmarkEnd w:id="249"/>
      <w:bookmarkEnd w:id="250"/>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3.6.1井区开发现状</w:t>
      </w:r>
    </w:p>
    <w:p>
      <w:pPr>
        <w:pStyle w:val="5"/>
        <w:keepNext w:val="0"/>
        <w:keepLines w:val="0"/>
        <w:numPr>
          <w:ilvl w:val="2"/>
          <w:numId w:val="0"/>
        </w:numPr>
        <w:spacing w:line="360" w:lineRule="auto"/>
        <w:jc w:val="left"/>
        <w:textAlignment w:val="baseline"/>
        <w:rPr>
          <w:rFonts w:ascii="Times New Roman" w:hAnsi="Times New Roman" w:eastAsia="宋体" w:cs="Times New Roman"/>
          <w:b w:val="0"/>
          <w:bCs w:val="0"/>
          <w:smallCaps/>
          <w:color w:val="000000" w:themeColor="text1"/>
          <w:kern w:val="0"/>
          <w:sz w:val="28"/>
          <w14:textFill>
            <w14:solidFill>
              <w14:schemeClr w14:val="tx1"/>
            </w14:solidFill>
          </w14:textFill>
        </w:rPr>
      </w:pPr>
      <w:r>
        <w:rPr>
          <w:rFonts w:ascii="Times New Roman" w:hAnsi="Times New Roman" w:eastAsia="宋体" w:cs="Times New Roman"/>
          <w:b w:val="0"/>
          <w:bCs w:val="0"/>
          <w:smallCaps/>
          <w:color w:val="000000" w:themeColor="text1"/>
          <w:kern w:val="0"/>
          <w:sz w:val="28"/>
          <w14:textFill>
            <w14:solidFill>
              <w14:schemeClr w14:val="tx1"/>
            </w14:solidFill>
          </w14:textFill>
        </w:rPr>
        <w:t>3.6.1.1区块开发简况</w:t>
      </w:r>
      <w:bookmarkStart w:id="251" w:name="_Toc135401405"/>
    </w:p>
    <w:bookmarkEnd w:id="251"/>
    <w:p>
      <w:pPr>
        <w:pStyle w:val="45"/>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2000年6月陆9井区首先发现了侏罗系西山窑组（J</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i/>
          <w:iCs/>
          <w:color w:val="000000" w:themeColor="text1"/>
          <w14:textFill>
            <w14:solidFill>
              <w14:schemeClr w14:val="tx1"/>
            </w14:solidFill>
          </w14:textFill>
        </w:rPr>
        <w:t>x</w:t>
      </w:r>
      <w:r>
        <w:rPr>
          <w:rFonts w:ascii="Times New Roman" w:hAnsi="Times New Roman" w:eastAsia="宋体" w:cs="Times New Roman"/>
          <w:color w:val="000000" w:themeColor="text1"/>
          <w:vertAlign w:val="subscript"/>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）油藏，后又相继发现西山窑组（J</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i/>
          <w:iCs/>
          <w:color w:val="000000" w:themeColor="text1"/>
          <w14:textFill>
            <w14:solidFill>
              <w14:schemeClr w14:val="tx1"/>
            </w14:solidFill>
          </w14:textFill>
        </w:rPr>
        <w:t>x</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）、头屯河组（J</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i/>
          <w:iCs/>
          <w:color w:val="000000" w:themeColor="text1"/>
          <w14:textFill>
            <w14:solidFill>
              <w14:schemeClr w14:val="tx1"/>
            </w14:solidFill>
          </w14:textFill>
        </w:rPr>
        <w:t>t</w:t>
      </w:r>
      <w:r>
        <w:rPr>
          <w:rFonts w:ascii="Times New Roman" w:hAnsi="Times New Roman" w:eastAsia="宋体" w:cs="Times New Roman"/>
          <w:color w:val="000000" w:themeColor="text1"/>
          <w14:textFill>
            <w14:solidFill>
              <w14:schemeClr w14:val="tx1"/>
            </w14:solidFill>
          </w14:textFill>
        </w:rPr>
        <w:t>）和白垩系呼图壁河组（K</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i/>
          <w:iCs/>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、K</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i/>
          <w:iCs/>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）油藏，2000年~2008年合计探明石油地质储量1.05×10</w:t>
      </w:r>
      <w:r>
        <w:rPr>
          <w:rFonts w:ascii="Times New Roman" w:hAnsi="Times New Roman" w:eastAsia="宋体" w:cs="Times New Roman"/>
          <w:color w:val="000000" w:themeColor="text1"/>
          <w:vertAlign w:val="superscript"/>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t，2012年10月复算探明石油地质储量合计6158.49×10</w:t>
      </w:r>
      <w:r>
        <w:rPr>
          <w:rFonts w:ascii="Times New Roman" w:hAnsi="Times New Roman" w:eastAsia="宋体" w:cs="Times New Roman"/>
          <w:color w:val="000000" w:themeColor="text1"/>
          <w:vertAlign w:val="superscript"/>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t，其中白垩系呼图壁河组K</w:t>
      </w:r>
      <w:r>
        <w:rPr>
          <w:rFonts w:ascii="Times New Roman" w:hAnsi="Times New Roman" w:eastAsia="宋体" w:cs="Times New Roman"/>
          <w:color w:val="000000" w:themeColor="text1"/>
          <w:vertAlign w:val="subscript"/>
          <w14:textFill>
            <w14:solidFill>
              <w14:schemeClr w14:val="tx1"/>
            </w14:solidFill>
          </w14:textFill>
        </w:rPr>
        <w:t>1</w:t>
      </w:r>
      <w:r>
        <w:rPr>
          <w:rFonts w:ascii="Times New Roman" w:hAnsi="Times New Roman" w:eastAsia="宋体" w:cs="Times New Roman"/>
          <w:i/>
          <w:iCs/>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vertAlign w:val="superscript"/>
          <w14:textFill>
            <w14:solidFill>
              <w14:schemeClr w14:val="tx1"/>
            </w14:solidFill>
          </w14:textFill>
        </w:rPr>
        <w:t>3-4</w:t>
      </w:r>
      <w:r>
        <w:rPr>
          <w:rFonts w:ascii="Times New Roman" w:hAnsi="Times New Roman" w:eastAsia="宋体" w:cs="Times New Roman"/>
          <w:color w:val="000000" w:themeColor="text1"/>
          <w14:textFill>
            <w14:solidFill>
              <w14:schemeClr w14:val="tx1"/>
            </w14:solidFill>
          </w14:textFill>
        </w:rPr>
        <w:t>油藏探明石油地质储量523.75×10</w:t>
      </w:r>
      <w:r>
        <w:rPr>
          <w:rFonts w:ascii="Times New Roman" w:hAnsi="Times New Roman" w:eastAsia="宋体" w:cs="Times New Roman"/>
          <w:color w:val="000000" w:themeColor="text1"/>
          <w:vertAlign w:val="superscript"/>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t，含油面积7.82km</w:t>
      </w:r>
      <w:r>
        <w:rPr>
          <w:rFonts w:ascii="Times New Roman" w:hAnsi="Times New Roman" w:eastAsia="宋体" w:cs="Times New Roman"/>
          <w:color w:val="000000" w:themeColor="text1"/>
          <w:vertAlign w:val="super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陆9井区呼图壁河组</w:t>
      </w:r>
      <w:r>
        <w:rPr>
          <w:rFonts w:ascii="Times New Roman" w:hAnsi="Times New Roman" w:eastAsia="宋体" w:cs="Times New Roman"/>
          <w:color w:val="000000" w:themeColor="text1"/>
          <w:kern w:val="0"/>
          <w:sz w:val="24"/>
          <w14:textFill>
            <w14:solidFill>
              <w14:schemeClr w14:val="tx1"/>
            </w14:solidFill>
          </w14:textFill>
        </w:rPr>
        <w:t>K</w:t>
      </w:r>
      <w:r>
        <w:rPr>
          <w:rFonts w:ascii="Times New Roman" w:hAnsi="Times New Roman" w:eastAsia="宋体" w:cs="Times New Roman"/>
          <w:color w:val="000000" w:themeColor="text1"/>
          <w:kern w:val="0"/>
          <w:sz w:val="24"/>
          <w:vertAlign w:val="subscript"/>
          <w14:textFill>
            <w14:solidFill>
              <w14:schemeClr w14:val="tx1"/>
            </w14:solidFill>
          </w14:textFill>
        </w:rPr>
        <w:t>1</w:t>
      </w:r>
      <w:r>
        <w:rPr>
          <w:rFonts w:ascii="Times New Roman" w:hAnsi="Times New Roman" w:eastAsia="宋体" w:cs="Times New Roman"/>
          <w:i/>
          <w:iCs/>
          <w:color w:val="000000" w:themeColor="text1"/>
          <w:kern w:val="0"/>
          <w:sz w:val="24"/>
          <w14:textFill>
            <w14:solidFill>
              <w14:schemeClr w14:val="tx1"/>
            </w14:solidFill>
          </w14:textFill>
        </w:rPr>
        <w:t>h</w:t>
      </w:r>
      <w:r>
        <w:rPr>
          <w:rFonts w:ascii="Times New Roman" w:hAnsi="Times New Roman" w:eastAsia="宋体" w:cs="Times New Roman"/>
          <w:color w:val="000000" w:themeColor="text1"/>
          <w:kern w:val="0"/>
          <w:sz w:val="24"/>
          <w:vertAlign w:val="subscript"/>
          <w14:textFill>
            <w14:solidFill>
              <w14:schemeClr w14:val="tx1"/>
            </w14:solidFill>
          </w14:textFill>
        </w:rPr>
        <w:t>2</w:t>
      </w:r>
      <w:r>
        <w:rPr>
          <w:rFonts w:ascii="Times New Roman" w:hAnsi="Times New Roman" w:eastAsia="宋体" w:cs="Times New Roman"/>
          <w:color w:val="000000" w:themeColor="text1"/>
          <w:kern w:val="0"/>
          <w:sz w:val="24"/>
          <w:vertAlign w:val="superscript"/>
          <w14:textFill>
            <w14:solidFill>
              <w14:schemeClr w14:val="tx1"/>
            </w14:solidFill>
          </w14:textFill>
        </w:rPr>
        <w:t>3-4</w:t>
      </w:r>
      <w:r>
        <w:rPr>
          <w:rFonts w:ascii="Times New Roman" w:hAnsi="Times New Roman" w:eastAsia="宋体" w:cs="Times New Roman"/>
          <w:color w:val="000000" w:themeColor="text1"/>
          <w:sz w:val="24"/>
          <w14:textFill>
            <w14:solidFill>
              <w14:schemeClr w14:val="tx1"/>
            </w14:solidFill>
          </w14:textFill>
        </w:rPr>
        <w:t>油藏2001年4月采用300m×425m井距反九点面积注水井网投入开发，2010年以水平井开发方式进行了扩边调整，截至2022年10月，</w:t>
      </w:r>
      <w:r>
        <w:rPr>
          <w:rFonts w:ascii="Times New Roman" w:hAnsi="Times New Roman" w:eastAsia="宋体" w:cs="Times New Roman"/>
          <w:color w:val="000000" w:themeColor="text1"/>
          <w:sz w:val="24"/>
          <w:lang w:val="zh-CN"/>
          <w14:textFill>
            <w14:solidFill>
              <w14:schemeClr w14:val="tx1"/>
            </w14:solidFill>
          </w14:textFill>
        </w:rPr>
        <w:t>该油藏共有采油井</w:t>
      </w:r>
      <w:r>
        <w:rPr>
          <w:rFonts w:ascii="Times New Roman" w:hAnsi="Times New Roman" w:eastAsia="宋体" w:cs="Times New Roman"/>
          <w:color w:val="000000" w:themeColor="text1"/>
          <w:sz w:val="24"/>
          <w14:textFill>
            <w14:solidFill>
              <w14:schemeClr w14:val="tx1"/>
            </w14:solidFill>
          </w14:textFill>
        </w:rPr>
        <w:t>65</w:t>
      </w:r>
      <w:r>
        <w:rPr>
          <w:rFonts w:ascii="Times New Roman" w:hAnsi="Times New Roman" w:eastAsia="宋体" w:cs="Times New Roman"/>
          <w:color w:val="000000" w:themeColor="text1"/>
          <w:sz w:val="24"/>
          <w:lang w:val="zh-CN"/>
          <w14:textFill>
            <w14:solidFill>
              <w14:schemeClr w14:val="tx1"/>
            </w14:solidFill>
          </w14:textFill>
        </w:rPr>
        <w:t>口，注水井</w:t>
      </w:r>
      <w:r>
        <w:rPr>
          <w:rFonts w:ascii="Times New Roman" w:hAnsi="Times New Roman" w:eastAsia="宋体" w:cs="Times New Roman"/>
          <w:color w:val="000000" w:themeColor="text1"/>
          <w:sz w:val="24"/>
          <w14:textFill>
            <w14:solidFill>
              <w14:schemeClr w14:val="tx1"/>
            </w14:solidFill>
          </w14:textFill>
        </w:rPr>
        <w:t>2</w:t>
      </w:r>
      <w:r>
        <w:rPr>
          <w:rFonts w:ascii="Times New Roman" w:hAnsi="Times New Roman" w:eastAsia="宋体" w:cs="Times New Roman"/>
          <w:color w:val="000000" w:themeColor="text1"/>
          <w:sz w:val="24"/>
          <w:lang w:val="zh-CN"/>
          <w14:textFill>
            <w14:solidFill>
              <w14:schemeClr w14:val="tx1"/>
            </w14:solidFill>
          </w14:textFill>
        </w:rPr>
        <w:t>3口，累积产油</w:t>
      </w:r>
      <w:r>
        <w:rPr>
          <w:rFonts w:ascii="Times New Roman" w:hAnsi="Times New Roman" w:eastAsia="宋体" w:cs="Times New Roman"/>
          <w:color w:val="000000" w:themeColor="text1"/>
          <w:sz w:val="24"/>
          <w14:textFill>
            <w14:solidFill>
              <w14:schemeClr w14:val="tx1"/>
            </w14:solidFill>
          </w14:textFill>
        </w:rPr>
        <w:t>167.81</w:t>
      </w:r>
      <w:r>
        <w:rPr>
          <w:rFonts w:ascii="Times New Roman" w:hAnsi="Times New Roman" w:eastAsia="宋体" w:cs="Times New Roman"/>
          <w:color w:val="000000" w:themeColor="text1"/>
          <w:sz w:val="24"/>
          <w:lang w:val="zh-CN"/>
          <w14:textFill>
            <w14:solidFill>
              <w14:schemeClr w14:val="tx1"/>
            </w14:solidFill>
          </w14:textFill>
        </w:rPr>
        <w:t>×10</w:t>
      </w:r>
      <w:r>
        <w:rPr>
          <w:rFonts w:ascii="Times New Roman" w:hAnsi="Times New Roman" w:eastAsia="宋体" w:cs="Times New Roman"/>
          <w:color w:val="000000" w:themeColor="text1"/>
          <w:sz w:val="24"/>
          <w:vertAlign w:val="superscript"/>
          <w:lang w:val="zh-CN"/>
          <w14:textFill>
            <w14:solidFill>
              <w14:schemeClr w14:val="tx1"/>
            </w14:solidFill>
          </w14:textFill>
        </w:rPr>
        <w:t>4</w:t>
      </w:r>
      <w:r>
        <w:rPr>
          <w:rFonts w:ascii="Times New Roman" w:hAnsi="Times New Roman" w:eastAsia="宋体" w:cs="Times New Roman"/>
          <w:color w:val="000000" w:themeColor="text1"/>
          <w:sz w:val="24"/>
          <w:lang w:val="zh-CN"/>
          <w14:textFill>
            <w14:solidFill>
              <w14:schemeClr w14:val="tx1"/>
            </w14:solidFill>
          </w14:textFill>
        </w:rPr>
        <w:t>t，采出程度3</w:t>
      </w:r>
      <w:r>
        <w:rPr>
          <w:rFonts w:ascii="Times New Roman" w:hAnsi="Times New Roman" w:eastAsia="宋体" w:cs="Times New Roman"/>
          <w:color w:val="000000" w:themeColor="text1"/>
          <w:sz w:val="24"/>
          <w14:textFill>
            <w14:solidFill>
              <w14:schemeClr w14:val="tx1"/>
            </w14:solidFill>
          </w14:textFill>
        </w:rPr>
        <w:t>2</w:t>
      </w:r>
      <w:r>
        <w:rPr>
          <w:rFonts w:ascii="Times New Roman" w:hAnsi="Times New Roman" w:eastAsia="宋体" w:cs="Times New Roman"/>
          <w:color w:val="000000" w:themeColor="text1"/>
          <w:sz w:val="24"/>
          <w:lang w:val="zh-CN"/>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0</w:t>
      </w:r>
      <w:r>
        <w:rPr>
          <w:rFonts w:ascii="Times New Roman" w:hAnsi="Times New Roman" w:eastAsia="宋体" w:cs="Times New Roman"/>
          <w:color w:val="000000" w:themeColor="text1"/>
          <w:sz w:val="24"/>
          <w:lang w:val="zh-CN"/>
          <w14:textFill>
            <w14:solidFill>
              <w14:schemeClr w14:val="tx1"/>
            </w14:solidFill>
          </w14:textFill>
        </w:rPr>
        <w:t>4%，累积注水</w:t>
      </w:r>
      <w:r>
        <w:rPr>
          <w:rFonts w:ascii="Times New Roman" w:hAnsi="Times New Roman" w:eastAsia="宋体" w:cs="Times New Roman"/>
          <w:color w:val="000000" w:themeColor="text1"/>
          <w:sz w:val="24"/>
          <w14:textFill>
            <w14:solidFill>
              <w14:schemeClr w14:val="tx1"/>
            </w14:solidFill>
          </w14:textFill>
        </w:rPr>
        <w:t>802.10</w:t>
      </w:r>
      <w:r>
        <w:rPr>
          <w:rFonts w:ascii="Times New Roman" w:hAnsi="Times New Roman" w:eastAsia="宋体" w:cs="Times New Roman"/>
          <w:color w:val="000000" w:themeColor="text1"/>
          <w:sz w:val="24"/>
          <w:lang w:val="zh-CN"/>
          <w14:textFill>
            <w14:solidFill>
              <w14:schemeClr w14:val="tx1"/>
            </w14:solidFill>
          </w14:textFill>
        </w:rPr>
        <w:t>×10</w:t>
      </w:r>
      <w:r>
        <w:rPr>
          <w:rFonts w:ascii="Times New Roman" w:hAnsi="Times New Roman" w:eastAsia="宋体" w:cs="Times New Roman"/>
          <w:color w:val="000000" w:themeColor="text1"/>
          <w:sz w:val="24"/>
          <w:vertAlign w:val="superscript"/>
          <w:lang w:val="zh-CN"/>
          <w14:textFill>
            <w14:solidFill>
              <w14:schemeClr w14:val="tx1"/>
            </w14:solidFill>
          </w14:textFill>
        </w:rPr>
        <w:t>4</w:t>
      </w:r>
      <w:r>
        <w:rPr>
          <w:rFonts w:ascii="Times New Roman" w:hAnsi="Times New Roman" w:eastAsia="宋体" w:cs="Times New Roman"/>
          <w:color w:val="000000" w:themeColor="text1"/>
          <w:sz w:val="24"/>
          <w:lang w:val="zh-CN"/>
          <w14:textFill>
            <w14:solidFill>
              <w14:schemeClr w14:val="tx1"/>
            </w14:solidFill>
          </w14:textFill>
        </w:rPr>
        <w:t>m</w:t>
      </w:r>
      <w:r>
        <w:rPr>
          <w:rFonts w:ascii="Times New Roman" w:hAnsi="Times New Roman" w:eastAsia="宋体" w:cs="Times New Roman"/>
          <w:color w:val="000000" w:themeColor="text1"/>
          <w:sz w:val="24"/>
          <w:vertAlign w:val="superscript"/>
          <w:lang w:val="zh-CN"/>
          <w14:textFill>
            <w14:solidFill>
              <w14:schemeClr w14:val="tx1"/>
            </w14:solidFill>
          </w14:textFill>
        </w:rPr>
        <w:t>3</w:t>
      </w:r>
      <w:r>
        <w:rPr>
          <w:rFonts w:ascii="Times New Roman" w:hAnsi="Times New Roman" w:eastAsia="宋体" w:cs="Times New Roman"/>
          <w:color w:val="000000" w:themeColor="text1"/>
          <w:sz w:val="24"/>
          <w:lang w:val="zh-CN"/>
          <w14:textFill>
            <w14:solidFill>
              <w14:schemeClr w14:val="tx1"/>
            </w14:solidFill>
          </w14:textFill>
        </w:rPr>
        <w:t>，累积注采比0.9</w:t>
      </w:r>
      <w:r>
        <w:rPr>
          <w:rFonts w:ascii="Times New Roman" w:hAnsi="Times New Roman" w:eastAsia="宋体" w:cs="Times New Roman"/>
          <w:color w:val="000000" w:themeColor="text1"/>
          <w:sz w:val="24"/>
          <w14:textFill>
            <w14:solidFill>
              <w14:schemeClr w14:val="tx1"/>
            </w14:solidFill>
          </w14:textFill>
        </w:rPr>
        <w:t>0</w:t>
      </w:r>
      <w:r>
        <w:rPr>
          <w:rFonts w:ascii="Times New Roman" w:hAnsi="Times New Roman" w:eastAsia="宋体" w:cs="Times New Roman"/>
          <w:color w:val="000000" w:themeColor="text1"/>
          <w:sz w:val="24"/>
          <w:lang w:val="zh-CN"/>
          <w14:textFill>
            <w14:solidFill>
              <w14:schemeClr w14:val="tx1"/>
            </w14:solidFill>
          </w14:textFill>
        </w:rPr>
        <w:t>。采油井开井数</w:t>
      </w:r>
      <w:r>
        <w:rPr>
          <w:rFonts w:ascii="Times New Roman" w:hAnsi="Times New Roman" w:eastAsia="宋体" w:cs="Times New Roman"/>
          <w:color w:val="000000" w:themeColor="text1"/>
          <w:sz w:val="24"/>
          <w14:textFill>
            <w14:solidFill>
              <w14:schemeClr w14:val="tx1"/>
            </w14:solidFill>
          </w14:textFill>
        </w:rPr>
        <w:t>61</w:t>
      </w:r>
      <w:r>
        <w:rPr>
          <w:rFonts w:ascii="Times New Roman" w:hAnsi="Times New Roman" w:eastAsia="宋体" w:cs="Times New Roman"/>
          <w:color w:val="000000" w:themeColor="text1"/>
          <w:sz w:val="24"/>
          <w:lang w:val="zh-CN"/>
          <w14:textFill>
            <w14:solidFill>
              <w14:schemeClr w14:val="tx1"/>
            </w14:solidFill>
          </w14:textFill>
        </w:rPr>
        <w:t>口，日产液</w:t>
      </w:r>
      <w:r>
        <w:rPr>
          <w:rFonts w:ascii="Times New Roman" w:hAnsi="Times New Roman" w:eastAsia="宋体" w:cs="Times New Roman"/>
          <w:color w:val="000000" w:themeColor="text1"/>
          <w:sz w:val="24"/>
          <w14:textFill>
            <w14:solidFill>
              <w14:schemeClr w14:val="tx1"/>
            </w14:solidFill>
          </w14:textFill>
        </w:rPr>
        <w:t>2692</w:t>
      </w:r>
      <w:r>
        <w:rPr>
          <w:rFonts w:ascii="Times New Roman" w:hAnsi="Times New Roman" w:eastAsia="宋体" w:cs="Times New Roman"/>
          <w:color w:val="000000" w:themeColor="text1"/>
          <w:sz w:val="24"/>
          <w:lang w:val="zh-CN"/>
          <w14:textFill>
            <w14:solidFill>
              <w14:schemeClr w14:val="tx1"/>
            </w14:solidFill>
          </w14:textFill>
        </w:rPr>
        <w:t>t，日产油</w:t>
      </w:r>
      <w:r>
        <w:rPr>
          <w:rFonts w:ascii="Times New Roman" w:hAnsi="Times New Roman" w:eastAsia="宋体" w:cs="Times New Roman"/>
          <w:color w:val="000000" w:themeColor="text1"/>
          <w:sz w:val="24"/>
          <w14:textFill>
            <w14:solidFill>
              <w14:schemeClr w14:val="tx1"/>
            </w14:solidFill>
          </w14:textFill>
        </w:rPr>
        <w:t>229</w:t>
      </w:r>
      <w:r>
        <w:rPr>
          <w:rFonts w:ascii="Times New Roman" w:hAnsi="Times New Roman" w:eastAsia="宋体" w:cs="Times New Roman"/>
          <w:color w:val="000000" w:themeColor="text1"/>
          <w:sz w:val="24"/>
          <w:lang w:val="zh-CN"/>
          <w14:textFill>
            <w14:solidFill>
              <w14:schemeClr w14:val="tx1"/>
            </w14:solidFill>
          </w14:textFill>
        </w:rPr>
        <w:t>t，综合含水率9</w:t>
      </w:r>
      <w:r>
        <w:rPr>
          <w:rFonts w:ascii="Times New Roman" w:hAnsi="Times New Roman" w:eastAsia="宋体" w:cs="Times New Roman"/>
          <w:color w:val="000000" w:themeColor="text1"/>
          <w:sz w:val="24"/>
          <w14:textFill>
            <w14:solidFill>
              <w14:schemeClr w14:val="tx1"/>
            </w14:solidFill>
          </w14:textFill>
        </w:rPr>
        <w:t>1.5</w:t>
      </w:r>
      <w:r>
        <w:rPr>
          <w:rFonts w:ascii="Times New Roman" w:hAnsi="Times New Roman" w:eastAsia="宋体" w:cs="Times New Roman"/>
          <w:color w:val="000000" w:themeColor="text1"/>
          <w:sz w:val="24"/>
          <w:lang w:val="zh-CN"/>
          <w14:textFill>
            <w14:solidFill>
              <w14:schemeClr w14:val="tx1"/>
            </w14:solidFill>
          </w14:textFill>
        </w:rPr>
        <w:t>%，采油速度</w:t>
      </w:r>
      <w:r>
        <w:rPr>
          <w:rFonts w:ascii="Times New Roman" w:hAnsi="Times New Roman" w:eastAsia="宋体" w:cs="Times New Roman"/>
          <w:color w:val="000000" w:themeColor="text1"/>
          <w:sz w:val="24"/>
          <w14:textFill>
            <w14:solidFill>
              <w14:schemeClr w14:val="tx1"/>
            </w14:solidFill>
          </w14:textFill>
        </w:rPr>
        <w:t>1.23</w:t>
      </w:r>
      <w:r>
        <w:rPr>
          <w:rFonts w:ascii="Times New Roman" w:hAnsi="Times New Roman" w:eastAsia="宋体" w:cs="Times New Roman"/>
          <w:color w:val="000000" w:themeColor="text1"/>
          <w:sz w:val="24"/>
          <w:lang w:val="zh-CN"/>
          <w14:textFill>
            <w14:solidFill>
              <w14:schemeClr w14:val="tx1"/>
            </w14:solidFill>
          </w14:textFill>
        </w:rPr>
        <w:t>%；注水井开井数</w:t>
      </w:r>
      <w:r>
        <w:rPr>
          <w:rFonts w:ascii="Times New Roman" w:hAnsi="Times New Roman" w:eastAsia="宋体" w:cs="Times New Roman"/>
          <w:color w:val="000000" w:themeColor="text1"/>
          <w:sz w:val="24"/>
          <w14:textFill>
            <w14:solidFill>
              <w14:schemeClr w14:val="tx1"/>
            </w14:solidFill>
          </w14:textFill>
        </w:rPr>
        <w:t>23</w:t>
      </w:r>
      <w:r>
        <w:rPr>
          <w:rFonts w:ascii="Times New Roman" w:hAnsi="Times New Roman" w:eastAsia="宋体" w:cs="Times New Roman"/>
          <w:color w:val="000000" w:themeColor="text1"/>
          <w:sz w:val="24"/>
          <w:lang w:val="zh-CN"/>
          <w14:textFill>
            <w14:solidFill>
              <w14:schemeClr w14:val="tx1"/>
            </w14:solidFill>
          </w14:textFill>
        </w:rPr>
        <w:t>口，日注水平</w:t>
      </w:r>
      <w:r>
        <w:rPr>
          <w:rFonts w:ascii="Times New Roman" w:hAnsi="Times New Roman" w:eastAsia="宋体" w:cs="Times New Roman"/>
          <w:color w:val="000000" w:themeColor="text1"/>
          <w:sz w:val="24"/>
          <w14:textFill>
            <w14:solidFill>
              <w14:schemeClr w14:val="tx1"/>
            </w14:solidFill>
          </w14:textFill>
        </w:rPr>
        <w:t>2244</w:t>
      </w:r>
      <w:r>
        <w:rPr>
          <w:rFonts w:ascii="Times New Roman" w:hAnsi="Times New Roman" w:eastAsia="宋体" w:cs="Times New Roman"/>
          <w:color w:val="000000" w:themeColor="text1"/>
          <w:sz w:val="24"/>
          <w:lang w:val="zh-CN"/>
          <w14:textFill>
            <w14:solidFill>
              <w14:schemeClr w14:val="tx1"/>
            </w14:solidFill>
          </w14:textFill>
        </w:rPr>
        <w:t>m</w:t>
      </w:r>
      <w:r>
        <w:rPr>
          <w:rFonts w:ascii="Times New Roman" w:hAnsi="Times New Roman" w:eastAsia="宋体" w:cs="Times New Roman"/>
          <w:color w:val="000000" w:themeColor="text1"/>
          <w:sz w:val="24"/>
          <w:vertAlign w:val="superscript"/>
          <w:lang w:val="zh-CN"/>
          <w14:textFill>
            <w14:solidFill>
              <w14:schemeClr w14:val="tx1"/>
            </w14:solidFill>
          </w14:textFill>
        </w:rPr>
        <w:t>3</w:t>
      </w:r>
      <w:r>
        <w:rPr>
          <w:rFonts w:ascii="Times New Roman" w:hAnsi="Times New Roman" w:eastAsia="宋体" w:cs="Times New Roman"/>
          <w:color w:val="000000" w:themeColor="text1"/>
          <w:sz w:val="24"/>
          <w:lang w:val="zh-CN"/>
          <w14:textFill>
            <w14:solidFill>
              <w14:schemeClr w14:val="tx1"/>
            </w14:solidFill>
          </w14:textFill>
        </w:rPr>
        <w:t>，月注采比0.</w:t>
      </w:r>
      <w:r>
        <w:rPr>
          <w:rFonts w:ascii="Times New Roman" w:hAnsi="Times New Roman" w:eastAsia="宋体" w:cs="Times New Roman"/>
          <w:color w:val="000000" w:themeColor="text1"/>
          <w:sz w:val="24"/>
          <w14:textFill>
            <w14:solidFill>
              <w14:schemeClr w14:val="tx1"/>
            </w14:solidFill>
          </w14:textFill>
        </w:rPr>
        <w:t>63</w:t>
      </w:r>
      <w:r>
        <w:rPr>
          <w:rFonts w:ascii="Times New Roman" w:hAnsi="Times New Roman" w:eastAsia="宋体" w:cs="Times New Roman"/>
          <w:color w:val="000000" w:themeColor="text1"/>
          <w:sz w:val="24"/>
          <w:lang w:val="zh-CN"/>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szCs w:val="20"/>
          <w14:textFill>
            <w14:solidFill>
              <w14:schemeClr w14:val="tx1"/>
            </w14:solidFill>
          </w14:textFill>
        </w:rPr>
        <w:t>陆9井区呼图壁河组K</w:t>
      </w:r>
      <w:r>
        <w:rPr>
          <w:rFonts w:ascii="Times New Roman" w:hAnsi="Times New Roman" w:cs="Times New Roman"/>
          <w:color w:val="000000" w:themeColor="text1"/>
          <w:sz w:val="24"/>
          <w:szCs w:val="20"/>
          <w:vertAlign w:val="subscript"/>
          <w14:textFill>
            <w14:solidFill>
              <w14:schemeClr w14:val="tx1"/>
            </w14:solidFill>
          </w14:textFill>
        </w:rPr>
        <w:t>1</w:t>
      </w:r>
      <w:r>
        <w:rPr>
          <w:rFonts w:ascii="Times New Roman" w:hAnsi="Times New Roman" w:cs="Times New Roman"/>
          <w:i/>
          <w:iCs/>
          <w:color w:val="000000" w:themeColor="text1"/>
          <w:sz w:val="24"/>
          <w:szCs w:val="20"/>
          <w14:textFill>
            <w14:solidFill>
              <w14:schemeClr w14:val="tx1"/>
            </w14:solidFill>
          </w14:textFill>
        </w:rPr>
        <w:t>h</w:t>
      </w:r>
      <w:r>
        <w:rPr>
          <w:rFonts w:ascii="Times New Roman" w:hAnsi="Times New Roman" w:cs="Times New Roman"/>
          <w:color w:val="000000" w:themeColor="text1"/>
          <w:sz w:val="24"/>
          <w:szCs w:val="20"/>
          <w:vertAlign w:val="subscript"/>
          <w14:textFill>
            <w14:solidFill>
              <w14:schemeClr w14:val="tx1"/>
            </w14:solidFill>
          </w14:textFill>
        </w:rPr>
        <w:t>1</w:t>
      </w:r>
      <w:r>
        <w:rPr>
          <w:rFonts w:ascii="Times New Roman" w:hAnsi="Times New Roman" w:cs="Times New Roman"/>
          <w:color w:val="000000" w:themeColor="text1"/>
          <w:sz w:val="24"/>
          <w:szCs w:val="20"/>
          <w:vertAlign w:val="superscript"/>
          <w14:textFill>
            <w14:solidFill>
              <w14:schemeClr w14:val="tx1"/>
            </w14:solidFill>
          </w14:textFill>
        </w:rPr>
        <w:t>3-1</w:t>
      </w:r>
      <w:r>
        <w:rPr>
          <w:rFonts w:ascii="Times New Roman" w:hAnsi="Times New Roman" w:cs="Times New Roman"/>
          <w:color w:val="000000" w:themeColor="text1"/>
          <w:sz w:val="24"/>
          <w:szCs w:val="20"/>
          <w14:textFill>
            <w14:solidFill>
              <w14:schemeClr w14:val="tx1"/>
            </w14:solidFill>
          </w14:textFill>
        </w:rPr>
        <w:t>油藏于2002年4月</w:t>
      </w:r>
      <w:r>
        <w:rPr>
          <w:rFonts w:ascii="Times New Roman" w:hAnsi="Times New Roman" w:eastAsia="宋体" w:cs="Times New Roman"/>
          <w:color w:val="000000" w:themeColor="text1"/>
          <w:sz w:val="24"/>
          <w:szCs w:val="20"/>
          <w14:textFill>
            <w14:solidFill>
              <w14:schemeClr w14:val="tx1"/>
            </w14:solidFill>
          </w14:textFill>
        </w:rPr>
        <w:t>投入</w:t>
      </w:r>
      <w:r>
        <w:rPr>
          <w:rFonts w:ascii="Times New Roman" w:hAnsi="Times New Roman" w:cs="Times New Roman"/>
          <w:color w:val="000000" w:themeColor="text1"/>
          <w:sz w:val="24"/>
          <w:szCs w:val="20"/>
          <w14:textFill>
            <w14:solidFill>
              <w14:schemeClr w14:val="tx1"/>
            </w14:solidFill>
          </w14:textFill>
        </w:rPr>
        <w:t>开发，</w:t>
      </w:r>
      <w:r>
        <w:rPr>
          <w:rFonts w:ascii="Times New Roman" w:hAnsi="Times New Roman" w:eastAsia="宋体" w:cs="Times New Roman"/>
          <w:color w:val="000000" w:themeColor="text1"/>
          <w:sz w:val="24"/>
          <w:szCs w:val="20"/>
          <w14:textFill>
            <w14:solidFill>
              <w14:schemeClr w14:val="tx1"/>
            </w14:solidFill>
          </w14:textFill>
        </w:rPr>
        <w:t>共经历3个开发阶段。其中开发初期在油藏中部</w:t>
      </w:r>
      <w:r>
        <w:rPr>
          <w:rFonts w:ascii="Times New Roman" w:hAnsi="Times New Roman" w:cs="Times New Roman"/>
          <w:color w:val="000000" w:themeColor="text1"/>
          <w:sz w:val="24"/>
          <w:szCs w:val="20"/>
          <w14:textFill>
            <w14:solidFill>
              <w14:schemeClr w14:val="tx1"/>
            </w14:solidFill>
          </w14:textFill>
        </w:rPr>
        <w:t>采用300m×424m反九点面积</w:t>
      </w:r>
      <w:r>
        <w:rPr>
          <w:rFonts w:ascii="Times New Roman" w:hAnsi="Times New Roman" w:eastAsia="宋体" w:cs="Times New Roman"/>
          <w:color w:val="000000" w:themeColor="text1"/>
          <w:sz w:val="24"/>
          <w:szCs w:val="20"/>
          <w14:textFill>
            <w14:solidFill>
              <w14:schemeClr w14:val="tx1"/>
            </w14:solidFill>
          </w14:textFill>
        </w:rPr>
        <w:t>注水</w:t>
      </w:r>
      <w:r>
        <w:rPr>
          <w:rFonts w:ascii="Times New Roman" w:hAnsi="Times New Roman" w:cs="Times New Roman"/>
          <w:color w:val="000000" w:themeColor="text1"/>
          <w:sz w:val="24"/>
          <w:szCs w:val="20"/>
          <w14:textFill>
            <w14:solidFill>
              <w14:schemeClr w14:val="tx1"/>
            </w14:solidFill>
          </w14:textFill>
        </w:rPr>
        <w:t>井网开发</w:t>
      </w:r>
      <w:r>
        <w:rPr>
          <w:rFonts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cs="Times New Roman"/>
          <w:color w:val="000000" w:themeColor="text1"/>
          <w:sz w:val="24"/>
          <w:szCs w:val="20"/>
          <w14:textFill>
            <w14:solidFill>
              <w14:schemeClr w14:val="tx1"/>
            </w14:solidFill>
          </w14:textFill>
        </w:rPr>
        <w:t>部署实施开发井18口，其中采油井13口，注水井5口，油藏于2003年9月注水，期间在油藏西部有4口其</w:t>
      </w:r>
      <w:r>
        <w:rPr>
          <w:rFonts w:ascii="Times New Roman" w:hAnsi="Times New Roman" w:eastAsia="宋体" w:cs="Times New Roman"/>
          <w:color w:val="000000" w:themeColor="text1"/>
          <w:sz w:val="24"/>
          <w:szCs w:val="20"/>
          <w14:textFill>
            <w14:solidFill>
              <w14:schemeClr w14:val="tx1"/>
            </w14:solidFill>
          </w14:textFill>
        </w:rPr>
        <w:t>它</w:t>
      </w:r>
      <w:r>
        <w:rPr>
          <w:rFonts w:ascii="Times New Roman" w:hAnsi="Times New Roman" w:cs="Times New Roman"/>
          <w:color w:val="000000" w:themeColor="text1"/>
          <w:sz w:val="24"/>
          <w:szCs w:val="20"/>
          <w14:textFill>
            <w14:solidFill>
              <w14:schemeClr w14:val="tx1"/>
            </w14:solidFill>
          </w14:textFill>
        </w:rPr>
        <w:t>层位上返的短期试采井</w:t>
      </w:r>
      <w:r>
        <w:rPr>
          <w:rFonts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cs="Times New Roman"/>
          <w:color w:val="000000" w:themeColor="text1"/>
          <w:sz w:val="24"/>
          <w:szCs w:val="20"/>
          <w14:textFill>
            <w14:solidFill>
              <w14:schemeClr w14:val="tx1"/>
            </w14:solidFill>
          </w14:textFill>
        </w:rPr>
        <w:t>2007至2013年相继以水平井开发方式进行扩边调整，共完钻7口水平井，2008至2011年期间实施了5口侧钻井</w:t>
      </w:r>
      <w:r>
        <w:rPr>
          <w:rFonts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cs="Times New Roman"/>
          <w:color w:val="000000" w:themeColor="text1"/>
          <w:sz w:val="24"/>
          <w:szCs w:val="20"/>
          <w14:textFill>
            <w14:solidFill>
              <w14:schemeClr w14:val="tx1"/>
            </w14:solidFill>
          </w14:textFill>
        </w:rPr>
        <w:t>2016年在K</w:t>
      </w:r>
      <w:r>
        <w:rPr>
          <w:rFonts w:ascii="Times New Roman" w:hAnsi="Times New Roman" w:cs="Times New Roman"/>
          <w:color w:val="000000" w:themeColor="text1"/>
          <w:sz w:val="24"/>
          <w:szCs w:val="20"/>
          <w:vertAlign w:val="subscript"/>
          <w14:textFill>
            <w14:solidFill>
              <w14:schemeClr w14:val="tx1"/>
            </w14:solidFill>
          </w14:textFill>
        </w:rPr>
        <w:t>1</w:t>
      </w:r>
      <w:r>
        <w:rPr>
          <w:rFonts w:ascii="Times New Roman" w:hAnsi="Times New Roman" w:cs="Times New Roman"/>
          <w:i/>
          <w:iCs/>
          <w:color w:val="000000" w:themeColor="text1"/>
          <w:sz w:val="24"/>
          <w:szCs w:val="20"/>
          <w14:textFill>
            <w14:solidFill>
              <w14:schemeClr w14:val="tx1"/>
            </w14:solidFill>
          </w14:textFill>
        </w:rPr>
        <w:t>h</w:t>
      </w:r>
      <w:r>
        <w:rPr>
          <w:rFonts w:ascii="Times New Roman" w:hAnsi="Times New Roman" w:cs="Times New Roman"/>
          <w:color w:val="000000" w:themeColor="text1"/>
          <w:sz w:val="24"/>
          <w:szCs w:val="20"/>
          <w:vertAlign w:val="subscript"/>
          <w14:textFill>
            <w14:solidFill>
              <w14:schemeClr w14:val="tx1"/>
            </w14:solidFill>
          </w14:textFill>
        </w:rPr>
        <w:t>1</w:t>
      </w:r>
      <w:r>
        <w:rPr>
          <w:rFonts w:ascii="Times New Roman" w:hAnsi="Times New Roman" w:cs="Times New Roman"/>
          <w:color w:val="000000" w:themeColor="text1"/>
          <w:sz w:val="24"/>
          <w:szCs w:val="20"/>
          <w:vertAlign w:val="superscript"/>
          <w14:textFill>
            <w14:solidFill>
              <w14:schemeClr w14:val="tx1"/>
            </w14:solidFill>
          </w14:textFill>
        </w:rPr>
        <w:t>3-1</w:t>
      </w:r>
      <w:r>
        <w:rPr>
          <w:rFonts w:ascii="Times New Roman" w:hAnsi="Times New Roman" w:cs="Times New Roman"/>
          <w:color w:val="000000" w:themeColor="text1"/>
          <w:sz w:val="24"/>
          <w:szCs w:val="20"/>
          <w14:textFill>
            <w14:solidFill>
              <w14:schemeClr w14:val="tx1"/>
            </w14:solidFill>
          </w14:textFill>
        </w:rPr>
        <w:t>油藏中部按直井方式实施加密调整，共新钻加密井19口（采油井17口，注水井2口）</w:t>
      </w:r>
      <w:r>
        <w:rPr>
          <w:rFonts w:ascii="Times New Roman" w:hAnsi="Times New Roman" w:eastAsia="宋体" w:cs="Times New Roman"/>
          <w:color w:val="000000" w:themeColor="text1"/>
          <w:sz w:val="24"/>
          <w:szCs w:val="20"/>
          <w14:textFill>
            <w14:solidFill>
              <w14:schemeClr w14:val="tx1"/>
            </w14:solidFill>
          </w14:textFill>
        </w:rPr>
        <w:t>，2017年至目前，由于部分低效采油井及问题注水井上返导致目前为不规则井网</w:t>
      </w:r>
      <w:r>
        <w:rPr>
          <w:rFonts w:ascii="Times New Roman" w:hAnsi="Times New Roman" w:cs="Times New Roman"/>
          <w:color w:val="000000" w:themeColor="text1"/>
          <w:sz w:val="24"/>
          <w:szCs w:val="20"/>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截至2023年8月，油藏共有采油井32口，开井31口，日产液1156.9t，日产油92.7t，含水91.9%，采油速度0.84%，累积产油53.7×10</w:t>
      </w:r>
      <w:r>
        <w:rPr>
          <w:rFonts w:ascii="Times New Roman" w:hAnsi="Times New Roman" w:cs="Times New Roman"/>
          <w:color w:val="000000" w:themeColor="text1"/>
          <w:sz w:val="24"/>
          <w:vertAlign w:val="super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t，采出程度26.6%；注水井13口，开井12口，日注水1015m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，累积注水365.5×10</w:t>
      </w:r>
      <w:r>
        <w:rPr>
          <w:rFonts w:ascii="Times New Roman" w:hAnsi="Times New Roman" w:cs="Times New Roman"/>
          <w:color w:val="000000" w:themeColor="text1"/>
          <w:sz w:val="24"/>
          <w:vertAlign w:val="super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，累积注采比0.96。</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截至2023年12月，陆9井区已建有采油井793口，日产液18968t/d，日产油1908t/d，日产气192237m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/d，含水率89%。</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陆9井区现有工程情况详见表3.6-1。</w:t>
      </w:r>
    </w:p>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表3.6-1 陆9井区现有工程组成表</w:t>
      </w:r>
    </w:p>
    <w:tbl>
      <w:tblPr>
        <w:tblStyle w:val="23"/>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6"/>
        <w:gridCol w:w="656"/>
        <w:gridCol w:w="1304"/>
        <w:gridCol w:w="5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56" w:type="dxa"/>
            <w:vAlign w:val="center"/>
          </w:tcPr>
          <w:p>
            <w:pPr>
              <w:pStyle w:val="17"/>
              <w:rPr>
                <w:rFonts w:ascii="Times New Roman" w:hAnsi="Times New Roman" w:cs="Times New Roman"/>
                <w:b/>
                <w:bCs w:val="0"/>
                <w:color w:val="000000" w:themeColor="text1"/>
                <w:szCs w:val="21"/>
                <w14:textFill>
                  <w14:solidFill>
                    <w14:schemeClr w14:val="tx1"/>
                  </w14:solidFill>
                </w14:textFill>
              </w:rPr>
            </w:pPr>
            <w:r>
              <w:rPr>
                <w:rFonts w:ascii="Times New Roman" w:hAnsi="Times New Roman" w:cs="Times New Roman"/>
                <w:b/>
                <w:bCs w:val="0"/>
                <w:color w:val="000000" w:themeColor="text1"/>
                <w:szCs w:val="21"/>
                <w14:textFill>
                  <w14:solidFill>
                    <w14:schemeClr w14:val="tx1"/>
                  </w14:solidFill>
                </w14:textFill>
              </w:rPr>
              <w:t>序号</w:t>
            </w:r>
          </w:p>
        </w:tc>
        <w:tc>
          <w:tcPr>
            <w:tcW w:w="1960" w:type="dxa"/>
            <w:gridSpan w:val="2"/>
            <w:vAlign w:val="center"/>
          </w:tcPr>
          <w:p>
            <w:pPr>
              <w:pStyle w:val="17"/>
              <w:rPr>
                <w:rFonts w:ascii="Times New Roman" w:hAnsi="Times New Roman" w:cs="Times New Roman"/>
                <w:b/>
                <w:bCs w:val="0"/>
                <w:color w:val="000000" w:themeColor="text1"/>
                <w:szCs w:val="21"/>
                <w14:textFill>
                  <w14:solidFill>
                    <w14:schemeClr w14:val="tx1"/>
                  </w14:solidFill>
                </w14:textFill>
              </w:rPr>
            </w:pPr>
            <w:r>
              <w:rPr>
                <w:rFonts w:ascii="Times New Roman" w:hAnsi="Times New Roman" w:cs="Times New Roman"/>
                <w:b/>
                <w:bCs w:val="0"/>
                <w:color w:val="000000" w:themeColor="text1"/>
                <w:szCs w:val="21"/>
                <w14:textFill>
                  <w14:solidFill>
                    <w14:schemeClr w14:val="tx1"/>
                  </w14:solidFill>
                </w14:textFill>
              </w:rPr>
              <w:t>工程项目</w:t>
            </w:r>
          </w:p>
        </w:tc>
        <w:tc>
          <w:tcPr>
            <w:tcW w:w="5906" w:type="dxa"/>
            <w:vAlign w:val="center"/>
          </w:tcPr>
          <w:p>
            <w:pPr>
              <w:pStyle w:val="17"/>
              <w:rPr>
                <w:rFonts w:ascii="Times New Roman" w:hAnsi="Times New Roman" w:cs="Times New Roman"/>
                <w:b/>
                <w:bCs w:val="0"/>
                <w:color w:val="000000" w:themeColor="text1"/>
                <w:szCs w:val="21"/>
                <w14:textFill>
                  <w14:solidFill>
                    <w14:schemeClr w14:val="tx1"/>
                  </w14:solidFill>
                </w14:textFill>
              </w:rPr>
            </w:pPr>
            <w:r>
              <w:rPr>
                <w:rFonts w:ascii="Times New Roman" w:hAnsi="Times New Roman" w:cs="Times New Roman"/>
                <w:b/>
                <w:bCs w:val="0"/>
                <w:color w:val="000000" w:themeColor="text1"/>
                <w:szCs w:val="21"/>
                <w14:textFill>
                  <w14:solidFill>
                    <w14:schemeClr w14:val="tx1"/>
                  </w14:solidFill>
                </w14:textFill>
              </w:rPr>
              <w:t>建设内容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56"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656"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主体工程</w:t>
            </w:r>
          </w:p>
        </w:tc>
        <w:tc>
          <w:tcPr>
            <w:tcW w:w="1304"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钻井工程</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已实施采油井793口，日产液18968t/d，日产油1908t/d，日产气192237m³/d，含水率89%。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1304"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地面集输工程</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已建有64座计量站，单井采出液经单井出油管线输送至计量站，计量后再通过集油管线集中密闭集输至陆梁处理站进行气液分离，</w:t>
            </w:r>
            <w:r>
              <w:rPr>
                <w:rFonts w:hint="eastAsia" w:ascii="Times New Roman" w:hAnsi="Times New Roman" w:cs="Times New Roman"/>
                <w:color w:val="000000" w:themeColor="text1"/>
                <w:szCs w:val="21"/>
                <w14:textFill>
                  <w14:solidFill>
                    <w14:schemeClr w14:val="tx1"/>
                  </w14:solidFill>
                </w14:textFill>
              </w:rPr>
              <w:t>分离</w:t>
            </w:r>
            <w:r>
              <w:rPr>
                <w:rFonts w:ascii="Times New Roman" w:hAnsi="Times New Roman" w:cs="Times New Roman"/>
                <w:color w:val="000000" w:themeColor="text1"/>
                <w:szCs w:val="21"/>
                <w14:textFill>
                  <w14:solidFill>
                    <w14:schemeClr w14:val="tx1"/>
                  </w14:solidFill>
                </w14:textFill>
              </w:rPr>
              <w:t>出的液在陆梁处理站处理，分离出的气在陆梁伴生气处理站处理。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1304"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原油处理</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陆梁处理站设计处理能力为120×10</w:t>
            </w:r>
            <w:r>
              <w:rPr>
                <w:rFonts w:ascii="Times New Roman" w:hAnsi="Times New Roman" w:cs="Times New Roman"/>
                <w:color w:val="000000" w:themeColor="text1"/>
                <w:szCs w:val="21"/>
                <w:vertAlign w:val="superscript"/>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t/a，目前原油处理量为75×10</w:t>
            </w:r>
            <w:r>
              <w:rPr>
                <w:rFonts w:ascii="Times New Roman" w:hAnsi="Times New Roman" w:cs="Times New Roman"/>
                <w:color w:val="000000" w:themeColor="text1"/>
                <w:szCs w:val="21"/>
                <w:vertAlign w:val="superscript"/>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t/a</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包含玛东2、夏盐11的15×10</w:t>
            </w:r>
            <w:r>
              <w:rPr>
                <w:rFonts w:ascii="Times New Roman" w:hAnsi="Times New Roman" w:cs="Times New Roman"/>
                <w:color w:val="000000" w:themeColor="text1"/>
                <w:szCs w:val="21"/>
                <w:vertAlign w:val="superscript"/>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t/a油量）。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1304"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原油稳定</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石西集中处理站设计处理能力为100×10</w:t>
            </w:r>
            <w:r>
              <w:rPr>
                <w:rFonts w:ascii="Times New Roman" w:hAnsi="Times New Roman" w:cs="Times New Roman"/>
                <w:color w:val="000000" w:themeColor="text1"/>
                <w:szCs w:val="21"/>
                <w:vertAlign w:val="superscript"/>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t/a，原油处理现状约为45×10</w:t>
            </w:r>
            <w:r>
              <w:rPr>
                <w:rFonts w:ascii="Times New Roman" w:hAnsi="Times New Roman" w:cs="Times New Roman"/>
                <w:color w:val="000000" w:themeColor="text1"/>
                <w:szCs w:val="21"/>
                <w:vertAlign w:val="superscript"/>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t/a。目前正在进行石西原油密闭处理与稳定改造工程，稳定改造后处理站设计处理规模为180×10</w:t>
            </w:r>
            <w:r>
              <w:rPr>
                <w:rFonts w:ascii="Times New Roman" w:hAnsi="Times New Roman" w:cs="Times New Roman"/>
                <w:color w:val="000000" w:themeColor="text1"/>
                <w:szCs w:val="21"/>
                <w:vertAlign w:val="superscript"/>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t/a，扩建后预计现状稳定油量约为155×10</w:t>
            </w:r>
            <w:r>
              <w:rPr>
                <w:rFonts w:ascii="Times New Roman" w:hAnsi="Times New Roman" w:cs="Times New Roman"/>
                <w:color w:val="000000" w:themeColor="text1"/>
                <w:szCs w:val="21"/>
                <w:vertAlign w:val="superscript"/>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1304"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伴生气处理</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陆梁伴生气处理站设计能力15万方/天，目前处理量约8万方。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1304"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采出水处理</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陆梁油田集中处理站采出水处理系统采用</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重力除油-旋流反应-沉降过滤</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工艺流程。设计处理能力为20000m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/d，现状处理能力约为</w:t>
            </w:r>
            <w:r>
              <w:rPr>
                <w:rFonts w:hint="eastAsia" w:ascii="Times New Roman" w:hAnsi="Times New Roman" w:cs="Times New Roman"/>
                <w:color w:val="000000" w:themeColor="text1"/>
                <w:szCs w:val="21"/>
                <w14:textFill>
                  <w14:solidFill>
                    <w14:schemeClr w14:val="tx1"/>
                  </w14:solidFill>
                </w14:textFill>
              </w:rPr>
              <w:t>18000</w:t>
            </w:r>
            <w:r>
              <w:rPr>
                <w:rFonts w:ascii="Times New Roman" w:hAnsi="Times New Roman" w:cs="Times New Roman"/>
                <w:color w:val="000000" w:themeColor="text1"/>
                <w:szCs w:val="21"/>
                <w14:textFill>
                  <w14:solidFill>
                    <w14:schemeClr w14:val="tx1"/>
                  </w14:solidFill>
                </w14:textFill>
              </w:rPr>
              <w:t>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 w:hRule="atLeast"/>
          <w:jc w:val="center"/>
        </w:trPr>
        <w:tc>
          <w:tcPr>
            <w:tcW w:w="656"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656"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公用工程</w:t>
            </w:r>
          </w:p>
        </w:tc>
        <w:tc>
          <w:tcPr>
            <w:tcW w:w="1304"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供配电</w:t>
            </w:r>
          </w:p>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工程</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井区内已建成3条10kV架空线路，分别是陆井一线、陆井二线、陆井三线，2021年3条线路平均负荷分别为1.88MW、1.33MW、1.72MW。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1304"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道路工程</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陆9井区有完善的油田路网。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56"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656"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环保工程</w:t>
            </w:r>
          </w:p>
        </w:tc>
        <w:tc>
          <w:tcPr>
            <w:tcW w:w="1304"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废气</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油气集输非甲烷总烃为无组织排放。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1304"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废水</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生产废水处理依托陆梁集中处理站污水处理系统处理，达标后回注井区。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13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生活污水依托陆梁公寓生活污水一体化处理装置进行处置，设计处理能力为350m</w:t>
            </w:r>
            <w:r>
              <w:rPr>
                <w:rFonts w:hint="eastAsia"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/d，目前实际处理量约为100m</w:t>
            </w:r>
            <w:r>
              <w:rPr>
                <w:rFonts w:hint="eastAsia"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/d，仍有较大的余量。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1304"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固废</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落地油</w:t>
            </w:r>
            <w:r>
              <w:rPr>
                <w:rFonts w:hint="eastAsia" w:ascii="Times New Roman" w:hAnsi="Times New Roman" w:cs="Times New Roman"/>
                <w:color w:val="000000" w:themeColor="text1"/>
                <w:szCs w:val="21"/>
                <w14:textFill>
                  <w14:solidFill>
                    <w14:schemeClr w14:val="tx1"/>
                  </w14:solidFill>
                </w14:textFill>
              </w:rPr>
              <w:t>100%</w:t>
            </w:r>
            <w:r>
              <w:rPr>
                <w:rFonts w:ascii="Times New Roman" w:hAnsi="Times New Roman" w:cs="Times New Roman"/>
                <w:color w:val="000000" w:themeColor="text1"/>
                <w:szCs w:val="21"/>
                <w14:textFill>
                  <w14:solidFill>
                    <w14:schemeClr w14:val="tx1"/>
                  </w14:solidFill>
                </w14:textFill>
              </w:rPr>
              <w:t>回收；油泥（砂）委托克拉玛依博达生态环保科技有限责任公司处置。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656"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1304"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噪声</w:t>
            </w:r>
          </w:p>
        </w:tc>
        <w:tc>
          <w:tcPr>
            <w:tcW w:w="5906"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选用低噪声设备，安装基础减振垫</w:t>
            </w:r>
          </w:p>
        </w:tc>
      </w:tr>
    </w:tbl>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表3.</w:t>
      </w:r>
      <w:r>
        <w:rPr>
          <w:rFonts w:hint="eastAsia" w:cs="Times New Roman"/>
          <w:color w:val="000000" w:themeColor="text1"/>
          <w:sz w:val="21"/>
          <w:szCs w:val="21"/>
          <w14:textFill>
            <w14:solidFill>
              <w14:schemeClr w14:val="tx1"/>
            </w14:solidFill>
          </w14:textFill>
        </w:rPr>
        <w:t>6-2</w:t>
      </w:r>
      <w:r>
        <w:rPr>
          <w:rFonts w:cs="Times New Roman"/>
          <w:color w:val="000000" w:themeColor="text1"/>
          <w:sz w:val="21"/>
          <w:szCs w:val="21"/>
          <w14:textFill>
            <w14:solidFill>
              <w14:schemeClr w14:val="tx1"/>
            </w14:solidFill>
          </w14:textFill>
        </w:rPr>
        <w:t xml:space="preserve">  现有工程排放表</w:t>
      </w:r>
    </w:p>
    <w:tbl>
      <w:tblPr>
        <w:tblStyle w:val="2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837"/>
        <w:gridCol w:w="2381"/>
        <w:gridCol w:w="1491"/>
        <w:gridCol w:w="1502"/>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641" w:type="dxa"/>
            <w:gridSpan w:val="2"/>
            <w:vAlign w:val="center"/>
          </w:tcPr>
          <w:p>
            <w:pPr>
              <w:pStyle w:val="17"/>
              <w:rPr>
                <w:rFonts w:ascii="Times New Roman" w:hAnsi="Times New Roman" w:cs="Times New Roman"/>
                <w:b/>
                <w:bCs w:val="0"/>
                <w:color w:val="000000" w:themeColor="text1"/>
                <w:szCs w:val="21"/>
                <w14:textFill>
                  <w14:solidFill>
                    <w14:schemeClr w14:val="tx1"/>
                  </w14:solidFill>
                </w14:textFill>
              </w:rPr>
            </w:pPr>
            <w:r>
              <w:rPr>
                <w:rFonts w:ascii="Times New Roman" w:hAnsi="Times New Roman" w:cs="Times New Roman"/>
                <w:b/>
                <w:bCs w:val="0"/>
                <w:color w:val="000000" w:themeColor="text1"/>
                <w:szCs w:val="21"/>
                <w14:textFill>
                  <w14:solidFill>
                    <w14:schemeClr w14:val="tx1"/>
                  </w14:solidFill>
                </w14:textFill>
              </w:rPr>
              <w:t>类型</w:t>
            </w:r>
          </w:p>
        </w:tc>
        <w:tc>
          <w:tcPr>
            <w:tcW w:w="2381" w:type="dxa"/>
            <w:vAlign w:val="center"/>
          </w:tcPr>
          <w:p>
            <w:pPr>
              <w:pStyle w:val="17"/>
              <w:rPr>
                <w:rFonts w:ascii="Times New Roman" w:hAnsi="Times New Roman" w:cs="Times New Roman"/>
                <w:b/>
                <w:bCs w:val="0"/>
                <w:color w:val="000000" w:themeColor="text1"/>
                <w:szCs w:val="21"/>
                <w14:textFill>
                  <w14:solidFill>
                    <w14:schemeClr w14:val="tx1"/>
                  </w14:solidFill>
                </w14:textFill>
              </w:rPr>
            </w:pPr>
            <w:r>
              <w:rPr>
                <w:rFonts w:ascii="Times New Roman" w:hAnsi="Times New Roman" w:cs="Times New Roman"/>
                <w:b/>
                <w:bCs w:val="0"/>
                <w:color w:val="000000" w:themeColor="text1"/>
                <w:szCs w:val="21"/>
                <w14:textFill>
                  <w14:solidFill>
                    <w14:schemeClr w14:val="tx1"/>
                  </w14:solidFill>
                </w14:textFill>
              </w:rPr>
              <w:t>类别</w:t>
            </w:r>
          </w:p>
        </w:tc>
        <w:tc>
          <w:tcPr>
            <w:tcW w:w="1491" w:type="dxa"/>
            <w:vAlign w:val="center"/>
          </w:tcPr>
          <w:p>
            <w:pPr>
              <w:pStyle w:val="17"/>
              <w:rPr>
                <w:rFonts w:ascii="Times New Roman" w:hAnsi="Times New Roman" w:cs="Times New Roman"/>
                <w:b/>
                <w:bCs w:val="0"/>
                <w:color w:val="000000" w:themeColor="text1"/>
                <w:szCs w:val="21"/>
                <w14:textFill>
                  <w14:solidFill>
                    <w14:schemeClr w14:val="tx1"/>
                  </w14:solidFill>
                </w14:textFill>
              </w:rPr>
            </w:pPr>
            <w:r>
              <w:rPr>
                <w:rFonts w:hint="eastAsia" w:ascii="Times New Roman" w:hAnsi="Times New Roman" w:cs="Times New Roman"/>
                <w:b/>
                <w:bCs w:val="0"/>
                <w:color w:val="000000" w:themeColor="text1"/>
                <w:szCs w:val="21"/>
                <w14:textFill>
                  <w14:solidFill>
                    <w14:schemeClr w14:val="tx1"/>
                  </w14:solidFill>
                </w14:textFill>
              </w:rPr>
              <w:t>单位</w:t>
            </w:r>
          </w:p>
        </w:tc>
        <w:tc>
          <w:tcPr>
            <w:tcW w:w="1502"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现有工程污染物排放量</w:t>
            </w:r>
          </w:p>
        </w:tc>
        <w:tc>
          <w:tcPr>
            <w:tcW w:w="1504"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4"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废气</w:t>
            </w:r>
          </w:p>
        </w:tc>
        <w:tc>
          <w:tcPr>
            <w:tcW w:w="837"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无组织</w:t>
            </w:r>
          </w:p>
        </w:tc>
        <w:tc>
          <w:tcPr>
            <w:tcW w:w="238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SO</w:t>
            </w:r>
            <w:r>
              <w:rPr>
                <w:rFonts w:ascii="Times New Roman" w:hAnsi="Times New Roman" w:cs="Times New Roman"/>
                <w:color w:val="000000" w:themeColor="text1"/>
                <w:szCs w:val="21"/>
                <w:vertAlign w:val="subscript"/>
                <w14:textFill>
                  <w14:solidFill>
                    <w14:schemeClr w14:val="tx1"/>
                  </w14:solidFill>
                </w14:textFill>
              </w:rPr>
              <w:t>2</w:t>
            </w:r>
          </w:p>
        </w:tc>
        <w:tc>
          <w:tcPr>
            <w:tcW w:w="149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502"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1.5629</w:t>
            </w:r>
          </w:p>
        </w:tc>
        <w:tc>
          <w:tcPr>
            <w:tcW w:w="1504"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《陆9井区呼图壁河组油藏2022年水平井开发工程建设项目环境影响报告书》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837"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38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NOx</w:t>
            </w:r>
          </w:p>
        </w:tc>
        <w:tc>
          <w:tcPr>
            <w:tcW w:w="149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502"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20.01</w:t>
            </w:r>
          </w:p>
        </w:tc>
        <w:tc>
          <w:tcPr>
            <w:tcW w:w="15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837"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38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VOCs</w:t>
            </w:r>
          </w:p>
        </w:tc>
        <w:tc>
          <w:tcPr>
            <w:tcW w:w="149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502"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340.72</w:t>
            </w:r>
          </w:p>
        </w:tc>
        <w:tc>
          <w:tcPr>
            <w:tcW w:w="15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837"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38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硫化氢</w:t>
            </w:r>
          </w:p>
        </w:tc>
        <w:tc>
          <w:tcPr>
            <w:tcW w:w="149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502"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15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641" w:type="dxa"/>
            <w:gridSpan w:val="2"/>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废水</w:t>
            </w:r>
          </w:p>
        </w:tc>
        <w:tc>
          <w:tcPr>
            <w:tcW w:w="238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采出水</w:t>
            </w:r>
          </w:p>
        </w:tc>
        <w:tc>
          <w:tcPr>
            <w:tcW w:w="149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/a</w:t>
            </w:r>
          </w:p>
        </w:tc>
        <w:tc>
          <w:tcPr>
            <w:tcW w:w="1502"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10900</w:t>
            </w:r>
          </w:p>
        </w:tc>
        <w:tc>
          <w:tcPr>
            <w:tcW w:w="15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641" w:type="dxa"/>
            <w:gridSpan w:val="2"/>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38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井下作业废水</w:t>
            </w:r>
          </w:p>
        </w:tc>
        <w:tc>
          <w:tcPr>
            <w:tcW w:w="149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/a</w:t>
            </w:r>
          </w:p>
        </w:tc>
        <w:tc>
          <w:tcPr>
            <w:tcW w:w="1502"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67.8</w:t>
            </w:r>
          </w:p>
        </w:tc>
        <w:tc>
          <w:tcPr>
            <w:tcW w:w="15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trPr>
        <w:tc>
          <w:tcPr>
            <w:tcW w:w="1641" w:type="dxa"/>
            <w:gridSpan w:val="2"/>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固废</w:t>
            </w:r>
          </w:p>
        </w:tc>
        <w:tc>
          <w:tcPr>
            <w:tcW w:w="238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含油污泥</w:t>
            </w:r>
          </w:p>
        </w:tc>
        <w:tc>
          <w:tcPr>
            <w:tcW w:w="149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502"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5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641" w:type="dxa"/>
            <w:gridSpan w:val="2"/>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38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井场事故状态下落地油</w:t>
            </w:r>
          </w:p>
        </w:tc>
        <w:tc>
          <w:tcPr>
            <w:tcW w:w="149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502"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5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641" w:type="dxa"/>
            <w:gridSpan w:val="2"/>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38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废机油</w:t>
            </w:r>
          </w:p>
        </w:tc>
        <w:tc>
          <w:tcPr>
            <w:tcW w:w="149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502"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5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641" w:type="dxa"/>
            <w:gridSpan w:val="2"/>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38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清管废渣</w:t>
            </w:r>
          </w:p>
        </w:tc>
        <w:tc>
          <w:tcPr>
            <w:tcW w:w="149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502"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5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641" w:type="dxa"/>
            <w:gridSpan w:val="2"/>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38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废弃防渗膜</w:t>
            </w:r>
          </w:p>
        </w:tc>
        <w:tc>
          <w:tcPr>
            <w:tcW w:w="149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502"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504"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r>
    </w:tbl>
    <w:p>
      <w:pPr>
        <w:pStyle w:val="5"/>
        <w:keepNext w:val="0"/>
        <w:keepLines w:val="0"/>
        <w:numPr>
          <w:ilvl w:val="2"/>
          <w:numId w:val="0"/>
        </w:numPr>
        <w:spacing w:line="360" w:lineRule="auto"/>
        <w:jc w:val="left"/>
        <w:textAlignment w:val="baseline"/>
        <w:rPr>
          <w:rFonts w:ascii="Times New Roman" w:hAnsi="Times New Roman" w:eastAsia="宋体" w:cs="Times New Roman"/>
          <w:b w:val="0"/>
          <w:bCs w:val="0"/>
          <w:smallCaps/>
          <w:color w:val="000000" w:themeColor="text1"/>
          <w:kern w:val="0"/>
          <w:sz w:val="28"/>
          <w14:textFill>
            <w14:solidFill>
              <w14:schemeClr w14:val="tx1"/>
            </w14:solidFill>
          </w14:textFill>
        </w:rPr>
      </w:pPr>
      <w:r>
        <w:rPr>
          <w:rFonts w:ascii="Times New Roman" w:hAnsi="Times New Roman" w:eastAsia="宋体" w:cs="Times New Roman"/>
          <w:b w:val="0"/>
          <w:bCs w:val="0"/>
          <w:smallCaps/>
          <w:color w:val="000000" w:themeColor="text1"/>
          <w:kern w:val="0"/>
          <w:sz w:val="28"/>
          <w14:textFill>
            <w14:solidFill>
              <w14:schemeClr w14:val="tx1"/>
            </w14:solidFill>
          </w14:textFill>
        </w:rPr>
        <w:t>3.6.1.2油藏地质简述</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呼图壁河组地层为多套砂泥岩互层，砂体横向及垂向上变化较快，连续性较差。储层主要为细砂岩、中-细砂岩和中砂岩，岩石颗粒以岩屑为主，含量35%～61%，平均49.8%。各砂组储层物性变化不大，均为高孔、高渗储集层，其中，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段储层平均孔隙度为26.15%，平均渗透率为124.8×10</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μm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，油层孔隙度24.5%～33.2%，平均为28.4%，渗透率（10.3~3870）×10</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μm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，平均为312.9×10</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μm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；K</w:t>
      </w:r>
      <w:r>
        <w:rPr>
          <w:rFonts w:ascii="Times New Roman" w:hAnsi="Times New Roman" w:cs="Times New Roman"/>
          <w:color w:val="000000" w:themeColor="text1"/>
          <w:sz w:val="24"/>
          <w:vertAlign w:val="subscript"/>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h</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段储层平均孔隙度为28.15%，平均渗透率为141.84×10</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μm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，油层孔隙度26.1%～34.1%，平均为30.12%，渗透率（10.4~5000）×10</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μm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，平均为522.9×10</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μm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呼图壁河组含油层系多，纵向跨度大，各油藏性质基本类似，多为有底水或边水的岩性构造或构造岩性油藏，且具有构造幅度低（小于14m）、单油层厚度薄（一般小于5m）、平面连续性差，各油层普遍发育边底水，油水分布关系复杂和</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一砂一藏</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等特点。</w:t>
      </w:r>
    </w:p>
    <w:p>
      <w:pPr>
        <w:pStyle w:val="5"/>
        <w:keepNext w:val="0"/>
        <w:keepLines w:val="0"/>
        <w:numPr>
          <w:ilvl w:val="2"/>
          <w:numId w:val="0"/>
        </w:numPr>
        <w:spacing w:line="360" w:lineRule="auto"/>
        <w:jc w:val="left"/>
        <w:textAlignment w:val="baseline"/>
        <w:rPr>
          <w:rFonts w:ascii="Times New Roman" w:hAnsi="Times New Roman" w:eastAsia="宋体" w:cs="Times New Roman"/>
          <w:b w:val="0"/>
          <w:bCs w:val="0"/>
          <w:smallCaps/>
          <w:color w:val="000000" w:themeColor="text1"/>
          <w:kern w:val="0"/>
          <w:sz w:val="28"/>
          <w14:textFill>
            <w14:solidFill>
              <w14:schemeClr w14:val="tx1"/>
            </w14:solidFill>
          </w14:textFill>
        </w:rPr>
      </w:pPr>
      <w:r>
        <w:rPr>
          <w:rFonts w:ascii="Times New Roman" w:hAnsi="Times New Roman" w:eastAsia="宋体" w:cs="Times New Roman"/>
          <w:b w:val="0"/>
          <w:bCs w:val="0"/>
          <w:smallCaps/>
          <w:color w:val="000000" w:themeColor="text1"/>
          <w:kern w:val="0"/>
          <w:sz w:val="28"/>
          <w14:textFill>
            <w14:solidFill>
              <w14:schemeClr w14:val="tx1"/>
            </w14:solidFill>
          </w14:textFill>
        </w:rPr>
        <w:t>3.6.1.3油气集输现状</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陆9井区已建有采油井793口，日产液18968t/d，日产油1908t/d，日产气192237m³/d，含水率89%。大部分采用常温密闭集输二级布站工艺：单井→计量站→陆梁处理站。少数凝固点较高，含水较低的单井采用加热集输工艺。由于本次部署井周边建有 8 座计量配水站以及配套的集油，注水管线。计量站内建有12井式多通阀装置，计量分离装置。地面工程现状表见表6-1-1。通过已建集油、注水干支线输送至陆梁集中处理站。</w:t>
      </w:r>
    </w:p>
    <w:p>
      <w:pPr>
        <w:widowControl/>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表3.6-</w:t>
      </w:r>
      <w:r>
        <w:rPr>
          <w:rFonts w:hint="eastAsia" w:ascii="Times New Roman" w:hAnsi="Times New Roman" w:eastAsia="宋体" w:cs="Times New Roman"/>
          <w:b/>
          <w:bCs/>
          <w:color w:val="000000" w:themeColor="text1"/>
          <w:kern w:val="0"/>
          <w:szCs w:val="21"/>
          <w:lang w:bidi="ar"/>
          <w14:textFill>
            <w14:solidFill>
              <w14:schemeClr w14:val="tx1"/>
            </w14:solidFill>
          </w14:textFill>
        </w:rPr>
        <w:t>3</w:t>
      </w:r>
      <w:r>
        <w:rPr>
          <w:rFonts w:ascii="Times New Roman" w:hAnsi="Times New Roman" w:eastAsia="宋体" w:cs="Times New Roman"/>
          <w:b/>
          <w:bCs/>
          <w:color w:val="000000" w:themeColor="text1"/>
          <w:kern w:val="0"/>
          <w:szCs w:val="21"/>
          <w:lang w:bidi="ar"/>
          <w14:textFill>
            <w14:solidFill>
              <w14:schemeClr w14:val="tx1"/>
            </w14:solidFill>
          </w14:textFill>
        </w:rPr>
        <w:t xml:space="preserve">  计量配水站现状表</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961"/>
        <w:gridCol w:w="2181"/>
        <w:gridCol w:w="1132"/>
        <w:gridCol w:w="1241"/>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序号</w:t>
            </w:r>
          </w:p>
        </w:tc>
        <w:tc>
          <w:tcPr>
            <w:tcW w:w="1961"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计量配水站</w:t>
            </w:r>
          </w:p>
        </w:tc>
        <w:tc>
          <w:tcPr>
            <w:tcW w:w="2181"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多通阀</w:t>
            </w:r>
          </w:p>
        </w:tc>
        <w:tc>
          <w:tcPr>
            <w:tcW w:w="1132"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接入井油数（口）</w:t>
            </w:r>
          </w:p>
        </w:tc>
        <w:tc>
          <w:tcPr>
            <w:tcW w:w="1241"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剩余空头（口）</w:t>
            </w:r>
          </w:p>
        </w:tc>
        <w:tc>
          <w:tcPr>
            <w:tcW w:w="1223" w:type="dxa"/>
            <w:vAlign w:val="center"/>
          </w:tcPr>
          <w:p>
            <w:pPr>
              <w:widowControl/>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计量站压力（MPa）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96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陆9井区2号计量配水站</w:t>
            </w:r>
          </w:p>
        </w:tc>
        <w:tc>
          <w:tcPr>
            <w:tcW w:w="218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18井式三通阀管汇+11井式多通阀撬</w:t>
            </w:r>
          </w:p>
        </w:tc>
        <w:tc>
          <w:tcPr>
            <w:tcW w:w="1132"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27</w:t>
            </w:r>
          </w:p>
        </w:tc>
        <w:tc>
          <w:tcPr>
            <w:tcW w:w="124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2</w:t>
            </w:r>
          </w:p>
        </w:tc>
        <w:tc>
          <w:tcPr>
            <w:tcW w:w="122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196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陆9井区3号计量配水站</w:t>
            </w:r>
          </w:p>
        </w:tc>
        <w:tc>
          <w:tcPr>
            <w:tcW w:w="218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18井式三通阀管汇+2座9井式多通阀撬</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36</w:t>
            </w:r>
          </w:p>
        </w:tc>
        <w:tc>
          <w:tcPr>
            <w:tcW w:w="124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22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196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陆9井区4号计量配水站</w:t>
            </w:r>
          </w:p>
        </w:tc>
        <w:tc>
          <w:tcPr>
            <w:tcW w:w="218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12井式多通阀管汇+11井式多通阀撬</w:t>
            </w:r>
          </w:p>
        </w:tc>
        <w:tc>
          <w:tcPr>
            <w:tcW w:w="1132" w:type="dxa"/>
            <w:vAlign w:val="center"/>
          </w:tcPr>
          <w:p>
            <w:pPr>
              <w:widowControl/>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32</w:t>
            </w:r>
          </w:p>
        </w:tc>
        <w:tc>
          <w:tcPr>
            <w:tcW w:w="124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122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96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陆9井区5号计量配水站</w:t>
            </w:r>
          </w:p>
        </w:tc>
        <w:tc>
          <w:tcPr>
            <w:tcW w:w="218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18井式三通阀×2+9井式多通阀</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44</w:t>
            </w:r>
          </w:p>
        </w:tc>
        <w:tc>
          <w:tcPr>
            <w:tcW w:w="124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122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w:t>
            </w:r>
          </w:p>
        </w:tc>
        <w:tc>
          <w:tcPr>
            <w:tcW w:w="196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陆9井区6号计量配水站</w:t>
            </w:r>
          </w:p>
        </w:tc>
        <w:tc>
          <w:tcPr>
            <w:tcW w:w="218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18井式多通阀管汇+12井式多通阀管汇</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30</w:t>
            </w:r>
          </w:p>
        </w:tc>
        <w:tc>
          <w:tcPr>
            <w:tcW w:w="124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22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p>
        </w:tc>
        <w:tc>
          <w:tcPr>
            <w:tcW w:w="196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陆9井区7号计量配水站</w:t>
            </w:r>
          </w:p>
        </w:tc>
        <w:tc>
          <w:tcPr>
            <w:tcW w:w="218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18井式三通阀管汇+9井式多通阀撬</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27</w:t>
            </w:r>
          </w:p>
        </w:tc>
        <w:tc>
          <w:tcPr>
            <w:tcW w:w="124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22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w:t>
            </w:r>
          </w:p>
        </w:tc>
        <w:tc>
          <w:tcPr>
            <w:tcW w:w="196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陆9井区8号计量配水站</w:t>
            </w:r>
          </w:p>
        </w:tc>
        <w:tc>
          <w:tcPr>
            <w:tcW w:w="218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18井式三通阀管汇+2座9井式多通阀撬</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36</w:t>
            </w:r>
          </w:p>
        </w:tc>
        <w:tc>
          <w:tcPr>
            <w:tcW w:w="124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22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p>
        </w:tc>
        <w:tc>
          <w:tcPr>
            <w:tcW w:w="196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陆9井区9号计量配水站</w:t>
            </w:r>
          </w:p>
        </w:tc>
        <w:tc>
          <w:tcPr>
            <w:tcW w:w="2181" w:type="dxa"/>
            <w:vAlign w:val="center"/>
          </w:tcPr>
          <w:p>
            <w:pPr>
              <w:widowControl/>
              <w:jc w:val="center"/>
              <w:rPr>
                <w:rFonts w:ascii="Times New Roman" w:hAnsi="Times New Roman" w:eastAsia="宋体" w:cs="Times New Roman"/>
                <w:color w:val="000000" w:themeColor="text1"/>
                <w:kern w:val="0"/>
                <w:szCs w:val="21"/>
                <w:lang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18井式三通阀管汇</w:t>
            </w:r>
          </w:p>
        </w:tc>
        <w:tc>
          <w:tcPr>
            <w:tcW w:w="1132"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17</w:t>
            </w:r>
          </w:p>
        </w:tc>
        <w:tc>
          <w:tcPr>
            <w:tcW w:w="1241"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p>
        </w:tc>
        <w:tc>
          <w:tcPr>
            <w:tcW w:w="1223"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0.86</w:t>
            </w:r>
          </w:p>
        </w:tc>
      </w:tr>
    </w:tbl>
    <w:p>
      <w:pPr>
        <w:pStyle w:val="5"/>
        <w:keepNext w:val="0"/>
        <w:keepLines w:val="0"/>
        <w:numPr>
          <w:ilvl w:val="2"/>
          <w:numId w:val="0"/>
        </w:numPr>
        <w:spacing w:line="360" w:lineRule="auto"/>
        <w:jc w:val="left"/>
        <w:textAlignment w:val="baseline"/>
        <w:rPr>
          <w:rFonts w:ascii="Times New Roman" w:hAnsi="Times New Roman" w:eastAsia="宋体" w:cs="Times New Roman"/>
          <w:b w:val="0"/>
          <w:bCs w:val="0"/>
          <w:smallCaps/>
          <w:color w:val="000000" w:themeColor="text1"/>
          <w:kern w:val="0"/>
          <w:sz w:val="28"/>
          <w14:textFill>
            <w14:solidFill>
              <w14:schemeClr w14:val="tx1"/>
            </w14:solidFill>
          </w14:textFill>
        </w:rPr>
      </w:pPr>
      <w:r>
        <w:rPr>
          <w:rFonts w:ascii="Times New Roman" w:hAnsi="Times New Roman" w:eastAsia="宋体" w:cs="Times New Roman"/>
          <w:b w:val="0"/>
          <w:bCs w:val="0"/>
          <w:smallCaps/>
          <w:color w:val="000000" w:themeColor="text1"/>
          <w:kern w:val="0"/>
          <w:sz w:val="28"/>
          <w14:textFill>
            <w14:solidFill>
              <w14:schemeClr w14:val="tx1"/>
            </w14:solidFill>
          </w14:textFill>
        </w:rPr>
        <w:t>3.6.1.4注水系统现状</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（1）</w:t>
      </w:r>
      <w:r>
        <w:rPr>
          <w:rFonts w:ascii="Times New Roman" w:hAnsi="Times New Roman" w:eastAsia="宋体" w:cs="Times New Roman"/>
          <w:color w:val="000000" w:themeColor="text1"/>
          <w:kern w:val="0"/>
          <w:sz w:val="24"/>
          <w:lang w:bidi="ar"/>
          <w14:textFill>
            <w14:solidFill>
              <w14:schemeClr w14:val="tx1"/>
            </w14:solidFill>
          </w14:textFill>
        </w:rPr>
        <w:t>注水井</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次高压系统配注量12800m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/d，实注量7294m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/d。共有注水井122口，欠注井数32口，占总井数的17.2%。</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高压系统管辖150口注水井，配注量10800m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/d，实注量7230m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/d。其中欠注井数34口，占总井数的22.7%。</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w:t>
      </w:r>
      <w:r>
        <w:rPr>
          <w:rFonts w:hint="eastAsia" w:ascii="Times New Roman" w:hAnsi="Times New Roman" w:eastAsia="宋体" w:cs="Times New Roman"/>
          <w:color w:val="000000" w:themeColor="text1"/>
          <w:kern w:val="0"/>
          <w:sz w:val="24"/>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）注水工艺</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陆9井区已建注水井采用</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单干管多井配水工艺</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的注水工艺即陆梁注水站增压后的高压水通过注水干支线输送至配水橇通过撬内分水器向各注水单井进行配注。</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w:t>
      </w:r>
      <w:r>
        <w:rPr>
          <w:rFonts w:hint="eastAsia" w:ascii="Times New Roman" w:hAnsi="Times New Roman" w:eastAsia="宋体" w:cs="Times New Roman"/>
          <w:color w:val="000000" w:themeColor="text1"/>
          <w:kern w:val="0"/>
          <w:sz w:val="24"/>
          <w:lang w:bidi="ar"/>
          <w14:textFill>
            <w14:solidFill>
              <w14:schemeClr w14:val="tx1"/>
            </w14:solidFill>
          </w14:textFill>
        </w:rPr>
        <w:t>3</w:t>
      </w:r>
      <w:r>
        <w:rPr>
          <w:rFonts w:ascii="Times New Roman" w:hAnsi="Times New Roman" w:eastAsia="宋体" w:cs="Times New Roman"/>
          <w:color w:val="000000" w:themeColor="text1"/>
          <w:kern w:val="0"/>
          <w:sz w:val="24"/>
          <w:lang w:bidi="ar"/>
          <w14:textFill>
            <w14:solidFill>
              <w14:schemeClr w14:val="tx1"/>
            </w14:solidFill>
          </w14:textFill>
        </w:rPr>
        <w:t>）注水管网</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陆9井区已建有2套注水管网，分别为次高压10MPa管网和高压16MPa管网。次高压10MPa注水管网2015年建成投产。次高压系统注水管网注水</w:t>
      </w:r>
      <w:r>
        <w:rPr>
          <w:rFonts w:hint="eastAsia" w:ascii="Times New Roman" w:hAnsi="Times New Roman" w:eastAsia="宋体" w:cs="Times New Roman"/>
          <w:color w:val="000000" w:themeColor="text1"/>
          <w:kern w:val="0"/>
          <w:sz w:val="24"/>
          <w:lang w:bidi="ar"/>
          <w14:textFill>
            <w14:solidFill>
              <w14:schemeClr w14:val="tx1"/>
            </w14:solidFill>
          </w14:textFill>
        </w:rPr>
        <w:t>干线</w:t>
      </w:r>
      <w:r>
        <w:rPr>
          <w:rFonts w:ascii="Times New Roman" w:hAnsi="Times New Roman" w:eastAsia="宋体" w:cs="Times New Roman"/>
          <w:color w:val="000000" w:themeColor="text1"/>
          <w:kern w:val="0"/>
          <w:sz w:val="24"/>
          <w:lang w:bidi="ar"/>
          <w14:textFill>
            <w14:solidFill>
              <w14:schemeClr w14:val="tx1"/>
            </w14:solidFill>
          </w14:textFill>
        </w:rPr>
        <w:t>规格均为DN20010MPa，支线规格均为DN150 10MPa，材质均为塑料合金防腐蚀管。</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高压16MPa管网建有A、B、C、D、E五条高压注水干线，2009年产能建设中，高压注水系统扩建两条注水干线</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G线、H线</w:t>
      </w:r>
      <w:r>
        <w:rPr>
          <w:rFonts w:hint="eastAsia"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kern w:val="0"/>
          <w:sz w:val="24"/>
          <w:lang w:bidi="ar"/>
          <w14:textFill>
            <w14:solidFill>
              <w14:schemeClr w14:val="tx1"/>
            </w14:solidFill>
          </w14:textFill>
        </w:rPr>
        <w:t>。原高压系统B线上的6#、6-1#、8#、8-1#、7#站及A线上的13#、9#站改接到高压G线上；原高压系统C线上的4#、2#、1#、1-1#站改接到高压H线上。用13#、9#站注水支线将A线与G线连通，用8#、8-1#站注水支线将B线与G线连通。注水干线规格为DN100 16MPa，注水支线规格为DN80 16MPa，材质均为塑料合金防腐蚀管。</w:t>
      </w:r>
    </w:p>
    <w:p>
      <w:pPr>
        <w:widowControl/>
        <w:spacing w:line="360" w:lineRule="auto"/>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268595" cy="2287270"/>
            <wp:effectExtent l="0" t="0" r="8255" b="177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1"/>
                    <a:stretch>
                      <a:fillRect/>
                    </a:stretch>
                  </pic:blipFill>
                  <pic:spPr>
                    <a:xfrm>
                      <a:off x="0" y="0"/>
                      <a:ext cx="5268595" cy="2287270"/>
                    </a:xfrm>
                    <a:prstGeom prst="rect">
                      <a:avLst/>
                    </a:prstGeom>
                    <a:noFill/>
                    <a:ln>
                      <a:noFill/>
                    </a:ln>
                  </pic:spPr>
                </pic:pic>
              </a:graphicData>
            </a:graphic>
          </wp:inline>
        </w:drawing>
      </w:r>
    </w:p>
    <w:p>
      <w:pPr>
        <w:widowControl/>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kern w:val="0"/>
          <w:szCs w:val="21"/>
          <w:lang w:bidi="ar"/>
          <w14:textFill>
            <w14:solidFill>
              <w14:schemeClr w14:val="tx1"/>
            </w14:solidFill>
          </w14:textFill>
        </w:rPr>
        <w:t>图3.6-1  注水系统管网图</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w:t>
      </w:r>
      <w:r>
        <w:rPr>
          <w:rFonts w:hint="eastAsia" w:ascii="Times New Roman" w:hAnsi="Times New Roman" w:eastAsia="宋体" w:cs="Times New Roman"/>
          <w:color w:val="000000" w:themeColor="text1"/>
          <w:kern w:val="0"/>
          <w:sz w:val="24"/>
          <w:lang w:bidi="ar"/>
          <w14:textFill>
            <w14:solidFill>
              <w14:schemeClr w14:val="tx1"/>
            </w14:solidFill>
          </w14:textFill>
        </w:rPr>
        <w:t>4</w:t>
      </w:r>
      <w:r>
        <w:rPr>
          <w:rFonts w:ascii="Times New Roman" w:hAnsi="Times New Roman" w:eastAsia="宋体" w:cs="Times New Roman"/>
          <w:color w:val="000000" w:themeColor="text1"/>
          <w:kern w:val="0"/>
          <w:sz w:val="24"/>
          <w:lang w:bidi="ar"/>
          <w14:textFill>
            <w14:solidFill>
              <w14:schemeClr w14:val="tx1"/>
            </w14:solidFill>
          </w14:textFill>
        </w:rPr>
        <w:t>）配水间</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陆9井区共有77座配水间及配水撬，多为2001、2002年建设，大多数配水间内均设高压、次高压两套配水管汇；2005</w:t>
      </w:r>
      <w:r>
        <w:rPr>
          <w:rFonts w:hint="eastAsia" w:ascii="Times New Roman" w:hAnsi="Times New Roman" w:eastAsia="宋体" w:cs="Times New Roman"/>
          <w:color w:val="000000" w:themeColor="text1"/>
          <w:kern w:val="0"/>
          <w:sz w:val="24"/>
          <w:lang w:bidi="ar"/>
          <w14:textFill>
            <w14:solidFill>
              <w14:schemeClr w14:val="tx1"/>
            </w14:solidFill>
          </w14:textFill>
        </w:rPr>
        <w:t>年</w:t>
      </w:r>
      <w:r>
        <w:rPr>
          <w:rFonts w:ascii="Times New Roman" w:hAnsi="Times New Roman" w:eastAsia="宋体" w:cs="Times New Roman"/>
          <w:color w:val="000000" w:themeColor="text1"/>
          <w:kern w:val="0"/>
          <w:sz w:val="24"/>
          <w:lang w:bidi="ar"/>
          <w14:textFill>
            <w14:solidFill>
              <w14:schemeClr w14:val="tx1"/>
            </w14:solidFill>
          </w14:textFill>
        </w:rPr>
        <w:t>以后产能建设过程中，根据注水井不同层位及位置分布，毗邻已建配水间扩建多座撬装式配水间。配水间现状见图6.1-4。</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267325" cy="1546860"/>
            <wp:effectExtent l="0" t="0" r="9525" b="1524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32"/>
                    <a:stretch>
                      <a:fillRect/>
                    </a:stretch>
                  </pic:blipFill>
                  <pic:spPr>
                    <a:xfrm>
                      <a:off x="0" y="0"/>
                      <a:ext cx="5267325" cy="1546860"/>
                    </a:xfrm>
                    <a:prstGeom prst="rect">
                      <a:avLst/>
                    </a:prstGeom>
                    <a:noFill/>
                    <a:ln>
                      <a:noFill/>
                    </a:ln>
                  </pic:spPr>
                </pic:pic>
              </a:graphicData>
            </a:graphic>
          </wp:inline>
        </w:drawing>
      </w:r>
    </w:p>
    <w:p>
      <w:pPr>
        <w:spacing w:line="360" w:lineRule="auto"/>
        <w:jc w:val="center"/>
        <w:rPr>
          <w:rFonts w:ascii="Times New Roman" w:hAnsi="Times New Roman" w:eastAsia="宋体" w:cs="Times New Roman"/>
          <w:smallCaps/>
          <w:color w:val="000000" w:themeColor="text1"/>
          <w:kern w:val="0"/>
          <w:sz w:val="28"/>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图3.6-2  配水间现状图</w:t>
      </w:r>
    </w:p>
    <w:p>
      <w:pPr>
        <w:pStyle w:val="5"/>
        <w:keepNext w:val="0"/>
        <w:keepLines w:val="0"/>
        <w:numPr>
          <w:ilvl w:val="2"/>
          <w:numId w:val="0"/>
        </w:numPr>
        <w:spacing w:line="360" w:lineRule="auto"/>
        <w:jc w:val="left"/>
        <w:textAlignment w:val="baseline"/>
        <w:rPr>
          <w:rFonts w:ascii="Times New Roman" w:hAnsi="Times New Roman" w:eastAsia="宋体" w:cs="Times New Roman"/>
          <w:b w:val="0"/>
          <w:bCs w:val="0"/>
          <w:smallCaps/>
          <w:color w:val="000000" w:themeColor="text1"/>
          <w:kern w:val="0"/>
          <w:sz w:val="28"/>
          <w14:textFill>
            <w14:solidFill>
              <w14:schemeClr w14:val="tx1"/>
            </w14:solidFill>
          </w14:textFill>
        </w:rPr>
      </w:pPr>
      <w:r>
        <w:rPr>
          <w:rFonts w:ascii="Times New Roman" w:hAnsi="Times New Roman" w:eastAsia="宋体" w:cs="Times New Roman"/>
          <w:b w:val="0"/>
          <w:bCs w:val="0"/>
          <w:smallCaps/>
          <w:color w:val="000000" w:themeColor="text1"/>
          <w:kern w:val="0"/>
          <w:sz w:val="28"/>
          <w14:textFill>
            <w14:solidFill>
              <w14:schemeClr w14:val="tx1"/>
            </w14:solidFill>
          </w14:textFill>
        </w:rPr>
        <w:t>3.6.1.5供配电现状</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9井区属于陆梁110kV变电站供电范围，陆梁110kV变电站主变容量2×25MVA，最大供电能力45MW，承担着陆梁作业区生产及生活供电，陆梁油田用电负荷逐年增加，目前变电站最大容量已达39.6MW，其中一二级负荷约33.6MW，单台主变无法接带本站全部用电负荷的问题，若变电站主变因故障或检修等原因退出运行时，只能按照单台主变容量限负荷运行从而造成区域性停电，对陆梁油田生产造成了严重影响。陆梁110kV变电站已不能满足本次新增负荷供电需求，需对陆梁110kV变电站进行增容扩建</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已组织开展扩建工作</w:t>
      </w:r>
      <w:r>
        <w:rPr>
          <w:rFonts w:ascii="Times New Roman" w:hAnsi="Times New Roman" w:cs="Times New Roman"/>
          <w:color w:val="000000" w:themeColor="text1"/>
          <w:sz w:val="24"/>
          <w14:textFill>
            <w14:solidFill>
              <w14:schemeClr w14:val="tx1"/>
            </w14:solidFill>
          </w14:textFill>
        </w:rPr>
        <w:t>。</w:t>
      </w:r>
    </w:p>
    <w:p>
      <w:pPr>
        <w:pStyle w:val="5"/>
        <w:keepNext w:val="0"/>
        <w:keepLines w:val="0"/>
        <w:numPr>
          <w:ilvl w:val="2"/>
          <w:numId w:val="0"/>
        </w:numPr>
        <w:spacing w:line="360" w:lineRule="auto"/>
        <w:jc w:val="left"/>
        <w:textAlignment w:val="baseline"/>
        <w:rPr>
          <w:rFonts w:ascii="Times New Roman" w:hAnsi="Times New Roman" w:eastAsia="宋体" w:cs="Times New Roman"/>
          <w:b w:val="0"/>
          <w:bCs w:val="0"/>
          <w:smallCaps/>
          <w:color w:val="000000" w:themeColor="text1"/>
          <w:kern w:val="0"/>
          <w:sz w:val="28"/>
          <w14:textFill>
            <w14:solidFill>
              <w14:schemeClr w14:val="tx1"/>
            </w14:solidFill>
          </w14:textFill>
        </w:rPr>
      </w:pPr>
      <w:r>
        <w:rPr>
          <w:rFonts w:ascii="Times New Roman" w:hAnsi="Times New Roman" w:eastAsia="宋体" w:cs="Times New Roman"/>
          <w:b w:val="0"/>
          <w:bCs w:val="0"/>
          <w:smallCaps/>
          <w:color w:val="000000" w:themeColor="text1"/>
          <w:kern w:val="0"/>
          <w:sz w:val="28"/>
          <w14:textFill>
            <w14:solidFill>
              <w14:schemeClr w14:val="tx1"/>
            </w14:solidFill>
          </w14:textFill>
        </w:rPr>
        <w:t>3.6.1.6自动化现状</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9井区陆24计量站已建50m通信塔，塔顶安装5.8GHz点对多点无线网桥汇聚基站（11套），实现油区360°覆盖；陆梁集中处理站已建35m通信塔，塔顶安装5.8GHz点对多点无线网桥汇聚基站（2套），实现油区360°覆盖；陆梁公寓已建90m通信塔，塔顶安装5.8GHz 点对多点无线网桥汇聚基站（6套），实现油区360°覆盖；单套无线网桥—AP汇聚设备最大接入终端数64个，天线增益满足传输距离不小于20km。各汇聚基站均通过5.8GHz点对点无线网桥将数据传输至陆梁作业区公寓已建SCADA系统。现有基站覆盖范围能够满足本次新增单井数据接入需求。</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陆梁油田作业区已建有数据采集与监视控制系统（即SCADA系统），采用“中心服务器+远程PLC/RTU”的系统架构，实现了集油区采油井、计量站等主要工艺生产数据的实时采集、显示、报警、控制、报表打印及历史数据存储、分析等功能，以及“远程监控，故障巡检”的自动化水平。目前，陆9井区自动化数据通过已建无线网桥传至陆梁作业区公寓已建SCADA系统实现集中管理。</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3.6.2现有工程环保手续情况</w:t>
      </w:r>
    </w:p>
    <w:p>
      <w:pPr>
        <w:pStyle w:val="61"/>
        <w:adjustRightInd w:val="0"/>
        <w:snapToGrid w:val="0"/>
        <w:spacing w:line="360" w:lineRule="auto"/>
        <w:ind w:firstLine="480"/>
        <w:jc w:val="left"/>
        <w:rPr>
          <w:rFonts w:ascii="Times New Roman" w:hAnsi="Times New Roman" w:cs="Times New Roman"/>
          <w:color w:val="000000" w:themeColor="text1"/>
          <w:kern w:val="2"/>
          <w:szCs w:val="24"/>
          <w:lang w:bidi="ar"/>
          <w14:textFill>
            <w14:solidFill>
              <w14:schemeClr w14:val="tx1"/>
            </w14:solidFill>
          </w14:textFill>
        </w:rPr>
      </w:pPr>
      <w:r>
        <w:rPr>
          <w:rFonts w:ascii="Times New Roman" w:hAnsi="Times New Roman" w:cs="Times New Roman"/>
          <w:color w:val="000000" w:themeColor="text1"/>
          <w:kern w:val="2"/>
          <w:szCs w:val="24"/>
          <w:lang w:bidi="ar"/>
          <w14:textFill>
            <w14:solidFill>
              <w14:schemeClr w14:val="tx1"/>
            </w14:solidFill>
          </w14:textFill>
        </w:rPr>
        <w:t>根据调查及资料统计，</w:t>
      </w:r>
      <w:r>
        <w:rPr>
          <w:rFonts w:hint="eastAsia" w:ascii="Times New Roman" w:hAnsi="Times New Roman" w:cs="Times New Roman"/>
          <w:color w:val="000000" w:themeColor="text1"/>
          <w:kern w:val="2"/>
          <w:szCs w:val="24"/>
          <w:lang w:bidi="ar"/>
          <w14:textFill>
            <w14:solidFill>
              <w14:schemeClr w14:val="tx1"/>
            </w14:solidFill>
          </w14:textFill>
        </w:rPr>
        <w:t>陆9井区</w:t>
      </w:r>
      <w:r>
        <w:rPr>
          <w:rFonts w:ascii="Times New Roman" w:hAnsi="Times New Roman" w:cs="Times New Roman"/>
          <w:color w:val="000000" w:themeColor="text1"/>
          <w:kern w:val="2"/>
          <w:szCs w:val="24"/>
          <w:lang w:bidi="ar"/>
          <w14:textFill>
            <w14:solidFill>
              <w14:schemeClr w14:val="tx1"/>
            </w14:solidFill>
          </w14:textFill>
        </w:rPr>
        <w:t>已开展了环境影响评价工作，目前区块现有环评手续和验收情况见表3.6-</w:t>
      </w:r>
      <w:r>
        <w:rPr>
          <w:rFonts w:hint="eastAsia" w:ascii="Times New Roman" w:hAnsi="Times New Roman" w:cs="Times New Roman"/>
          <w:color w:val="000000" w:themeColor="text1"/>
          <w:kern w:val="2"/>
          <w:szCs w:val="24"/>
          <w:lang w:bidi="ar"/>
          <w14:textFill>
            <w14:solidFill>
              <w14:schemeClr w14:val="tx1"/>
            </w14:solidFill>
          </w14:textFill>
        </w:rPr>
        <w:t>4</w:t>
      </w:r>
      <w:r>
        <w:rPr>
          <w:rFonts w:ascii="Times New Roman" w:hAnsi="Times New Roman" w:cs="Times New Roman"/>
          <w:color w:val="000000" w:themeColor="text1"/>
          <w:kern w:val="2"/>
          <w:szCs w:val="24"/>
          <w:lang w:bidi="ar"/>
          <w14:textFill>
            <w14:solidFill>
              <w14:schemeClr w14:val="tx1"/>
            </w14:solidFill>
          </w14:textFill>
        </w:rPr>
        <w:t>。</w:t>
      </w:r>
    </w:p>
    <w:p>
      <w:pPr>
        <w:adjustRightInd w:val="0"/>
        <w:snapToGrid w:val="0"/>
        <w:spacing w:after="156" w:afterLines="50"/>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表3.6-</w:t>
      </w:r>
      <w:r>
        <w:rPr>
          <w:rFonts w:hint="eastAsia" w:ascii="Times New Roman" w:hAnsi="Times New Roman" w:eastAsia="宋体" w:cs="Times New Roman"/>
          <w:b/>
          <w:bCs/>
          <w:color w:val="000000" w:themeColor="text1"/>
          <w:szCs w:val="21"/>
          <w14:textFill>
            <w14:solidFill>
              <w14:schemeClr w14:val="tx1"/>
            </w14:solidFill>
          </w14:textFill>
        </w:rPr>
        <w:t>4</w:t>
      </w:r>
      <w:r>
        <w:rPr>
          <w:rFonts w:ascii="Times New Roman" w:hAnsi="Times New Roman" w:eastAsia="宋体" w:cs="Times New Roman"/>
          <w:b/>
          <w:bCs/>
          <w:color w:val="000000" w:themeColor="text1"/>
          <w:szCs w:val="21"/>
          <w14:textFill>
            <w14:solidFill>
              <w14:schemeClr w14:val="tx1"/>
            </w14:solidFill>
          </w14:textFill>
        </w:rPr>
        <w:t xml:space="preserve">  项目环保手续履行情况表</w:t>
      </w:r>
    </w:p>
    <w:tbl>
      <w:tblPr>
        <w:tblStyle w:val="23"/>
        <w:tblW w:w="83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510"/>
        <w:gridCol w:w="1735"/>
        <w:gridCol w:w="595"/>
        <w:gridCol w:w="1051"/>
        <w:gridCol w:w="1926"/>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9" w:type="dxa"/>
            <w:tcMar>
              <w:left w:w="0" w:type="dxa"/>
              <w:right w:w="0" w:type="dxa"/>
            </w:tcMar>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ascii="Times New Roman" w:hAnsi="Times New Roman" w:cs="Times New Roman"/>
                <w:bCs/>
                <w:color w:val="000000" w:themeColor="text1"/>
                <w:kern w:val="2"/>
                <w:sz w:val="21"/>
                <w:szCs w:val="21"/>
                <w:lang w:val="en-US"/>
                <w14:textFill>
                  <w14:solidFill>
                    <w14:schemeClr w14:val="tx1"/>
                  </w14:solidFill>
                </w14:textFill>
              </w:rPr>
              <w:t>序号</w:t>
            </w:r>
          </w:p>
        </w:tc>
        <w:tc>
          <w:tcPr>
            <w:tcW w:w="1510" w:type="dxa"/>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ascii="Times New Roman" w:hAnsi="Times New Roman" w:cs="Times New Roman"/>
                <w:bCs/>
                <w:color w:val="000000" w:themeColor="text1"/>
                <w:kern w:val="2"/>
                <w:sz w:val="21"/>
                <w:szCs w:val="21"/>
                <w:lang w:val="en-US"/>
                <w14:textFill>
                  <w14:solidFill>
                    <w14:schemeClr w14:val="tx1"/>
                  </w14:solidFill>
                </w14:textFill>
              </w:rPr>
              <w:t>工程名称</w:t>
            </w:r>
          </w:p>
        </w:tc>
        <w:tc>
          <w:tcPr>
            <w:tcW w:w="1735" w:type="dxa"/>
            <w:tcMar>
              <w:left w:w="0" w:type="dxa"/>
              <w:right w:w="0" w:type="dxa"/>
            </w:tcMar>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ascii="Times New Roman" w:hAnsi="Times New Roman" w:cs="Times New Roman"/>
                <w:bCs/>
                <w:color w:val="000000" w:themeColor="text1"/>
                <w:kern w:val="2"/>
                <w:sz w:val="21"/>
                <w:szCs w:val="21"/>
                <w:lang w:val="en-US"/>
                <w14:textFill>
                  <w14:solidFill>
                    <w14:schemeClr w14:val="tx1"/>
                  </w14:solidFill>
                </w14:textFill>
              </w:rPr>
              <w:t>主要建设内容</w:t>
            </w:r>
          </w:p>
        </w:tc>
        <w:tc>
          <w:tcPr>
            <w:tcW w:w="595" w:type="dxa"/>
            <w:tcMar>
              <w:left w:w="0" w:type="dxa"/>
              <w:right w:w="0" w:type="dxa"/>
            </w:tcMar>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ascii="Times New Roman" w:hAnsi="Times New Roman" w:cs="Times New Roman"/>
                <w:bCs/>
                <w:color w:val="000000" w:themeColor="text1"/>
                <w:kern w:val="2"/>
                <w:sz w:val="21"/>
                <w:szCs w:val="21"/>
                <w:lang w:val="en-US"/>
                <w14:textFill>
                  <w14:solidFill>
                    <w14:schemeClr w14:val="tx1"/>
                  </w14:solidFill>
                </w14:textFill>
              </w:rPr>
              <w:t>环评类别</w:t>
            </w:r>
          </w:p>
        </w:tc>
        <w:tc>
          <w:tcPr>
            <w:tcW w:w="1051" w:type="dxa"/>
            <w:tcMar>
              <w:left w:w="0" w:type="dxa"/>
              <w:right w:w="0" w:type="dxa"/>
            </w:tcMar>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ascii="Times New Roman" w:hAnsi="Times New Roman" w:cs="Times New Roman"/>
                <w:bCs/>
                <w:color w:val="000000" w:themeColor="text1"/>
                <w:kern w:val="2"/>
                <w:sz w:val="21"/>
                <w:szCs w:val="21"/>
                <w:lang w:val="en-US"/>
                <w14:textFill>
                  <w14:solidFill>
                    <w14:schemeClr w14:val="tx1"/>
                  </w14:solidFill>
                </w14:textFill>
              </w:rPr>
              <w:t>环评批复机关、文号</w:t>
            </w:r>
          </w:p>
        </w:tc>
        <w:tc>
          <w:tcPr>
            <w:tcW w:w="1926" w:type="dxa"/>
            <w:tcMar>
              <w:left w:w="0" w:type="dxa"/>
              <w:right w:w="0" w:type="dxa"/>
            </w:tcMar>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ascii="Times New Roman" w:hAnsi="Times New Roman" w:cs="Times New Roman"/>
                <w:bCs/>
                <w:color w:val="000000" w:themeColor="text1"/>
                <w:kern w:val="2"/>
                <w:sz w:val="21"/>
                <w:szCs w:val="21"/>
                <w:lang w:val="en-US"/>
                <w14:textFill>
                  <w14:solidFill>
                    <w14:schemeClr w14:val="tx1"/>
                  </w14:solidFill>
                </w14:textFill>
              </w:rPr>
              <w:t>项目实施情况</w:t>
            </w:r>
          </w:p>
        </w:tc>
        <w:tc>
          <w:tcPr>
            <w:tcW w:w="1135" w:type="dxa"/>
            <w:tcMar>
              <w:left w:w="0" w:type="dxa"/>
              <w:right w:w="0" w:type="dxa"/>
            </w:tcMar>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ascii="Times New Roman" w:hAnsi="Times New Roman" w:cs="Times New Roman"/>
                <w:bCs/>
                <w:color w:val="000000" w:themeColor="text1"/>
                <w:kern w:val="2"/>
                <w:sz w:val="21"/>
                <w:szCs w:val="21"/>
                <w:lang w:val="en-US"/>
                <w14:textFill>
                  <w14:solidFill>
                    <w14:schemeClr w14:val="tx1"/>
                  </w14:solidFill>
                </w14:textFill>
              </w:rPr>
              <w:t>环保竣工验收批复机关、文号及时间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9" w:type="dxa"/>
            <w:tcMar>
              <w:left w:w="0" w:type="dxa"/>
              <w:right w:w="0" w:type="dxa"/>
            </w:tcMar>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hint="eastAsia" w:ascii="Times New Roman" w:hAnsi="Times New Roman" w:cs="Times New Roman"/>
                <w:b w:val="0"/>
                <w:color w:val="000000" w:themeColor="text1"/>
                <w:kern w:val="2"/>
                <w:sz w:val="21"/>
                <w:szCs w:val="21"/>
                <w:lang w:val="en-US"/>
                <w14:textFill>
                  <w14:solidFill>
                    <w14:schemeClr w14:val="tx1"/>
                  </w14:solidFill>
                </w14:textFill>
              </w:rPr>
              <w:t>1</w:t>
            </w:r>
          </w:p>
        </w:tc>
        <w:tc>
          <w:tcPr>
            <w:tcW w:w="1510" w:type="dxa"/>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hint="eastAsia" w:ascii="Times New Roman" w:hAnsi="Times New Roman" w:cs="Times New Roman"/>
                <w:b w:val="0"/>
                <w:color w:val="000000" w:themeColor="text1"/>
                <w:kern w:val="2"/>
                <w:sz w:val="21"/>
                <w:szCs w:val="21"/>
                <w:lang w:val="en-US"/>
                <w14:textFill>
                  <w14:solidFill>
                    <w14:schemeClr w14:val="tx1"/>
                  </w14:solidFill>
                </w14:textFill>
              </w:rPr>
              <w:t>中国石油新疆油田分公司陆梁油田开发建设项目环境影响报告书</w:t>
            </w:r>
          </w:p>
        </w:tc>
        <w:tc>
          <w:tcPr>
            <w:tcW w:w="173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hint="eastAsia" w:ascii="Times New Roman" w:hAnsi="Times New Roman" w:cs="Times New Roman"/>
                <w:b w:val="0"/>
                <w:color w:val="000000" w:themeColor="text1"/>
                <w:kern w:val="2"/>
                <w:sz w:val="21"/>
                <w:szCs w:val="21"/>
                <w:lang w:val="en-US"/>
                <w14:textFill>
                  <w14:solidFill>
                    <w14:schemeClr w14:val="tx1"/>
                  </w14:solidFill>
                </w14:textFill>
              </w:rPr>
              <w:t>新钻开发井266口（其中采油井200口，注水井66口），新建24</w:t>
            </w:r>
            <w:r>
              <w:rPr>
                <w:rFonts w:ascii="Arial" w:hAnsi="Arial" w:cs="Arial"/>
                <w:b w:val="0"/>
                <w:color w:val="000000" w:themeColor="text1"/>
                <w:kern w:val="2"/>
                <w:sz w:val="21"/>
                <w:szCs w:val="21"/>
                <w:lang w:val="en-US"/>
                <w14:textFill>
                  <w14:solidFill>
                    <w14:schemeClr w14:val="tx1"/>
                  </w14:solidFill>
                </w14:textFill>
              </w:rPr>
              <w:t>×</w:t>
            </w:r>
            <w:r>
              <w:rPr>
                <w:rFonts w:hint="eastAsia" w:ascii="Times New Roman" w:hAnsi="Times New Roman" w:cs="Times New Roman"/>
                <w:b w:val="0"/>
                <w:color w:val="000000" w:themeColor="text1"/>
                <w:kern w:val="2"/>
                <w:sz w:val="21"/>
                <w:szCs w:val="21"/>
                <w:lang w:val="en-US"/>
                <w14:textFill>
                  <w14:solidFill>
                    <w14:schemeClr w14:val="tx1"/>
                  </w14:solidFill>
                </w14:textFill>
              </w:rPr>
              <w:t>8井式采注计量站12座，采油井口装置213座，120</w:t>
            </w:r>
            <w:r>
              <w:rPr>
                <w:rFonts w:ascii="Arial" w:hAnsi="Arial" w:cs="Arial"/>
                <w:b w:val="0"/>
                <w:color w:val="000000" w:themeColor="text1"/>
                <w:kern w:val="2"/>
                <w:sz w:val="21"/>
                <w:szCs w:val="21"/>
                <w:lang w:val="en-US"/>
                <w14:textFill>
                  <w14:solidFill>
                    <w14:schemeClr w14:val="tx1"/>
                  </w14:solidFill>
                </w14:textFill>
              </w:rPr>
              <w:t>×</w:t>
            </w:r>
            <w:r>
              <w:rPr>
                <w:rFonts w:hint="eastAsia" w:ascii="Times New Roman" w:hAnsi="Times New Roman" w:cs="Times New Roman"/>
                <w:b w:val="0"/>
                <w:color w:val="000000" w:themeColor="text1"/>
                <w:kern w:val="2"/>
                <w:sz w:val="21"/>
                <w:szCs w:val="21"/>
                <w:lang w:val="en-US"/>
                <w14:textFill>
                  <w14:solidFill>
                    <w14:schemeClr w14:val="tx1"/>
                  </w14:solidFill>
                </w14:textFill>
              </w:rPr>
              <w:t>10</w:t>
            </w:r>
            <w:r>
              <w:rPr>
                <w:rFonts w:hint="eastAsia" w:ascii="Times New Roman" w:hAnsi="Times New Roman" w:cs="Times New Roman"/>
                <w:b w:val="0"/>
                <w:color w:val="000000" w:themeColor="text1"/>
                <w:kern w:val="2"/>
                <w:sz w:val="21"/>
                <w:szCs w:val="21"/>
                <w:vertAlign w:val="superscript"/>
                <w:lang w:val="en-US"/>
                <w14:textFill>
                  <w14:solidFill>
                    <w14:schemeClr w14:val="tx1"/>
                  </w14:solidFill>
                </w14:textFill>
              </w:rPr>
              <w:t>4</w:t>
            </w:r>
            <w:r>
              <w:rPr>
                <w:rFonts w:hint="eastAsia" w:ascii="Times New Roman" w:hAnsi="Times New Roman" w:cs="Times New Roman"/>
                <w:b w:val="0"/>
                <w:color w:val="000000" w:themeColor="text1"/>
                <w:kern w:val="2"/>
                <w:sz w:val="21"/>
                <w:szCs w:val="21"/>
                <w:lang w:val="en-US"/>
                <w14:textFill>
                  <w14:solidFill>
                    <w14:schemeClr w14:val="tx1"/>
                  </w14:solidFill>
                </w14:textFill>
              </w:rPr>
              <w:t>t/a原油处理系统和集输系统及配套设施。</w:t>
            </w:r>
          </w:p>
        </w:tc>
        <w:tc>
          <w:tcPr>
            <w:tcW w:w="59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hint="eastAsia" w:ascii="Times New Roman" w:hAnsi="Times New Roman" w:cs="Times New Roman"/>
                <w:b w:val="0"/>
                <w:color w:val="000000" w:themeColor="text1"/>
                <w:kern w:val="2"/>
                <w:sz w:val="21"/>
                <w:szCs w:val="21"/>
                <w:lang w:val="en-US"/>
                <w14:textFill>
                  <w14:solidFill>
                    <w14:schemeClr w14:val="tx1"/>
                  </w14:solidFill>
                </w14:textFill>
              </w:rPr>
              <w:t>报告书</w:t>
            </w:r>
          </w:p>
        </w:tc>
        <w:tc>
          <w:tcPr>
            <w:tcW w:w="1051" w:type="dxa"/>
            <w:tcMar>
              <w:left w:w="0" w:type="dxa"/>
              <w:right w:w="0" w:type="dxa"/>
            </w:tcMar>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hint="eastAsia" w:ascii="Times New Roman" w:hAnsi="Times New Roman" w:cs="Times New Roman"/>
                <w:b w:val="0"/>
                <w:color w:val="000000" w:themeColor="text1"/>
                <w:kern w:val="2"/>
                <w:sz w:val="21"/>
                <w:szCs w:val="21"/>
                <w:lang w:val="en-US"/>
                <w14:textFill>
                  <w14:solidFill>
                    <w14:schemeClr w14:val="tx1"/>
                  </w14:solidFill>
                </w14:textFill>
              </w:rPr>
              <w:t>环审</w:t>
            </w:r>
            <w:r>
              <w:rPr>
                <w:rFonts w:ascii="Times New Roman" w:hAnsi="Times New Roman" w:eastAsia="宋体" w:cs="Times New Roman"/>
                <w:b w:val="0"/>
                <w:color w:val="000000" w:themeColor="text1"/>
                <w:sz w:val="21"/>
                <w:szCs w:val="21"/>
                <w14:textFill>
                  <w14:solidFill>
                    <w14:schemeClr w14:val="tx1"/>
                  </w14:solidFill>
                </w14:textFill>
              </w:rPr>
              <w:t>〔</w:t>
            </w:r>
            <w:r>
              <w:rPr>
                <w:rFonts w:hint="eastAsia" w:ascii="Times New Roman" w:hAnsi="Times New Roman" w:eastAsia="宋体" w:cs="Times New Roman"/>
                <w:b w:val="0"/>
                <w:color w:val="000000" w:themeColor="text1"/>
                <w:sz w:val="21"/>
                <w:szCs w:val="21"/>
                <w:lang w:val="en-US"/>
                <w14:textFill>
                  <w14:solidFill>
                    <w14:schemeClr w14:val="tx1"/>
                  </w14:solidFill>
                </w14:textFill>
              </w:rPr>
              <w:t>2003</w:t>
            </w:r>
            <w:r>
              <w:rPr>
                <w:rFonts w:ascii="Times New Roman" w:hAnsi="Times New Roman" w:eastAsia="宋体" w:cs="Times New Roman"/>
                <w:b w:val="0"/>
                <w:color w:val="000000" w:themeColor="text1"/>
                <w:sz w:val="21"/>
                <w:szCs w:val="21"/>
                <w14:textFill>
                  <w14:solidFill>
                    <w14:schemeClr w14:val="tx1"/>
                  </w14:solidFill>
                </w14:textFill>
              </w:rPr>
              <w:t>〕</w:t>
            </w:r>
            <w:r>
              <w:rPr>
                <w:rFonts w:hint="eastAsia" w:ascii="Times New Roman" w:hAnsi="Times New Roman" w:eastAsia="宋体" w:cs="Times New Roman"/>
                <w:b w:val="0"/>
                <w:color w:val="000000" w:themeColor="text1"/>
                <w:sz w:val="21"/>
                <w:szCs w:val="21"/>
                <w:lang w:val="en-US"/>
                <w14:textFill>
                  <w14:solidFill>
                    <w14:schemeClr w14:val="tx1"/>
                  </w14:solidFill>
                </w14:textFill>
              </w:rPr>
              <w:t>69</w:t>
            </w:r>
            <w:r>
              <w:rPr>
                <w:rFonts w:ascii="Times New Roman" w:hAnsi="Times New Roman" w:cs="Times New Roman"/>
                <w:b w:val="0"/>
                <w:color w:val="000000" w:themeColor="text1"/>
                <w:sz w:val="21"/>
                <w:szCs w:val="21"/>
                <w14:textFill>
                  <w14:solidFill>
                    <w14:schemeClr w14:val="tx1"/>
                  </w14:solidFill>
                </w14:textFill>
              </w:rPr>
              <w:t>号</w:t>
            </w:r>
          </w:p>
        </w:tc>
        <w:tc>
          <w:tcPr>
            <w:tcW w:w="1926" w:type="dxa"/>
            <w:tcMar>
              <w:left w:w="0" w:type="dxa"/>
              <w:right w:w="0" w:type="dxa"/>
            </w:tcMar>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油井总数434口（新钻井415口，老井利用19口），其中采油井324口、注水井110口。水源井6口，</w:t>
            </w:r>
            <w:r>
              <w:rPr>
                <w:rFonts w:ascii="Times New Roman" w:hAnsi="Times New Roman" w:cs="Times New Roman"/>
                <w:b w:val="0"/>
                <w:color w:val="000000" w:themeColor="text1"/>
                <w:sz w:val="21"/>
                <w:szCs w:val="21"/>
                <w14:textFill>
                  <w14:solidFill>
                    <w14:schemeClr w14:val="tx1"/>
                  </w14:solidFill>
                </w14:textFill>
              </w:rPr>
              <w:t>采注计量站23座，原油处理站1座，规模为120万t/a，</w:t>
            </w:r>
            <w:r>
              <w:rPr>
                <w:rFonts w:ascii="Times New Roman" w:hAnsi="Times New Roman" w:cs="Times New Roman"/>
                <w:b w:val="0"/>
                <w:color w:val="000000" w:themeColor="text1"/>
                <w:sz w:val="21"/>
                <w:szCs w:val="21"/>
                <w:lang w:val="en-US"/>
                <w14:textFill>
                  <w14:solidFill>
                    <w14:schemeClr w14:val="tx1"/>
                  </w14:solidFill>
                </w14:textFill>
              </w:rPr>
              <w:t>以及集输系统和配套设施</w:t>
            </w:r>
            <w:r>
              <w:rPr>
                <w:rFonts w:hint="eastAsia" w:ascii="Times New Roman" w:hAnsi="Times New Roman" w:cs="Times New Roman"/>
                <w:b w:val="0"/>
                <w:color w:val="000000" w:themeColor="text1"/>
                <w:sz w:val="21"/>
                <w:szCs w:val="21"/>
                <w:lang w:val="en-US"/>
                <w14:textFill>
                  <w14:solidFill>
                    <w14:schemeClr w14:val="tx1"/>
                  </w14:solidFill>
                </w14:textFill>
              </w:rPr>
              <w:t>。</w:t>
            </w:r>
          </w:p>
        </w:tc>
        <w:tc>
          <w:tcPr>
            <w:tcW w:w="1135" w:type="dxa"/>
            <w:tcMar>
              <w:left w:w="0" w:type="dxa"/>
              <w:right w:w="0" w:type="dxa"/>
            </w:tcMar>
            <w:vAlign w:val="center"/>
          </w:tcPr>
          <w:p>
            <w:pPr>
              <w:pStyle w:val="39"/>
              <w:jc w:val="center"/>
              <w:rPr>
                <w:rFonts w:ascii="Times New Roman" w:hAnsi="Times New Roman" w:cs="Times New Roman"/>
                <w:bCs/>
                <w:color w:val="000000" w:themeColor="text1"/>
                <w:kern w:val="2"/>
                <w:sz w:val="21"/>
                <w:szCs w:val="21"/>
                <w:lang w:val="en-US"/>
                <w14:textFill>
                  <w14:solidFill>
                    <w14:schemeClr w14:val="tx1"/>
                  </w14:solidFill>
                </w14:textFill>
              </w:rPr>
            </w:pPr>
            <w:r>
              <w:rPr>
                <w:rFonts w:hint="eastAsia" w:ascii="Times New Roman" w:hAnsi="Times New Roman" w:cs="Times New Roman"/>
                <w:b w:val="0"/>
                <w:color w:val="000000" w:themeColor="text1"/>
                <w:kern w:val="2"/>
                <w:sz w:val="21"/>
                <w:szCs w:val="21"/>
                <w:lang w:val="en-US"/>
                <w14:textFill>
                  <w14:solidFill>
                    <w14:schemeClr w14:val="tx1"/>
                  </w14:solidFill>
                </w14:textFill>
              </w:rPr>
              <w:t>2004年11月28日通过原国家环保总局验收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9"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2</w:t>
            </w:r>
          </w:p>
        </w:tc>
        <w:tc>
          <w:tcPr>
            <w:tcW w:w="1510" w:type="dxa"/>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关于中国石油新疆油田分公司陆梁油田作业区环境影响后评价</w:t>
            </w:r>
          </w:p>
        </w:tc>
        <w:tc>
          <w:tcPr>
            <w:tcW w:w="1735"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w:t>
            </w:r>
          </w:p>
        </w:tc>
        <w:tc>
          <w:tcPr>
            <w:tcW w:w="595"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后评价</w:t>
            </w:r>
          </w:p>
        </w:tc>
        <w:tc>
          <w:tcPr>
            <w:tcW w:w="1051" w:type="dxa"/>
            <w:tcMar>
              <w:left w:w="0" w:type="dxa"/>
              <w:right w:w="0" w:type="dxa"/>
            </w:tcMar>
            <w:vAlign w:val="center"/>
          </w:tcPr>
          <w:p>
            <w:pPr>
              <w:pStyle w:val="17"/>
              <w:rPr>
                <w:rFonts w:ascii="Times New Roman" w:hAnsi="Times New Roman" w:cs="Times New Roman"/>
                <w:bCs w:val="0"/>
                <w:color w:val="000000" w:themeColor="text1"/>
                <w:kern w:val="2"/>
                <w:szCs w:val="21"/>
                <w14:textFill>
                  <w14:solidFill>
                    <w14:schemeClr w14:val="tx1"/>
                  </w14:solidFill>
                </w14:textFill>
              </w:rPr>
            </w:pPr>
            <w:r>
              <w:rPr>
                <w:rFonts w:ascii="Times New Roman" w:hAnsi="Times New Roman" w:cs="Times New Roman"/>
                <w:bCs w:val="0"/>
                <w:color w:val="000000" w:themeColor="text1"/>
                <w:szCs w:val="21"/>
                <w14:textFill>
                  <w14:solidFill>
                    <w14:schemeClr w14:val="tx1"/>
                  </w14:solidFill>
                </w14:textFill>
              </w:rPr>
              <w:t>自治区环保厅新环评价函</w:t>
            </w:r>
            <w:r>
              <w:rPr>
                <w:rFonts w:ascii="Times New Roman" w:hAnsi="Times New Roman" w:eastAsia="宋体" w:cs="Times New Roman"/>
                <w:bCs w:val="0"/>
                <w:color w:val="000000" w:themeColor="text1"/>
                <w:szCs w:val="21"/>
                <w14:textFill>
                  <w14:solidFill>
                    <w14:schemeClr w14:val="tx1"/>
                  </w14:solidFill>
                </w14:textFill>
              </w:rPr>
              <w:t>〔2011〕</w:t>
            </w:r>
            <w:r>
              <w:rPr>
                <w:rFonts w:ascii="Times New Roman" w:hAnsi="Times New Roman" w:cs="Times New Roman"/>
                <w:bCs w:val="0"/>
                <w:color w:val="000000" w:themeColor="text1"/>
                <w:szCs w:val="21"/>
                <w14:textFill>
                  <w14:solidFill>
                    <w14:schemeClr w14:val="tx1"/>
                  </w14:solidFill>
                </w14:textFill>
              </w:rPr>
              <w:t>1120号</w:t>
            </w:r>
          </w:p>
        </w:tc>
        <w:tc>
          <w:tcPr>
            <w:tcW w:w="1926"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w:t>
            </w:r>
          </w:p>
        </w:tc>
        <w:tc>
          <w:tcPr>
            <w:tcW w:w="1135"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9"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3</w:t>
            </w:r>
          </w:p>
        </w:tc>
        <w:tc>
          <w:tcPr>
            <w:tcW w:w="1510" w:type="dxa"/>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陆梁油田陆9井区西山窑组油藏2016年产能建设工程</w:t>
            </w:r>
          </w:p>
        </w:tc>
        <w:tc>
          <w:tcPr>
            <w:tcW w:w="1735"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部署开发井126口，其中新钻采油井86口，新钻注水井40口，均为直井，总钻井进尺27.1×10</w:t>
            </w:r>
            <w:r>
              <w:rPr>
                <w:rFonts w:ascii="Times New Roman" w:hAnsi="Times New Roman" w:cs="Times New Roman"/>
                <w:b w:val="0"/>
                <w:color w:val="000000" w:themeColor="text1"/>
                <w:kern w:val="2"/>
                <w:sz w:val="21"/>
                <w:szCs w:val="21"/>
                <w:vertAlign w:val="superscript"/>
                <w:lang w:val="en-US"/>
                <w14:textFill>
                  <w14:solidFill>
                    <w14:schemeClr w14:val="tx1"/>
                  </w14:solidFill>
                </w14:textFill>
              </w:rPr>
              <w:t>4</w:t>
            </w:r>
            <w:r>
              <w:rPr>
                <w:rFonts w:hint="eastAsia" w:ascii="Times New Roman" w:hAnsi="Times New Roman" w:cs="Times New Roman"/>
                <w:b w:val="0"/>
                <w:color w:val="000000" w:themeColor="text1"/>
                <w:kern w:val="2"/>
                <w:sz w:val="21"/>
                <w:szCs w:val="21"/>
                <w:lang w:val="en-US"/>
                <w14:textFill>
                  <w14:solidFill>
                    <w14:schemeClr w14:val="tx1"/>
                  </w14:solidFill>
                </w14:textFill>
              </w:rPr>
              <w:t>m</w:t>
            </w:r>
            <w:r>
              <w:rPr>
                <w:rFonts w:ascii="Times New Roman" w:hAnsi="Times New Roman" w:cs="Times New Roman"/>
                <w:b w:val="0"/>
                <w:color w:val="000000" w:themeColor="text1"/>
                <w:kern w:val="2"/>
                <w:sz w:val="21"/>
                <w:szCs w:val="21"/>
                <w:lang w:val="en-US"/>
                <w14:textFill>
                  <w14:solidFill>
                    <w14:schemeClr w14:val="tx1"/>
                  </w14:solidFill>
                </w14:textFill>
              </w:rPr>
              <w:t>，新建产能12.9×10</w:t>
            </w:r>
            <w:r>
              <w:rPr>
                <w:rFonts w:ascii="Times New Roman" w:hAnsi="Times New Roman" w:cs="Times New Roman"/>
                <w:b w:val="0"/>
                <w:color w:val="000000" w:themeColor="text1"/>
                <w:kern w:val="2"/>
                <w:sz w:val="21"/>
                <w:szCs w:val="21"/>
                <w:vertAlign w:val="superscript"/>
                <w:lang w:val="en-US"/>
                <w14:textFill>
                  <w14:solidFill>
                    <w14:schemeClr w14:val="tx1"/>
                  </w14:solidFill>
                </w14:textFill>
              </w:rPr>
              <w:t>4</w:t>
            </w:r>
            <w:r>
              <w:rPr>
                <w:rFonts w:ascii="Times New Roman" w:hAnsi="Times New Roman" w:cs="Times New Roman"/>
                <w:b w:val="0"/>
                <w:color w:val="000000" w:themeColor="text1"/>
                <w:kern w:val="2"/>
                <w:sz w:val="21"/>
                <w:szCs w:val="21"/>
                <w:lang w:val="en-US"/>
                <w14:textFill>
                  <w14:solidFill>
                    <w14:schemeClr w14:val="tx1"/>
                  </w14:solidFill>
                </w14:textFill>
              </w:rPr>
              <w:t>t/a；新建直井采油井井口装置86座，新建11井式标准化计量站6座，新建6井式16兆帕自动恒流配水撬9座，新建井口管线37km，集油支线3km，注水单井管线20km，注水支线4.2km，简易砂石路2.7km，配套建设工艺管线、阀件及供配电等系统工程。</w:t>
            </w:r>
          </w:p>
        </w:tc>
        <w:tc>
          <w:tcPr>
            <w:tcW w:w="595"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报告书</w:t>
            </w:r>
          </w:p>
        </w:tc>
        <w:tc>
          <w:tcPr>
            <w:tcW w:w="1051"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新环函</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ascii="Times New Roman" w:hAnsi="Times New Roman" w:cs="Times New Roman"/>
                <w:b w:val="0"/>
                <w:color w:val="000000" w:themeColor="text1"/>
                <w:kern w:val="2"/>
                <w:sz w:val="21"/>
                <w:szCs w:val="21"/>
                <w:lang w:val="en-US"/>
                <w14:textFill>
                  <w14:solidFill>
                    <w14:schemeClr w14:val="tx1"/>
                  </w14:solidFill>
                </w14:textFill>
              </w:rPr>
              <w:t>2016</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ascii="Times New Roman" w:hAnsi="Times New Roman" w:cs="Times New Roman"/>
                <w:b w:val="0"/>
                <w:color w:val="000000" w:themeColor="text1"/>
                <w:kern w:val="2"/>
                <w:sz w:val="21"/>
                <w:szCs w:val="21"/>
                <w:lang w:val="en-US"/>
                <w14:textFill>
                  <w14:solidFill>
                    <w14:schemeClr w14:val="tx1"/>
                  </w14:solidFill>
                </w14:textFill>
              </w:rPr>
              <w:t>627号</w:t>
            </w:r>
          </w:p>
        </w:tc>
        <w:tc>
          <w:tcPr>
            <w:tcW w:w="1926"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已实施33口采油井、14口注水井、1座计量站、1座配水撬以及配套工程。</w:t>
            </w:r>
          </w:p>
        </w:tc>
        <w:tc>
          <w:tcPr>
            <w:tcW w:w="1135"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hint="eastAsia" w:ascii="Times New Roman" w:hAnsi="Times New Roman" w:cs="Times New Roman"/>
                <w:b w:val="0"/>
                <w:color w:val="000000" w:themeColor="text1"/>
                <w:kern w:val="2"/>
                <w:sz w:val="21"/>
                <w:szCs w:val="21"/>
                <w:lang w:val="en-US"/>
                <w14:textFill>
                  <w14:solidFill>
                    <w14:schemeClr w14:val="tx1"/>
                  </w14:solidFill>
                </w14:textFill>
              </w:rPr>
              <w:t>截至</w:t>
            </w:r>
            <w:r>
              <w:rPr>
                <w:rFonts w:ascii="Times New Roman" w:hAnsi="Times New Roman" w:cs="Times New Roman"/>
                <w:b w:val="0"/>
                <w:color w:val="000000" w:themeColor="text1"/>
                <w:kern w:val="2"/>
                <w:sz w:val="21"/>
                <w:szCs w:val="21"/>
                <w:lang w:val="en-US"/>
                <w14:textFill>
                  <w14:solidFill>
                    <w14:schemeClr w14:val="tx1"/>
                  </w14:solidFill>
                </w14:textFill>
              </w:rPr>
              <w:t>2023年5月25日，已通过企业第四批自主验收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9"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4</w:t>
            </w:r>
          </w:p>
        </w:tc>
        <w:tc>
          <w:tcPr>
            <w:tcW w:w="1510" w:type="dxa"/>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中国石油新疆油田分公司陆梁油田陆9井区呼图壁河组油藏2017年开发建设工程</w:t>
            </w:r>
          </w:p>
        </w:tc>
        <w:tc>
          <w:tcPr>
            <w:tcW w:w="173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部署开发井31口，新建产能2.16×10</w:t>
            </w:r>
            <w:r>
              <w:rPr>
                <w:rFonts w:ascii="Times New Roman" w:hAnsi="Times New Roman" w:cs="Times New Roman"/>
                <w:b w:val="0"/>
                <w:color w:val="000000" w:themeColor="text1"/>
                <w:kern w:val="2"/>
                <w:sz w:val="21"/>
                <w:szCs w:val="21"/>
                <w:vertAlign w:val="superscript"/>
                <w:lang w:val="en-US"/>
                <w14:textFill>
                  <w14:solidFill>
                    <w14:schemeClr w14:val="tx1"/>
                  </w14:solidFill>
                </w14:textFill>
              </w:rPr>
              <w:t>4</w:t>
            </w:r>
            <w:r>
              <w:rPr>
                <w:rFonts w:ascii="Times New Roman" w:hAnsi="Times New Roman" w:cs="Times New Roman"/>
                <w:b w:val="0"/>
                <w:color w:val="000000" w:themeColor="text1"/>
                <w:kern w:val="2"/>
                <w:sz w:val="21"/>
                <w:szCs w:val="21"/>
                <w:lang w:val="en-US"/>
                <w14:textFill>
                  <w14:solidFill>
                    <w14:schemeClr w14:val="tx1"/>
                  </w14:solidFill>
                </w14:textFill>
              </w:rPr>
              <w:t>t/a，钻井总进尺2.8×10</w:t>
            </w:r>
            <w:r>
              <w:rPr>
                <w:rFonts w:ascii="Times New Roman" w:hAnsi="Times New Roman" w:cs="Times New Roman"/>
                <w:b w:val="0"/>
                <w:color w:val="000000" w:themeColor="text1"/>
                <w:kern w:val="2"/>
                <w:sz w:val="21"/>
                <w:szCs w:val="21"/>
                <w:vertAlign w:val="superscript"/>
                <w:lang w:val="en-US"/>
                <w14:textFill>
                  <w14:solidFill>
                    <w14:schemeClr w14:val="tx1"/>
                  </w14:solidFill>
                </w14:textFill>
              </w:rPr>
              <w:t>4</w:t>
            </w:r>
            <w:r>
              <w:rPr>
                <w:rFonts w:hint="eastAsia" w:ascii="Times New Roman" w:hAnsi="Times New Roman" w:cs="Times New Roman"/>
                <w:b w:val="0"/>
                <w:color w:val="000000" w:themeColor="text1"/>
                <w:kern w:val="2"/>
                <w:sz w:val="21"/>
                <w:szCs w:val="21"/>
                <w:lang w:val="en-US"/>
                <w14:textFill>
                  <w14:solidFill>
                    <w14:schemeClr w14:val="tx1"/>
                  </w14:solidFill>
                </w14:textFill>
              </w:rPr>
              <w:t>m</w:t>
            </w:r>
            <w:r>
              <w:rPr>
                <w:rFonts w:ascii="Times New Roman" w:hAnsi="Times New Roman" w:cs="Times New Roman"/>
                <w:b w:val="0"/>
                <w:color w:val="000000" w:themeColor="text1"/>
                <w:kern w:val="2"/>
                <w:sz w:val="21"/>
                <w:szCs w:val="21"/>
                <w:lang w:val="en-US"/>
                <w14:textFill>
                  <w14:solidFill>
                    <w14:schemeClr w14:val="tx1"/>
                  </w14:solidFill>
                </w14:textFill>
              </w:rPr>
              <w:t>，新建井口管线7km，集油支线0.2km，新建注水单井管线1.3km，注水支线0.1km，</w:t>
            </w:r>
            <w:r>
              <w:rPr>
                <w:rFonts w:hint="eastAsia" w:ascii="Times New Roman" w:hAnsi="Times New Roman" w:cs="Times New Roman"/>
                <w:b w:val="0"/>
                <w:color w:val="000000" w:themeColor="text1"/>
                <w:kern w:val="2"/>
                <w:sz w:val="21"/>
                <w:szCs w:val="21"/>
                <w:lang w:val="en-US"/>
                <w14:textFill>
                  <w14:solidFill>
                    <w14:schemeClr w14:val="tx1"/>
                  </w14:solidFill>
                </w14:textFill>
              </w:rPr>
              <w:t>新建</w:t>
            </w:r>
            <w:r>
              <w:rPr>
                <w:rFonts w:ascii="Times New Roman" w:hAnsi="Times New Roman" w:cs="Times New Roman"/>
                <w:b w:val="0"/>
                <w:color w:val="000000" w:themeColor="text1"/>
                <w:kern w:val="2"/>
                <w:sz w:val="21"/>
                <w:szCs w:val="21"/>
                <w:lang w:val="en-US"/>
                <w14:textFill>
                  <w14:solidFill>
                    <w14:schemeClr w14:val="tx1"/>
                  </w14:solidFill>
                </w14:textFill>
              </w:rPr>
              <w:t>简易砂石路0.5km，配套建设供电、防腐、自动化等系统工程。</w:t>
            </w:r>
          </w:p>
        </w:tc>
        <w:tc>
          <w:tcPr>
            <w:tcW w:w="59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报告书</w:t>
            </w:r>
          </w:p>
        </w:tc>
        <w:tc>
          <w:tcPr>
            <w:tcW w:w="1051"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新环函</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ascii="Times New Roman" w:hAnsi="Times New Roman" w:cs="Times New Roman"/>
                <w:b w:val="0"/>
                <w:color w:val="000000" w:themeColor="text1"/>
                <w:kern w:val="2"/>
                <w:sz w:val="21"/>
                <w:szCs w:val="21"/>
                <w:lang w:val="en-US"/>
                <w14:textFill>
                  <w14:solidFill>
                    <w14:schemeClr w14:val="tx1"/>
                  </w14:solidFill>
                </w14:textFill>
              </w:rPr>
              <w:t>2017</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ascii="Times New Roman" w:hAnsi="Times New Roman" w:cs="Times New Roman"/>
                <w:b w:val="0"/>
                <w:color w:val="000000" w:themeColor="text1"/>
                <w:kern w:val="2"/>
                <w:sz w:val="21"/>
                <w:szCs w:val="21"/>
                <w:lang w:val="en-US"/>
                <w14:textFill>
                  <w14:solidFill>
                    <w14:schemeClr w14:val="tx1"/>
                  </w14:solidFill>
                </w14:textFill>
              </w:rPr>
              <w:t>215号</w:t>
            </w:r>
          </w:p>
        </w:tc>
        <w:tc>
          <w:tcPr>
            <w:tcW w:w="1926"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新钻采油井10，注水井3口，老井利用16口，管线总长度6.77km（其中集输管线4.18km，注水管线2.59km），新建计量站1座，配水撬1座，新建产能1.8×10</w:t>
            </w:r>
            <w:r>
              <w:rPr>
                <w:rFonts w:ascii="Times New Roman" w:hAnsi="Times New Roman" w:cs="Times New Roman"/>
                <w:b w:val="0"/>
                <w:color w:val="000000" w:themeColor="text1"/>
                <w:kern w:val="2"/>
                <w:sz w:val="21"/>
                <w:szCs w:val="21"/>
                <w:vertAlign w:val="superscript"/>
                <w:lang w:val="en-US"/>
                <w14:textFill>
                  <w14:solidFill>
                    <w14:schemeClr w14:val="tx1"/>
                  </w14:solidFill>
                </w14:textFill>
              </w:rPr>
              <w:t>4</w:t>
            </w:r>
            <w:r>
              <w:rPr>
                <w:rFonts w:ascii="Times New Roman" w:hAnsi="Times New Roman" w:cs="Times New Roman"/>
                <w:b w:val="0"/>
                <w:color w:val="000000" w:themeColor="text1"/>
                <w:kern w:val="2"/>
                <w:sz w:val="21"/>
                <w:szCs w:val="21"/>
                <w:lang w:val="en-US"/>
                <w14:textFill>
                  <w14:solidFill>
                    <w14:schemeClr w14:val="tx1"/>
                  </w14:solidFill>
                </w14:textFill>
              </w:rPr>
              <w:t>t/a</w:t>
            </w:r>
          </w:p>
        </w:tc>
        <w:tc>
          <w:tcPr>
            <w:tcW w:w="113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2018年12月15日通过企业自主验收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9"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5</w:t>
            </w:r>
          </w:p>
        </w:tc>
        <w:tc>
          <w:tcPr>
            <w:tcW w:w="1510" w:type="dxa"/>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陆梁油气田陆9井区侏罗系呼图壁组油藏LUD9021等2口注水井钻探项目</w:t>
            </w:r>
          </w:p>
        </w:tc>
        <w:tc>
          <w:tcPr>
            <w:tcW w:w="173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拟在陆9井区部署2口注水井，井身均为直井</w:t>
            </w:r>
          </w:p>
        </w:tc>
        <w:tc>
          <w:tcPr>
            <w:tcW w:w="59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报告表</w:t>
            </w:r>
          </w:p>
        </w:tc>
        <w:tc>
          <w:tcPr>
            <w:tcW w:w="1051"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和环评函字</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ascii="Times New Roman" w:hAnsi="Times New Roman" w:cs="Times New Roman"/>
                <w:b w:val="0"/>
                <w:color w:val="000000" w:themeColor="text1"/>
                <w:kern w:val="2"/>
                <w:sz w:val="21"/>
                <w:szCs w:val="21"/>
                <w:lang w:val="en-US"/>
                <w14:textFill>
                  <w14:solidFill>
                    <w14:schemeClr w14:val="tx1"/>
                  </w14:solidFill>
                </w14:textFill>
              </w:rPr>
              <w:t>2018</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ascii="Times New Roman" w:hAnsi="Times New Roman" w:cs="Times New Roman"/>
                <w:b w:val="0"/>
                <w:color w:val="000000" w:themeColor="text1"/>
                <w:kern w:val="2"/>
                <w:sz w:val="21"/>
                <w:szCs w:val="21"/>
                <w:lang w:val="en-US"/>
                <w14:textFill>
                  <w14:solidFill>
                    <w14:schemeClr w14:val="tx1"/>
                  </w14:solidFill>
                </w14:textFill>
              </w:rPr>
              <w:t>45号</w:t>
            </w:r>
          </w:p>
        </w:tc>
        <w:tc>
          <w:tcPr>
            <w:tcW w:w="1926"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新钻2口注水井（LUD9021、LUD90128）</w:t>
            </w:r>
          </w:p>
        </w:tc>
        <w:tc>
          <w:tcPr>
            <w:tcW w:w="113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2020年12月25日通过企业自主验收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9"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6</w:t>
            </w:r>
          </w:p>
        </w:tc>
        <w:tc>
          <w:tcPr>
            <w:tcW w:w="1510" w:type="dxa"/>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陆梁油田作业区陆9井区呼图壁河组油藏补钻更新工程</w:t>
            </w:r>
          </w:p>
        </w:tc>
        <w:tc>
          <w:tcPr>
            <w:tcW w:w="173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拟在陆9井区部署4口采油井，井区预计新建产能0.6×10</w:t>
            </w:r>
            <w:r>
              <w:rPr>
                <w:rFonts w:ascii="Times New Roman" w:hAnsi="Times New Roman" w:cs="Times New Roman"/>
                <w:b w:val="0"/>
                <w:color w:val="000000" w:themeColor="text1"/>
                <w:kern w:val="2"/>
                <w:sz w:val="21"/>
                <w:szCs w:val="21"/>
                <w:vertAlign w:val="superscript"/>
                <w:lang w:val="en-US"/>
                <w14:textFill>
                  <w14:solidFill>
                    <w14:schemeClr w14:val="tx1"/>
                  </w14:solidFill>
                </w14:textFill>
              </w:rPr>
              <w:t>4</w:t>
            </w:r>
            <w:r>
              <w:rPr>
                <w:rFonts w:ascii="Times New Roman" w:hAnsi="Times New Roman" w:cs="Times New Roman"/>
                <w:b w:val="0"/>
                <w:color w:val="000000" w:themeColor="text1"/>
                <w:kern w:val="2"/>
                <w:sz w:val="21"/>
                <w:szCs w:val="21"/>
                <w:lang w:val="en-US"/>
                <w14:textFill>
                  <w14:solidFill>
                    <w14:schemeClr w14:val="tx1"/>
                  </w14:solidFill>
                </w14:textFill>
              </w:rPr>
              <w:t>t/a，配套建设油气集输管网、供配电工程</w:t>
            </w:r>
          </w:p>
        </w:tc>
        <w:tc>
          <w:tcPr>
            <w:tcW w:w="59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报告书</w:t>
            </w:r>
          </w:p>
        </w:tc>
        <w:tc>
          <w:tcPr>
            <w:tcW w:w="1051"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塔地环字</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ascii="Times New Roman" w:hAnsi="Times New Roman" w:cs="Times New Roman"/>
                <w:b w:val="0"/>
                <w:color w:val="000000" w:themeColor="text1"/>
                <w:kern w:val="2"/>
                <w:sz w:val="21"/>
                <w:szCs w:val="21"/>
                <w:lang w:val="en-US"/>
                <w14:textFill>
                  <w14:solidFill>
                    <w14:schemeClr w14:val="tx1"/>
                  </w14:solidFill>
                </w14:textFill>
              </w:rPr>
              <w:t>2019</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ascii="Times New Roman" w:hAnsi="Times New Roman" w:cs="Times New Roman"/>
                <w:b w:val="0"/>
                <w:color w:val="000000" w:themeColor="text1"/>
                <w:kern w:val="2"/>
                <w:sz w:val="21"/>
                <w:szCs w:val="21"/>
                <w:lang w:val="en-US"/>
                <w14:textFill>
                  <w14:solidFill>
                    <w14:schemeClr w14:val="tx1"/>
                  </w14:solidFill>
                </w14:textFill>
              </w:rPr>
              <w:t>52号</w:t>
            </w:r>
          </w:p>
        </w:tc>
        <w:tc>
          <w:tcPr>
            <w:tcW w:w="1926"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实施采油井4口，敷设各类管线1.3km，配套架收纳盒供配电、消防、仪表自动化等公辅工程。建成产能0.6×10</w:t>
            </w:r>
            <w:r>
              <w:rPr>
                <w:rFonts w:ascii="Times New Roman" w:hAnsi="Times New Roman" w:cs="Times New Roman"/>
                <w:b w:val="0"/>
                <w:color w:val="000000" w:themeColor="text1"/>
                <w:kern w:val="2"/>
                <w:sz w:val="21"/>
                <w:szCs w:val="21"/>
                <w:vertAlign w:val="superscript"/>
                <w:lang w:val="en-US"/>
                <w14:textFill>
                  <w14:solidFill>
                    <w14:schemeClr w14:val="tx1"/>
                  </w14:solidFill>
                </w14:textFill>
              </w:rPr>
              <w:t>4</w:t>
            </w:r>
            <w:r>
              <w:rPr>
                <w:rFonts w:ascii="Times New Roman" w:hAnsi="Times New Roman" w:cs="Times New Roman"/>
                <w:b w:val="0"/>
                <w:color w:val="000000" w:themeColor="text1"/>
                <w:kern w:val="2"/>
                <w:sz w:val="21"/>
                <w:szCs w:val="21"/>
                <w:lang w:val="en-US"/>
                <w14:textFill>
                  <w14:solidFill>
                    <w14:schemeClr w14:val="tx1"/>
                  </w14:solidFill>
                </w14:textFill>
              </w:rPr>
              <w:t>t/a</w:t>
            </w:r>
          </w:p>
        </w:tc>
        <w:tc>
          <w:tcPr>
            <w:tcW w:w="113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2021年2月2日通过企业自主验收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9"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14:textFill>
                  <w14:solidFill>
                    <w14:schemeClr w14:val="tx1"/>
                  </w14:solidFill>
                </w14:textFill>
              </w:rPr>
              <w:t>7</w:t>
            </w:r>
          </w:p>
        </w:tc>
        <w:tc>
          <w:tcPr>
            <w:tcW w:w="1510" w:type="dxa"/>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陆9井区呼图壁河组油藏2022年水平井开发工程建设项目</w:t>
            </w:r>
          </w:p>
        </w:tc>
        <w:tc>
          <w:tcPr>
            <w:tcW w:w="173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sz w:val="21"/>
                <w:szCs w:val="21"/>
                <w14:textFill>
                  <w14:solidFill>
                    <w14:schemeClr w14:val="tx1"/>
                  </w14:solidFill>
                </w14:textFill>
              </w:rPr>
              <w:t>本项目新建采油井场5座（LUHW2532、LUHW2744、LUHW2745、LUHW2442和LUHW1341），扩建现有17-1#计量站和10#计量站（增加8井式多通阀2 座），新建DN50 PN2.5MPa单井出油管线2.4km和DN100PN3.5MPa集油支线0.2km，并配套建设电气、自控、通信、防腐、消防等工程。新建产能原油最大产能 0.93×10</w:t>
            </w:r>
            <w:r>
              <w:rPr>
                <w:rFonts w:ascii="Times New Roman" w:hAnsi="Times New Roman" w:cs="Times New Roman"/>
                <w:b w:val="0"/>
                <w:color w:val="000000" w:themeColor="text1"/>
                <w:sz w:val="21"/>
                <w:szCs w:val="21"/>
                <w:vertAlign w:val="superscript"/>
                <w14:textFill>
                  <w14:solidFill>
                    <w14:schemeClr w14:val="tx1"/>
                  </w14:solidFill>
                </w14:textFill>
              </w:rPr>
              <w:t>4</w:t>
            </w:r>
            <w:r>
              <w:rPr>
                <w:rFonts w:ascii="Times New Roman" w:hAnsi="Times New Roman" w:cs="Times New Roman"/>
                <w:b w:val="0"/>
                <w:color w:val="000000" w:themeColor="text1"/>
                <w:sz w:val="21"/>
                <w:szCs w:val="21"/>
                <w14:textFill>
                  <w14:solidFill>
                    <w14:schemeClr w14:val="tx1"/>
                  </w14:solidFill>
                </w14:textFill>
              </w:rPr>
              <w:t>t/a，天然气最大产能74.4×10</w:t>
            </w:r>
            <w:r>
              <w:rPr>
                <w:rFonts w:ascii="Times New Roman" w:hAnsi="Times New Roman" w:cs="Times New Roman"/>
                <w:b w:val="0"/>
                <w:color w:val="000000" w:themeColor="text1"/>
                <w:sz w:val="21"/>
                <w:szCs w:val="21"/>
                <w:vertAlign w:val="superscript"/>
                <w14:textFill>
                  <w14:solidFill>
                    <w14:schemeClr w14:val="tx1"/>
                  </w14:solidFill>
                </w14:textFill>
              </w:rPr>
              <w:t>4</w:t>
            </w:r>
            <w:r>
              <w:rPr>
                <w:rFonts w:ascii="Times New Roman" w:hAnsi="Times New Roman" w:cs="Times New Roman"/>
                <w:b w:val="0"/>
                <w:color w:val="000000" w:themeColor="text1"/>
                <w:sz w:val="21"/>
                <w:szCs w:val="21"/>
                <w14:textFill>
                  <w14:solidFill>
                    <w14:schemeClr w14:val="tx1"/>
                  </w14:solidFill>
                </w14:textFill>
              </w:rPr>
              <w:t>m</w:t>
            </w:r>
            <w:r>
              <w:rPr>
                <w:rFonts w:ascii="Times New Roman" w:hAnsi="Times New Roman" w:cs="Times New Roman"/>
                <w:b w:val="0"/>
                <w:color w:val="000000" w:themeColor="text1"/>
                <w:sz w:val="21"/>
                <w:szCs w:val="21"/>
                <w:vertAlign w:val="superscript"/>
                <w14:textFill>
                  <w14:solidFill>
                    <w14:schemeClr w14:val="tx1"/>
                  </w14:solidFill>
                </w14:textFill>
              </w:rPr>
              <w:t>3</w:t>
            </w:r>
            <w:r>
              <w:rPr>
                <w:rFonts w:ascii="Times New Roman" w:hAnsi="Times New Roman" w:cs="Times New Roman"/>
                <w:b w:val="0"/>
                <w:color w:val="000000" w:themeColor="text1"/>
                <w:sz w:val="21"/>
                <w:szCs w:val="21"/>
                <w14:textFill>
                  <w14:solidFill>
                    <w14:schemeClr w14:val="tx1"/>
                  </w14:solidFill>
                </w14:textFill>
              </w:rPr>
              <w:t>/a。</w:t>
            </w:r>
          </w:p>
        </w:tc>
        <w:tc>
          <w:tcPr>
            <w:tcW w:w="595"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报告书</w:t>
            </w:r>
          </w:p>
        </w:tc>
        <w:tc>
          <w:tcPr>
            <w:tcW w:w="1051"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塔地环字</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ascii="Times New Roman" w:hAnsi="Times New Roman" w:cs="Times New Roman"/>
                <w:b w:val="0"/>
                <w:color w:val="000000" w:themeColor="text1"/>
                <w:kern w:val="2"/>
                <w:sz w:val="21"/>
                <w:szCs w:val="21"/>
                <w:lang w:val="en-US"/>
                <w14:textFill>
                  <w14:solidFill>
                    <w14:schemeClr w14:val="tx1"/>
                  </w14:solidFill>
                </w14:textFill>
              </w:rPr>
              <w:t>2022</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ascii="Times New Roman" w:hAnsi="Times New Roman" w:cs="Times New Roman"/>
                <w:b w:val="0"/>
                <w:color w:val="000000" w:themeColor="text1"/>
                <w:kern w:val="2"/>
                <w:sz w:val="21"/>
                <w:szCs w:val="21"/>
                <w:lang w:val="en-US"/>
                <w14:textFill>
                  <w14:solidFill>
                    <w14:schemeClr w14:val="tx1"/>
                  </w14:solidFill>
                </w14:textFill>
              </w:rPr>
              <w:t>147号</w:t>
            </w:r>
          </w:p>
        </w:tc>
        <w:tc>
          <w:tcPr>
            <w:tcW w:w="1926"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主要新钻3口采油井（LUHW2532、LUHW2744、LUHW2442），新建3座采油井口装置，单井出油管线2.07km，扩建17-1#计量站，并配套建设电气、仪表自动化、通信等工程。</w:t>
            </w:r>
          </w:p>
        </w:tc>
        <w:tc>
          <w:tcPr>
            <w:tcW w:w="1135"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2023年11月23日通过企业第一批自主验收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9" w:type="dxa"/>
            <w:tcMar>
              <w:left w:w="0" w:type="dxa"/>
              <w:right w:w="0" w:type="dxa"/>
            </w:tcMar>
            <w:vAlign w:val="center"/>
          </w:tcPr>
          <w:p>
            <w:pPr>
              <w:pStyle w:val="39"/>
              <w:jc w:val="center"/>
              <w:rPr>
                <w:rFonts w:ascii="Times New Roman" w:hAnsi="Times New Roman" w:eastAsia="宋体" w:cs="Times New Roman"/>
                <w:b w:val="0"/>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14:textFill>
                  <w14:solidFill>
                    <w14:schemeClr w14:val="tx1"/>
                  </w14:solidFill>
                </w14:textFill>
              </w:rPr>
              <w:t>8</w:t>
            </w:r>
          </w:p>
        </w:tc>
        <w:tc>
          <w:tcPr>
            <w:tcW w:w="1510" w:type="dxa"/>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ascii="Times New Roman" w:hAnsi="Times New Roman" w:cs="Times New Roman"/>
                <w:b w:val="0"/>
                <w:color w:val="000000" w:themeColor="text1"/>
                <w:kern w:val="2"/>
                <w:sz w:val="21"/>
                <w:szCs w:val="21"/>
                <w:lang w:val="en-US"/>
                <w14:textFill>
                  <w14:solidFill>
                    <w14:schemeClr w14:val="tx1"/>
                  </w14:solidFill>
                </w14:textFill>
              </w:rPr>
              <w:t>陆9井区白垩系呼图壁河组油藏加密、调整试验地面工程</w:t>
            </w:r>
          </w:p>
        </w:tc>
        <w:tc>
          <w:tcPr>
            <w:tcW w:w="1735" w:type="dxa"/>
            <w:tcMar>
              <w:left w:w="0" w:type="dxa"/>
              <w:right w:w="0" w:type="dxa"/>
            </w:tcMar>
            <w:vAlign w:val="center"/>
          </w:tcPr>
          <w:p>
            <w:pPr>
              <w:pStyle w:val="39"/>
              <w:jc w:val="center"/>
              <w:rPr>
                <w:rFonts w:ascii="Times New Roman" w:hAnsi="Times New Roman" w:cs="Times New Roman"/>
                <w:b w:val="0"/>
                <w:color w:val="000000" w:themeColor="text1"/>
                <w:sz w:val="21"/>
                <w:szCs w:val="21"/>
                <w14:textFill>
                  <w14:solidFill>
                    <w14:schemeClr w14:val="tx1"/>
                  </w14:solidFill>
                </w14:textFill>
              </w:rPr>
            </w:pPr>
            <w:r>
              <w:rPr>
                <w:rFonts w:ascii="Times New Roman" w:hAnsi="Times New Roman" w:eastAsia="宋体" w:cs="Times New Roman"/>
                <w:b w:val="0"/>
                <w:bCs/>
                <w:color w:val="000000" w:themeColor="text1"/>
                <w:sz w:val="21"/>
                <w:szCs w:val="21"/>
                <w14:textFill>
                  <w14:solidFill>
                    <w14:schemeClr w14:val="tx1"/>
                  </w14:solidFill>
                </w14:textFill>
              </w:rPr>
              <w:t>本项目计划在陆9井区共部署12口采油井，13口注水井，其中11口采油井为新钻井，1口采油井为补钻井，2口注水井为补钻井，11口注水井为老井转注水井。新建产能1.17×10</w:t>
            </w:r>
            <w:r>
              <w:rPr>
                <w:rFonts w:ascii="Times New Roman" w:hAnsi="Times New Roman" w:eastAsia="宋体" w:cs="Times New Roman"/>
                <w:b w:val="0"/>
                <w:bCs/>
                <w:color w:val="000000" w:themeColor="text1"/>
                <w:sz w:val="21"/>
                <w:szCs w:val="21"/>
                <w:vertAlign w:val="superscript"/>
                <w14:textFill>
                  <w14:solidFill>
                    <w14:schemeClr w14:val="tx1"/>
                  </w14:solidFill>
                </w14:textFill>
              </w:rPr>
              <w:t>4</w:t>
            </w:r>
            <w:r>
              <w:rPr>
                <w:rFonts w:ascii="Times New Roman" w:hAnsi="Times New Roman" w:eastAsia="宋体" w:cs="Times New Roman"/>
                <w:b w:val="0"/>
                <w:bCs/>
                <w:color w:val="000000" w:themeColor="text1"/>
                <w:sz w:val="21"/>
                <w:szCs w:val="21"/>
                <w14:textFill>
                  <w14:solidFill>
                    <w14:schemeClr w14:val="tx1"/>
                  </w14:solidFill>
                </w14:textFill>
              </w:rPr>
              <w:t>t/a、产气43.46×10</w:t>
            </w:r>
            <w:r>
              <w:rPr>
                <w:rFonts w:ascii="Times New Roman" w:hAnsi="Times New Roman" w:eastAsia="宋体" w:cs="Times New Roman"/>
                <w:b w:val="0"/>
                <w:bCs/>
                <w:color w:val="000000" w:themeColor="text1"/>
                <w:sz w:val="21"/>
                <w:szCs w:val="21"/>
                <w:vertAlign w:val="superscript"/>
                <w14:textFill>
                  <w14:solidFill>
                    <w14:schemeClr w14:val="tx1"/>
                  </w14:solidFill>
                </w14:textFill>
              </w:rPr>
              <w:t>4</w:t>
            </w:r>
            <w:r>
              <w:rPr>
                <w:rFonts w:ascii="Times New Roman" w:hAnsi="Times New Roman" w:eastAsia="宋体" w:cs="Times New Roman"/>
                <w:b w:val="0"/>
                <w:bCs/>
                <w:color w:val="000000" w:themeColor="text1"/>
                <w:sz w:val="21"/>
                <w:szCs w:val="21"/>
                <w14:textFill>
                  <w14:solidFill>
                    <w14:schemeClr w14:val="tx1"/>
                  </w14:solidFill>
                </w14:textFill>
              </w:rPr>
              <w:t>m</w:t>
            </w:r>
            <w:r>
              <w:rPr>
                <w:rFonts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ascii="Times New Roman" w:hAnsi="Times New Roman" w:eastAsia="宋体" w:cs="Times New Roman"/>
                <w:b w:val="0"/>
                <w:bCs/>
                <w:color w:val="000000" w:themeColor="text1"/>
                <w:sz w:val="21"/>
                <w:szCs w:val="21"/>
                <w14:textFill>
                  <w14:solidFill>
                    <w14:schemeClr w14:val="tx1"/>
                  </w14:solidFill>
                </w14:textFill>
              </w:rPr>
              <w:t>/a，单井注水量84m</w:t>
            </w:r>
            <w:r>
              <w:rPr>
                <w:rFonts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ascii="Times New Roman" w:hAnsi="Times New Roman" w:eastAsia="宋体" w:cs="Times New Roman"/>
                <w:b w:val="0"/>
                <w:bCs/>
                <w:color w:val="000000" w:themeColor="text1"/>
                <w:sz w:val="21"/>
                <w:szCs w:val="21"/>
                <w14:textFill>
                  <w14:solidFill>
                    <w14:schemeClr w14:val="tx1"/>
                  </w14:solidFill>
                </w14:textFill>
              </w:rPr>
              <w:t>/d~140m</w:t>
            </w:r>
            <w:r>
              <w:rPr>
                <w:rFonts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ascii="Times New Roman" w:hAnsi="Times New Roman" w:eastAsia="宋体" w:cs="Times New Roman"/>
                <w:b w:val="0"/>
                <w:bCs/>
                <w:color w:val="000000" w:themeColor="text1"/>
                <w:sz w:val="21"/>
                <w:szCs w:val="21"/>
                <w14:textFill>
                  <w14:solidFill>
                    <w14:schemeClr w14:val="tx1"/>
                  </w14:solidFill>
                </w14:textFill>
              </w:rPr>
              <w:t>/d。在陆梁集中处理站高压注水系统处新建1座140m</w:t>
            </w:r>
            <w:r>
              <w:rPr>
                <w:rFonts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ascii="Times New Roman" w:hAnsi="Times New Roman" w:eastAsia="宋体" w:cs="Times New Roman"/>
                <w:b w:val="0"/>
                <w:bCs/>
                <w:color w:val="000000" w:themeColor="text1"/>
                <w:sz w:val="21"/>
                <w:szCs w:val="21"/>
                <w14:textFill>
                  <w14:solidFill>
                    <w14:schemeClr w14:val="tx1"/>
                  </w14:solidFill>
                </w14:textFill>
              </w:rPr>
              <w:t>/h注水泵撬，在5号计量配水站新建1座6井式配水撬；新建1座计量站；新建采油管线5.6km，新建注水管线7.88km，新建采油井井口装置12座；新建注水井井口装置13座，配套建设供配电及仪表自动化等地面工程。</w:t>
            </w:r>
          </w:p>
        </w:tc>
        <w:tc>
          <w:tcPr>
            <w:tcW w:w="59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hint="eastAsia" w:ascii="Times New Roman" w:hAnsi="Times New Roman" w:cs="Times New Roman"/>
                <w:b w:val="0"/>
                <w:color w:val="000000" w:themeColor="text1"/>
                <w:kern w:val="2"/>
                <w:sz w:val="21"/>
                <w:szCs w:val="21"/>
                <w:lang w:val="en-US"/>
                <w14:textFill>
                  <w14:solidFill>
                    <w14:schemeClr w14:val="tx1"/>
                  </w14:solidFill>
                </w14:textFill>
              </w:rPr>
              <w:t>报告书</w:t>
            </w:r>
          </w:p>
        </w:tc>
        <w:tc>
          <w:tcPr>
            <w:tcW w:w="1051"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hint="eastAsia" w:ascii="Times New Roman" w:hAnsi="Times New Roman" w:cs="Times New Roman"/>
                <w:b w:val="0"/>
                <w:color w:val="000000" w:themeColor="text1"/>
                <w:kern w:val="2"/>
                <w:sz w:val="21"/>
                <w:szCs w:val="21"/>
                <w:lang w:val="en-US"/>
                <w14:textFill>
                  <w14:solidFill>
                    <w14:schemeClr w14:val="tx1"/>
                  </w14:solidFill>
                </w14:textFill>
              </w:rPr>
              <w:t>塔地环审</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ascii="Times New Roman" w:hAnsi="Times New Roman" w:cs="Times New Roman"/>
                <w:b w:val="0"/>
                <w:color w:val="000000" w:themeColor="text1"/>
                <w:kern w:val="2"/>
                <w:sz w:val="21"/>
                <w:szCs w:val="21"/>
                <w:lang w:val="en-US"/>
                <w14:textFill>
                  <w14:solidFill>
                    <w14:schemeClr w14:val="tx1"/>
                  </w14:solidFill>
                </w14:textFill>
              </w:rPr>
              <w:t>202</w:t>
            </w:r>
            <w:r>
              <w:rPr>
                <w:rFonts w:hint="eastAsia" w:ascii="Times New Roman" w:hAnsi="Times New Roman" w:cs="Times New Roman"/>
                <w:b w:val="0"/>
                <w:color w:val="000000" w:themeColor="text1"/>
                <w:kern w:val="2"/>
                <w:sz w:val="21"/>
                <w:szCs w:val="21"/>
                <w:lang w:val="en-US"/>
                <w14:textFill>
                  <w14:solidFill>
                    <w14:schemeClr w14:val="tx1"/>
                  </w14:solidFill>
                </w14:textFill>
              </w:rPr>
              <w:t>4</w:t>
            </w:r>
            <w:r>
              <w:rPr>
                <w:rFonts w:ascii="Times New Roman" w:hAnsi="Times New Roman" w:eastAsia="宋体" w:cs="Times New Roman"/>
                <w:b w:val="0"/>
                <w:color w:val="000000" w:themeColor="text1"/>
                <w:kern w:val="2"/>
                <w:sz w:val="21"/>
                <w:szCs w:val="21"/>
                <w:lang w:val="en-US"/>
                <w14:textFill>
                  <w14:solidFill>
                    <w14:schemeClr w14:val="tx1"/>
                  </w14:solidFill>
                </w14:textFill>
              </w:rPr>
              <w:t>〕</w:t>
            </w:r>
            <w:r>
              <w:rPr>
                <w:rFonts w:hint="eastAsia" w:ascii="Times New Roman" w:hAnsi="Times New Roman" w:eastAsia="宋体" w:cs="Times New Roman"/>
                <w:b w:val="0"/>
                <w:color w:val="000000" w:themeColor="text1"/>
                <w:kern w:val="2"/>
                <w:sz w:val="21"/>
                <w:szCs w:val="21"/>
                <w:lang w:val="en-US"/>
                <w14:textFill>
                  <w14:solidFill>
                    <w14:schemeClr w14:val="tx1"/>
                  </w14:solidFill>
                </w14:textFill>
              </w:rPr>
              <w:t>46</w:t>
            </w:r>
            <w:r>
              <w:rPr>
                <w:rFonts w:ascii="Times New Roman" w:hAnsi="Times New Roman" w:cs="Times New Roman"/>
                <w:b w:val="0"/>
                <w:color w:val="000000" w:themeColor="text1"/>
                <w:kern w:val="2"/>
                <w:sz w:val="21"/>
                <w:szCs w:val="21"/>
                <w:lang w:val="en-US"/>
                <w14:textFill>
                  <w14:solidFill>
                    <w14:schemeClr w14:val="tx1"/>
                  </w14:solidFill>
                </w14:textFill>
              </w:rPr>
              <w:t>号</w:t>
            </w:r>
          </w:p>
        </w:tc>
        <w:tc>
          <w:tcPr>
            <w:tcW w:w="1926"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hint="eastAsia" w:ascii="Times New Roman" w:hAnsi="Times New Roman" w:cs="Times New Roman"/>
                <w:b w:val="0"/>
                <w:color w:val="000000" w:themeColor="text1"/>
                <w:kern w:val="2"/>
                <w:sz w:val="21"/>
                <w:szCs w:val="21"/>
                <w:lang w:val="en-US"/>
                <w14:textFill>
                  <w14:solidFill>
                    <w14:schemeClr w14:val="tx1"/>
                  </w14:solidFill>
                </w14:textFill>
              </w:rPr>
              <w:t>正在建设</w:t>
            </w:r>
          </w:p>
        </w:tc>
        <w:tc>
          <w:tcPr>
            <w:tcW w:w="1135" w:type="dxa"/>
            <w:tcMar>
              <w:left w:w="0" w:type="dxa"/>
              <w:right w:w="0" w:type="dxa"/>
            </w:tcMar>
            <w:vAlign w:val="center"/>
          </w:tcPr>
          <w:p>
            <w:pPr>
              <w:pStyle w:val="39"/>
              <w:jc w:val="center"/>
              <w:rPr>
                <w:rFonts w:ascii="Times New Roman" w:hAnsi="Times New Roman" w:cs="Times New Roman"/>
                <w:b w:val="0"/>
                <w:color w:val="000000" w:themeColor="text1"/>
                <w:kern w:val="2"/>
                <w:sz w:val="21"/>
                <w:szCs w:val="21"/>
                <w:lang w:val="en-US"/>
                <w14:textFill>
                  <w14:solidFill>
                    <w14:schemeClr w14:val="tx1"/>
                  </w14:solidFill>
                </w14:textFill>
              </w:rPr>
            </w:pPr>
            <w:r>
              <w:rPr>
                <w:rFonts w:hint="eastAsia" w:ascii="Times New Roman" w:hAnsi="Times New Roman" w:cs="Times New Roman"/>
                <w:b w:val="0"/>
                <w:color w:val="000000" w:themeColor="text1"/>
                <w:kern w:val="2"/>
                <w:sz w:val="2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381" w:type="dxa"/>
            <w:gridSpan w:val="7"/>
            <w:tcMar>
              <w:left w:w="0" w:type="dxa"/>
              <w:right w:w="0" w:type="dxa"/>
            </w:tcMar>
            <w:vAlign w:val="center"/>
          </w:tcPr>
          <w:p>
            <w:pPr>
              <w:pStyle w:val="39"/>
              <w:jc w:val="left"/>
              <w:rPr>
                <w:rFonts w:ascii="Times New Roman" w:hAnsi="Times New Roman" w:cs="Times New Roman"/>
                <w:b w:val="0"/>
                <w:color w:val="000000" w:themeColor="text1"/>
                <w:kern w:val="2"/>
                <w:sz w:val="18"/>
                <w:szCs w:val="18"/>
                <w:lang w:val="en-US"/>
                <w14:textFill>
                  <w14:solidFill>
                    <w14:schemeClr w14:val="tx1"/>
                  </w14:solidFill>
                </w14:textFill>
              </w:rPr>
            </w:pPr>
            <w:r>
              <w:rPr>
                <w:rFonts w:hint="eastAsia" w:ascii="Times New Roman" w:hAnsi="Times New Roman" w:eastAsia="宋体" w:cs="Times New Roman"/>
                <w:b w:val="0"/>
                <w:color w:val="000000" w:themeColor="text1"/>
                <w:kern w:val="2"/>
                <w:sz w:val="18"/>
                <w:szCs w:val="18"/>
                <w:lang w:val="en-US"/>
                <w14:textFill>
                  <w14:solidFill>
                    <w14:schemeClr w14:val="tx1"/>
                  </w14:solidFill>
                </w14:textFill>
              </w:rPr>
              <w:t>注：本项目9口老井转注属于“</w:t>
            </w:r>
            <w:r>
              <w:rPr>
                <w:rFonts w:hint="eastAsia" w:ascii="Times New Roman" w:hAnsi="Times New Roman" w:cs="Times New Roman"/>
                <w:b w:val="0"/>
                <w:color w:val="000000" w:themeColor="text1"/>
                <w:kern w:val="2"/>
                <w:sz w:val="18"/>
                <w:szCs w:val="18"/>
                <w:lang w:val="en-US"/>
                <w14:textFill>
                  <w14:solidFill>
                    <w14:schemeClr w14:val="tx1"/>
                  </w14:solidFill>
                </w14:textFill>
              </w:rPr>
              <w:t>中国石油新疆油田分公司陆梁油田开发建设项目环境影响报告书</w:t>
            </w:r>
            <w:r>
              <w:rPr>
                <w:rFonts w:hint="eastAsia" w:ascii="Times New Roman" w:hAnsi="Times New Roman" w:eastAsia="宋体" w:cs="Times New Roman"/>
                <w:b w:val="0"/>
                <w:color w:val="000000" w:themeColor="text1"/>
                <w:kern w:val="2"/>
                <w:sz w:val="18"/>
                <w:szCs w:val="18"/>
                <w:lang w:val="en-US"/>
                <w14:textFill>
                  <w14:solidFill>
                    <w14:schemeClr w14:val="tx1"/>
                  </w14:solidFill>
                </w14:textFill>
              </w:rPr>
              <w:t>”中的内容。</w:t>
            </w:r>
          </w:p>
        </w:tc>
      </w:tr>
    </w:tbl>
    <w:p>
      <w:pPr>
        <w:pStyle w:val="3"/>
        <w:spacing w:before="10" w:after="10"/>
        <w:rPr>
          <w:rFonts w:ascii="Times New Roman" w:hAnsi="Times New Roman" w:cs="Times New Roman"/>
          <w:color w:val="000000" w:themeColor="text1"/>
          <w14:textFill>
            <w14:solidFill>
              <w14:schemeClr w14:val="tx1"/>
            </w14:solidFill>
          </w14:textFill>
        </w:rPr>
      </w:pPr>
      <w:bookmarkStart w:id="252" w:name="_Toc11030"/>
      <w:bookmarkStart w:id="253" w:name="_Toc28866"/>
      <w:r>
        <w:rPr>
          <w:rFonts w:ascii="Times New Roman" w:hAnsi="Times New Roman" w:cs="Times New Roman"/>
          <w:color w:val="000000" w:themeColor="text1"/>
          <w14:textFill>
            <w14:solidFill>
              <w14:schemeClr w14:val="tx1"/>
            </w14:solidFill>
          </w14:textFill>
        </w:rPr>
        <w:t>3.7工程分析</w:t>
      </w:r>
      <w:bookmarkEnd w:id="252"/>
      <w:bookmarkEnd w:id="253"/>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3.7.1生态影响因素分析</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生态影响因素主要来自各种占地、人为活动导致的景观变化、土地类型的改变，以及直接影响野生动物的栖息环境使相对完整的栖息地破碎化，连通程度下降等。</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3.7.1.1施工期</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（1）占用土地、压占破坏植被</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工程占地包括永久占地和临时占地。临时占地包括钻井井场、管线、各类站场施工临时占地。永久占地包括井场。临时占地对环境的影响主要来自管道施工作业带清理、开挖管沟、井场土地平整等施工活动中施工机械、车辆、人员践踏等对土壤的扰动和植被的破坏，对沿途的动物形成惊扰，造成的土地裸露加剧水土流失。本项目管道施工作业带宽度约1</w:t>
      </w:r>
      <w:r>
        <w:rPr>
          <w:rFonts w:hint="eastAsia" w:ascii="Times New Roman" w:hAnsi="Times New Roman" w:eastAsia="宋体" w:cs="Times New Roman"/>
          <w:bCs/>
          <w:color w:val="000000" w:themeColor="text1"/>
          <w:sz w:val="24"/>
          <w:lang w:val="en-US" w:eastAsia="zh-CN"/>
          <w14:textFill>
            <w14:solidFill>
              <w14:schemeClr w14:val="tx1"/>
            </w14:solidFill>
          </w14:textFill>
        </w:rPr>
        <w:t>2</w:t>
      </w:r>
      <w:r>
        <w:rPr>
          <w:rFonts w:hint="eastAsia" w:ascii="Times New Roman" w:hAnsi="Times New Roman" w:eastAsia="宋体" w:cs="Times New Roman"/>
          <w:bCs/>
          <w:color w:val="000000" w:themeColor="text1"/>
          <w:sz w:val="24"/>
          <w14:textFill>
            <w14:solidFill>
              <w14:schemeClr w14:val="tx1"/>
            </w14:solidFill>
          </w14:textFill>
        </w:rPr>
        <w:t>m</w:t>
      </w:r>
      <w:r>
        <w:rPr>
          <w:rFonts w:ascii="Times New Roman" w:hAnsi="Times New Roman" w:eastAsia="宋体" w:cs="Times New Roman"/>
          <w:bCs/>
          <w:color w:val="000000" w:themeColor="text1"/>
          <w:sz w:val="24"/>
          <w14:textFill>
            <w14:solidFill>
              <w14:schemeClr w14:val="tx1"/>
            </w14:solidFill>
          </w14:textFill>
        </w:rPr>
        <w:t>，其范围内的土壤和植被都可能受到扰动和破坏，尤其是管沟两侧2</w:t>
      </w:r>
      <w:r>
        <w:rPr>
          <w:rFonts w:hint="eastAsia" w:ascii="Times New Roman" w:hAnsi="Times New Roman" w:eastAsia="宋体" w:cs="Times New Roman"/>
          <w:bCs/>
          <w:color w:val="000000" w:themeColor="text1"/>
          <w:sz w:val="24"/>
          <w14:textFill>
            <w14:solidFill>
              <w14:schemeClr w14:val="tx1"/>
            </w14:solidFill>
          </w14:textFill>
        </w:rPr>
        <w:t>m</w:t>
      </w:r>
      <w:r>
        <w:rPr>
          <w:rFonts w:ascii="Times New Roman" w:hAnsi="Times New Roman" w:eastAsia="宋体" w:cs="Times New Roman"/>
          <w:bCs/>
          <w:color w:val="000000" w:themeColor="text1"/>
          <w:sz w:val="24"/>
          <w14:textFill>
            <w14:solidFill>
              <w14:schemeClr w14:val="tx1"/>
            </w14:solidFill>
          </w14:textFill>
        </w:rPr>
        <w:t>～3m内的植被破坏严重，土壤的结构、组成和理化性质发生改变，影响土壤和植被的恢复。永久占用的土地将永久性的改变土地利用结构和功能，临时占地将在短期改变土地利用的结构和功能，但施工结束后，可</w:t>
      </w:r>
      <w:r>
        <w:rPr>
          <w:rFonts w:hint="eastAsia" w:ascii="Times New Roman" w:hAnsi="Times New Roman" w:eastAsia="宋体" w:cs="Times New Roman"/>
          <w:bCs/>
          <w:color w:val="000000" w:themeColor="text1"/>
          <w:sz w:val="24"/>
          <w14:textFill>
            <w14:solidFill>
              <w14:schemeClr w14:val="tx1"/>
            </w14:solidFill>
          </w14:textFill>
        </w:rPr>
        <w:t>逐步</w:t>
      </w:r>
      <w:r>
        <w:rPr>
          <w:rFonts w:ascii="Times New Roman" w:hAnsi="Times New Roman" w:eastAsia="宋体" w:cs="Times New Roman"/>
          <w:bCs/>
          <w:color w:val="000000" w:themeColor="text1"/>
          <w:sz w:val="24"/>
          <w14:textFill>
            <w14:solidFill>
              <w14:schemeClr w14:val="tx1"/>
            </w14:solidFill>
          </w14:textFill>
        </w:rPr>
        <w:t>恢复原有使用功能。</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（2）破坏植被</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对植被最主要的影响是施工期占地范围内对植被破坏，另外土地开挖、车辆运输带起的扬尘自然沉降在周围植物的叶片上，阻塞气孔，影响植物呼吸作用和光合作用，有碍作物生长，还有车辆运行和施工机械的尾气含有NOx等气体，可破坏敏感植物的叶组织，造成褪色伤斑。不过以上这些不利影响主要是短期的，随着施工期结束，这些影响也随之消失。</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（3）破坏、污染土壤</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工程对土壤的影响主要表现为对土壤性质、土壤肥力的影响和土壤污染三个方面。工程土方的开挖和回填，将造成土壤结构的改变，进而导致土壤肥力的降低，对当地植被的生长和产量造成一定影响。</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（4）扰动地表，引起新的土壤侵蚀、水土流失</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评价区位于</w:t>
      </w:r>
      <w:r>
        <w:rPr>
          <w:rFonts w:ascii="Times New Roman" w:hAnsi="Times New Roman" w:eastAsia="宋体" w:cs="Times New Roman"/>
          <w:color w:val="000000" w:themeColor="text1"/>
          <w:sz w:val="24"/>
          <w14:textFill>
            <w14:solidFill>
              <w14:schemeClr w14:val="tx1"/>
            </w14:solidFill>
          </w14:textFill>
        </w:rPr>
        <w:t>塔城地区和布克赛尔蒙古自治县</w:t>
      </w:r>
      <w:r>
        <w:rPr>
          <w:rFonts w:ascii="Times New Roman" w:hAnsi="Times New Roman" w:eastAsia="宋体" w:cs="Times New Roman"/>
          <w:bCs/>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属于项目区属于Ⅱ2天山北坡诸小河流域重点治理区，</w:t>
      </w:r>
      <w:r>
        <w:rPr>
          <w:rFonts w:ascii="Times New Roman" w:hAnsi="Times New Roman" w:eastAsia="宋体" w:cs="Times New Roman"/>
          <w:bCs/>
          <w:color w:val="000000" w:themeColor="text1"/>
          <w:sz w:val="24"/>
          <w14:textFill>
            <w14:solidFill>
              <w14:schemeClr w14:val="tx1"/>
            </w14:solidFill>
          </w14:textFill>
        </w:rPr>
        <w:t>主要土壤侵蚀类型为风力侵蚀。工程施工活动将破坏地表植被，如不</w:t>
      </w:r>
      <w:r>
        <w:rPr>
          <w:rFonts w:hint="eastAsia" w:ascii="Times New Roman" w:hAnsi="Times New Roman" w:eastAsia="宋体" w:cs="Times New Roman"/>
          <w:bCs/>
          <w:color w:val="000000" w:themeColor="text1"/>
          <w:sz w:val="24"/>
          <w14:textFill>
            <w14:solidFill>
              <w14:schemeClr w14:val="tx1"/>
            </w14:solidFill>
          </w14:textFill>
        </w:rPr>
        <w:t>及时</w:t>
      </w:r>
      <w:r>
        <w:rPr>
          <w:rFonts w:ascii="Times New Roman" w:hAnsi="Times New Roman" w:eastAsia="宋体" w:cs="Times New Roman"/>
          <w:bCs/>
          <w:color w:val="000000" w:themeColor="text1"/>
          <w:sz w:val="24"/>
          <w14:textFill>
            <w14:solidFill>
              <w14:schemeClr w14:val="tx1"/>
            </w14:solidFill>
          </w14:textFill>
        </w:rPr>
        <w:t>进行恢复和重建，土壤的新坡面扰动可能成为新的侵蚀点加重水土流失。</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3.7.1.2运营期</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项目生产运营期对生态环境的影响较小，主要为井下作业过程产生的废物发生泄漏对地表土壤的污染以及事故条件下对植被、土壤等生态环境要素的影响等。评价建议建设单位应加强日常设施设备的运行管理，尽量避免</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跑、冒、滴、漏</w:t>
      </w:r>
      <w:r>
        <w:rPr>
          <w:rFonts w:hint="eastAsia" w:ascii="Times New Roman" w:hAnsi="Times New Roman" w:eastAsia="宋体" w:cs="Times New Roman"/>
          <w:bCs/>
          <w:color w:val="000000" w:themeColor="text1"/>
          <w:sz w:val="24"/>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现象的发生，以减少物料及污染物的逸散对周围生态环境的影响。</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同时项目建成后，临时占地得到有效的填充平整、恢复植被，以降低土壤侵蚀，减少水土流失。</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3.7.1.3退役期</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退役期主要是生产井的陆续停运、关闭、恢复土地使用功能时段。退役期作业主要包括拆除井场的采油设备、设施，封堵油层和封闭井口，对井场等占地进行生态恢复等。</w:t>
      </w:r>
    </w:p>
    <w:p>
      <w:pPr>
        <w:tabs>
          <w:tab w:val="left" w:pos="3465"/>
        </w:tabs>
        <w:spacing w:line="360" w:lineRule="auto"/>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设备拆除时将对地表植被产生破坏和干扰，同时也可能引起新的水土流失；对废弃的井场应采取生态恢复措施，可使油区内人工景观的密度大大下降，而自然景观的连通性得以恢复，生态环境质量逐渐提高。</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3.7.2污染影响因素分析</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本项目开发建设可分为施工期、运营期和退役期三个阶段。</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3.7.2.1施工期</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施工期主要包括钻井、</w:t>
      </w:r>
      <w:r>
        <w:rPr>
          <w:rFonts w:hint="eastAsia" w:cs="Times New Roman"/>
          <w:color w:val="000000" w:themeColor="text1"/>
          <w:sz w:val="24"/>
          <w:szCs w:val="24"/>
          <w14:textFill>
            <w14:solidFill>
              <w14:schemeClr w14:val="tx1"/>
            </w14:solidFill>
          </w14:textFill>
        </w:rPr>
        <w:t>修井、</w:t>
      </w:r>
      <w:r>
        <w:rPr>
          <w:rFonts w:cs="Times New Roman"/>
          <w:color w:val="000000" w:themeColor="text1"/>
          <w:sz w:val="24"/>
          <w:szCs w:val="24"/>
          <w14:textFill>
            <w14:solidFill>
              <w14:schemeClr w14:val="tx1"/>
            </w14:solidFill>
          </w14:textFill>
        </w:rPr>
        <w:t>井场、管线建设等施工作业内容，其环境影响因素主要来源于钻井、</w:t>
      </w:r>
      <w:r>
        <w:rPr>
          <w:rFonts w:hint="eastAsia" w:cs="Times New Roman"/>
          <w:color w:val="000000" w:themeColor="text1"/>
          <w:sz w:val="24"/>
          <w:szCs w:val="24"/>
          <w14:textFill>
            <w14:solidFill>
              <w14:schemeClr w14:val="tx1"/>
            </w14:solidFill>
          </w14:textFill>
        </w:rPr>
        <w:t>修井、</w:t>
      </w:r>
      <w:r>
        <w:rPr>
          <w:rFonts w:cs="Times New Roman"/>
          <w:color w:val="000000" w:themeColor="text1"/>
          <w:sz w:val="24"/>
          <w:szCs w:val="24"/>
          <w14:textFill>
            <w14:solidFill>
              <w14:schemeClr w14:val="tx1"/>
            </w14:solidFill>
          </w14:textFill>
        </w:rPr>
        <w:t>地面工程（井场、管线、计量站/配水站）建设等施工过程，主要包括生态影响，以及钻井</w:t>
      </w:r>
      <w:r>
        <w:rPr>
          <w:rFonts w:hint="eastAsia" w:cs="Times New Roman"/>
          <w:color w:val="000000" w:themeColor="text1"/>
          <w:sz w:val="24"/>
          <w:szCs w:val="24"/>
          <w14:textFill>
            <w14:solidFill>
              <w14:schemeClr w14:val="tx1"/>
            </w14:solidFill>
          </w14:textFill>
        </w:rPr>
        <w:t>、修井</w:t>
      </w:r>
      <w:r>
        <w:rPr>
          <w:rFonts w:cs="Times New Roman"/>
          <w:color w:val="000000" w:themeColor="text1"/>
          <w:sz w:val="24"/>
          <w:szCs w:val="24"/>
          <w14:textFill>
            <w14:solidFill>
              <w14:schemeClr w14:val="tx1"/>
            </w14:solidFill>
          </w14:textFill>
        </w:rPr>
        <w:t>过程排放的污染物质导致的环境污染。施工期环境影响的特点是持续时间短，对地表的破坏性强，在地面建设结束后，可在一定时期消失；但如果污染防治和生态保护措施不当，可能持续很长时间，并且不可逆转，例如对生态环境的破坏。</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3.7.2.2运营期</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运营期环境影响持续时间长，并随着产能规模的增加而加大，贯穿于整个运营期。其环境影响因素主要来源于油井及与其相关的采油、井下作业、油气集输、处理等各工艺过程，主要包括生态影响以及排放的污染物质导致的环境污染。</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3.7.2.3退役期</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退役期的环境影响主要为油田停采后进行一系列的清理工作，包括地面设施的拆除、封井、井场清理等，将产生少量扬尘、地表废弃建筑、不可移动的废弃设施、废弃管线等固体废物。在闭井施工操作中应注意采取降尘措施，同时，将产生的建筑垃圾进行集中收集，由施工单位运至指定位置进行处理。如果封井和井场处置等措施得当，环境影响将很小；反之若出现封井不严，可能导致地下残余油水外溢等事故发生，产生局部环境污染。</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油田开发建设施工、生产运行过程主要产污环节详见图3.7-1；主要污染源构成见表3.7-1。</w:t>
      </w:r>
    </w:p>
    <w:p>
      <w:pPr>
        <w:pStyle w:val="31"/>
        <w:jc w:val="center"/>
        <w:rPr>
          <w:rFonts w:ascii="Times New Roman" w:hAnsi="Times New Roman"/>
          <w:b/>
          <w:bCs/>
          <w:color w:val="000000" w:themeColor="text1"/>
          <w:sz w:val="21"/>
          <w:szCs w:val="21"/>
          <w14:textFill>
            <w14:solidFill>
              <w14:schemeClr w14:val="tx1"/>
            </w14:solidFill>
          </w14:textFill>
        </w:rPr>
      </w:pPr>
      <w:bookmarkStart w:id="254" w:name="_Hlk102744563"/>
      <w:r>
        <w:rPr>
          <w:rFonts w:ascii="Times New Roman" w:hAnsi="Times New Roman"/>
          <w:b/>
          <w:bCs/>
          <w:color w:val="000000" w:themeColor="text1"/>
          <w:sz w:val="21"/>
          <w:szCs w:val="21"/>
          <w14:textFill>
            <w14:solidFill>
              <w14:schemeClr w14:val="tx1"/>
            </w14:solidFill>
          </w14:textFill>
        </w:rPr>
        <w:t>表3.7-1  环境影响因素识别表</w:t>
      </w:r>
    </w:p>
    <w:tbl>
      <w:tblPr>
        <w:tblStyle w:val="23"/>
        <w:tblW w:w="84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891"/>
        <w:gridCol w:w="2274"/>
        <w:gridCol w:w="1982"/>
        <w:gridCol w:w="2643"/>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tblHeader/>
          <w:jc w:val="center"/>
        </w:trPr>
        <w:tc>
          <w:tcPr>
            <w:tcW w:w="8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开发作业过程</w:t>
            </w: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主要环境影响因素</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环境影响因素主要受体</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污染源性质</w:t>
            </w:r>
          </w:p>
        </w:tc>
        <w:tc>
          <w:tcPr>
            <w:tcW w:w="66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钻井、储层改造工程</w:t>
            </w: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车辆尾气、设备燃料燃烧废气</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环境空气</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临时性污染源，作业结束后不再产生，但仍存在于环境中</w:t>
            </w:r>
          </w:p>
        </w:tc>
        <w:tc>
          <w:tcPr>
            <w:tcW w:w="661"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钻井废水、射孔液</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土壤、地下水</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设备、车辆产生噪声</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声环境</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钻井岩屑</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土壤、地下水</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废含油防渗布</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土壤、植被</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89"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井喷爆炸、火灾等</w:t>
            </w:r>
          </w:p>
        </w:tc>
        <w:tc>
          <w:tcPr>
            <w:tcW w:w="1982"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土壤、水、环境空气及生态环境</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事故污染源，随作业结束而消除</w:t>
            </w:r>
          </w:p>
        </w:tc>
        <w:tc>
          <w:tcPr>
            <w:tcW w:w="661"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89" w:hRule="atLeast"/>
          <w:jc w:val="center"/>
        </w:trPr>
        <w:tc>
          <w:tcPr>
            <w:tcW w:w="891" w:type="dxa"/>
            <w:vMerge w:val="restart"/>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修井工程</w:t>
            </w:r>
          </w:p>
        </w:tc>
        <w:tc>
          <w:tcPr>
            <w:tcW w:w="2274"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车辆尾气、设备燃料燃烧废气</w:t>
            </w:r>
          </w:p>
        </w:tc>
        <w:tc>
          <w:tcPr>
            <w:tcW w:w="1982"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环境空气</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临时性污染源，作业结束后不再产生，但仍存在于环境中</w:t>
            </w:r>
          </w:p>
        </w:tc>
        <w:tc>
          <w:tcPr>
            <w:tcW w:w="661" w:type="dxa"/>
            <w:vMerge w:val="restart"/>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89" w:hRule="atLeast"/>
          <w:jc w:val="center"/>
        </w:trPr>
        <w:tc>
          <w:tcPr>
            <w:tcW w:w="891"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设备、车辆产生噪声</w:t>
            </w:r>
          </w:p>
        </w:tc>
        <w:tc>
          <w:tcPr>
            <w:tcW w:w="1982"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声环境</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89" w:hRule="atLeast"/>
          <w:jc w:val="center"/>
        </w:trPr>
        <w:tc>
          <w:tcPr>
            <w:tcW w:w="891" w:type="dxa"/>
            <w:vMerge w:val="continue"/>
            <w:tcBorders>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试压废水</w:t>
            </w:r>
          </w:p>
        </w:tc>
        <w:tc>
          <w:tcPr>
            <w:tcW w:w="1982"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地表水</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采油平台、站场建设、管线施工</w:t>
            </w: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施工扬尘、车辆尾</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环境空气</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管道试压废水、施工生产废水</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地表水</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设备、车辆产生噪声</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声环境</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施工土方、施工生活垃圾</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临时占用土地</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土壤、植被</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采油、油气集输</w:t>
            </w: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采出水</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地表水</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持续性影响环境的污染源</w:t>
            </w:r>
          </w:p>
        </w:tc>
        <w:tc>
          <w:tcPr>
            <w:tcW w:w="661"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烃类气体</w:t>
            </w:r>
          </w:p>
        </w:tc>
        <w:tc>
          <w:tcPr>
            <w:tcW w:w="1982"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环境空气</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持续性影响环境的污染源</w:t>
            </w:r>
          </w:p>
        </w:tc>
        <w:tc>
          <w:tcPr>
            <w:tcW w:w="661" w:type="dxa"/>
            <w:vMerge w:val="continue"/>
            <w:tcBorders>
              <w:left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生产设备噪声</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声环境</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持续性影响环境的污染源</w:t>
            </w:r>
          </w:p>
        </w:tc>
        <w:tc>
          <w:tcPr>
            <w:tcW w:w="661"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含油污泥</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土壤、地下水</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持续性影响环境的污染源</w:t>
            </w:r>
          </w:p>
        </w:tc>
        <w:tc>
          <w:tcPr>
            <w:tcW w:w="661" w:type="dxa"/>
            <w:vMerge w:val="continue"/>
            <w:tcBorders>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w:t>
            </w:r>
            <w:r>
              <w:rPr>
                <w:rFonts w:hint="eastAsia" w:cs="Times New Roman"/>
                <w:color w:val="000000" w:themeColor="text1"/>
                <w14:textFill>
                  <w14:solidFill>
                    <w14:schemeClr w14:val="tx1"/>
                  </w14:solidFill>
                </w14:textFill>
              </w:rPr>
              <w:t>润滑油</w:t>
            </w:r>
            <w:r>
              <w:rPr>
                <w:rFonts w:cs="Times New Roman"/>
                <w:color w:val="000000" w:themeColor="text1"/>
                <w14:textFill>
                  <w14:solidFill>
                    <w14:schemeClr w14:val="tx1"/>
                  </w14:solidFill>
                </w14:textFill>
              </w:rPr>
              <w:t>、落地油、含油污水泄漏</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土壤、地下水</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事故污染源</w:t>
            </w:r>
          </w:p>
        </w:tc>
        <w:tc>
          <w:tcPr>
            <w:tcW w:w="66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井下作业</w:t>
            </w: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井下作业废水</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土壤、地表水</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间断性污染源</w:t>
            </w:r>
          </w:p>
        </w:tc>
        <w:tc>
          <w:tcPr>
            <w:tcW w:w="661"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生产设备噪声</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声环境</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间断性污染源</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废含油防渗布</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土壤、植被</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间断性污染源</w:t>
            </w:r>
          </w:p>
        </w:tc>
        <w:tc>
          <w:tcPr>
            <w:tcW w:w="661"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312" w:hRule="atLeast"/>
          <w:jc w:val="center"/>
        </w:trPr>
        <w:tc>
          <w:tcPr>
            <w:tcW w:w="89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拆除/清理作业</w:t>
            </w:r>
          </w:p>
        </w:tc>
        <w:tc>
          <w:tcPr>
            <w:tcW w:w="22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废弃设施、废弃管线等固体废物</w:t>
            </w:r>
          </w:p>
        </w:tc>
        <w:tc>
          <w:tcPr>
            <w:tcW w:w="198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w:t>
            </w:r>
          </w:p>
        </w:tc>
        <w:tc>
          <w:tcPr>
            <w:tcW w:w="264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临时性污染源，随作业结束而消除</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退役期</w:t>
            </w:r>
          </w:p>
        </w:tc>
      </w:tr>
      <w:bookmarkEnd w:id="254"/>
    </w:tbl>
    <w:p>
      <w:pPr>
        <w:numPr>
          <w:ilvl w:val="3"/>
          <w:numId w:val="0"/>
        </w:numPr>
        <w:tabs>
          <w:tab w:val="left" w:pos="864"/>
        </w:tabs>
        <w:spacing w:line="360" w:lineRule="auto"/>
        <w:jc w:val="left"/>
        <w:rPr>
          <w:rFonts w:ascii="Times New Roman" w:hAnsi="Times New Roman" w:cs="Times New Roman"/>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1261110</wp:posOffset>
                </wp:positionH>
                <wp:positionV relativeFrom="paragraph">
                  <wp:posOffset>1250315</wp:posOffset>
                </wp:positionV>
                <wp:extent cx="0" cy="182245"/>
                <wp:effectExtent l="38100" t="0" r="38100" b="8255"/>
                <wp:wrapNone/>
                <wp:docPr id="500" name="直接箭头连接符 500"/>
                <wp:cNvGraphicFramePr/>
                <a:graphic xmlns:a="http://schemas.openxmlformats.org/drawingml/2006/main">
                  <a:graphicData uri="http://schemas.microsoft.com/office/word/2010/wordprocessingShape">
                    <wps:wsp>
                      <wps:cNvCnPr/>
                      <wps:spPr>
                        <a:xfrm flipV="1">
                          <a:off x="2404110" y="2141220"/>
                          <a:ext cx="0" cy="182245"/>
                        </a:xfrm>
                        <a:prstGeom prst="straightConnector1">
                          <a:avLst/>
                        </a:prstGeom>
                        <a:ln>
                          <a:solidFill>
                            <a:schemeClr val="tx1"/>
                          </a:solidFill>
                          <a:prstDash val="sys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99.3pt;margin-top:98.45pt;height:14.35pt;width:0pt;z-index:251678720;mso-width-relative:page;mso-height-relative:page;" filled="f" stroked="t" coordsize="21600,21600" o:gfxdata="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9QXStYAAAALAQAADwAAAAAAAAAB&#10;ACAAAAAiAAAAZHJzL2Rvd25yZXYueG1sUEsBAhQAFAAAAAgAh07iQLJDynkSAgAA2QMAAA4AAAAA&#10;AAAAAQAgAAAAJQEAAGRycy9lMm9Eb2MueG1sUEsFBgAAAAAGAAYAWQEAAKkFAAAAAA==&#10;">
                <v:fill on="f" focussize="0,0"/>
                <v:stroke weight="1pt" color="#000000 [3213]" miterlimit="8" joinstyle="miter" dashstyle="3 1"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213360</wp:posOffset>
                </wp:positionH>
                <wp:positionV relativeFrom="paragraph">
                  <wp:posOffset>1598930</wp:posOffset>
                </wp:positionV>
                <wp:extent cx="476250" cy="0"/>
                <wp:effectExtent l="0" t="38100" r="0" b="38100"/>
                <wp:wrapNone/>
                <wp:docPr id="391" name="直接箭头连接符 391"/>
                <wp:cNvGraphicFramePr/>
                <a:graphic xmlns:a="http://schemas.openxmlformats.org/drawingml/2006/main">
                  <a:graphicData uri="http://schemas.microsoft.com/office/word/2010/wordprocessingShape">
                    <wps:wsp>
                      <wps:cNvCnPr/>
                      <wps:spPr>
                        <a:xfrm>
                          <a:off x="1356360" y="2528570"/>
                          <a:ext cx="476250" cy="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8pt;margin-top:125.9pt;height:0pt;width:37.5pt;z-index:251677696;mso-width-relative:page;mso-height-relative:page;" filled="f" stroked="t" coordsize="21600,21600" o:gfxdata="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fk2Dt1QAAAAoBAAAPAAAAAAAAAAEAIAAAACIA&#10;AABkcnMvZG93bnJldi54bWxQSwECFAAUAAAACACHTuJAzUXoMwwCAADNAwAADgAAAAAAAAABACAA&#10;AAAkAQAAZHJzL2Uyb0RvYy54bWxQSwUGAAAAAAYABgBZAQAAogUAAAAA&#10;">
                <v:fill on="f" focussize="0,0"/>
                <v:stroke weight="1pt" color="#000000 [3213]" miterlimit="8" joinstyle="miter"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1864360</wp:posOffset>
                </wp:positionH>
                <wp:positionV relativeFrom="paragraph">
                  <wp:posOffset>1597025</wp:posOffset>
                </wp:positionV>
                <wp:extent cx="269875" cy="0"/>
                <wp:effectExtent l="0" t="38100" r="15875" b="38100"/>
                <wp:wrapNone/>
                <wp:docPr id="385" name="直接箭头连接符 385"/>
                <wp:cNvGraphicFramePr/>
                <a:graphic xmlns:a="http://schemas.openxmlformats.org/drawingml/2006/main">
                  <a:graphicData uri="http://schemas.microsoft.com/office/word/2010/wordprocessingShape">
                    <wps:wsp>
                      <wps:cNvCnPr/>
                      <wps:spPr>
                        <a:xfrm flipH="1">
                          <a:off x="3007360" y="2488565"/>
                          <a:ext cx="269875" cy="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6.8pt;margin-top:125.75pt;height:0pt;width:21.25pt;z-index:251676672;mso-width-relative:page;mso-height-relative:page;" filled="f" stroked="t" coordsize="21600,21600" o:gfxdata="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Gg6O1QAAAAsBAAAPAAAAAAAA&#10;AAEAIAAAACIAAABkcnMvZG93bnJldi54bWxQSwECFAAUAAAACACHTuJAYnr5zBUCAADXAwAADgAA&#10;AAAAAAABACAAAAAkAQAAZHJzL2Uyb0RvYy54bWxQSwUGAAAAAAYABgBZAQAAqwUAAAAA&#10;">
                <v:fill on="f" focussize="0,0"/>
                <v:stroke weight="1pt" color="#000000 [3213]" miterlimit="8" joinstyle="miter" endarrow="block"/>
                <v:imagedata o:title=""/>
                <o:lock v:ext="edit" aspectratio="f"/>
              </v:shape>
            </w:pict>
          </mc:Fallback>
        </mc:AlternateContent>
      </w:r>
      <w:r>
        <w:rPr>
          <w:rFonts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509270</wp:posOffset>
                </wp:positionH>
                <wp:positionV relativeFrom="paragraph">
                  <wp:posOffset>6422390</wp:posOffset>
                </wp:positionV>
                <wp:extent cx="4017645" cy="289560"/>
                <wp:effectExtent l="6350" t="6350" r="14605" b="8890"/>
                <wp:wrapNone/>
                <wp:docPr id="27" name="组合 27"/>
                <wp:cNvGraphicFramePr/>
                <a:graphic xmlns:a="http://schemas.openxmlformats.org/drawingml/2006/main">
                  <a:graphicData uri="http://schemas.microsoft.com/office/word/2010/wordprocessingGroup">
                    <wpg:wgp>
                      <wpg:cNvGrpSpPr/>
                      <wpg:grpSpPr>
                        <a:xfrm>
                          <a:off x="0" y="0"/>
                          <a:ext cx="4017645" cy="289560"/>
                          <a:chOff x="4404" y="2154571"/>
                          <a:chExt cx="6327" cy="456"/>
                        </a:xfrm>
                      </wpg:grpSpPr>
                      <wps:wsp>
                        <wps:cNvPr id="19" name="文本框 19"/>
                        <wps:cNvSpPr txBox="1"/>
                        <wps:spPr>
                          <a:xfrm>
                            <a:off x="4404" y="2154571"/>
                            <a:ext cx="1449" cy="446"/>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18"/>
                                  <w:szCs w:val="18"/>
                                </w:rPr>
                              </w:pPr>
                              <w:r>
                                <w:rPr>
                                  <w:rFonts w:hint="eastAsia"/>
                                  <w:sz w:val="18"/>
                                  <w:szCs w:val="18"/>
                                </w:rPr>
                                <w:t>陆梁注水站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7032" y="2154581"/>
                            <a:ext cx="1449" cy="446"/>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18"/>
                                  <w:szCs w:val="18"/>
                                </w:rPr>
                                <w:t>计量配水站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9732" y="2154573"/>
                            <a:ext cx="999" cy="434"/>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18"/>
                                  <w:szCs w:val="18"/>
                                </w:rPr>
                                <w:t>注水井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直接箭头连接符 23"/>
                        <wps:cNvCnPr>
                          <a:stCxn id="19" idx="3"/>
                          <a:endCxn id="21" idx="1"/>
                        </wps:cNvCnPr>
                        <wps:spPr>
                          <a:xfrm>
                            <a:off x="5853" y="2154794"/>
                            <a:ext cx="1179" cy="1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6" name="直接箭头连接符 26"/>
                        <wps:cNvCnPr>
                          <a:stCxn id="21" idx="3"/>
                          <a:endCxn id="22" idx="1"/>
                        </wps:cNvCnPr>
                        <wps:spPr>
                          <a:xfrm flipV="1">
                            <a:off x="8481" y="2154790"/>
                            <a:ext cx="1251" cy="14"/>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40.1pt;margin-top:505.7pt;height:22.8pt;width:316.35pt;z-index:251666432;mso-width-relative:page;mso-height-relative:page;" coordorigin="4404,2154571" coordsize="6327,456" o:gfxdata="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AQskOtsAAAAMAQAADwAAAAAAAAABACAAAAAiAAAAZHJzL2Rvd25yZXYueG1sUEsB&#10;AhQAFAAAAAgAh07iQPuX/kEsBAAA4Q8AAA4AAAAAAAAAAQAgAAAAKgEAAGRycy9lMm9Eb2MueG1s&#10;UEsFBgAAAAAGAAYAWQEAAMgHAAAAAA==&#10;">
                <o:lock v:ext="edit" aspectratio="f"/>
                <v:shape id="_x0000_s1026" o:spid="_x0000_s1026" o:spt="202" type="#_x0000_t202" style="position:absolute;left:4404;top:2154571;height:446;width:1449;" filled="f" stroked="t" coordsize="21600,21600" o:gfxdata="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NiBbsAAADb&#10;AAAADwAAAAAAAAABACAAAAAiAAAAZHJzL2Rvd25yZXYueG1sUEsBAhQAFAAAAAgAh07iQDMvBZ47&#10;AAAAOQAAABAAAAAAAAAAAQAgAAAACgEAAGRycy9zaGFwZXhtbC54bWxQSwUGAAAAAAYABgBbAQAA&#10;tAMAAAAA&#10;">
                  <v:fill on="f" focussize="0,0"/>
                  <v:stroke weight="1pt" color="#000000 [3204]" joinstyle="round"/>
                  <v:imagedata o:title=""/>
                  <o:lock v:ext="edit" aspectratio="f"/>
                  <v:textbox>
                    <w:txbxContent>
                      <w:p>
                        <w:pPr>
                          <w:jc w:val="center"/>
                          <w:rPr>
                            <w:sz w:val="18"/>
                            <w:szCs w:val="18"/>
                          </w:rPr>
                        </w:pPr>
                        <w:r>
                          <w:rPr>
                            <w:rFonts w:hint="eastAsia"/>
                            <w:sz w:val="18"/>
                            <w:szCs w:val="18"/>
                          </w:rPr>
                          <w:t>陆梁注水站</w:t>
                        </w:r>
                      </w:p>
                    </w:txbxContent>
                  </v:textbox>
                </v:shape>
                <v:shape id="_x0000_s1026" o:spid="_x0000_s1026" o:spt="202" type="#_x0000_t202" style="position:absolute;left:7032;top:2154581;height:446;width:1449;" filled="f" stroked="t" coordsize="21600,21600" o:gfxdata="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aS+vQAA&#10;ANsAAAAPAAAAAAAAAAEAIAAAACIAAABkcnMvZG93bnJldi54bWxQSwECFAAUAAAACACHTuJAMy8F&#10;njsAAAA5AAAAEAAAAAAAAAABACAAAAAMAQAAZHJzL3NoYXBleG1sLnhtbFBLBQYAAAAABgAGAFsB&#10;AAC2AwAAAAA=&#10;">
                  <v:fill on="f" focussize="0,0"/>
                  <v:stroke weight="1pt" color="#000000 [3204]" joinstyle="round"/>
                  <v:imagedata o:title=""/>
                  <o:lock v:ext="edit" aspectratio="f"/>
                  <v:textbox>
                    <w:txbxContent>
                      <w:p>
                        <w:pPr>
                          <w:jc w:val="center"/>
                        </w:pPr>
                        <w:r>
                          <w:rPr>
                            <w:rFonts w:hint="eastAsia"/>
                            <w:sz w:val="18"/>
                            <w:szCs w:val="18"/>
                          </w:rPr>
                          <w:t>计量配水站</w:t>
                        </w:r>
                      </w:p>
                    </w:txbxContent>
                  </v:textbox>
                </v:shape>
                <v:shape id="_x0000_s1026" o:spid="_x0000_s1026" o:spt="202" type="#_x0000_t202" style="position:absolute;left:9732;top:2154573;height:434;width:999;" filled="f" stroked="t" coordsize="21600,21600" o:gfxdata="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zrJvQAA&#10;ANsAAAAPAAAAAAAAAAEAIAAAACIAAABkcnMvZG93bnJldi54bWxQSwECFAAUAAAACACHTuJAMy8F&#10;njsAAAA5AAAAEAAAAAAAAAABACAAAAAMAQAAZHJzL3NoYXBleG1sLnhtbFBLBQYAAAAABgAGAFsB&#10;AAC2AwAAAAA=&#10;">
                  <v:fill on="f" focussize="0,0"/>
                  <v:stroke weight="1pt" color="#000000 [3204]" joinstyle="round"/>
                  <v:imagedata o:title=""/>
                  <o:lock v:ext="edit" aspectratio="f"/>
                  <v:textbox>
                    <w:txbxContent>
                      <w:p>
                        <w:pPr>
                          <w:jc w:val="center"/>
                        </w:pPr>
                        <w:r>
                          <w:rPr>
                            <w:rFonts w:hint="eastAsia"/>
                            <w:sz w:val="18"/>
                            <w:szCs w:val="18"/>
                          </w:rPr>
                          <w:t>注水井</w:t>
                        </w:r>
                      </w:p>
                    </w:txbxContent>
                  </v:textbox>
                </v:shape>
                <v:shape id="_x0000_s1026" o:spid="_x0000_s1026" o:spt="32" type="#_x0000_t32" style="position:absolute;left:5853;top:2154794;height:10;width:1179;" filled="f" stroked="t" coordsize="21600,21600" o:gfxdata="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1257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8481;top:2154790;flip:y;height:14;width:1251;" filled="f" stroked="t" coordsize="21600,21600" o:gfxdata="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iJK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w:pict>
          </mc:Fallback>
        </mc:AlternateContent>
      </w:r>
      <w:r>
        <w:rPr>
          <w:rFonts w:ascii="Times New Roman" w:hAnsi="Times New Roman" w:cs="Times New Roman"/>
          <w:color w:val="000000" w:themeColor="text1"/>
          <w:szCs w:val="21"/>
          <w14:textFill>
            <w14:solidFill>
              <w14:schemeClr w14:val="tx1"/>
            </w14:solidFill>
          </w14:textFill>
        </w:rPr>
        <mc:AlternateContent>
          <mc:Choice Requires="wpc">
            <w:drawing>
              <wp:inline distT="0" distB="0" distL="114300" distR="114300">
                <wp:extent cx="5333365" cy="6774180"/>
                <wp:effectExtent l="4445" t="4445" r="15240" b="22225"/>
                <wp:docPr id="14" name="画布 14"/>
                <wp:cNvGraphicFramePr/>
                <a:graphic xmlns:a="http://schemas.openxmlformats.org/drawingml/2006/main">
                  <a:graphicData uri="http://schemas.microsoft.com/office/word/2010/wordprocessingCanvas">
                    <wpc:wpc>
                      <wpc:bg>
                        <a:noFill/>
                      </wpc:bg>
                      <wpc:whole>
                        <a:ln>
                          <a:solidFill>
                            <a:schemeClr val="tx1"/>
                          </a:solidFill>
                        </a:ln>
                      </wpc:whole>
                      <wps:wsp>
                        <wps:cNvPr id="37" name="直接连接符 14"/>
                        <wps:cNvCnPr/>
                        <wps:spPr>
                          <a:xfrm>
                            <a:off x="1223010" y="498475"/>
                            <a:ext cx="886460" cy="635"/>
                          </a:xfrm>
                          <a:prstGeom prst="line">
                            <a:avLst/>
                          </a:prstGeom>
                          <a:ln w="12700" cap="flat" cmpd="sng">
                            <a:solidFill>
                              <a:srgbClr val="000000"/>
                            </a:solidFill>
                            <a:prstDash val="dash"/>
                            <a:headEnd type="triangle" w="med" len="med"/>
                            <a:tailEnd type="none" w="med" len="med"/>
                          </a:ln>
                        </wps:spPr>
                        <wps:bodyPr/>
                      </wps:wsp>
                      <wps:wsp>
                        <wps:cNvPr id="38" name="直接连接符 15"/>
                        <wps:cNvCnPr/>
                        <wps:spPr>
                          <a:xfrm>
                            <a:off x="1226185" y="121920"/>
                            <a:ext cx="635" cy="738505"/>
                          </a:xfrm>
                          <a:prstGeom prst="line">
                            <a:avLst/>
                          </a:prstGeom>
                          <a:ln w="12700" cap="flat" cmpd="sng">
                            <a:solidFill>
                              <a:srgbClr val="000000"/>
                            </a:solidFill>
                            <a:prstDash val="dash"/>
                            <a:headEnd type="none" w="med" len="med"/>
                            <a:tailEnd type="none" w="med" len="med"/>
                          </a:ln>
                        </wps:spPr>
                        <wps:bodyPr/>
                      </wps:wsp>
                      <wps:wsp>
                        <wps:cNvPr id="39" name="直接连接符 16"/>
                        <wps:cNvCnPr/>
                        <wps:spPr>
                          <a:xfrm>
                            <a:off x="997585" y="132080"/>
                            <a:ext cx="236855" cy="0"/>
                          </a:xfrm>
                          <a:prstGeom prst="line">
                            <a:avLst/>
                          </a:prstGeom>
                          <a:ln w="12700" cap="flat" cmpd="sng">
                            <a:solidFill>
                              <a:srgbClr val="000000"/>
                            </a:solidFill>
                            <a:prstDash val="dash"/>
                            <a:headEnd type="triangle" w="med" len="med"/>
                            <a:tailEnd type="none" w="med" len="med"/>
                          </a:ln>
                        </wps:spPr>
                        <wps:bodyPr/>
                      </wps:wsp>
                      <wps:wsp>
                        <wps:cNvPr id="40" name="直接连接符 17"/>
                        <wps:cNvCnPr/>
                        <wps:spPr>
                          <a:xfrm>
                            <a:off x="997585" y="393700"/>
                            <a:ext cx="236855" cy="0"/>
                          </a:xfrm>
                          <a:prstGeom prst="line">
                            <a:avLst/>
                          </a:prstGeom>
                          <a:ln w="12700" cap="flat" cmpd="sng">
                            <a:solidFill>
                              <a:srgbClr val="000000"/>
                            </a:solidFill>
                            <a:prstDash val="dash"/>
                            <a:headEnd type="triangle" w="med" len="med"/>
                            <a:tailEnd type="none" w="med" len="med"/>
                          </a:ln>
                        </wps:spPr>
                        <wps:bodyPr/>
                      </wps:wsp>
                      <wps:wsp>
                        <wps:cNvPr id="41" name="直接连接符 18"/>
                        <wps:cNvCnPr/>
                        <wps:spPr>
                          <a:xfrm>
                            <a:off x="997585" y="619125"/>
                            <a:ext cx="236855" cy="0"/>
                          </a:xfrm>
                          <a:prstGeom prst="line">
                            <a:avLst/>
                          </a:prstGeom>
                          <a:ln w="12700" cap="flat" cmpd="sng">
                            <a:solidFill>
                              <a:srgbClr val="000000"/>
                            </a:solidFill>
                            <a:prstDash val="dash"/>
                            <a:headEnd type="triangle" w="med" len="med"/>
                            <a:tailEnd type="none" w="med" len="med"/>
                          </a:ln>
                        </wps:spPr>
                        <wps:bodyPr/>
                      </wps:wsp>
                      <wps:wsp>
                        <wps:cNvPr id="42" name="直接连接符 19"/>
                        <wps:cNvCnPr/>
                        <wps:spPr>
                          <a:xfrm>
                            <a:off x="992505" y="862330"/>
                            <a:ext cx="236855" cy="0"/>
                          </a:xfrm>
                          <a:prstGeom prst="line">
                            <a:avLst/>
                          </a:prstGeom>
                          <a:ln w="12700" cap="flat" cmpd="sng">
                            <a:solidFill>
                              <a:srgbClr val="000000"/>
                            </a:solidFill>
                            <a:prstDash val="dash"/>
                            <a:headEnd type="triangle" w="med" len="med"/>
                            <a:tailEnd type="none" w="med" len="med"/>
                          </a:ln>
                        </wps:spPr>
                        <wps:bodyPr/>
                      </wps:wsp>
                      <wps:wsp>
                        <wps:cNvPr id="43" name="文本框 20"/>
                        <wps:cNvSpPr txBox="1"/>
                        <wps:spPr>
                          <a:xfrm>
                            <a:off x="12065" y="727075"/>
                            <a:ext cx="1001395" cy="330200"/>
                          </a:xfrm>
                          <a:prstGeom prst="rect">
                            <a:avLst/>
                          </a:prstGeom>
                          <a:noFill/>
                          <a:ln w="12700">
                            <a:noFill/>
                          </a:ln>
                        </wps:spPr>
                        <wps:txbx>
                          <w:txbxContent>
                            <w:p>
                              <w:pPr>
                                <w:rPr>
                                  <w:sz w:val="20"/>
                                  <w:szCs w:val="20"/>
                                </w:rPr>
                              </w:pPr>
                              <w:r>
                                <w:rPr>
                                  <w:rFonts w:hint="eastAsia"/>
                                  <w:sz w:val="20"/>
                                  <w:szCs w:val="20"/>
                                </w:rPr>
                                <w:t>影响野生动物</w:t>
                              </w:r>
                            </w:p>
                          </w:txbxContent>
                        </wps:txbx>
                        <wps:bodyPr upright="1"/>
                      </wps:wsp>
                      <wps:wsp>
                        <wps:cNvPr id="44" name="文本框 21"/>
                        <wps:cNvSpPr txBox="1"/>
                        <wps:spPr>
                          <a:xfrm>
                            <a:off x="0" y="483235"/>
                            <a:ext cx="1014095" cy="302260"/>
                          </a:xfrm>
                          <a:prstGeom prst="rect">
                            <a:avLst/>
                          </a:prstGeom>
                          <a:noFill/>
                          <a:ln w="12700">
                            <a:noFill/>
                          </a:ln>
                        </wps:spPr>
                        <wps:txbx>
                          <w:txbxContent>
                            <w:p>
                              <w:pPr>
                                <w:rPr>
                                  <w:sz w:val="20"/>
                                  <w:szCs w:val="20"/>
                                </w:rPr>
                              </w:pPr>
                              <w:r>
                                <w:rPr>
                                  <w:rFonts w:hint="eastAsia"/>
                                  <w:sz w:val="20"/>
                                  <w:szCs w:val="20"/>
                                </w:rPr>
                                <w:t>破坏地表植被</w:t>
                              </w:r>
                            </w:p>
                          </w:txbxContent>
                        </wps:txbx>
                        <wps:bodyPr upright="1"/>
                      </wps:wsp>
                      <wps:wsp>
                        <wps:cNvPr id="45" name="文本框 22"/>
                        <wps:cNvSpPr txBox="1"/>
                        <wps:spPr>
                          <a:xfrm>
                            <a:off x="186690" y="0"/>
                            <a:ext cx="768985" cy="309880"/>
                          </a:xfrm>
                          <a:prstGeom prst="rect">
                            <a:avLst/>
                          </a:prstGeom>
                          <a:noFill/>
                          <a:ln w="12700">
                            <a:noFill/>
                          </a:ln>
                        </wps:spPr>
                        <wps:txbx>
                          <w:txbxContent>
                            <w:p>
                              <w:pPr>
                                <w:rPr>
                                  <w:sz w:val="18"/>
                                  <w:szCs w:val="18"/>
                                </w:rPr>
                              </w:pPr>
                              <w:r>
                                <w:rPr>
                                  <w:rFonts w:hint="eastAsia"/>
                                  <w:sz w:val="18"/>
                                  <w:szCs w:val="18"/>
                                </w:rPr>
                                <w:t>占用土地</w:t>
                              </w:r>
                            </w:p>
                          </w:txbxContent>
                        </wps:txbx>
                        <wps:bodyPr upright="1"/>
                      </wps:wsp>
                      <wps:wsp>
                        <wps:cNvPr id="46" name="文本框 23"/>
                        <wps:cNvSpPr txBox="1"/>
                        <wps:spPr>
                          <a:xfrm>
                            <a:off x="71755" y="250190"/>
                            <a:ext cx="998220" cy="323215"/>
                          </a:xfrm>
                          <a:prstGeom prst="rect">
                            <a:avLst/>
                          </a:prstGeom>
                          <a:noFill/>
                          <a:ln w="12700">
                            <a:noFill/>
                          </a:ln>
                        </wps:spPr>
                        <wps:txbx>
                          <w:txbxContent>
                            <w:p>
                              <w:pPr>
                                <w:rPr>
                                  <w:sz w:val="20"/>
                                  <w:szCs w:val="20"/>
                                </w:rPr>
                              </w:pPr>
                              <w:r>
                                <w:rPr>
                                  <w:rFonts w:hint="eastAsia"/>
                                  <w:sz w:val="20"/>
                                  <w:szCs w:val="20"/>
                                </w:rPr>
                                <w:t>土壤扰动</w:t>
                              </w:r>
                            </w:p>
                          </w:txbxContent>
                        </wps:txbx>
                        <wps:bodyPr upright="1"/>
                      </wps:wsp>
                      <wps:wsp>
                        <wps:cNvPr id="47" name="文本框 24"/>
                        <wps:cNvSpPr txBox="1"/>
                        <wps:spPr>
                          <a:xfrm>
                            <a:off x="3420745" y="285115"/>
                            <a:ext cx="1264920" cy="497205"/>
                          </a:xfrm>
                          <a:prstGeom prst="rect">
                            <a:avLst/>
                          </a:prstGeom>
                          <a:noFill/>
                          <a:ln w="12700">
                            <a:noFill/>
                          </a:ln>
                        </wps:spPr>
                        <wps:txbx>
                          <w:txbxContent>
                            <w:p>
                              <w:pPr>
                                <w:pStyle w:val="34"/>
                                <w:rPr>
                                  <w:sz w:val="18"/>
                                  <w:szCs w:val="18"/>
                                </w:rPr>
                              </w:pPr>
                              <w:r>
                                <w:rPr>
                                  <w:rFonts w:hint="eastAsia"/>
                                  <w:sz w:val="18"/>
                                  <w:szCs w:val="18"/>
                                </w:rPr>
                                <w:t>施工机械废气</w:t>
                              </w:r>
                            </w:p>
                            <w:p>
                              <w:pPr>
                                <w:pStyle w:val="34"/>
                                <w:rPr>
                                  <w:sz w:val="18"/>
                                  <w:szCs w:val="18"/>
                                </w:rPr>
                              </w:pPr>
                              <w:r>
                                <w:rPr>
                                  <w:rFonts w:hint="eastAsia"/>
                                  <w:sz w:val="18"/>
                                  <w:szCs w:val="18"/>
                                </w:rPr>
                                <w:t>运输车辆尾气</w:t>
                              </w:r>
                            </w:p>
                          </w:txbxContent>
                        </wps:txbx>
                        <wps:bodyPr upright="1"/>
                      </wps:wsp>
                      <wps:wsp>
                        <wps:cNvPr id="48" name="文本框 25"/>
                        <wps:cNvSpPr txBox="1"/>
                        <wps:spPr>
                          <a:xfrm>
                            <a:off x="1325880" y="156845"/>
                            <a:ext cx="742315" cy="349885"/>
                          </a:xfrm>
                          <a:prstGeom prst="rect">
                            <a:avLst/>
                          </a:prstGeom>
                          <a:noFill/>
                          <a:ln w="12700">
                            <a:noFill/>
                          </a:ln>
                        </wps:spPr>
                        <wps:txbx>
                          <w:txbxContent>
                            <w:p>
                              <w:pPr>
                                <w:rPr>
                                  <w:sz w:val="20"/>
                                  <w:szCs w:val="20"/>
                                </w:rPr>
                              </w:pPr>
                              <w:r>
                                <w:rPr>
                                  <w:rFonts w:hint="eastAsia"/>
                                  <w:sz w:val="20"/>
                                  <w:szCs w:val="20"/>
                                </w:rPr>
                                <w:t>生态影响</w:t>
                              </w:r>
                            </w:p>
                          </w:txbxContent>
                        </wps:txbx>
                        <wps:bodyPr upright="1"/>
                      </wps:wsp>
                      <wps:wsp>
                        <wps:cNvPr id="49" name="文本框 26"/>
                        <wps:cNvSpPr txBox="1"/>
                        <wps:spPr>
                          <a:xfrm>
                            <a:off x="2104390" y="144780"/>
                            <a:ext cx="768985" cy="608330"/>
                          </a:xfrm>
                          <a:prstGeom prst="rect">
                            <a:avLst/>
                          </a:prstGeom>
                          <a:noFill/>
                          <a:ln w="12700" cap="flat" cmpd="sng">
                            <a:solidFill>
                              <a:srgbClr val="000000"/>
                            </a:solidFill>
                            <a:prstDash val="solid"/>
                            <a:miter/>
                            <a:headEnd type="none" w="med" len="med"/>
                            <a:tailEnd type="none" w="med" len="med"/>
                          </a:ln>
                        </wps:spPr>
                        <wps:txbx>
                          <w:txbxContent>
                            <w:p>
                              <w:pPr>
                                <w:pStyle w:val="34"/>
                                <w:ind w:left="0" w:firstLine="0"/>
                              </w:pPr>
                              <w:r>
                                <w:rPr>
                                  <w:rFonts w:hint="eastAsia"/>
                                  <w:sz w:val="20"/>
                                  <w:szCs w:val="22"/>
                                </w:rPr>
                                <w:t>井场建设、计量站、架空线路等</w:t>
                              </w:r>
                            </w:p>
                          </w:txbxContent>
                        </wps:txbx>
                        <wps:bodyPr upright="1"/>
                      </wps:wsp>
                      <wps:wsp>
                        <wps:cNvPr id="50" name="直接连接符 27"/>
                        <wps:cNvCnPr/>
                        <wps:spPr>
                          <a:xfrm>
                            <a:off x="3329305" y="140335"/>
                            <a:ext cx="236855" cy="0"/>
                          </a:xfrm>
                          <a:prstGeom prst="line">
                            <a:avLst/>
                          </a:prstGeom>
                          <a:ln w="12700" cap="flat" cmpd="sng">
                            <a:solidFill>
                              <a:srgbClr val="000000"/>
                            </a:solidFill>
                            <a:prstDash val="dash"/>
                            <a:headEnd type="none" w="med" len="med"/>
                            <a:tailEnd type="triangle" w="med" len="med"/>
                          </a:ln>
                        </wps:spPr>
                        <wps:bodyPr/>
                      </wps:wsp>
                      <wps:wsp>
                        <wps:cNvPr id="51" name="直接连接符 28"/>
                        <wps:cNvCnPr/>
                        <wps:spPr>
                          <a:xfrm>
                            <a:off x="3335020" y="499110"/>
                            <a:ext cx="236855" cy="0"/>
                          </a:xfrm>
                          <a:prstGeom prst="line">
                            <a:avLst/>
                          </a:prstGeom>
                          <a:ln w="12700" cap="flat" cmpd="sng">
                            <a:solidFill>
                              <a:srgbClr val="000000"/>
                            </a:solidFill>
                            <a:prstDash val="dash"/>
                            <a:headEnd type="none" w="med" len="med"/>
                            <a:tailEnd type="triangle" w="med" len="med"/>
                          </a:ln>
                        </wps:spPr>
                        <wps:bodyPr/>
                      </wps:wsp>
                      <wps:wsp>
                        <wps:cNvPr id="52" name="直接连接符 29"/>
                        <wps:cNvCnPr/>
                        <wps:spPr>
                          <a:xfrm>
                            <a:off x="2874645" y="494665"/>
                            <a:ext cx="448945" cy="635"/>
                          </a:xfrm>
                          <a:prstGeom prst="line">
                            <a:avLst/>
                          </a:prstGeom>
                          <a:ln w="12700" cap="flat" cmpd="sng">
                            <a:solidFill>
                              <a:srgbClr val="000000"/>
                            </a:solidFill>
                            <a:prstDash val="dash"/>
                            <a:headEnd type="none" w="med" len="med"/>
                            <a:tailEnd type="triangle" w="med" len="med"/>
                          </a:ln>
                        </wps:spPr>
                        <wps:bodyPr/>
                      </wps:wsp>
                      <wps:wsp>
                        <wps:cNvPr id="53" name="直接连接符 30"/>
                        <wps:cNvCnPr/>
                        <wps:spPr>
                          <a:xfrm flipH="1">
                            <a:off x="3317875" y="139700"/>
                            <a:ext cx="5080" cy="723265"/>
                          </a:xfrm>
                          <a:prstGeom prst="line">
                            <a:avLst/>
                          </a:prstGeom>
                          <a:ln w="12700" cap="flat" cmpd="sng">
                            <a:solidFill>
                              <a:srgbClr val="000000"/>
                            </a:solidFill>
                            <a:prstDash val="dash"/>
                            <a:headEnd type="none" w="med" len="med"/>
                            <a:tailEnd type="none" w="med" len="med"/>
                          </a:ln>
                        </wps:spPr>
                        <wps:bodyPr/>
                      </wps:wsp>
                      <wps:wsp>
                        <wps:cNvPr id="54" name="直接连接符 31"/>
                        <wps:cNvCnPr/>
                        <wps:spPr>
                          <a:xfrm>
                            <a:off x="3324225" y="855980"/>
                            <a:ext cx="236855" cy="0"/>
                          </a:xfrm>
                          <a:prstGeom prst="line">
                            <a:avLst/>
                          </a:prstGeom>
                          <a:ln w="12700" cap="flat" cmpd="sng">
                            <a:solidFill>
                              <a:srgbClr val="000000"/>
                            </a:solidFill>
                            <a:prstDash val="dash"/>
                            <a:headEnd type="none" w="med" len="med"/>
                            <a:tailEnd type="triangle" w="med" len="med"/>
                          </a:ln>
                        </wps:spPr>
                        <wps:bodyPr/>
                      </wps:wsp>
                      <wps:wsp>
                        <wps:cNvPr id="55" name="文本框 32"/>
                        <wps:cNvSpPr txBox="1"/>
                        <wps:spPr>
                          <a:xfrm>
                            <a:off x="3571875" y="22860"/>
                            <a:ext cx="768985" cy="275590"/>
                          </a:xfrm>
                          <a:prstGeom prst="rect">
                            <a:avLst/>
                          </a:prstGeom>
                          <a:noFill/>
                          <a:ln w="12700">
                            <a:noFill/>
                          </a:ln>
                        </wps:spPr>
                        <wps:txbx>
                          <w:txbxContent>
                            <w:p>
                              <w:pPr>
                                <w:pStyle w:val="34"/>
                                <w:rPr>
                                  <w:sz w:val="20"/>
                                  <w:szCs w:val="22"/>
                                </w:rPr>
                              </w:pPr>
                              <w:r>
                                <w:rPr>
                                  <w:rFonts w:hint="eastAsia"/>
                                  <w:sz w:val="20"/>
                                  <w:szCs w:val="22"/>
                                </w:rPr>
                                <w:t>扬尘</w:t>
                              </w:r>
                            </w:p>
                          </w:txbxContent>
                        </wps:txbx>
                        <wps:bodyPr upright="1"/>
                      </wps:wsp>
                      <wps:wsp>
                        <wps:cNvPr id="56" name="文本框 33"/>
                        <wps:cNvSpPr txBox="1"/>
                        <wps:spPr>
                          <a:xfrm>
                            <a:off x="3609340" y="757555"/>
                            <a:ext cx="768985" cy="275590"/>
                          </a:xfrm>
                          <a:prstGeom prst="rect">
                            <a:avLst/>
                          </a:prstGeom>
                          <a:noFill/>
                          <a:ln w="12700">
                            <a:noFill/>
                          </a:ln>
                        </wps:spPr>
                        <wps:txbx>
                          <w:txbxContent>
                            <w:p>
                              <w:pPr>
                                <w:pStyle w:val="34"/>
                                <w:rPr>
                                  <w:sz w:val="20"/>
                                  <w:szCs w:val="22"/>
                                </w:rPr>
                              </w:pPr>
                              <w:r>
                                <w:rPr>
                                  <w:rFonts w:hint="eastAsia"/>
                                  <w:sz w:val="20"/>
                                  <w:szCs w:val="22"/>
                                </w:rPr>
                                <w:t>噪声</w:t>
                              </w:r>
                            </w:p>
                          </w:txbxContent>
                        </wps:txbx>
                        <wps:bodyPr upright="1"/>
                      </wps:wsp>
                      <wps:wsp>
                        <wps:cNvPr id="57" name="文本框 34"/>
                        <wps:cNvSpPr txBox="1"/>
                        <wps:spPr>
                          <a:xfrm>
                            <a:off x="2135505" y="1369060"/>
                            <a:ext cx="768985" cy="302260"/>
                          </a:xfrm>
                          <a:prstGeom prst="rect">
                            <a:avLst/>
                          </a:prstGeom>
                          <a:noFill/>
                          <a:ln w="12700" cap="flat" cmpd="sng">
                            <a:solidFill>
                              <a:srgbClr val="000000"/>
                            </a:solidFill>
                            <a:prstDash val="solid"/>
                            <a:miter/>
                            <a:headEnd type="none" w="med" len="med"/>
                            <a:tailEnd type="none" w="med" len="med"/>
                          </a:ln>
                        </wps:spPr>
                        <wps:txbx>
                          <w:txbxContent>
                            <w:p>
                              <w:pPr>
                                <w:pStyle w:val="34"/>
                                <w:ind w:left="0" w:firstLine="0"/>
                                <w:rPr>
                                  <w:sz w:val="20"/>
                                  <w:szCs w:val="22"/>
                                </w:rPr>
                              </w:pPr>
                              <w:r>
                                <w:rPr>
                                  <w:rFonts w:hint="eastAsia"/>
                                  <w:sz w:val="20"/>
                                  <w:szCs w:val="22"/>
                                </w:rPr>
                                <w:t>钻前作业</w:t>
                              </w:r>
                            </w:p>
                          </w:txbxContent>
                        </wps:txbx>
                        <wps:bodyPr upright="1"/>
                      </wps:wsp>
                      <wps:wsp>
                        <wps:cNvPr id="58" name="直接连接符 35"/>
                        <wps:cNvCnPr/>
                        <wps:spPr>
                          <a:xfrm flipH="1">
                            <a:off x="2516505" y="1671320"/>
                            <a:ext cx="3810" cy="685165"/>
                          </a:xfrm>
                          <a:prstGeom prst="line">
                            <a:avLst/>
                          </a:prstGeom>
                          <a:ln w="12700" cap="flat" cmpd="sng">
                            <a:solidFill>
                              <a:srgbClr val="000000"/>
                            </a:solidFill>
                            <a:prstDash val="solid"/>
                            <a:headEnd type="none" w="med" len="med"/>
                            <a:tailEnd type="triangle" w="med" len="med"/>
                          </a:ln>
                        </wps:spPr>
                        <wps:bodyPr/>
                      </wps:wsp>
                      <wps:wsp>
                        <wps:cNvPr id="59" name="文本框 36"/>
                        <wps:cNvSpPr txBox="1"/>
                        <wps:spPr>
                          <a:xfrm>
                            <a:off x="2143125" y="2384425"/>
                            <a:ext cx="768985" cy="301625"/>
                          </a:xfrm>
                          <a:prstGeom prst="rect">
                            <a:avLst/>
                          </a:prstGeom>
                          <a:noFill/>
                          <a:ln w="12700" cap="flat" cmpd="sng">
                            <a:solidFill>
                              <a:srgbClr val="000000"/>
                            </a:solidFill>
                            <a:prstDash val="solid"/>
                            <a:miter/>
                            <a:headEnd type="none" w="med" len="med"/>
                            <a:tailEnd type="none" w="med" len="med"/>
                          </a:ln>
                        </wps:spPr>
                        <wps:txbx>
                          <w:txbxContent>
                            <w:p>
                              <w:pPr>
                                <w:pStyle w:val="34"/>
                                <w:ind w:left="0" w:firstLine="0"/>
                                <w:rPr>
                                  <w:sz w:val="20"/>
                                  <w:szCs w:val="22"/>
                                </w:rPr>
                              </w:pPr>
                              <w:r>
                                <w:rPr>
                                  <w:rFonts w:hint="eastAsia"/>
                                  <w:sz w:val="20"/>
                                  <w:szCs w:val="22"/>
                                </w:rPr>
                                <w:t>钻井工程</w:t>
                              </w:r>
                            </w:p>
                          </w:txbxContent>
                        </wps:txbx>
                        <wps:bodyPr upright="1"/>
                      </wps:wsp>
                      <wps:wsp>
                        <wps:cNvPr id="60" name="直接连接符 37"/>
                        <wps:cNvCnPr/>
                        <wps:spPr>
                          <a:xfrm>
                            <a:off x="2520950" y="2873375"/>
                            <a:ext cx="635" cy="934085"/>
                          </a:xfrm>
                          <a:prstGeom prst="line">
                            <a:avLst/>
                          </a:prstGeom>
                          <a:ln w="12700" cap="flat" cmpd="sng">
                            <a:solidFill>
                              <a:srgbClr val="000000"/>
                            </a:solidFill>
                            <a:prstDash val="solid"/>
                            <a:headEnd type="none" w="med" len="med"/>
                            <a:tailEnd type="triangle" w="med" len="med"/>
                          </a:ln>
                        </wps:spPr>
                        <wps:bodyPr/>
                      </wps:wsp>
                      <wps:wsp>
                        <wps:cNvPr id="61" name="文本框 38"/>
                        <wps:cNvSpPr txBox="1"/>
                        <wps:spPr>
                          <a:xfrm>
                            <a:off x="2143760" y="3808730"/>
                            <a:ext cx="768985" cy="301625"/>
                          </a:xfrm>
                          <a:prstGeom prst="rect">
                            <a:avLst/>
                          </a:prstGeom>
                          <a:noFill/>
                          <a:ln w="12700" cap="flat" cmpd="sng">
                            <a:solidFill>
                              <a:srgbClr val="000000"/>
                            </a:solidFill>
                            <a:prstDash val="solid"/>
                            <a:miter/>
                            <a:headEnd type="none" w="med" len="med"/>
                            <a:tailEnd type="none" w="med" len="med"/>
                          </a:ln>
                        </wps:spPr>
                        <wps:txbx>
                          <w:txbxContent>
                            <w:p>
                              <w:pPr>
                                <w:adjustRightInd w:val="0"/>
                                <w:snapToGrid w:val="0"/>
                                <w:jc w:val="center"/>
                                <w:rPr>
                                  <w:kern w:val="0"/>
                                  <w:sz w:val="20"/>
                                  <w:szCs w:val="22"/>
                                </w:rPr>
                              </w:pPr>
                              <w:r>
                                <w:rPr>
                                  <w:rFonts w:hint="eastAsia"/>
                                  <w:kern w:val="0"/>
                                  <w:sz w:val="20"/>
                                  <w:szCs w:val="22"/>
                                </w:rPr>
                                <w:t>采油工程</w:t>
                              </w:r>
                            </w:p>
                          </w:txbxContent>
                        </wps:txbx>
                        <wps:bodyPr upright="1"/>
                      </wps:wsp>
                      <wps:wsp>
                        <wps:cNvPr id="62" name="直接连接符 39"/>
                        <wps:cNvCnPr/>
                        <wps:spPr>
                          <a:xfrm>
                            <a:off x="2520950" y="4131310"/>
                            <a:ext cx="635" cy="424815"/>
                          </a:xfrm>
                          <a:prstGeom prst="line">
                            <a:avLst/>
                          </a:prstGeom>
                          <a:ln w="12700" cap="flat" cmpd="sng">
                            <a:solidFill>
                              <a:srgbClr val="000000"/>
                            </a:solidFill>
                            <a:prstDash val="solid"/>
                            <a:headEnd type="none" w="med" len="med"/>
                            <a:tailEnd type="triangle" w="med" len="med"/>
                          </a:ln>
                        </wps:spPr>
                        <wps:bodyPr/>
                      </wps:wsp>
                      <wps:wsp>
                        <wps:cNvPr id="63" name="文本框 40"/>
                        <wps:cNvSpPr txBox="1"/>
                        <wps:spPr>
                          <a:xfrm>
                            <a:off x="2049780" y="4562475"/>
                            <a:ext cx="966470" cy="301625"/>
                          </a:xfrm>
                          <a:prstGeom prst="rect">
                            <a:avLst/>
                          </a:prstGeom>
                          <a:noFill/>
                          <a:ln w="12700" cap="flat" cmpd="sng">
                            <a:solidFill>
                              <a:srgbClr val="000000"/>
                            </a:solidFill>
                            <a:prstDash val="solid"/>
                            <a:miter/>
                            <a:headEnd type="none" w="med" len="med"/>
                            <a:tailEnd type="none" w="med" len="med"/>
                          </a:ln>
                        </wps:spPr>
                        <wps:txbx>
                          <w:txbxContent>
                            <w:p>
                              <w:pPr>
                                <w:adjustRightInd w:val="0"/>
                                <w:snapToGrid w:val="0"/>
                                <w:jc w:val="center"/>
                                <w:rPr>
                                  <w:kern w:val="0"/>
                                  <w:sz w:val="20"/>
                                  <w:szCs w:val="22"/>
                                </w:rPr>
                              </w:pPr>
                              <w:r>
                                <w:rPr>
                                  <w:rFonts w:hint="eastAsia"/>
                                  <w:kern w:val="0"/>
                                  <w:sz w:val="20"/>
                                  <w:szCs w:val="22"/>
                                </w:rPr>
                                <w:t>计量站</w:t>
                              </w:r>
                            </w:p>
                          </w:txbxContent>
                        </wps:txbx>
                        <wps:bodyPr upright="1"/>
                      </wps:wsp>
                      <wps:wsp>
                        <wps:cNvPr id="64" name="直接连接符 41"/>
                        <wps:cNvCnPr/>
                        <wps:spPr>
                          <a:xfrm>
                            <a:off x="3667760" y="2068195"/>
                            <a:ext cx="236855" cy="0"/>
                          </a:xfrm>
                          <a:prstGeom prst="line">
                            <a:avLst/>
                          </a:prstGeom>
                          <a:ln w="12700" cap="flat" cmpd="sng">
                            <a:solidFill>
                              <a:srgbClr val="000000"/>
                            </a:solidFill>
                            <a:prstDash val="dash"/>
                            <a:headEnd type="none" w="med" len="med"/>
                            <a:tailEnd type="triangle" w="med" len="med"/>
                          </a:ln>
                        </wps:spPr>
                        <wps:bodyPr/>
                      </wps:wsp>
                      <wps:wsp>
                        <wps:cNvPr id="65" name="直接连接符 42"/>
                        <wps:cNvCnPr/>
                        <wps:spPr>
                          <a:xfrm>
                            <a:off x="2921635" y="2505710"/>
                            <a:ext cx="739775" cy="635"/>
                          </a:xfrm>
                          <a:prstGeom prst="line">
                            <a:avLst/>
                          </a:prstGeom>
                          <a:ln w="12700" cap="flat" cmpd="sng">
                            <a:solidFill>
                              <a:srgbClr val="000000"/>
                            </a:solidFill>
                            <a:prstDash val="dash"/>
                            <a:headEnd type="none" w="med" len="med"/>
                            <a:tailEnd type="triangle" w="med" len="med"/>
                          </a:ln>
                        </wps:spPr>
                        <wps:bodyPr/>
                      </wps:wsp>
                      <wps:wsp>
                        <wps:cNvPr id="66" name="直接连接符 43"/>
                        <wps:cNvCnPr/>
                        <wps:spPr>
                          <a:xfrm>
                            <a:off x="3663315" y="2066290"/>
                            <a:ext cx="5080" cy="824230"/>
                          </a:xfrm>
                          <a:prstGeom prst="line">
                            <a:avLst/>
                          </a:prstGeom>
                          <a:ln w="12700" cap="flat" cmpd="sng">
                            <a:solidFill>
                              <a:srgbClr val="000000"/>
                            </a:solidFill>
                            <a:prstDash val="dash"/>
                            <a:headEnd type="none" w="med" len="med"/>
                            <a:tailEnd type="none" w="med" len="med"/>
                          </a:ln>
                        </wps:spPr>
                        <wps:bodyPr/>
                      </wps:wsp>
                      <wps:wsp>
                        <wps:cNvPr id="67" name="直接连接符 44"/>
                        <wps:cNvCnPr/>
                        <wps:spPr>
                          <a:xfrm>
                            <a:off x="3683000" y="2885440"/>
                            <a:ext cx="236855" cy="0"/>
                          </a:xfrm>
                          <a:prstGeom prst="line">
                            <a:avLst/>
                          </a:prstGeom>
                          <a:ln w="12700" cap="flat" cmpd="sng">
                            <a:solidFill>
                              <a:srgbClr val="000000"/>
                            </a:solidFill>
                            <a:prstDash val="dash"/>
                            <a:headEnd type="none" w="med" len="med"/>
                            <a:tailEnd type="triangle" w="med" len="med"/>
                          </a:ln>
                        </wps:spPr>
                        <wps:bodyPr/>
                      </wps:wsp>
                      <wps:wsp>
                        <wps:cNvPr id="68" name="文本框 45"/>
                        <wps:cNvSpPr txBox="1"/>
                        <wps:spPr>
                          <a:xfrm>
                            <a:off x="570230" y="2766695"/>
                            <a:ext cx="908685" cy="275590"/>
                          </a:xfrm>
                          <a:prstGeom prst="rect">
                            <a:avLst/>
                          </a:prstGeom>
                          <a:noFill/>
                          <a:ln w="12700">
                            <a:noFill/>
                          </a:ln>
                        </wps:spPr>
                        <wps:txbx>
                          <w:txbxContent>
                            <w:p>
                              <w:pPr>
                                <w:pStyle w:val="34"/>
                                <w:rPr>
                                  <w:sz w:val="20"/>
                                  <w:szCs w:val="22"/>
                                </w:rPr>
                              </w:pPr>
                              <w:r>
                                <w:rPr>
                                  <w:rFonts w:hint="eastAsia"/>
                                  <w:sz w:val="20"/>
                                  <w:szCs w:val="22"/>
                                </w:rPr>
                                <w:t>噪声</w:t>
                              </w:r>
                            </w:p>
                          </w:txbxContent>
                        </wps:txbx>
                        <wps:bodyPr upright="1"/>
                      </wps:wsp>
                      <wps:wsp>
                        <wps:cNvPr id="69" name="直接连接符 46"/>
                        <wps:cNvCnPr/>
                        <wps:spPr>
                          <a:xfrm>
                            <a:off x="1685290" y="2587625"/>
                            <a:ext cx="448945" cy="635"/>
                          </a:xfrm>
                          <a:prstGeom prst="line">
                            <a:avLst/>
                          </a:prstGeom>
                          <a:ln w="12700" cap="flat" cmpd="sng">
                            <a:solidFill>
                              <a:srgbClr val="000000"/>
                            </a:solidFill>
                            <a:prstDash val="dash"/>
                            <a:headEnd type="triangle" w="med" len="med"/>
                            <a:tailEnd type="none" w="med" len="med"/>
                          </a:ln>
                        </wps:spPr>
                        <wps:bodyPr/>
                      </wps:wsp>
                      <wps:wsp>
                        <wps:cNvPr id="70" name="直接连接符 47"/>
                        <wps:cNvCnPr/>
                        <wps:spPr>
                          <a:xfrm>
                            <a:off x="1685290" y="2291080"/>
                            <a:ext cx="635" cy="621030"/>
                          </a:xfrm>
                          <a:prstGeom prst="line">
                            <a:avLst/>
                          </a:prstGeom>
                          <a:ln w="12700" cap="flat" cmpd="sng">
                            <a:solidFill>
                              <a:srgbClr val="000000"/>
                            </a:solidFill>
                            <a:prstDash val="dash"/>
                            <a:headEnd type="none" w="med" len="med"/>
                            <a:tailEnd type="none" w="med" len="med"/>
                          </a:ln>
                        </wps:spPr>
                        <wps:bodyPr/>
                      </wps:wsp>
                      <wps:wsp>
                        <wps:cNvPr id="71" name="直接连接符 48"/>
                        <wps:cNvCnPr/>
                        <wps:spPr>
                          <a:xfrm>
                            <a:off x="1456690" y="2310765"/>
                            <a:ext cx="236855" cy="0"/>
                          </a:xfrm>
                          <a:prstGeom prst="line">
                            <a:avLst/>
                          </a:prstGeom>
                          <a:ln w="12700" cap="flat" cmpd="sng">
                            <a:solidFill>
                              <a:srgbClr val="000000"/>
                            </a:solidFill>
                            <a:prstDash val="dash"/>
                            <a:headEnd type="triangle" w="med" len="med"/>
                            <a:tailEnd type="none" w="med" len="med"/>
                          </a:ln>
                        </wps:spPr>
                        <wps:bodyPr/>
                      </wps:wsp>
                      <wps:wsp>
                        <wps:cNvPr id="72" name="直接连接符 49"/>
                        <wps:cNvCnPr/>
                        <wps:spPr>
                          <a:xfrm>
                            <a:off x="1456690" y="2594610"/>
                            <a:ext cx="236855" cy="0"/>
                          </a:xfrm>
                          <a:prstGeom prst="line">
                            <a:avLst/>
                          </a:prstGeom>
                          <a:ln w="12700" cap="flat" cmpd="sng">
                            <a:solidFill>
                              <a:srgbClr val="000000"/>
                            </a:solidFill>
                            <a:prstDash val="dash"/>
                            <a:headEnd type="triangle" w="med" len="med"/>
                            <a:tailEnd type="none" w="med" len="med"/>
                          </a:ln>
                        </wps:spPr>
                        <wps:bodyPr/>
                      </wps:wsp>
                      <wps:wsp>
                        <wps:cNvPr id="73" name="文本框 50"/>
                        <wps:cNvSpPr txBox="1"/>
                        <wps:spPr>
                          <a:xfrm>
                            <a:off x="180975" y="1970405"/>
                            <a:ext cx="1294130" cy="519430"/>
                          </a:xfrm>
                          <a:prstGeom prst="rect">
                            <a:avLst/>
                          </a:prstGeom>
                          <a:noFill/>
                          <a:ln w="12700">
                            <a:noFill/>
                          </a:ln>
                        </wps:spPr>
                        <wps:txbx>
                          <w:txbxContent>
                            <w:p>
                              <w:pPr>
                                <w:pStyle w:val="34"/>
                                <w:ind w:left="0" w:firstLine="0"/>
                                <w:rPr>
                                  <w:sz w:val="20"/>
                                  <w:szCs w:val="22"/>
                                </w:rPr>
                              </w:pPr>
                              <w:r>
                                <w:rPr>
                                  <w:rFonts w:hint="eastAsia"/>
                                  <w:sz w:val="20"/>
                                  <w:szCs w:val="22"/>
                                </w:rPr>
                                <w:t>扬尘、运输车辆废气、柴油燃烧废气</w:t>
                              </w:r>
                            </w:p>
                          </w:txbxContent>
                        </wps:txbx>
                        <wps:bodyPr upright="1"/>
                      </wps:wsp>
                      <wps:wsp>
                        <wps:cNvPr id="74" name="文本框 51"/>
                        <wps:cNvSpPr txBox="1"/>
                        <wps:spPr>
                          <a:xfrm>
                            <a:off x="514985" y="2465705"/>
                            <a:ext cx="998220" cy="289560"/>
                          </a:xfrm>
                          <a:prstGeom prst="rect">
                            <a:avLst/>
                          </a:prstGeom>
                          <a:noFill/>
                          <a:ln w="12700">
                            <a:noFill/>
                          </a:ln>
                        </wps:spPr>
                        <wps:txbx>
                          <w:txbxContent>
                            <w:p>
                              <w:pPr>
                                <w:pStyle w:val="34"/>
                                <w:ind w:left="0" w:firstLine="0"/>
                                <w:jc w:val="both"/>
                                <w:rPr>
                                  <w:sz w:val="20"/>
                                  <w:szCs w:val="22"/>
                                </w:rPr>
                              </w:pPr>
                              <w:r>
                                <w:rPr>
                                  <w:rFonts w:hint="eastAsia"/>
                                  <w:sz w:val="20"/>
                                  <w:szCs w:val="22"/>
                                </w:rPr>
                                <w:t>管道试压废水</w:t>
                              </w:r>
                            </w:p>
                          </w:txbxContent>
                        </wps:txbx>
                        <wps:bodyPr upright="1"/>
                      </wps:wsp>
                      <wps:wsp>
                        <wps:cNvPr id="82" name="直接连接符 52"/>
                        <wps:cNvCnPr/>
                        <wps:spPr>
                          <a:xfrm>
                            <a:off x="1451610" y="2896235"/>
                            <a:ext cx="236855" cy="0"/>
                          </a:xfrm>
                          <a:prstGeom prst="line">
                            <a:avLst/>
                          </a:prstGeom>
                          <a:ln w="12700" cap="flat" cmpd="sng">
                            <a:solidFill>
                              <a:srgbClr val="000000"/>
                            </a:solidFill>
                            <a:prstDash val="dash"/>
                            <a:headEnd type="triangle" w="med" len="med"/>
                            <a:tailEnd type="none" w="med" len="med"/>
                          </a:ln>
                        </wps:spPr>
                        <wps:bodyPr/>
                      </wps:wsp>
                      <wps:wsp>
                        <wps:cNvPr id="84" name="文本框 53"/>
                        <wps:cNvSpPr txBox="1"/>
                        <wps:spPr>
                          <a:xfrm>
                            <a:off x="3876040" y="1920240"/>
                            <a:ext cx="1108075" cy="275590"/>
                          </a:xfrm>
                          <a:prstGeom prst="rect">
                            <a:avLst/>
                          </a:prstGeom>
                          <a:noFill/>
                          <a:ln w="12700">
                            <a:noFill/>
                          </a:ln>
                        </wps:spPr>
                        <wps:txbx>
                          <w:txbxContent>
                            <w:p>
                              <w:pPr>
                                <w:pStyle w:val="34"/>
                                <w:ind w:left="0" w:firstLine="0"/>
                                <w:jc w:val="both"/>
                                <w:rPr>
                                  <w:sz w:val="20"/>
                                  <w:szCs w:val="22"/>
                                </w:rPr>
                              </w:pPr>
                              <w:r>
                                <w:rPr>
                                  <w:rFonts w:hint="eastAsia"/>
                                  <w:sz w:val="20"/>
                                  <w:szCs w:val="22"/>
                                </w:rPr>
                                <w:t>钻井岩屑</w:t>
                              </w:r>
                            </w:p>
                          </w:txbxContent>
                        </wps:txbx>
                        <wps:bodyPr upright="1"/>
                      </wps:wsp>
                      <wps:wsp>
                        <wps:cNvPr id="85" name="文本框 54"/>
                        <wps:cNvSpPr txBox="1"/>
                        <wps:spPr>
                          <a:xfrm>
                            <a:off x="3886200" y="2129790"/>
                            <a:ext cx="1391920" cy="405765"/>
                          </a:xfrm>
                          <a:prstGeom prst="rect">
                            <a:avLst/>
                          </a:prstGeom>
                          <a:noFill/>
                          <a:ln w="12700">
                            <a:noFill/>
                          </a:ln>
                        </wps:spPr>
                        <wps:txbx>
                          <w:txbxContent>
                            <w:p>
                              <w:pPr>
                                <w:pStyle w:val="34"/>
                                <w:ind w:left="0" w:firstLine="0"/>
                                <w:jc w:val="both"/>
                                <w:rPr>
                                  <w:sz w:val="20"/>
                                  <w:szCs w:val="22"/>
                                </w:rPr>
                              </w:pPr>
                              <w:r>
                                <w:rPr>
                                  <w:rFonts w:hint="eastAsia"/>
                                  <w:sz w:val="20"/>
                                  <w:szCs w:val="22"/>
                                </w:rPr>
                                <w:t>废弃防渗膜、机械设备废油</w:t>
                              </w:r>
                            </w:p>
                            <w:p>
                              <w:pPr>
                                <w:pStyle w:val="34"/>
                                <w:ind w:left="0" w:firstLine="0"/>
                                <w:jc w:val="both"/>
                              </w:pPr>
                            </w:p>
                            <w:p>
                              <w:pPr>
                                <w:pStyle w:val="34"/>
                                <w:ind w:left="0" w:firstLine="0"/>
                                <w:jc w:val="both"/>
                                <w:rPr>
                                  <w:sz w:val="20"/>
                                  <w:szCs w:val="22"/>
                                </w:rPr>
                              </w:pPr>
                              <w:r>
                                <w:rPr>
                                  <w:rFonts w:hint="eastAsia"/>
                                  <w:sz w:val="20"/>
                                  <w:szCs w:val="22"/>
                                </w:rPr>
                                <w:t>钻井岩屑</w:t>
                              </w:r>
                            </w:p>
                          </w:txbxContent>
                        </wps:txbx>
                        <wps:bodyPr upright="1"/>
                      </wps:wsp>
                      <wps:wsp>
                        <wps:cNvPr id="86" name="文本框 55"/>
                        <wps:cNvSpPr txBox="1"/>
                        <wps:spPr>
                          <a:xfrm>
                            <a:off x="2701925" y="3197860"/>
                            <a:ext cx="768985" cy="321310"/>
                          </a:xfrm>
                          <a:prstGeom prst="rect">
                            <a:avLst/>
                          </a:prstGeom>
                          <a:noFill/>
                          <a:ln w="12700" cap="flat" cmpd="sng">
                            <a:solidFill>
                              <a:srgbClr val="000000"/>
                            </a:solidFill>
                            <a:prstDash val="solid"/>
                            <a:miter/>
                            <a:headEnd type="none" w="med" len="med"/>
                            <a:tailEnd type="none" w="med" len="med"/>
                          </a:ln>
                        </wps:spPr>
                        <wps:txbx>
                          <w:txbxContent>
                            <w:p>
                              <w:pPr>
                                <w:pStyle w:val="34"/>
                                <w:ind w:left="0" w:firstLine="0"/>
                                <w:rPr>
                                  <w:sz w:val="20"/>
                                  <w:szCs w:val="22"/>
                                </w:rPr>
                              </w:pPr>
                              <w:r>
                                <w:rPr>
                                  <w:rFonts w:hint="eastAsia"/>
                                  <w:sz w:val="20"/>
                                  <w:szCs w:val="22"/>
                                </w:rPr>
                                <w:t>井下作业</w:t>
                              </w:r>
                            </w:p>
                          </w:txbxContent>
                        </wps:txbx>
                        <wps:bodyPr upright="1"/>
                      </wps:wsp>
                      <wps:wsp>
                        <wps:cNvPr id="87" name="直接连接符 56"/>
                        <wps:cNvCnPr/>
                        <wps:spPr>
                          <a:xfrm flipH="1">
                            <a:off x="2689860" y="3528695"/>
                            <a:ext cx="196215" cy="283210"/>
                          </a:xfrm>
                          <a:prstGeom prst="line">
                            <a:avLst/>
                          </a:prstGeom>
                          <a:ln w="12700" cap="flat" cmpd="sng">
                            <a:solidFill>
                              <a:srgbClr val="000000"/>
                            </a:solidFill>
                            <a:prstDash val="solid"/>
                            <a:headEnd type="none" w="med" len="med"/>
                            <a:tailEnd type="triangle" w="med" len="med"/>
                          </a:ln>
                        </wps:spPr>
                        <wps:bodyPr/>
                      </wps:wsp>
                      <wps:wsp>
                        <wps:cNvPr id="88" name="直接连接符 57"/>
                        <wps:cNvCnPr/>
                        <wps:spPr>
                          <a:xfrm>
                            <a:off x="2914650" y="1517650"/>
                            <a:ext cx="448945" cy="635"/>
                          </a:xfrm>
                          <a:prstGeom prst="line">
                            <a:avLst/>
                          </a:prstGeom>
                          <a:ln w="12700" cap="flat" cmpd="sng">
                            <a:solidFill>
                              <a:srgbClr val="000000"/>
                            </a:solidFill>
                            <a:prstDash val="dash"/>
                            <a:headEnd type="none" w="med" len="med"/>
                            <a:tailEnd type="triangle" w="med" len="med"/>
                          </a:ln>
                        </wps:spPr>
                        <wps:bodyPr/>
                      </wps:wsp>
                      <wps:wsp>
                        <wps:cNvPr id="89" name="文本框 58"/>
                        <wps:cNvSpPr txBox="1"/>
                        <wps:spPr>
                          <a:xfrm>
                            <a:off x="3430270" y="1198880"/>
                            <a:ext cx="768985" cy="275590"/>
                          </a:xfrm>
                          <a:prstGeom prst="rect">
                            <a:avLst/>
                          </a:prstGeom>
                          <a:noFill/>
                          <a:ln w="12700">
                            <a:noFill/>
                          </a:ln>
                        </wps:spPr>
                        <wps:txbx>
                          <w:txbxContent>
                            <w:p>
                              <w:pPr>
                                <w:pStyle w:val="34"/>
                                <w:rPr>
                                  <w:sz w:val="20"/>
                                  <w:szCs w:val="22"/>
                                </w:rPr>
                              </w:pPr>
                              <w:r>
                                <w:rPr>
                                  <w:rFonts w:hint="eastAsia"/>
                                  <w:sz w:val="20"/>
                                  <w:szCs w:val="22"/>
                                </w:rPr>
                                <w:t>扬尘</w:t>
                              </w:r>
                            </w:p>
                          </w:txbxContent>
                        </wps:txbx>
                        <wps:bodyPr upright="1"/>
                      </wps:wsp>
                      <wps:wsp>
                        <wps:cNvPr id="90" name="文本框 59"/>
                        <wps:cNvSpPr txBox="1"/>
                        <wps:spPr>
                          <a:xfrm>
                            <a:off x="3433445" y="1529715"/>
                            <a:ext cx="768985" cy="275590"/>
                          </a:xfrm>
                          <a:prstGeom prst="rect">
                            <a:avLst/>
                          </a:prstGeom>
                          <a:noFill/>
                          <a:ln w="12700">
                            <a:noFill/>
                          </a:ln>
                        </wps:spPr>
                        <wps:txbx>
                          <w:txbxContent>
                            <w:p>
                              <w:pPr>
                                <w:pStyle w:val="34"/>
                              </w:pPr>
                              <w:r>
                                <w:rPr>
                                  <w:rFonts w:hint="eastAsia"/>
                                  <w:sz w:val="20"/>
                                  <w:szCs w:val="22"/>
                                </w:rPr>
                                <w:t>噪声</w:t>
                              </w:r>
                            </w:p>
                          </w:txbxContent>
                        </wps:txbx>
                        <wps:bodyPr upright="1"/>
                      </wps:wsp>
                      <wpg:wgp>
                        <wpg:cNvPr id="91" name="组合 63"/>
                        <wpg:cNvGrpSpPr/>
                        <wpg:grpSpPr>
                          <a:xfrm>
                            <a:off x="3363595" y="1339850"/>
                            <a:ext cx="250825" cy="340995"/>
                            <a:chOff x="7656" y="402166"/>
                            <a:chExt cx="395" cy="538"/>
                          </a:xfrm>
                        </wpg:grpSpPr>
                        <wps:wsp>
                          <wps:cNvPr id="95" name="直接连接符 60"/>
                          <wps:cNvCnPr/>
                          <wps:spPr>
                            <a:xfrm>
                              <a:off x="7672" y="402167"/>
                              <a:ext cx="373" cy="0"/>
                            </a:xfrm>
                            <a:prstGeom prst="line">
                              <a:avLst/>
                            </a:prstGeom>
                            <a:ln w="12700" cap="flat" cmpd="sng">
                              <a:solidFill>
                                <a:srgbClr val="000000"/>
                              </a:solidFill>
                              <a:prstDash val="dash"/>
                              <a:headEnd type="none" w="med" len="med"/>
                              <a:tailEnd type="triangle" w="med" len="med"/>
                            </a:ln>
                          </wps:spPr>
                          <wps:bodyPr/>
                        </wps:wsp>
                        <wps:wsp>
                          <wps:cNvPr id="98" name="直接连接符 61"/>
                          <wps:cNvCnPr/>
                          <wps:spPr>
                            <a:xfrm flipH="1">
                              <a:off x="7656" y="402166"/>
                              <a:ext cx="5" cy="538"/>
                            </a:xfrm>
                            <a:prstGeom prst="line">
                              <a:avLst/>
                            </a:prstGeom>
                            <a:ln w="12700" cap="flat" cmpd="sng">
                              <a:solidFill>
                                <a:srgbClr val="000000"/>
                              </a:solidFill>
                              <a:prstDash val="dash"/>
                              <a:headEnd type="none" w="med" len="med"/>
                              <a:tailEnd type="none" w="med" len="med"/>
                            </a:ln>
                          </wps:spPr>
                          <wps:bodyPr/>
                        </wps:wsp>
                        <wps:wsp>
                          <wps:cNvPr id="99" name="直接连接符 62"/>
                          <wps:cNvCnPr/>
                          <wps:spPr>
                            <a:xfrm>
                              <a:off x="7679" y="402695"/>
                              <a:ext cx="373" cy="0"/>
                            </a:xfrm>
                            <a:prstGeom prst="line">
                              <a:avLst/>
                            </a:prstGeom>
                            <a:ln w="12700" cap="flat" cmpd="sng">
                              <a:solidFill>
                                <a:srgbClr val="000000"/>
                              </a:solidFill>
                              <a:prstDash val="dash"/>
                              <a:headEnd type="none" w="med" len="med"/>
                              <a:tailEnd type="triangle" w="med" len="med"/>
                            </a:ln>
                          </wps:spPr>
                          <wps:bodyPr/>
                        </wps:wsp>
                      </wpg:wgp>
                      <wps:wsp>
                        <wps:cNvPr id="148" name="直接连接符 64"/>
                        <wps:cNvCnPr/>
                        <wps:spPr>
                          <a:xfrm>
                            <a:off x="3475355" y="3368675"/>
                            <a:ext cx="448945" cy="635"/>
                          </a:xfrm>
                          <a:prstGeom prst="line">
                            <a:avLst/>
                          </a:prstGeom>
                          <a:ln w="12700" cap="flat" cmpd="sng">
                            <a:solidFill>
                              <a:srgbClr val="000000"/>
                            </a:solidFill>
                            <a:prstDash val="dash"/>
                            <a:headEnd type="none" w="med" len="med"/>
                            <a:tailEnd type="triangle" w="med" len="med"/>
                          </a:ln>
                        </wps:spPr>
                        <wps:bodyPr/>
                      </wps:wsp>
                      <wps:wsp>
                        <wps:cNvPr id="153" name="直接连接符 65"/>
                        <wps:cNvCnPr/>
                        <wps:spPr>
                          <a:xfrm>
                            <a:off x="3953510" y="3119120"/>
                            <a:ext cx="236855" cy="0"/>
                          </a:xfrm>
                          <a:prstGeom prst="line">
                            <a:avLst/>
                          </a:prstGeom>
                          <a:ln w="12700" cap="flat" cmpd="sng">
                            <a:solidFill>
                              <a:srgbClr val="000000"/>
                            </a:solidFill>
                            <a:prstDash val="dash"/>
                            <a:headEnd type="none" w="med" len="med"/>
                            <a:tailEnd type="triangle" w="med" len="med"/>
                          </a:ln>
                        </wps:spPr>
                        <wps:bodyPr/>
                      </wps:wsp>
                      <wps:wsp>
                        <wps:cNvPr id="154" name="文本框 66"/>
                        <wps:cNvSpPr txBox="1"/>
                        <wps:spPr>
                          <a:xfrm>
                            <a:off x="4182110" y="2905760"/>
                            <a:ext cx="1149350" cy="491490"/>
                          </a:xfrm>
                          <a:prstGeom prst="rect">
                            <a:avLst/>
                          </a:prstGeom>
                          <a:noFill/>
                          <a:ln w="12700">
                            <a:noFill/>
                          </a:ln>
                        </wps:spPr>
                        <wps:txbx>
                          <w:txbxContent>
                            <w:p>
                              <w:pPr>
                                <w:pStyle w:val="34"/>
                                <w:ind w:left="0" w:firstLine="0"/>
                                <w:jc w:val="both"/>
                                <w:rPr>
                                  <w:sz w:val="20"/>
                                  <w:szCs w:val="22"/>
                                </w:rPr>
                              </w:pPr>
                              <w:r>
                                <w:rPr>
                                  <w:rFonts w:hint="eastAsia"/>
                                  <w:sz w:val="20"/>
                                  <w:szCs w:val="22"/>
                                </w:rPr>
                                <w:t>无组织挥发（非甲烷总烃、硫化氢）</w:t>
                              </w:r>
                            </w:p>
                          </w:txbxContent>
                        </wps:txbx>
                        <wps:bodyPr upright="1"/>
                      </wps:wsp>
                      <wps:wsp>
                        <wps:cNvPr id="155" name="直接连接符 67"/>
                        <wps:cNvCnPr/>
                        <wps:spPr>
                          <a:xfrm flipV="1">
                            <a:off x="3986530" y="4403090"/>
                            <a:ext cx="207645" cy="7620"/>
                          </a:xfrm>
                          <a:prstGeom prst="line">
                            <a:avLst/>
                          </a:prstGeom>
                          <a:ln w="12700" cap="flat" cmpd="sng">
                            <a:solidFill>
                              <a:srgbClr val="000000"/>
                            </a:solidFill>
                            <a:prstDash val="dash"/>
                            <a:headEnd type="none" w="med" len="med"/>
                            <a:tailEnd type="triangle" w="med" len="med"/>
                          </a:ln>
                        </wps:spPr>
                        <wps:bodyPr/>
                      </wps:wsp>
                      <wps:wsp>
                        <wps:cNvPr id="156" name="文本框 68"/>
                        <wps:cNvSpPr txBox="1"/>
                        <wps:spPr>
                          <a:xfrm>
                            <a:off x="4182110" y="3263265"/>
                            <a:ext cx="1099820" cy="662940"/>
                          </a:xfrm>
                          <a:prstGeom prst="rect">
                            <a:avLst/>
                          </a:prstGeom>
                          <a:noFill/>
                          <a:ln w="12700">
                            <a:noFill/>
                          </a:ln>
                        </wps:spPr>
                        <wps:txbx>
                          <w:txbxContent>
                            <w:p>
                              <w:pPr>
                                <w:rPr>
                                  <w:sz w:val="20"/>
                                  <w:szCs w:val="20"/>
                                </w:rPr>
                              </w:pPr>
                              <w:r>
                                <w:rPr>
                                  <w:rFonts w:hint="eastAsia"/>
                                  <w:sz w:val="20"/>
                                  <w:szCs w:val="20"/>
                                </w:rPr>
                                <w:t>井下作业废水、射孔液、废洗井液、采出水</w:t>
                              </w:r>
                            </w:p>
                          </w:txbxContent>
                        </wps:txbx>
                        <wps:bodyPr upright="1"/>
                      </wps:wsp>
                      <wps:wsp>
                        <wps:cNvPr id="157" name="直接连接符 69"/>
                        <wps:cNvCnPr/>
                        <wps:spPr>
                          <a:xfrm>
                            <a:off x="3948430" y="3121025"/>
                            <a:ext cx="8890" cy="1268095"/>
                          </a:xfrm>
                          <a:prstGeom prst="line">
                            <a:avLst/>
                          </a:prstGeom>
                          <a:ln w="12700" cap="flat" cmpd="sng">
                            <a:solidFill>
                              <a:srgbClr val="000000"/>
                            </a:solidFill>
                            <a:prstDash val="dash"/>
                            <a:headEnd type="none" w="med" len="med"/>
                            <a:tailEnd type="none" w="med" len="med"/>
                          </a:ln>
                        </wps:spPr>
                        <wps:bodyPr/>
                      </wps:wsp>
                      <wps:wsp>
                        <wps:cNvPr id="158" name="文本框 70"/>
                        <wps:cNvSpPr txBox="1"/>
                        <wps:spPr>
                          <a:xfrm>
                            <a:off x="3891915" y="2468880"/>
                            <a:ext cx="861695" cy="266700"/>
                          </a:xfrm>
                          <a:prstGeom prst="rect">
                            <a:avLst/>
                          </a:prstGeom>
                          <a:noFill/>
                          <a:ln w="12700">
                            <a:noFill/>
                          </a:ln>
                        </wps:spPr>
                        <wps:txbx>
                          <w:txbxContent>
                            <w:p>
                              <w:pPr>
                                <w:rPr>
                                  <w:sz w:val="20"/>
                                  <w:szCs w:val="20"/>
                                </w:rPr>
                              </w:pPr>
                              <w:r>
                                <w:rPr>
                                  <w:rFonts w:hint="eastAsia"/>
                                  <w:sz w:val="20"/>
                                  <w:szCs w:val="20"/>
                                </w:rPr>
                                <w:t>生活垃圾</w:t>
                              </w:r>
                            </w:p>
                          </w:txbxContent>
                        </wps:txbx>
                        <wps:bodyPr upright="1"/>
                      </wps:wsp>
                      <wps:wsp>
                        <wps:cNvPr id="159" name="直接连接符 71"/>
                        <wps:cNvCnPr/>
                        <wps:spPr>
                          <a:xfrm>
                            <a:off x="3674110" y="2360295"/>
                            <a:ext cx="228600" cy="0"/>
                          </a:xfrm>
                          <a:prstGeom prst="line">
                            <a:avLst/>
                          </a:prstGeom>
                          <a:ln w="12700" cap="flat" cmpd="sng">
                            <a:solidFill>
                              <a:srgbClr val="000000"/>
                            </a:solidFill>
                            <a:prstDash val="dash"/>
                            <a:headEnd type="none" w="med" len="med"/>
                            <a:tailEnd type="triangle" w="med" len="med"/>
                          </a:ln>
                        </wps:spPr>
                        <wps:bodyPr/>
                      </wps:wsp>
                      <wps:wsp>
                        <wps:cNvPr id="160" name="文本框 72"/>
                        <wps:cNvSpPr txBox="1"/>
                        <wps:spPr>
                          <a:xfrm>
                            <a:off x="3893820" y="2721610"/>
                            <a:ext cx="1022985" cy="266700"/>
                          </a:xfrm>
                          <a:prstGeom prst="rect">
                            <a:avLst/>
                          </a:prstGeom>
                          <a:noFill/>
                          <a:ln w="12700">
                            <a:noFill/>
                          </a:ln>
                        </wps:spPr>
                        <wps:txbx>
                          <w:txbxContent>
                            <w:p>
                              <w:pPr>
                                <w:rPr>
                                  <w:sz w:val="20"/>
                                  <w:szCs w:val="20"/>
                                </w:rPr>
                              </w:pPr>
                              <w:r>
                                <w:rPr>
                                  <w:rFonts w:hint="eastAsia"/>
                                  <w:sz w:val="20"/>
                                  <w:szCs w:val="20"/>
                                </w:rPr>
                                <w:t>建筑垃圾</w:t>
                              </w:r>
                            </w:p>
                          </w:txbxContent>
                        </wps:txbx>
                        <wps:bodyPr upright="1"/>
                      </wps:wsp>
                      <wps:wsp>
                        <wps:cNvPr id="161" name="直接连接符 133"/>
                        <wps:cNvCnPr/>
                        <wps:spPr>
                          <a:xfrm>
                            <a:off x="3678555" y="2599055"/>
                            <a:ext cx="228600" cy="0"/>
                          </a:xfrm>
                          <a:prstGeom prst="line">
                            <a:avLst/>
                          </a:prstGeom>
                          <a:ln w="12700" cap="flat" cmpd="sng">
                            <a:solidFill>
                              <a:srgbClr val="000000"/>
                            </a:solidFill>
                            <a:prstDash val="dash"/>
                            <a:headEnd type="none" w="med" len="med"/>
                            <a:tailEnd type="triangle" w="med" len="med"/>
                          </a:ln>
                        </wps:spPr>
                        <wps:bodyPr/>
                      </wps:wsp>
                      <wps:wsp>
                        <wps:cNvPr id="162" name="文本框 68"/>
                        <wps:cNvSpPr txBox="1"/>
                        <wps:spPr>
                          <a:xfrm>
                            <a:off x="4199255" y="3917315"/>
                            <a:ext cx="758825" cy="302895"/>
                          </a:xfrm>
                          <a:prstGeom prst="rect">
                            <a:avLst/>
                          </a:prstGeom>
                          <a:noFill/>
                          <a:ln w="12700">
                            <a:noFill/>
                          </a:ln>
                        </wps:spPr>
                        <wps:txbx>
                          <w:txbxContent>
                            <w:p>
                              <w:pPr>
                                <w:rPr>
                                  <w:sz w:val="20"/>
                                  <w:szCs w:val="20"/>
                                </w:rPr>
                              </w:pPr>
                              <w:r>
                                <w:rPr>
                                  <w:rFonts w:hint="eastAsia"/>
                                  <w:sz w:val="20"/>
                                  <w:szCs w:val="20"/>
                                </w:rPr>
                                <w:t>噪声</w:t>
                              </w:r>
                            </w:p>
                          </w:txbxContent>
                        </wps:txbx>
                        <wps:bodyPr upright="1"/>
                      </wps:wsp>
                      <wps:wsp>
                        <wps:cNvPr id="163" name="文本框 68"/>
                        <wps:cNvSpPr txBox="1"/>
                        <wps:spPr>
                          <a:xfrm>
                            <a:off x="4194175" y="4206875"/>
                            <a:ext cx="1085850" cy="1075055"/>
                          </a:xfrm>
                          <a:prstGeom prst="rect">
                            <a:avLst/>
                          </a:prstGeom>
                          <a:noFill/>
                          <a:ln w="12700">
                            <a:noFill/>
                          </a:ln>
                        </wps:spPr>
                        <wps:txbx>
                          <w:txbxContent>
                            <w:p>
                              <w:pPr>
                                <w:rPr>
                                  <w:rFonts w:eastAsia="宋体"/>
                                  <w:sz w:val="20"/>
                                  <w:szCs w:val="20"/>
                                </w:rPr>
                              </w:pPr>
                              <w:r>
                                <w:rPr>
                                  <w:rFonts w:hint="eastAsia"/>
                                  <w:sz w:val="20"/>
                                  <w:szCs w:val="20"/>
                                </w:rPr>
                                <w:t>含油污泥、事故状态下落地油、废润滑油、废弃防渗膜、清管废渣</w:t>
                              </w:r>
                            </w:p>
                          </w:txbxContent>
                        </wps:txbx>
                        <wps:bodyPr upright="1"/>
                      </wps:wsp>
                      <wps:wsp>
                        <wps:cNvPr id="164" name="直接连接符 44"/>
                        <wps:cNvCnPr/>
                        <wps:spPr>
                          <a:xfrm>
                            <a:off x="3977005" y="3693795"/>
                            <a:ext cx="236855" cy="0"/>
                          </a:xfrm>
                          <a:prstGeom prst="line">
                            <a:avLst/>
                          </a:prstGeom>
                          <a:ln w="12700" cap="flat" cmpd="sng">
                            <a:solidFill>
                              <a:srgbClr val="000000"/>
                            </a:solidFill>
                            <a:prstDash val="dash"/>
                            <a:headEnd type="none" w="med" len="med"/>
                            <a:tailEnd type="triangle" w="med" len="med"/>
                          </a:ln>
                        </wps:spPr>
                        <wps:bodyPr/>
                      </wps:wsp>
                      <wps:wsp>
                        <wps:cNvPr id="165" name="直接连接符 44"/>
                        <wps:cNvCnPr/>
                        <wps:spPr>
                          <a:xfrm>
                            <a:off x="3977005" y="4065905"/>
                            <a:ext cx="236855" cy="0"/>
                          </a:xfrm>
                          <a:prstGeom prst="line">
                            <a:avLst/>
                          </a:prstGeom>
                          <a:ln w="12700" cap="flat" cmpd="sng">
                            <a:solidFill>
                              <a:srgbClr val="000000"/>
                            </a:solidFill>
                            <a:prstDash val="dash"/>
                            <a:headEnd type="none" w="med" len="med"/>
                            <a:tailEnd type="triangle" w="med" len="med"/>
                          </a:ln>
                        </wps:spPr>
                        <wps:bodyPr/>
                      </wps:wsp>
                      <wps:wsp>
                        <wps:cNvPr id="178" name="直接连接符 46"/>
                        <wps:cNvCnPr/>
                        <wps:spPr>
                          <a:xfrm>
                            <a:off x="1589405" y="4719955"/>
                            <a:ext cx="448945" cy="635"/>
                          </a:xfrm>
                          <a:prstGeom prst="line">
                            <a:avLst/>
                          </a:prstGeom>
                          <a:ln w="12700" cap="flat" cmpd="sng">
                            <a:solidFill>
                              <a:srgbClr val="000000"/>
                            </a:solidFill>
                            <a:prstDash val="dash"/>
                            <a:headEnd type="triangle" w="med" len="med"/>
                            <a:tailEnd type="none" w="med" len="med"/>
                          </a:ln>
                        </wps:spPr>
                        <wps:bodyPr/>
                      </wps:wsp>
                      <wps:wsp>
                        <wps:cNvPr id="179" name="直接连接符 47"/>
                        <wps:cNvCnPr/>
                        <wps:spPr>
                          <a:xfrm>
                            <a:off x="1583055" y="4408805"/>
                            <a:ext cx="635" cy="621030"/>
                          </a:xfrm>
                          <a:prstGeom prst="line">
                            <a:avLst/>
                          </a:prstGeom>
                          <a:ln w="12700" cap="flat" cmpd="sng">
                            <a:solidFill>
                              <a:srgbClr val="000000"/>
                            </a:solidFill>
                            <a:prstDash val="dash"/>
                            <a:headEnd type="none" w="med" len="med"/>
                            <a:tailEnd type="none" w="med" len="med"/>
                          </a:ln>
                        </wps:spPr>
                        <wps:bodyPr/>
                      </wps:wsp>
                      <wps:wsp>
                        <wps:cNvPr id="180" name="直接连接符 48"/>
                        <wps:cNvCnPr/>
                        <wps:spPr>
                          <a:xfrm>
                            <a:off x="1379855" y="5005705"/>
                            <a:ext cx="236855" cy="0"/>
                          </a:xfrm>
                          <a:prstGeom prst="line">
                            <a:avLst/>
                          </a:prstGeom>
                          <a:ln w="12700" cap="flat" cmpd="sng">
                            <a:solidFill>
                              <a:srgbClr val="000000"/>
                            </a:solidFill>
                            <a:prstDash val="dash"/>
                            <a:headEnd type="triangle" w="med" len="med"/>
                            <a:tailEnd type="none" w="med" len="med"/>
                          </a:ln>
                        </wps:spPr>
                        <wps:bodyPr/>
                      </wps:wsp>
                      <wps:wsp>
                        <wps:cNvPr id="181" name="直接连接符 48"/>
                        <wps:cNvCnPr/>
                        <wps:spPr>
                          <a:xfrm>
                            <a:off x="1360805" y="4421505"/>
                            <a:ext cx="236855" cy="0"/>
                          </a:xfrm>
                          <a:prstGeom prst="line">
                            <a:avLst/>
                          </a:prstGeom>
                          <a:ln w="12700" cap="flat" cmpd="sng">
                            <a:solidFill>
                              <a:srgbClr val="000000"/>
                            </a:solidFill>
                            <a:prstDash val="dash"/>
                            <a:headEnd type="triangle" w="med" len="med"/>
                            <a:tailEnd type="none" w="med" len="med"/>
                          </a:ln>
                        </wps:spPr>
                        <wps:bodyPr/>
                      </wps:wsp>
                      <wps:wsp>
                        <wps:cNvPr id="182" name="文本框 51"/>
                        <wps:cNvSpPr txBox="1"/>
                        <wps:spPr>
                          <a:xfrm>
                            <a:off x="802005" y="4872355"/>
                            <a:ext cx="566420" cy="289560"/>
                          </a:xfrm>
                          <a:prstGeom prst="rect">
                            <a:avLst/>
                          </a:prstGeom>
                          <a:noFill/>
                          <a:ln w="12700">
                            <a:noFill/>
                          </a:ln>
                        </wps:spPr>
                        <wps:txbx>
                          <w:txbxContent>
                            <w:p>
                              <w:pPr>
                                <w:pStyle w:val="34"/>
                                <w:ind w:left="0" w:firstLine="0"/>
                                <w:jc w:val="both"/>
                                <w:rPr>
                                  <w:sz w:val="20"/>
                                  <w:szCs w:val="22"/>
                                </w:rPr>
                              </w:pPr>
                              <w:r>
                                <w:rPr>
                                  <w:rFonts w:hint="eastAsia"/>
                                  <w:sz w:val="20"/>
                                  <w:szCs w:val="22"/>
                                </w:rPr>
                                <w:t>噪声</w:t>
                              </w:r>
                            </w:p>
                          </w:txbxContent>
                        </wps:txbx>
                        <wps:bodyPr upright="1"/>
                      </wps:wsp>
                      <wps:wsp>
                        <wps:cNvPr id="183" name="文本框 51"/>
                        <wps:cNvSpPr txBox="1"/>
                        <wps:spPr>
                          <a:xfrm>
                            <a:off x="509270" y="4262755"/>
                            <a:ext cx="833755" cy="289560"/>
                          </a:xfrm>
                          <a:prstGeom prst="rect">
                            <a:avLst/>
                          </a:prstGeom>
                          <a:noFill/>
                          <a:ln w="12700">
                            <a:noFill/>
                          </a:ln>
                        </wps:spPr>
                        <wps:txbx>
                          <w:txbxContent>
                            <w:p>
                              <w:pPr>
                                <w:pStyle w:val="34"/>
                                <w:ind w:left="0" w:firstLine="0"/>
                                <w:jc w:val="both"/>
                                <w:rPr>
                                  <w:sz w:val="20"/>
                                  <w:szCs w:val="22"/>
                                </w:rPr>
                              </w:pPr>
                              <w:r>
                                <w:rPr>
                                  <w:rFonts w:hint="eastAsia"/>
                                  <w:sz w:val="20"/>
                                  <w:szCs w:val="22"/>
                                </w:rPr>
                                <w:t>无组织挥发</w:t>
                              </w:r>
                            </w:p>
                          </w:txbxContent>
                        </wps:txbx>
                        <wps:bodyPr upright="1"/>
                      </wps:wsp>
                      <wps:wsp>
                        <wps:cNvPr id="184" name="直接连接符 39"/>
                        <wps:cNvCnPr/>
                        <wps:spPr>
                          <a:xfrm>
                            <a:off x="2548255" y="4866005"/>
                            <a:ext cx="635" cy="424815"/>
                          </a:xfrm>
                          <a:prstGeom prst="line">
                            <a:avLst/>
                          </a:prstGeom>
                          <a:ln w="12700" cap="flat" cmpd="sng">
                            <a:solidFill>
                              <a:srgbClr val="000000"/>
                            </a:solidFill>
                            <a:prstDash val="solid"/>
                            <a:headEnd type="none" w="med" len="med"/>
                            <a:tailEnd type="triangle" w="med" len="med"/>
                          </a:ln>
                        </wps:spPr>
                        <wps:bodyPr/>
                      </wps:wsp>
                      <wps:wsp>
                        <wps:cNvPr id="186" name="文本框 38"/>
                        <wps:cNvSpPr txBox="1"/>
                        <wps:spPr>
                          <a:xfrm>
                            <a:off x="1908175" y="5283835"/>
                            <a:ext cx="1119505" cy="280670"/>
                          </a:xfrm>
                          <a:prstGeom prst="rect">
                            <a:avLst/>
                          </a:prstGeom>
                          <a:noFill/>
                          <a:ln w="12700" cap="flat" cmpd="sng">
                            <a:solidFill>
                              <a:srgbClr val="000000"/>
                            </a:solidFill>
                            <a:prstDash val="solid"/>
                            <a:miter/>
                            <a:headEnd type="none" w="med" len="med"/>
                            <a:tailEnd type="none" w="med" len="med"/>
                          </a:ln>
                        </wps:spPr>
                        <wps:txbx>
                          <w:txbxContent>
                            <w:p>
                              <w:pPr>
                                <w:adjustRightInd w:val="0"/>
                                <w:snapToGrid w:val="0"/>
                                <w:jc w:val="center"/>
                                <w:rPr>
                                  <w:kern w:val="0"/>
                                  <w:sz w:val="20"/>
                                  <w:szCs w:val="22"/>
                                </w:rPr>
                              </w:pPr>
                              <w:r>
                                <w:rPr>
                                  <w:rFonts w:hint="eastAsia"/>
                                  <w:kern w:val="0"/>
                                  <w:sz w:val="20"/>
                                  <w:szCs w:val="22"/>
                                </w:rPr>
                                <w:t>陆梁集中处理站</w:t>
                              </w:r>
                            </w:p>
                          </w:txbxContent>
                        </wps:txbx>
                        <wps:bodyPr upright="1"/>
                      </wps:wsp>
                      <wps:wsp>
                        <wps:cNvPr id="187" name="直接连接符 39"/>
                        <wps:cNvCnPr/>
                        <wps:spPr>
                          <a:xfrm>
                            <a:off x="2568575" y="5575935"/>
                            <a:ext cx="1905" cy="250825"/>
                          </a:xfrm>
                          <a:prstGeom prst="line">
                            <a:avLst/>
                          </a:prstGeom>
                          <a:ln w="12700" cap="flat" cmpd="sng">
                            <a:solidFill>
                              <a:srgbClr val="000000"/>
                            </a:solidFill>
                            <a:prstDash val="solid"/>
                            <a:headEnd type="none" w="med" len="med"/>
                            <a:tailEnd type="triangle" w="med" len="med"/>
                          </a:ln>
                        </wps:spPr>
                        <wps:bodyPr/>
                      </wps:wsp>
                      <wps:wsp>
                        <wps:cNvPr id="188" name="文本框 38"/>
                        <wps:cNvSpPr txBox="1"/>
                        <wps:spPr>
                          <a:xfrm>
                            <a:off x="2181225" y="5828665"/>
                            <a:ext cx="768985" cy="301625"/>
                          </a:xfrm>
                          <a:prstGeom prst="rect">
                            <a:avLst/>
                          </a:prstGeom>
                          <a:noFill/>
                          <a:ln w="12700" cap="flat" cmpd="sng">
                            <a:solidFill>
                              <a:srgbClr val="000000"/>
                            </a:solidFill>
                            <a:prstDash val="solid"/>
                            <a:miter/>
                            <a:headEnd type="none" w="med" len="med"/>
                            <a:tailEnd type="none" w="med" len="med"/>
                          </a:ln>
                        </wps:spPr>
                        <wps:txbx>
                          <w:txbxContent>
                            <w:p>
                              <w:pPr>
                                <w:adjustRightInd w:val="0"/>
                                <w:snapToGrid w:val="0"/>
                                <w:jc w:val="center"/>
                                <w:rPr>
                                  <w:kern w:val="0"/>
                                  <w:sz w:val="20"/>
                                  <w:szCs w:val="22"/>
                                </w:rPr>
                              </w:pPr>
                              <w:r>
                                <w:rPr>
                                  <w:rFonts w:hint="eastAsia"/>
                                  <w:kern w:val="0"/>
                                  <w:sz w:val="20"/>
                                  <w:szCs w:val="22"/>
                                </w:rPr>
                                <w:t>外输</w:t>
                              </w:r>
                            </w:p>
                          </w:txbxContent>
                        </wps:txbx>
                        <wps:bodyPr upright="1"/>
                      </wps:wsp>
                      <wps:wsp>
                        <wps:cNvPr id="189" name="直接连接符 46"/>
                        <wps:cNvCnPr/>
                        <wps:spPr>
                          <a:xfrm>
                            <a:off x="1471295" y="5419725"/>
                            <a:ext cx="448945" cy="635"/>
                          </a:xfrm>
                          <a:prstGeom prst="line">
                            <a:avLst/>
                          </a:prstGeom>
                          <a:ln w="12700" cap="flat" cmpd="sng">
                            <a:solidFill>
                              <a:srgbClr val="000000"/>
                            </a:solidFill>
                            <a:prstDash val="dash"/>
                            <a:headEnd type="triangle" w="med" len="med"/>
                            <a:tailEnd type="none" w="med" len="med"/>
                          </a:ln>
                        </wps:spPr>
                        <wps:bodyPr/>
                      </wps:wsp>
                      <wps:wsp>
                        <wps:cNvPr id="219" name="文本框 51"/>
                        <wps:cNvSpPr txBox="1"/>
                        <wps:spPr>
                          <a:xfrm>
                            <a:off x="746760" y="5251450"/>
                            <a:ext cx="838200" cy="289560"/>
                          </a:xfrm>
                          <a:prstGeom prst="rect">
                            <a:avLst/>
                          </a:prstGeom>
                          <a:noFill/>
                          <a:ln w="12700">
                            <a:noFill/>
                          </a:ln>
                        </wps:spPr>
                        <wps:txbx>
                          <w:txbxContent>
                            <w:p>
                              <w:pPr>
                                <w:pStyle w:val="34"/>
                                <w:ind w:left="0" w:firstLine="0"/>
                                <w:jc w:val="both"/>
                                <w:rPr>
                                  <w:sz w:val="20"/>
                                  <w:szCs w:val="22"/>
                                </w:rPr>
                              </w:pPr>
                              <w:r>
                                <w:rPr>
                                  <w:rFonts w:hint="eastAsia"/>
                                  <w:sz w:val="20"/>
                                  <w:szCs w:val="22"/>
                                </w:rPr>
                                <w:t>回注油藏</w:t>
                              </w:r>
                            </w:p>
                          </w:txbxContent>
                        </wps:txbx>
                        <wps:bodyPr upright="1"/>
                      </wps:wsp>
                      <wps:wsp>
                        <wps:cNvPr id="220" name="文本框 51"/>
                        <wps:cNvSpPr txBox="1"/>
                        <wps:spPr>
                          <a:xfrm>
                            <a:off x="1350010" y="5097145"/>
                            <a:ext cx="600075" cy="269875"/>
                          </a:xfrm>
                          <a:prstGeom prst="rect">
                            <a:avLst/>
                          </a:prstGeom>
                          <a:noFill/>
                          <a:ln w="12700">
                            <a:noFill/>
                          </a:ln>
                        </wps:spPr>
                        <wps:txbx>
                          <w:txbxContent>
                            <w:p>
                              <w:pPr>
                                <w:pStyle w:val="34"/>
                                <w:ind w:left="0" w:firstLine="0"/>
                                <w:jc w:val="both"/>
                                <w:rPr>
                                  <w:sz w:val="20"/>
                                  <w:szCs w:val="22"/>
                                </w:rPr>
                              </w:pPr>
                              <w:r>
                                <w:rPr>
                                  <w:rFonts w:hint="eastAsia"/>
                                  <w:sz w:val="20"/>
                                  <w:szCs w:val="22"/>
                                </w:rPr>
                                <w:t>采出水</w:t>
                              </w:r>
                            </w:p>
                          </w:txbxContent>
                        </wps:txbx>
                        <wps:bodyPr upright="1"/>
                      </wps:wsp>
                      <wps:wsp>
                        <wps:cNvPr id="221" name="直接连接符 64"/>
                        <wps:cNvCnPr/>
                        <wps:spPr>
                          <a:xfrm flipV="1">
                            <a:off x="3053715" y="5415915"/>
                            <a:ext cx="262255" cy="7620"/>
                          </a:xfrm>
                          <a:prstGeom prst="line">
                            <a:avLst/>
                          </a:prstGeom>
                          <a:ln w="12700" cap="flat" cmpd="sng">
                            <a:solidFill>
                              <a:srgbClr val="000000"/>
                            </a:solidFill>
                            <a:prstDash val="dash"/>
                            <a:headEnd type="none" w="med" len="med"/>
                            <a:tailEnd type="triangle" w="med" len="med"/>
                          </a:ln>
                        </wps:spPr>
                        <wps:bodyPr/>
                      </wps:wsp>
                      <wps:wsp>
                        <wps:cNvPr id="222" name="文本框 68"/>
                        <wps:cNvSpPr txBox="1"/>
                        <wps:spPr>
                          <a:xfrm>
                            <a:off x="3308350" y="5268595"/>
                            <a:ext cx="752475" cy="284480"/>
                          </a:xfrm>
                          <a:prstGeom prst="rect">
                            <a:avLst/>
                          </a:prstGeom>
                          <a:noFill/>
                          <a:ln w="12700">
                            <a:noFill/>
                          </a:ln>
                        </wps:spPr>
                        <wps:txbx>
                          <w:txbxContent>
                            <w:p>
                              <w:pPr>
                                <w:rPr>
                                  <w:sz w:val="20"/>
                                  <w:szCs w:val="20"/>
                                </w:rPr>
                              </w:pPr>
                              <w:r>
                                <w:rPr>
                                  <w:rFonts w:hint="eastAsia"/>
                                  <w:sz w:val="20"/>
                                  <w:szCs w:val="20"/>
                                </w:rPr>
                                <w:t>含油污泥</w:t>
                              </w:r>
                            </w:p>
                          </w:txbxContent>
                        </wps:txbx>
                        <wps:bodyPr upright="1"/>
                      </wps:wsp>
                      <wps:wsp>
                        <wps:cNvPr id="223" name="文本框 68"/>
                        <wps:cNvSpPr txBox="1"/>
                        <wps:spPr>
                          <a:xfrm>
                            <a:off x="4377690" y="5185410"/>
                            <a:ext cx="955675" cy="467995"/>
                          </a:xfrm>
                          <a:prstGeom prst="rect">
                            <a:avLst/>
                          </a:prstGeom>
                          <a:noFill/>
                          <a:ln w="12700">
                            <a:noFill/>
                          </a:ln>
                        </wps:spPr>
                        <wps:txbx>
                          <w:txbxContent>
                            <w:p>
                              <w:pPr>
                                <w:rPr>
                                  <w:sz w:val="20"/>
                                  <w:szCs w:val="20"/>
                                </w:rPr>
                              </w:pPr>
                              <w:r>
                                <w:rPr>
                                  <w:rFonts w:hint="eastAsia"/>
                                  <w:sz w:val="20"/>
                                  <w:szCs w:val="20"/>
                                </w:rPr>
                                <w:t>委托有资质的单位处置</w:t>
                              </w:r>
                            </w:p>
                          </w:txbxContent>
                        </wps:txbx>
                        <wps:bodyPr upright="1"/>
                      </wps:wsp>
                      <wps:wsp>
                        <wps:cNvPr id="224" name="直接连接符 64"/>
                        <wps:cNvCnPr/>
                        <wps:spPr>
                          <a:xfrm>
                            <a:off x="4048760" y="5415915"/>
                            <a:ext cx="352425" cy="1905"/>
                          </a:xfrm>
                          <a:prstGeom prst="line">
                            <a:avLst/>
                          </a:prstGeom>
                          <a:ln w="12700" cap="flat" cmpd="sng">
                            <a:solidFill>
                              <a:srgbClr val="000000"/>
                            </a:solidFill>
                            <a:prstDash val="dash"/>
                            <a:headEnd type="none" w="med" len="med"/>
                            <a:tailEnd type="triangle" w="med" len="med"/>
                          </a:ln>
                        </wps:spPr>
                        <wps:bodyPr/>
                      </wps:wsp>
                      <wps:wsp>
                        <wps:cNvPr id="259" name="文本框 34"/>
                        <wps:cNvSpPr txBox="1"/>
                        <wps:spPr>
                          <a:xfrm>
                            <a:off x="701040" y="1370330"/>
                            <a:ext cx="1172845" cy="302260"/>
                          </a:xfrm>
                          <a:prstGeom prst="rect">
                            <a:avLst/>
                          </a:prstGeom>
                          <a:noFill/>
                          <a:ln w="12700" cap="flat" cmpd="sng">
                            <a:solidFill>
                              <a:srgbClr val="000000"/>
                            </a:solidFill>
                            <a:prstDash val="solid"/>
                            <a:miter/>
                            <a:headEnd type="none" w="med" len="med"/>
                            <a:tailEnd type="none" w="med" len="med"/>
                          </a:ln>
                        </wps:spPr>
                        <wps:txbx>
                          <w:txbxContent>
                            <w:p>
                              <w:pPr>
                                <w:pStyle w:val="34"/>
                                <w:ind w:left="0" w:firstLine="0"/>
                                <w:rPr>
                                  <w:sz w:val="20"/>
                                  <w:szCs w:val="22"/>
                                </w:rPr>
                              </w:pPr>
                              <w:r>
                                <w:rPr>
                                  <w:rFonts w:hint="eastAsia"/>
                                  <w:sz w:val="20"/>
                                  <w:szCs w:val="22"/>
                                </w:rPr>
                                <w:t>老井转注（修井）</w:t>
                              </w:r>
                            </w:p>
                          </w:txbxContent>
                        </wps:txbx>
                        <wps:bodyPr upright="1"/>
                      </wps:wsp>
                      <wps:wsp>
                        <wps:cNvPr id="260" name="文本框 34"/>
                        <wps:cNvSpPr txBox="1"/>
                        <wps:spPr>
                          <a:xfrm>
                            <a:off x="174625" y="1240155"/>
                            <a:ext cx="460375" cy="302260"/>
                          </a:xfrm>
                          <a:prstGeom prst="rect">
                            <a:avLst/>
                          </a:prstGeom>
                          <a:noFill/>
                          <a:ln w="12700" cap="flat" cmpd="sng">
                            <a:noFill/>
                            <a:prstDash val="solid"/>
                            <a:miter/>
                            <a:headEnd type="none" w="med" len="med"/>
                            <a:tailEnd type="none" w="med" len="med"/>
                          </a:ln>
                        </wps:spPr>
                        <wps:txbx>
                          <w:txbxContent>
                            <w:p>
                              <w:pPr>
                                <w:pStyle w:val="34"/>
                                <w:ind w:left="0" w:firstLine="0"/>
                                <w:rPr>
                                  <w:sz w:val="20"/>
                                  <w:szCs w:val="22"/>
                                </w:rPr>
                              </w:pPr>
                              <w:r>
                                <w:rPr>
                                  <w:rFonts w:hint="eastAsia"/>
                                  <w:sz w:val="20"/>
                                  <w:szCs w:val="22"/>
                                </w:rPr>
                                <w:t>注水</w:t>
                              </w:r>
                            </w:p>
                          </w:txbxContent>
                        </wps:txbx>
                        <wps:bodyPr upright="1"/>
                      </wps:wsp>
                      <wps:wsp>
                        <wps:cNvPr id="499" name="文本框 34"/>
                        <wps:cNvSpPr txBox="1"/>
                        <wps:spPr>
                          <a:xfrm>
                            <a:off x="735965" y="925195"/>
                            <a:ext cx="1038225" cy="302260"/>
                          </a:xfrm>
                          <a:prstGeom prst="rect">
                            <a:avLst/>
                          </a:prstGeom>
                          <a:noFill/>
                          <a:ln w="12700" cap="flat" cmpd="sng">
                            <a:noFill/>
                            <a:prstDash val="solid"/>
                            <a:miter/>
                            <a:headEnd type="none" w="med" len="med"/>
                            <a:tailEnd type="none" w="med" len="med"/>
                          </a:ln>
                        </wps:spPr>
                        <wps:txbx>
                          <w:txbxContent>
                            <w:p>
                              <w:pPr>
                                <w:pStyle w:val="34"/>
                                <w:ind w:left="0" w:firstLine="0"/>
                                <w:rPr>
                                  <w:sz w:val="20"/>
                                  <w:szCs w:val="22"/>
                                </w:rPr>
                              </w:pPr>
                              <w:r>
                                <w:rPr>
                                  <w:rFonts w:hint="eastAsia"/>
                                  <w:sz w:val="20"/>
                                  <w:szCs w:val="22"/>
                                </w:rPr>
                                <w:t>噪声、试压废水</w:t>
                              </w:r>
                            </w:p>
                          </w:txbxContent>
                        </wps:txbx>
                        <wps:bodyPr upright="1"/>
                      </wps:wsp>
                    </wpc:wpc>
                  </a:graphicData>
                </a:graphic>
              </wp:inline>
            </w:drawing>
          </mc:Choice>
          <mc:Fallback>
            <w:pict>
              <v:group id="_x0000_s1026" o:spid="_x0000_s1026" o:spt="203" style="height:533.4pt;width:419.95pt;" coordsize="5333365,6774180" editas="canvas" o:gfxdata="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">
                <o:lock v:ext="edit" aspectratio="f"/>
                <v:shape id="_x0000_s1026" o:spid="_x0000_s1026" style="position:absolute;left:0;top:0;height:6774180;width:5333365;" filled="f" stroked="t" coordsize="21600,21600" o:gfxdata="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">
                  <v:fill on="f" focussize="0,0"/>
                  <v:stroke color="#000000 [3213]" joinstyle="round"/>
                  <v:imagedata o:title=""/>
                  <o:lock v:ext="edit" aspectratio="f"/>
                </v:shape>
                <v:line id="直接连接符 14" o:spid="_x0000_s1026" o:spt="20" style="position:absolute;left:1223010;top:498475;height:635;width:886460;"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S5indUAAAAG&#10;AQAADwAAAAAAAAABACAAAAAiAAAAZHJzL2Rvd25yZXYueG1sUEsBAhQAFAAAAAgAh07iQKJTewvm&#10;AQAAnAMAAA4AAAAAAAAAAQAgAAAAJAEAAGRycy9lMm9Eb2MueG1sUEsFBgAAAAAGAAYAWQEAAHwF&#10;AAAAAA==&#10;">
                  <v:fill on="f" focussize="0,0"/>
                  <v:stroke weight="1pt" color="#000000" joinstyle="round" dashstyle="dash" startarrow="block"/>
                  <v:imagedata o:title=""/>
                  <o:lock v:ext="edit" aspectratio="f"/>
                </v:line>
                <v:line id="直接连接符 15" o:spid="_x0000_s1026" o:spt="20" style="position:absolute;left:1226185;top:121920;height:738505;width:635;" filled="f" stroked="t" coordsize="21600,21600" o:gfxdata="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NctyvTAAAABgEAAA8AAAAA&#10;AAAAAQAgAAAAIgAAAGRycy9kb3ducmV2LnhtbFBLAQIUABQAAAAIAIdO4kAEpcYA4AEAAJgDAAAO&#10;AAAAAAAAAAEAIAAAACIBAABkcnMvZTJvRG9jLnhtbFBLBQYAAAAABgAGAFkBAAB0BQAAAAA=&#10;">
                  <v:fill on="f" focussize="0,0"/>
                  <v:stroke weight="1pt" color="#000000" joinstyle="round" dashstyle="dash"/>
                  <v:imagedata o:title=""/>
                  <o:lock v:ext="edit" aspectratio="f"/>
                </v:line>
                <v:line id="直接连接符 16" o:spid="_x0000_s1026" o:spt="20" style="position:absolute;left:997585;top:132080;height:0;width:23685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S5indUAAAAG&#10;AQAADwAAAAAAAAABACAAAAAiAAAAZHJzL2Rvd25yZXYueG1sUEsBAhQAFAAAAAgAh07iQI06i5rm&#10;AQAAmQMAAA4AAAAAAAAAAQAgAAAAJAEAAGRycy9lMm9Eb2MueG1sUEsFBgAAAAAGAAYAWQEAAHwF&#10;AAAAAA==&#10;">
                  <v:fill on="f" focussize="0,0"/>
                  <v:stroke weight="1pt" color="#000000" joinstyle="round" dashstyle="dash" startarrow="block"/>
                  <v:imagedata o:title=""/>
                  <o:lock v:ext="edit" aspectratio="f"/>
                </v:line>
                <v:line id="直接连接符 17" o:spid="_x0000_s1026" o:spt="20" style="position:absolute;left:997585;top:393700;height:0;width:23685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VLmKd1QAAAAYB&#10;AAAPAAAAAAAAAAEAIAAAACIAAABkcnMvZG93bnJldi54bWxQSwECFAAUAAAACACHTuJAqlpkWuUB&#10;AACZAwAADgAAAAAAAAABACAAAAAkAQAAZHJzL2Uyb0RvYy54bWxQSwUGAAAAAAYABgBZAQAAewUA&#10;AAAA&#10;">
                  <v:fill on="f" focussize="0,0"/>
                  <v:stroke weight="1pt" color="#000000" joinstyle="round" dashstyle="dash" startarrow="block"/>
                  <v:imagedata o:title=""/>
                  <o:lock v:ext="edit" aspectratio="f"/>
                </v:line>
                <v:line id="直接连接符 18" o:spid="_x0000_s1026" o:spt="20" style="position:absolute;left:997585;top:619125;height:0;width:23685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S5indUA&#10;AAAGAQAADwAAAAAAAAABACAAAAAiAAAAZHJzL2Rvd25yZXYueG1sUEsBAhQAFAAAAAgAh07iQLEr&#10;uIXpAQAAmQMAAA4AAAAAAAAAAQAgAAAAJAEAAGRycy9lMm9Eb2MueG1sUEsFBgAAAAAGAAYAWQEA&#10;AH8FAAAAAA==&#10;">
                  <v:fill on="f" focussize="0,0"/>
                  <v:stroke weight="1pt" color="#000000" joinstyle="round" dashstyle="dash" startarrow="block"/>
                  <v:imagedata o:title=""/>
                  <o:lock v:ext="edit" aspectratio="f"/>
                </v:line>
                <v:line id="直接连接符 19" o:spid="_x0000_s1026" o:spt="20" style="position:absolute;left:992505;top:862330;height:0;width:23685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VLmKd1QAA&#10;AAYBAAAPAAAAAAAAAAEAIAAAACIAAABkcnMvZG93bnJldi54bWxQSwECFAAUAAAACACHTuJAe6Jc&#10;/ugBAACZAwAADgAAAAAAAAABACAAAAAkAQAAZHJzL2Uyb0RvYy54bWxQSwUGAAAAAAYABgBZAQAA&#10;fgUAAAAA&#10;">
                  <v:fill on="f" focussize="0,0"/>
                  <v:stroke weight="1pt" color="#000000" joinstyle="round" dashstyle="dash" startarrow="block"/>
                  <v:imagedata o:title=""/>
                  <o:lock v:ext="edit" aspectratio="f"/>
                </v:line>
                <v:shape id="文本框 20" o:spid="_x0000_s1026" o:spt="202" type="#_x0000_t202" style="position:absolute;left:12065;top:727075;height:330200;width:100139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SQNKq1QAAAAYBAAAPAAAAAAAAAAEA&#10;IAAAACIAAABkcnMvZG93bnJldi54bWxQSwECFAAUAAAACACHTuJAfTSPmKABAAAVAwAADgAAAAAA&#10;AAABACAAAAAkAQAAZHJzL2Uyb0RvYy54bWxQSwUGAAAAAAYABgBZAQAANgUAAAAA&#10;">
                  <v:fill on="f" focussize="0,0"/>
                  <v:stroke on="f" weight="1pt"/>
                  <v:imagedata o:title=""/>
                  <o:lock v:ext="edit" aspectratio="f"/>
                  <v:textbox>
                    <w:txbxContent>
                      <w:p>
                        <w:pPr>
                          <w:rPr>
                            <w:sz w:val="20"/>
                            <w:szCs w:val="20"/>
                          </w:rPr>
                        </w:pPr>
                        <w:r>
                          <w:rPr>
                            <w:rFonts w:hint="eastAsia"/>
                            <w:sz w:val="20"/>
                            <w:szCs w:val="20"/>
                          </w:rPr>
                          <w:t>影响野生动物</w:t>
                        </w:r>
                      </w:p>
                    </w:txbxContent>
                  </v:textbox>
                </v:shape>
                <v:shape id="文本框 21" o:spid="_x0000_s1026" o:spt="202" type="#_x0000_t202" style="position:absolute;left:0;top:483235;height:302260;width:101409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JA0qrVAAAABgEAAA8AAAAAAAAA&#10;AQAgAAAAIgAAAGRycy9kb3ducmV2LnhtbFBLAQIUABQAAAAIAIdO4kCdYRZkogEAABEDAAAOAAAA&#10;AAAAAAEAIAAAACQBAABkcnMvZTJvRG9jLnhtbFBLBQYAAAAABgAGAFkBAAA4BQAAAAA=&#10;">
                  <v:fill on="f" focussize="0,0"/>
                  <v:stroke on="f" weight="1pt"/>
                  <v:imagedata o:title=""/>
                  <o:lock v:ext="edit" aspectratio="f"/>
                  <v:textbox>
                    <w:txbxContent>
                      <w:p>
                        <w:pPr>
                          <w:rPr>
                            <w:sz w:val="20"/>
                            <w:szCs w:val="20"/>
                          </w:rPr>
                        </w:pPr>
                        <w:r>
                          <w:rPr>
                            <w:rFonts w:hint="eastAsia"/>
                            <w:sz w:val="20"/>
                            <w:szCs w:val="20"/>
                          </w:rPr>
                          <w:t>破坏地表植被</w:t>
                        </w:r>
                      </w:p>
                    </w:txbxContent>
                  </v:textbox>
                </v:shape>
                <v:shape id="文本框 22" o:spid="_x0000_s1026" o:spt="202" type="#_x0000_t202" style="position:absolute;left:186690;top:0;height:309880;width:76898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JA0qrVAAAABgEAAA8AAAAAAAAAAQAg&#10;AAAAIgAAAGRycy9kb3ducmV2LnhtbFBLAQIUABQAAAAIAIdO4kCHD/htnwEAABADAAAOAAAAAAAA&#10;AAEAIAAAACQBAABkcnMvZTJvRG9jLnhtbFBLBQYAAAAABgAGAFkBAAA1BQAAAAA=&#10;">
                  <v:fill on="f" focussize="0,0"/>
                  <v:stroke on="f" weight="1pt"/>
                  <v:imagedata o:title=""/>
                  <o:lock v:ext="edit" aspectratio="f"/>
                  <v:textbox>
                    <w:txbxContent>
                      <w:p>
                        <w:pPr>
                          <w:rPr>
                            <w:sz w:val="18"/>
                            <w:szCs w:val="18"/>
                          </w:rPr>
                        </w:pPr>
                        <w:r>
                          <w:rPr>
                            <w:rFonts w:hint="eastAsia"/>
                            <w:sz w:val="18"/>
                            <w:szCs w:val="18"/>
                          </w:rPr>
                          <w:t>占用土地</w:t>
                        </w:r>
                      </w:p>
                    </w:txbxContent>
                  </v:textbox>
                </v:shape>
                <v:shape id="文本框 23" o:spid="_x0000_s1026" o:spt="202" type="#_x0000_t202" style="position:absolute;left:71755;top:250190;height:323215;width:998220;"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kDSqtUAAAAGAQAADwAAAAAA&#10;AAABACAAAAAiAAAAZHJzL2Rvd25yZXYueG1sUEsBAhQAFAAAAAgAh07iQAx2uF6kAQAAFAMAAA4A&#10;AAAAAAAAAQAgAAAAJAEAAGRycy9lMm9Eb2MueG1sUEsFBgAAAAAGAAYAWQEAADoFAAAAAA==&#10;">
                  <v:fill on="f" focussize="0,0"/>
                  <v:stroke on="f" weight="1pt"/>
                  <v:imagedata o:title=""/>
                  <o:lock v:ext="edit" aspectratio="f"/>
                  <v:textbox>
                    <w:txbxContent>
                      <w:p>
                        <w:pPr>
                          <w:rPr>
                            <w:sz w:val="20"/>
                            <w:szCs w:val="20"/>
                          </w:rPr>
                        </w:pPr>
                        <w:r>
                          <w:rPr>
                            <w:rFonts w:hint="eastAsia"/>
                            <w:sz w:val="20"/>
                            <w:szCs w:val="20"/>
                          </w:rPr>
                          <w:t>土壤扰动</w:t>
                        </w:r>
                      </w:p>
                    </w:txbxContent>
                  </v:textbox>
                </v:shape>
                <v:shape id="文本框 24" o:spid="_x0000_s1026" o:spt="202" type="#_x0000_t202" style="position:absolute;left:3420745;top:285115;height:497205;width:1264920;"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kDSqtUAAAAGAQAADwAA&#10;AAAAAAABACAAAAAiAAAAZHJzL2Rvd25yZXYueG1sUEsBAhQAFAAAAAgAh07iQIkZvV6nAQAAFwMA&#10;AA4AAAAAAAAAAQAgAAAAJAEAAGRycy9lMm9Eb2MueG1sUEsFBgAAAAAGAAYAWQEAAD0FAAAAAA==&#10;">
                  <v:fill on="f" focussize="0,0"/>
                  <v:stroke on="f" weight="1pt"/>
                  <v:imagedata o:title=""/>
                  <o:lock v:ext="edit" aspectratio="f"/>
                  <v:textbox>
                    <w:txbxContent>
                      <w:p>
                        <w:pPr>
                          <w:pStyle w:val="34"/>
                          <w:rPr>
                            <w:sz w:val="18"/>
                            <w:szCs w:val="18"/>
                          </w:rPr>
                        </w:pPr>
                        <w:r>
                          <w:rPr>
                            <w:rFonts w:hint="eastAsia"/>
                            <w:sz w:val="18"/>
                            <w:szCs w:val="18"/>
                          </w:rPr>
                          <w:t>施工机械废气</w:t>
                        </w:r>
                      </w:p>
                      <w:p>
                        <w:pPr>
                          <w:pStyle w:val="34"/>
                          <w:rPr>
                            <w:sz w:val="18"/>
                            <w:szCs w:val="18"/>
                          </w:rPr>
                        </w:pPr>
                        <w:r>
                          <w:rPr>
                            <w:rFonts w:hint="eastAsia"/>
                            <w:sz w:val="18"/>
                            <w:szCs w:val="18"/>
                          </w:rPr>
                          <w:t>运输车辆尾气</w:t>
                        </w:r>
                      </w:p>
                    </w:txbxContent>
                  </v:textbox>
                </v:shape>
                <v:shape id="文本框 25" o:spid="_x0000_s1026" o:spt="202" type="#_x0000_t202" style="position:absolute;left:1325880;top:156845;height:349885;width:74231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SQNKq1QAAAAYBAAAPAAAA&#10;AAAAAAEAIAAAACIAAABkcnMvZG93bnJldi54bWxQSwECFAAUAAAACACHTuJA9U61QKYBAAAWAwAA&#10;DgAAAAAAAAABACAAAAAkAQAAZHJzL2Uyb0RvYy54bWxQSwUGAAAAAAYABgBZAQAAPAUAAAAA&#10;">
                  <v:fill on="f" focussize="0,0"/>
                  <v:stroke on="f" weight="1pt"/>
                  <v:imagedata o:title=""/>
                  <o:lock v:ext="edit" aspectratio="f"/>
                  <v:textbox>
                    <w:txbxContent>
                      <w:p>
                        <w:pPr>
                          <w:rPr>
                            <w:sz w:val="20"/>
                            <w:szCs w:val="20"/>
                          </w:rPr>
                        </w:pPr>
                        <w:r>
                          <w:rPr>
                            <w:rFonts w:hint="eastAsia"/>
                            <w:sz w:val="20"/>
                            <w:szCs w:val="20"/>
                          </w:rPr>
                          <w:t>生态影响</w:t>
                        </w:r>
                      </w:p>
                    </w:txbxContent>
                  </v:textbox>
                </v:shape>
                <v:shape id="文本框 26" o:spid="_x0000_s1026" o:spt="202" type="#_x0000_t202" style="position:absolute;left:2104390;top:144780;height:608330;width:768985;" filled="f" stroked="t" coordsize="21600,21600" o:gfxdata="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oxU21AAAAAYBAAAPAAAAAAAAAAEAIAAAACIAAABkcnMvZG93bnJldi54bWxQSwEC&#10;FAAUAAAACACHTuJAiFKupvgBAADMAwAADgAAAAAAAAABACAAAAAjAQAAZHJzL2Uyb0RvYy54bWxQ&#10;SwUGAAAAAAYABgBZAQAAjQUAAAAA&#10;">
                  <v:fill on="f" focussize="0,0"/>
                  <v:stroke weight="1pt" color="#000000" joinstyle="miter"/>
                  <v:imagedata o:title=""/>
                  <o:lock v:ext="edit" aspectratio="f"/>
                  <v:textbox>
                    <w:txbxContent>
                      <w:p>
                        <w:pPr>
                          <w:pStyle w:val="34"/>
                          <w:ind w:left="0" w:firstLine="0"/>
                        </w:pPr>
                        <w:r>
                          <w:rPr>
                            <w:rFonts w:hint="eastAsia"/>
                            <w:sz w:val="20"/>
                            <w:szCs w:val="22"/>
                          </w:rPr>
                          <w:t>井场建设、计量站、架空线路等</w:t>
                        </w:r>
                      </w:p>
                    </w:txbxContent>
                  </v:textbox>
                </v:shape>
                <v:line id="直接连接符 27" o:spid="_x0000_s1026" o:spt="20" style="position:absolute;left:3329305;top:140335;height:0;width:23685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545T&#10;2AAAAAYBAAAPAAAAAAAAAAEAIAAAACIAAABkcnMvZG93bnJldi54bWxQSwECFAAUAAAACACHTuJA&#10;GCqba+gBAACaAwAADgAAAAAAAAABACAAAAAnAQAAZHJzL2Uyb0RvYy54bWxQSwUGAAAAAAYABgBZ&#10;AQAAgQUAAAAA&#10;">
                  <v:fill on="f" focussize="0,0"/>
                  <v:stroke weight="1pt" color="#000000" joinstyle="round" dashstyle="dash" endarrow="block"/>
                  <v:imagedata o:title=""/>
                  <o:lock v:ext="edit" aspectratio="f"/>
                </v:line>
                <v:line id="直接连接符 28" o:spid="_x0000_s1026" o:spt="20" style="position:absolute;left:3335020;top:499110;height:0;width:23685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545T&#10;2AAAAAYBAAAPAAAAAAAAAAEAIAAAACIAAABkcnMvZG93bnJldi54bWxQSwECFAAUAAAACACHTuJA&#10;/65fSugBAACaAwAADgAAAAAAAAABACAAAAAnAQAAZHJzL2Uyb0RvYy54bWxQSwUGAAAAAAYABgBZ&#10;AQAAgQUAAAAA&#10;">
                  <v:fill on="f" focussize="0,0"/>
                  <v:stroke weight="1pt" color="#000000" joinstyle="round" dashstyle="dash" endarrow="block"/>
                  <v:imagedata o:title=""/>
                  <o:lock v:ext="edit" aspectratio="f"/>
                </v:line>
                <v:line id="直接连接符 29" o:spid="_x0000_s1026" o:spt="20" style="position:absolute;left:2874645;top:494665;height:635;width:44894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Pn&#10;jlPYAAAABgEAAA8AAAAAAAAAAQAgAAAAIgAAAGRycy9kb3ducmV2LnhtbFBLAQIUABQAAAAIAIdO&#10;4kBpu8vl6gEAAJwDAAAOAAAAAAAAAAEAIAAAACcBAABkcnMvZTJvRG9jLnhtbFBLBQYAAAAABgAG&#10;AFkBAACDBQAAAAA=&#10;">
                  <v:fill on="f" focussize="0,0"/>
                  <v:stroke weight="1pt" color="#000000" joinstyle="round" dashstyle="dash" endarrow="block"/>
                  <v:imagedata o:title=""/>
                  <o:lock v:ext="edit" aspectratio="f"/>
                </v:line>
                <v:line id="直接连接符 30" o:spid="_x0000_s1026" o:spt="20" style="position:absolute;left:3317875;top:139700;flip:x;height:723265;width:5080;" filled="f" stroked="t" coordsize="21600,21600" o:gfxdata="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FomONQAAAAG&#10;AQAADwAAAAAAAAABACAAAAAiAAAAZHJzL2Rvd25yZXYueG1sUEsBAhQAFAAAAAgAh07iQGJlUczn&#10;AQAAowMAAA4AAAAAAAAAAQAgAAAAIwEAAGRycy9lMm9Eb2MueG1sUEsFBgAAAAAGAAYAWQEAAHwF&#10;AAAAAA==&#10;">
                  <v:fill on="f" focussize="0,0"/>
                  <v:stroke weight="1pt" color="#000000" joinstyle="round" dashstyle="dash"/>
                  <v:imagedata o:title=""/>
                  <o:lock v:ext="edit" aspectratio="f"/>
                </v:line>
                <v:line id="直接连接符 31" o:spid="_x0000_s1026" o:spt="20" style="position:absolute;left:3324225;top:855980;height:0;width:23685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PnjlPY&#10;AAAABgEAAA8AAAAAAAAAAQAgAAAAIgAAAGRycy9kb3ducmV2LnhtbFBLAQIUABQAAAAIAIdO4kBp&#10;h06q5wEAAJoDAAAOAAAAAAAAAAEAIAAAACcBAABkcnMvZTJvRG9jLnhtbFBLBQYAAAAABgAGAFkB&#10;AACABQAAAAA=&#10;">
                  <v:fill on="f" focussize="0,0"/>
                  <v:stroke weight="1pt" color="#000000" joinstyle="round" dashstyle="dash" endarrow="block"/>
                  <v:imagedata o:title=""/>
                  <o:lock v:ext="edit" aspectratio="f"/>
                </v:line>
                <v:shape id="文本框 32" o:spid="_x0000_s1026" o:spt="202" type="#_x0000_t202" style="position:absolute;left:3571875;top:22860;height:275590;width:76898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kDSqtUAAAAGAQAADwAAAAAA&#10;AAABACAAAAAiAAAAZHJzL2Rvd25yZXYueG1sUEsBAhQAFAAAAAgAh07iQB3wVEGkAQAAFQMAAA4A&#10;AAAAAAAAAQAgAAAAJAEAAGRycy9lMm9Eb2MueG1sUEsFBgAAAAAGAAYAWQEAADoFAAAAAA==&#10;">
                  <v:fill on="f" focussize="0,0"/>
                  <v:stroke on="f" weight="1pt"/>
                  <v:imagedata o:title=""/>
                  <o:lock v:ext="edit" aspectratio="f"/>
                  <v:textbox>
                    <w:txbxContent>
                      <w:p>
                        <w:pPr>
                          <w:pStyle w:val="34"/>
                          <w:rPr>
                            <w:sz w:val="20"/>
                            <w:szCs w:val="22"/>
                          </w:rPr>
                        </w:pPr>
                        <w:r>
                          <w:rPr>
                            <w:rFonts w:hint="eastAsia"/>
                            <w:sz w:val="20"/>
                            <w:szCs w:val="22"/>
                          </w:rPr>
                          <w:t>扬尘</w:t>
                        </w:r>
                      </w:p>
                    </w:txbxContent>
                  </v:textbox>
                </v:shape>
                <v:shape id="文本框 33" o:spid="_x0000_s1026" o:spt="202" type="#_x0000_t202" style="position:absolute;left:3609340;top:757555;height:275590;width:76898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kDSqtUAAAAGAQAADwAA&#10;AAAAAAABACAAAAAiAAAAZHJzL2Rvd25yZXYueG1sUEsBAhQAFAAAAAgAh07iQO9wNnmnAQAAFgMA&#10;AA4AAAAAAAAAAQAgAAAAJAEAAGRycy9lMm9Eb2MueG1sUEsFBgAAAAAGAAYAWQEAAD0FAAAAAA==&#10;">
                  <v:fill on="f" focussize="0,0"/>
                  <v:stroke on="f" weight="1pt"/>
                  <v:imagedata o:title=""/>
                  <o:lock v:ext="edit" aspectratio="f"/>
                  <v:textbox>
                    <w:txbxContent>
                      <w:p>
                        <w:pPr>
                          <w:pStyle w:val="34"/>
                          <w:rPr>
                            <w:sz w:val="20"/>
                            <w:szCs w:val="22"/>
                          </w:rPr>
                        </w:pPr>
                        <w:r>
                          <w:rPr>
                            <w:rFonts w:hint="eastAsia"/>
                            <w:sz w:val="20"/>
                            <w:szCs w:val="22"/>
                          </w:rPr>
                          <w:t>噪声</w:t>
                        </w:r>
                      </w:p>
                    </w:txbxContent>
                  </v:textbox>
                </v:shape>
                <v:shape id="文本框 34" o:spid="_x0000_s1026" o:spt="202" type="#_x0000_t202" style="position:absolute;left:2135505;top:1369060;height:302260;width:768985;" filled="f" stroked="t" coordsize="21600,21600" o:gfxdata="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oxU21AAAAAYBAAAPAAAAAAAAAAEAIAAAACIAAABkcnMvZG93bnJldi54bWxQSwEC&#10;FAAUAAAACACHTuJAFa/YdfgBAADNAwAADgAAAAAAAAABACAAAAAjAQAAZHJzL2Uyb0RvYy54bWxQ&#10;SwUGAAAAAAYABgBZAQAAjQUAAAAA&#10;">
                  <v:fill on="f" focussize="0,0"/>
                  <v:stroke weight="1pt" color="#000000" joinstyle="miter"/>
                  <v:imagedata o:title=""/>
                  <o:lock v:ext="edit" aspectratio="f"/>
                  <v:textbox>
                    <w:txbxContent>
                      <w:p>
                        <w:pPr>
                          <w:pStyle w:val="34"/>
                          <w:ind w:left="0" w:firstLine="0"/>
                          <w:rPr>
                            <w:sz w:val="20"/>
                            <w:szCs w:val="22"/>
                          </w:rPr>
                        </w:pPr>
                        <w:r>
                          <w:rPr>
                            <w:rFonts w:hint="eastAsia"/>
                            <w:sz w:val="20"/>
                            <w:szCs w:val="22"/>
                          </w:rPr>
                          <w:t>钻前作业</w:t>
                        </w:r>
                      </w:p>
                    </w:txbxContent>
                  </v:textbox>
                </v:shape>
                <v:line id="直接连接符 35" o:spid="_x0000_s1026" o:spt="20" style="position:absolute;left:2516505;top:1671320;flip:x;height:685165;width:3810;" filled="f" stroked="t" coordsize="21600,21600" o:gfxdata="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D&#10;xfma1wAAAAYBAAAPAAAAAAAAAAEAIAAAACIAAABkcnMvZG93bnJldi54bWxQSwECFAAUAAAACACH&#10;TuJAdQXnkewBAACpAwAADgAAAAAAAAABACAAAAAmAQAAZHJzL2Uyb0RvYy54bWxQSwUGAAAAAAYA&#10;BgBZAQAAhAUAAAAA&#10;">
                  <v:fill on="f" focussize="0,0"/>
                  <v:stroke weight="1pt" color="#000000" joinstyle="round" endarrow="block"/>
                  <v:imagedata o:title=""/>
                  <o:lock v:ext="edit" aspectratio="f"/>
                </v:line>
                <v:shape id="文本框 36" o:spid="_x0000_s1026" o:spt="202" type="#_x0000_t202" style="position:absolute;left:2143125;top:2384425;height:301625;width:768985;" filled="f" stroked="t" coordsize="21600,21600" o:gfxdata="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oxU21AAAAAYBAAAPAAAAAAAAAAEAIAAAACIAAABkcnMvZG93bnJldi54bWxQSwEC&#10;FAAUAAAACACHTuJAvLcrMfgBAADNAwAADgAAAAAAAAABACAAAAAjAQAAZHJzL2Uyb0RvYy54bWxQ&#10;SwUGAAAAAAYABgBZAQAAjQUAAAAA&#10;">
                  <v:fill on="f" focussize="0,0"/>
                  <v:stroke weight="1pt" color="#000000" joinstyle="miter"/>
                  <v:imagedata o:title=""/>
                  <o:lock v:ext="edit" aspectratio="f"/>
                  <v:textbox>
                    <w:txbxContent>
                      <w:p>
                        <w:pPr>
                          <w:pStyle w:val="34"/>
                          <w:ind w:left="0" w:firstLine="0"/>
                          <w:rPr>
                            <w:sz w:val="20"/>
                            <w:szCs w:val="22"/>
                          </w:rPr>
                        </w:pPr>
                        <w:r>
                          <w:rPr>
                            <w:rFonts w:hint="eastAsia"/>
                            <w:sz w:val="20"/>
                            <w:szCs w:val="22"/>
                          </w:rPr>
                          <w:t>钻井工程</w:t>
                        </w:r>
                      </w:p>
                    </w:txbxContent>
                  </v:textbox>
                </v:shape>
                <v:line id="直接连接符 37" o:spid="_x0000_s1026" o:spt="20" style="position:absolute;left:2520950;top:2873375;height:934085;width:635;" filled="f" stroked="t" coordsize="21600,21600" o:gfxdata="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aOs0W&#10;1gAAAAYBAAAPAAAAAAAAAAEAIAAAACIAAABkcnMvZG93bnJldi54bWxQSwECFAAUAAAACACHTuJA&#10;51Sfu+oBAACeAwAADgAAAAAAAAABACAAAAAlAQAAZHJzL2Uyb0RvYy54bWxQSwUGAAAAAAYABgBZ&#10;AQAAgQUAAAAA&#10;">
                  <v:fill on="f" focussize="0,0"/>
                  <v:stroke weight="1pt" color="#000000" joinstyle="round" endarrow="block"/>
                  <v:imagedata o:title=""/>
                  <o:lock v:ext="edit" aspectratio="f"/>
                </v:line>
                <v:shape id="文本框 38" o:spid="_x0000_s1026" o:spt="202" type="#_x0000_t202" style="position:absolute;left:2143760;top:3808730;height:301625;width:768985;" filled="f" stroked="t" coordsize="21600,21600" o:gfxdata="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6jFTbUAAAABgEAAA8AAAAAAAAAAQAgAAAAIgAAAGRycy9kb3ducmV2LnhtbFBLAQIU&#10;ABQAAAAIAIdO4kBWZxev9wEAAM0DAAAOAAAAAAAAAAEAIAAAACMBAABkcnMvZTJvRG9jLnhtbFBL&#10;BQYAAAAABgAGAFkBAACMBQAAAAA=&#10;">
                  <v:fill on="f" focussize="0,0"/>
                  <v:stroke weight="1pt" color="#000000" joinstyle="miter"/>
                  <v:imagedata o:title=""/>
                  <o:lock v:ext="edit" aspectratio="f"/>
                  <v:textbox>
                    <w:txbxContent>
                      <w:p>
                        <w:pPr>
                          <w:adjustRightInd w:val="0"/>
                          <w:snapToGrid w:val="0"/>
                          <w:jc w:val="center"/>
                          <w:rPr>
                            <w:kern w:val="0"/>
                            <w:sz w:val="20"/>
                            <w:szCs w:val="22"/>
                          </w:rPr>
                        </w:pPr>
                        <w:r>
                          <w:rPr>
                            <w:rFonts w:hint="eastAsia"/>
                            <w:kern w:val="0"/>
                            <w:sz w:val="20"/>
                            <w:szCs w:val="22"/>
                          </w:rPr>
                          <w:t>采油工程</w:t>
                        </w:r>
                      </w:p>
                    </w:txbxContent>
                  </v:textbox>
                </v:shape>
                <v:line id="直接连接符 39" o:spid="_x0000_s1026" o:spt="20" style="position:absolute;left:2520950;top:4131310;height:424815;width:635;" filled="f" stroked="t" coordsize="21600,21600" o:gfxdata="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o6zRbWAAAA&#10;BgEAAA8AAAAAAAAAAQAgAAAAIgAAAGRycy9kb3ducmV2LnhtbFBLAQIUABQAAAAIAIdO4kAGjYwQ&#10;5gEAAJ4DAAAOAAAAAAAAAAEAIAAAACUBAABkcnMvZTJvRG9jLnhtbFBLBQYAAAAABgAGAFkBAAB9&#10;BQAAAAA=&#10;">
                  <v:fill on="f" focussize="0,0"/>
                  <v:stroke weight="1pt" color="#000000" joinstyle="round" endarrow="block"/>
                  <v:imagedata o:title=""/>
                  <o:lock v:ext="edit" aspectratio="f"/>
                </v:line>
                <v:shape id="文本框 40" o:spid="_x0000_s1026" o:spt="202" type="#_x0000_t202" style="position:absolute;left:2049780;top:4562475;height:301625;width:966470;" filled="f" stroked="t" coordsize="21600,21600" o:gfxdata="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oxU21AAAAAYBAAAPAAAAAAAAAAEAIAAAACIAAABkcnMvZG93bnJldi54bWxQSwEC&#10;FAAUAAAACACHTuJAt6JZmPgBAADNAwAADgAAAAAAAAABACAAAAAjAQAAZHJzL2Uyb0RvYy54bWxQ&#10;SwUGAAAAAAYABgBZAQAAjQUAAAAA&#10;">
                  <v:fill on="f" focussize="0,0"/>
                  <v:stroke weight="1pt" color="#000000" joinstyle="miter"/>
                  <v:imagedata o:title=""/>
                  <o:lock v:ext="edit" aspectratio="f"/>
                  <v:textbox>
                    <w:txbxContent>
                      <w:p>
                        <w:pPr>
                          <w:adjustRightInd w:val="0"/>
                          <w:snapToGrid w:val="0"/>
                          <w:jc w:val="center"/>
                          <w:rPr>
                            <w:kern w:val="0"/>
                            <w:sz w:val="20"/>
                            <w:szCs w:val="22"/>
                          </w:rPr>
                        </w:pPr>
                        <w:r>
                          <w:rPr>
                            <w:rFonts w:hint="eastAsia"/>
                            <w:kern w:val="0"/>
                            <w:sz w:val="20"/>
                            <w:szCs w:val="22"/>
                          </w:rPr>
                          <w:t>计量站</w:t>
                        </w:r>
                      </w:p>
                    </w:txbxContent>
                  </v:textbox>
                </v:shape>
                <v:line id="直接连接符 41" o:spid="_x0000_s1026" o:spt="20" style="position:absolute;left:3667760;top:2068195;height:0;width:23685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545T2AAAAAYBAAAPAAAAAAAAAAEAIAAAACIAAABkcnMvZG93bnJldi54bWxQSwECFAAUAAAACACH&#10;TuJAhNAif+sBAACbAwAADgAAAAAAAAABACAAAAAnAQAAZHJzL2Uyb0RvYy54bWxQSwUGAAAAAAYA&#10;BgBZAQAAhAUAAAAA&#10;">
                  <v:fill on="f" focussize="0,0"/>
                  <v:stroke weight="1pt" color="#000000" joinstyle="round" dashstyle="dash" endarrow="block"/>
                  <v:imagedata o:title=""/>
                  <o:lock v:ext="edit" aspectratio="f"/>
                </v:line>
                <v:line id="直接连接符 42" o:spid="_x0000_s1026" o:spt="20" style="position:absolute;left:2921635;top:2505710;height:635;width:73977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545T2AAA&#10;AAYBAAAPAAAAAAAAAAEAIAAAACIAAABkcnMvZG93bnJldi54bWxQSwECFAAUAAAACACHTuJAv3wP&#10;iOUBAACdAwAADgAAAAAAAAABACAAAAAnAQAAZHJzL2Uyb0RvYy54bWxQSwUGAAAAAAYABgBZAQAA&#10;fgUAAAAA&#10;">
                  <v:fill on="f" focussize="0,0"/>
                  <v:stroke weight="1pt" color="#000000" joinstyle="round" dashstyle="dash" endarrow="block"/>
                  <v:imagedata o:title=""/>
                  <o:lock v:ext="edit" aspectratio="f"/>
                </v:line>
                <v:line id="直接连接符 43" o:spid="_x0000_s1026" o:spt="20" style="position:absolute;left:3663315;top:2066290;height:824230;width:5080;" filled="f" stroked="t" coordsize="21600,21600" o:gfxdata="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1y3K9MAAAAGAQAA&#10;DwAAAAAAAAABACAAAAAiAAAAZHJzL2Rvd25yZXYueG1sUEsBAhQAFAAAAAgAh07iQICO8qTlAQAA&#10;mgMAAA4AAAAAAAAAAQAgAAAAIgEAAGRycy9lMm9Eb2MueG1sUEsFBgAAAAAGAAYAWQEAAHkFAAAA&#10;AA==&#10;">
                  <v:fill on="f" focussize="0,0"/>
                  <v:stroke weight="1pt" color="#000000" joinstyle="round" dashstyle="dash"/>
                  <v:imagedata o:title=""/>
                  <o:lock v:ext="edit" aspectratio="f"/>
                </v:line>
                <v:line id="直接连接符 44" o:spid="_x0000_s1026" o:spt="20" style="position:absolute;left:3683000;top:2885440;height:0;width:23685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PnjlPY&#10;AAAABgEAAA8AAAAAAAAAAQAgAAAAIgAAAGRycy9kb3ducmV2LnhtbFBLAQIUABQAAAAIAIdO4kAm&#10;Ia5t5wEAAJsDAAAOAAAAAAAAAAEAIAAAACcBAABkcnMvZTJvRG9jLnhtbFBLBQYAAAAABgAGAFkB&#10;AACABQAAAAA=&#10;">
                  <v:fill on="f" focussize="0,0"/>
                  <v:stroke weight="1pt" color="#000000" joinstyle="round" dashstyle="dash" endarrow="block"/>
                  <v:imagedata o:title=""/>
                  <o:lock v:ext="edit" aspectratio="f"/>
                </v:line>
                <v:shape id="文本框 45" o:spid="_x0000_s1026" o:spt="202" type="#_x0000_t202" style="position:absolute;left:570230;top:2766695;height:275590;width:90868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SQNKq1QAAAAYBAAAPAAAA&#10;AAAAAAEAIAAAACIAAABkcnMvZG93bnJldi54bWxQSwECFAAUAAAACACHTuJANAFcR6YBAAAWAwAA&#10;DgAAAAAAAAABACAAAAAkAQAAZHJzL2Uyb0RvYy54bWxQSwUGAAAAAAYABgBZAQAAPAUAAAAA&#10;">
                  <v:fill on="f" focussize="0,0"/>
                  <v:stroke on="f" weight="1pt"/>
                  <v:imagedata o:title=""/>
                  <o:lock v:ext="edit" aspectratio="f"/>
                  <v:textbox>
                    <w:txbxContent>
                      <w:p>
                        <w:pPr>
                          <w:pStyle w:val="34"/>
                          <w:rPr>
                            <w:sz w:val="20"/>
                            <w:szCs w:val="22"/>
                          </w:rPr>
                        </w:pPr>
                        <w:r>
                          <w:rPr>
                            <w:rFonts w:hint="eastAsia"/>
                            <w:sz w:val="20"/>
                            <w:szCs w:val="22"/>
                          </w:rPr>
                          <w:t>噪声</w:t>
                        </w:r>
                      </w:p>
                    </w:txbxContent>
                  </v:textbox>
                </v:shape>
                <v:line id="直接连接符 46" o:spid="_x0000_s1026" o:spt="20" style="position:absolute;left:1685290;top:2587625;height:635;width:44894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LmKd&#10;1QAAAAYBAAAPAAAAAAAAAAEAIAAAACIAAABkcnMvZG93bnJldi54bWxQSwECFAAUAAAACACHTuJA&#10;USvJ/usBAACdAwAADgAAAAAAAAABACAAAAAkAQAAZHJzL2Uyb0RvYy54bWxQSwUGAAAAAAYABgBZ&#10;AQAAgQUAAAAA&#10;">
                  <v:fill on="f" focussize="0,0"/>
                  <v:stroke weight="1pt" color="#000000" joinstyle="round" dashstyle="dash" startarrow="block"/>
                  <v:imagedata o:title=""/>
                  <o:lock v:ext="edit" aspectratio="f"/>
                </v:line>
                <v:line id="直接连接符 47" o:spid="_x0000_s1026" o:spt="20" style="position:absolute;left:1685290;top:2291080;height:621030;width:635;" filled="f" stroked="t" coordsize="21600,21600" o:gfxdata="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XLcr0wAAAAYBAAAP&#10;AAAAAAAAAAEAIAAAACIAAABkcnMvZG93bnJldi54bWxQSwECFAAUAAAACACHTuJAMDsHbOQBAACZ&#10;AwAADgAAAAAAAAABACAAAAAiAQAAZHJzL2Uyb0RvYy54bWxQSwUGAAAAAAYABgBZAQAAeAUAAAAA&#10;">
                  <v:fill on="f" focussize="0,0"/>
                  <v:stroke weight="1pt" color="#000000" joinstyle="round" dashstyle="dash"/>
                  <v:imagedata o:title=""/>
                  <o:lock v:ext="edit" aspectratio="f"/>
                </v:line>
                <v:line id="直接连接符 48" o:spid="_x0000_s1026" o:spt="20" style="position:absolute;left:1456690;top:2310765;height:0;width:23685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UuYp3V&#10;AAAABgEAAA8AAAAAAAAAAQAgAAAAIgAAAGRycy9kb3ducmV2LnhtbFBLAQIUABQAAAAIAIdO4kDo&#10;cTn26gEAAJsDAAAOAAAAAAAAAAEAIAAAACQBAABkcnMvZTJvRG9jLnhtbFBLBQYAAAAABgAGAFkB&#10;AACABQAAAAA=&#10;">
                  <v:fill on="f" focussize="0,0"/>
                  <v:stroke weight="1pt" color="#000000" joinstyle="round" dashstyle="dash" startarrow="block"/>
                  <v:imagedata o:title=""/>
                  <o:lock v:ext="edit" aspectratio="f"/>
                </v:line>
                <v:line id="直接连接符 49" o:spid="_x0000_s1026" o:spt="20" style="position:absolute;left:1456690;top:2594610;height:0;width:23685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S5indUA&#10;AAAGAQAADwAAAAAAAAABACAAAAAiAAAAZHJzL2Rvd25yZXYueG1sUEsBAhQAFAAAAAgAh07iQMfA&#10;eJfpAQAAmwMAAA4AAAAAAAAAAQAgAAAAJAEAAGRycy9lMm9Eb2MueG1sUEsFBgAAAAAGAAYAWQEA&#10;AH8FAAAAAA==&#10;">
                  <v:fill on="f" focussize="0,0"/>
                  <v:stroke weight="1pt" color="#000000" joinstyle="round" dashstyle="dash" startarrow="block"/>
                  <v:imagedata o:title=""/>
                  <o:lock v:ext="edit" aspectratio="f"/>
                </v:line>
                <v:shape id="文本框 50" o:spid="_x0000_s1026" o:spt="202" type="#_x0000_t202" style="position:absolute;left:180975;top:1970405;height:519430;width:1294130;"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kDSqtUAAAAGAQAADwAAAAAA&#10;AAABACAAAAAiAAAAZHJzL2Rvd25yZXYueG1sUEsBAhQAFAAAAAgAh07iQHoueWWkAQAAFwMAAA4A&#10;AAAAAAAAAQAgAAAAJAEAAGRycy9lMm9Eb2MueG1sUEsFBgAAAAAGAAYAWQEAADoFAAAAAA==&#10;">
                  <v:fill on="f" focussize="0,0"/>
                  <v:stroke on="f" weight="1pt"/>
                  <v:imagedata o:title=""/>
                  <o:lock v:ext="edit" aspectratio="f"/>
                  <v:textbox>
                    <w:txbxContent>
                      <w:p>
                        <w:pPr>
                          <w:pStyle w:val="34"/>
                          <w:ind w:left="0" w:firstLine="0"/>
                          <w:rPr>
                            <w:sz w:val="20"/>
                            <w:szCs w:val="22"/>
                          </w:rPr>
                        </w:pPr>
                        <w:r>
                          <w:rPr>
                            <w:rFonts w:hint="eastAsia"/>
                            <w:sz w:val="20"/>
                            <w:szCs w:val="22"/>
                          </w:rPr>
                          <w:t>扬尘、运输车辆废气、柴油燃烧废气</w:t>
                        </w:r>
                      </w:p>
                    </w:txbxContent>
                  </v:textbox>
                </v:shape>
                <v:shape id="文本框 51" o:spid="_x0000_s1026" o:spt="202" type="#_x0000_t202" style="position:absolute;left:514985;top:2465705;height:289560;width:998220;"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kDSqtUAAAAGAQAADwAA&#10;AAAAAAABACAAAAAiAAAAZHJzL2Rvd25yZXYueG1sUEsBAhQAFAAAAAgAh07iQNCaYiGnAQAAFgMA&#10;AA4AAAAAAAAAAQAgAAAAJAEAAGRycy9lMm9Eb2MueG1sUEsFBgAAAAAGAAYAWQEAAD0FAAAAAA==&#10;">
                  <v:fill on="f" focussize="0,0"/>
                  <v:stroke on="f" weight="1pt"/>
                  <v:imagedata o:title=""/>
                  <o:lock v:ext="edit" aspectratio="f"/>
                  <v:textbox>
                    <w:txbxContent>
                      <w:p>
                        <w:pPr>
                          <w:pStyle w:val="34"/>
                          <w:ind w:left="0" w:firstLine="0"/>
                          <w:jc w:val="both"/>
                          <w:rPr>
                            <w:sz w:val="20"/>
                            <w:szCs w:val="22"/>
                          </w:rPr>
                        </w:pPr>
                        <w:r>
                          <w:rPr>
                            <w:rFonts w:hint="eastAsia"/>
                            <w:sz w:val="20"/>
                            <w:szCs w:val="22"/>
                          </w:rPr>
                          <w:t>管道试压废水</w:t>
                        </w:r>
                      </w:p>
                    </w:txbxContent>
                  </v:textbox>
                </v:shape>
                <v:line id="直接连接符 52" o:spid="_x0000_s1026" o:spt="20" style="position:absolute;left:1451610;top:2896235;height:0;width:23685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S5indUA&#10;AAAGAQAADwAAAAAAAAABACAAAAAiAAAAZHJzL2Rvd25yZXYueG1sUEsBAhQAFAAAAAgAh07iQN/B&#10;bBXpAQAAmwMAAA4AAAAAAAAAAQAgAAAAJAEAAGRycy9lMm9Eb2MueG1sUEsFBgAAAAAGAAYAWQEA&#10;AH8FAAAAAA==&#10;">
                  <v:fill on="f" focussize="0,0"/>
                  <v:stroke weight="1pt" color="#000000" joinstyle="round" dashstyle="dash" startarrow="block"/>
                  <v:imagedata o:title=""/>
                  <o:lock v:ext="edit" aspectratio="f"/>
                </v:line>
                <v:shape id="文本框 53" o:spid="_x0000_s1026" o:spt="202" type="#_x0000_t202" style="position:absolute;left:3876040;top:1920240;height:275590;width:110807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SQNKq1QAAAAYBAAAPAAAA&#10;AAAAAAEAIAAAACIAAABkcnMvZG93bnJldi54bWxQSwECFAAUAAAACACHTuJAZSkSTaYBAAAYAwAA&#10;DgAAAAAAAAABACAAAAAkAQAAZHJzL2Uyb0RvYy54bWxQSwUGAAAAAAYABgBZAQAAPAUAAAAA&#10;">
                  <v:fill on="f" focussize="0,0"/>
                  <v:stroke on="f" weight="1pt"/>
                  <v:imagedata o:title=""/>
                  <o:lock v:ext="edit" aspectratio="f"/>
                  <v:textbox>
                    <w:txbxContent>
                      <w:p>
                        <w:pPr>
                          <w:pStyle w:val="34"/>
                          <w:ind w:left="0" w:firstLine="0"/>
                          <w:jc w:val="both"/>
                          <w:rPr>
                            <w:sz w:val="20"/>
                            <w:szCs w:val="22"/>
                          </w:rPr>
                        </w:pPr>
                        <w:r>
                          <w:rPr>
                            <w:rFonts w:hint="eastAsia"/>
                            <w:sz w:val="20"/>
                            <w:szCs w:val="22"/>
                          </w:rPr>
                          <w:t>钻井岩屑</w:t>
                        </w:r>
                      </w:p>
                    </w:txbxContent>
                  </v:textbox>
                </v:shape>
                <v:shape id="文本框 54" o:spid="_x0000_s1026" o:spt="202" type="#_x0000_t202" style="position:absolute;left:3886200;top:2129790;height:405765;width:1391920;"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FJA0qrVAAAABgEAAA8AAAAA&#10;AAAAAQAgAAAAIgAAAGRycy9kb3ducmV2LnhtbFBLAQIUABQAAAAIAIdO4kBzI8SopQEAABgDAAAO&#10;AAAAAAAAAAEAIAAAACQBAABkcnMvZTJvRG9jLnhtbFBLBQYAAAAABgAGAFkBAAA7BQAAAAA=&#10;">
                  <v:fill on="f" focussize="0,0"/>
                  <v:stroke on="f" weight="1pt"/>
                  <v:imagedata o:title=""/>
                  <o:lock v:ext="edit" aspectratio="f"/>
                  <v:textbox>
                    <w:txbxContent>
                      <w:p>
                        <w:pPr>
                          <w:pStyle w:val="34"/>
                          <w:ind w:left="0" w:firstLine="0"/>
                          <w:jc w:val="both"/>
                          <w:rPr>
                            <w:sz w:val="20"/>
                            <w:szCs w:val="22"/>
                          </w:rPr>
                        </w:pPr>
                        <w:r>
                          <w:rPr>
                            <w:rFonts w:hint="eastAsia"/>
                            <w:sz w:val="20"/>
                            <w:szCs w:val="22"/>
                          </w:rPr>
                          <w:t>废弃防渗膜、机械设备废油</w:t>
                        </w:r>
                      </w:p>
                      <w:p>
                        <w:pPr>
                          <w:pStyle w:val="34"/>
                          <w:ind w:left="0" w:firstLine="0"/>
                          <w:jc w:val="both"/>
                        </w:pPr>
                      </w:p>
                      <w:p>
                        <w:pPr>
                          <w:pStyle w:val="34"/>
                          <w:ind w:left="0" w:firstLine="0"/>
                          <w:jc w:val="both"/>
                          <w:rPr>
                            <w:sz w:val="20"/>
                            <w:szCs w:val="22"/>
                          </w:rPr>
                        </w:pPr>
                        <w:r>
                          <w:rPr>
                            <w:rFonts w:hint="eastAsia"/>
                            <w:sz w:val="20"/>
                            <w:szCs w:val="22"/>
                          </w:rPr>
                          <w:t>钻井岩屑</w:t>
                        </w:r>
                      </w:p>
                    </w:txbxContent>
                  </v:textbox>
                </v:shape>
                <v:shape id="文本框 55" o:spid="_x0000_s1026" o:spt="202" type="#_x0000_t202" style="position:absolute;left:2701925;top:3197860;height:321310;width:768985;" filled="f" stroked="t" coordsize="21600,21600" o:gfxdata="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oxU21AAAAAYBAAAPAAAAAAAAAAEAIAAAACIAAABkcnMvZG93bnJldi54bWxQSwEC&#10;FAAUAAAACACHTuJAf6ikNPgBAADNAwAADgAAAAAAAAABACAAAAAjAQAAZHJzL2Uyb0RvYy54bWxQ&#10;SwUGAAAAAAYABgBZAQAAjQUAAAAA&#10;">
                  <v:fill on="f" focussize="0,0"/>
                  <v:stroke weight="1pt" color="#000000" joinstyle="miter"/>
                  <v:imagedata o:title=""/>
                  <o:lock v:ext="edit" aspectratio="f"/>
                  <v:textbox>
                    <w:txbxContent>
                      <w:p>
                        <w:pPr>
                          <w:pStyle w:val="34"/>
                          <w:ind w:left="0" w:firstLine="0"/>
                          <w:rPr>
                            <w:sz w:val="20"/>
                            <w:szCs w:val="22"/>
                          </w:rPr>
                        </w:pPr>
                        <w:r>
                          <w:rPr>
                            <w:rFonts w:hint="eastAsia"/>
                            <w:sz w:val="20"/>
                            <w:szCs w:val="22"/>
                          </w:rPr>
                          <w:t>井下作业</w:t>
                        </w:r>
                      </w:p>
                    </w:txbxContent>
                  </v:textbox>
                </v:shape>
                <v:line id="直接连接符 56" o:spid="_x0000_s1026" o:spt="20" style="position:absolute;left:2689860;top:3528695;flip:x;height:283210;width:196215;" filled="f" stroked="t" coordsize="21600,21600" o:gfxdata="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8X5mtcAAAAGAQAADwAAAAAAAAABACAAAAAiAAAAZHJzL2Rvd25yZXYueG1sUEsB&#10;AhQAFAAAAAgAh07iQKPTjMf2AQAAqwMAAA4AAAAAAAAAAQAgAAAAJgEAAGRycy9lMm9Eb2MueG1s&#10;UEsFBgAAAAAGAAYAWQEAAI4FAAAAAA==&#10;">
                  <v:fill on="f" focussize="0,0"/>
                  <v:stroke weight="1pt" color="#000000" joinstyle="round" endarrow="block"/>
                  <v:imagedata o:title=""/>
                  <o:lock v:ext="edit" aspectratio="f"/>
                </v:line>
                <v:line id="直接连接符 57" o:spid="_x0000_s1026" o:spt="20" style="position:absolute;left:2914650;top:1517650;height:635;width:44894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eOU9gA&#10;AAAGAQAADwAAAAAAAAABACAAAAAiAAAAZHJzL2Rvd25yZXYueG1sUEsBAhQAFAAAAAgAh07iQIzI&#10;VH7mAQAAnQMAAA4AAAAAAAAAAQAgAAAAJwEAAGRycy9lMm9Eb2MueG1sUEsFBgAAAAAGAAYAWQEA&#10;AH8FAAAAAA==&#10;">
                  <v:fill on="f" focussize="0,0"/>
                  <v:stroke weight="1pt" color="#000000" joinstyle="round" dashstyle="dash" endarrow="block"/>
                  <v:imagedata o:title=""/>
                  <o:lock v:ext="edit" aspectratio="f"/>
                </v:line>
                <v:shape id="文本框 58" o:spid="_x0000_s1026" o:spt="202" type="#_x0000_t202" style="position:absolute;left:3430270;top:1198880;height:275590;width:76898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SQNKq1QAAAAYBAAAPAAAA&#10;AAAAAAEAIAAAACIAAABkcnMvZG93bnJldi54bWxQSwECFAAUAAAACACHTuJA61O2C6YBAAAXAwAA&#10;DgAAAAAAAAABACAAAAAkAQAAZHJzL2Uyb0RvYy54bWxQSwUGAAAAAAYABgBZAQAAPAUAAAAA&#10;">
                  <v:fill on="f" focussize="0,0"/>
                  <v:stroke on="f" weight="1pt"/>
                  <v:imagedata o:title=""/>
                  <o:lock v:ext="edit" aspectratio="f"/>
                  <v:textbox>
                    <w:txbxContent>
                      <w:p>
                        <w:pPr>
                          <w:pStyle w:val="34"/>
                          <w:rPr>
                            <w:sz w:val="20"/>
                            <w:szCs w:val="22"/>
                          </w:rPr>
                        </w:pPr>
                        <w:r>
                          <w:rPr>
                            <w:rFonts w:hint="eastAsia"/>
                            <w:sz w:val="20"/>
                            <w:szCs w:val="22"/>
                          </w:rPr>
                          <w:t>扬尘</w:t>
                        </w:r>
                      </w:p>
                    </w:txbxContent>
                  </v:textbox>
                </v:shape>
                <v:shape id="文本框 59" o:spid="_x0000_s1026" o:spt="202" type="#_x0000_t202" style="position:absolute;left:3433445;top:1529715;height:275590;width:76898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kDSqtUAAAAGAQAADwAA&#10;AAAAAAABACAAAAAiAAAAZHJzL2Rvd25yZXYueG1sUEsBAhQAFAAAAAgAh07iQH+RB9inAQAAFwMA&#10;AA4AAAAAAAAAAQAgAAAAJAEAAGRycy9lMm9Eb2MueG1sUEsFBgAAAAAGAAYAWQEAAD0FAAAAAA==&#10;">
                  <v:fill on="f" focussize="0,0"/>
                  <v:stroke on="f" weight="1pt"/>
                  <v:imagedata o:title=""/>
                  <o:lock v:ext="edit" aspectratio="f"/>
                  <v:textbox>
                    <w:txbxContent>
                      <w:p>
                        <w:pPr>
                          <w:pStyle w:val="34"/>
                        </w:pPr>
                        <w:r>
                          <w:rPr>
                            <w:rFonts w:hint="eastAsia"/>
                            <w:sz w:val="20"/>
                            <w:szCs w:val="22"/>
                          </w:rPr>
                          <w:t>噪声</w:t>
                        </w:r>
                      </w:p>
                    </w:txbxContent>
                  </v:textbox>
                </v:shape>
                <v:group id="组合 63" o:spid="_x0000_s1026" o:spt="203" style="position:absolute;left:3363595;top:1339850;height:340995;width:250825;" coordorigin="7656,402166" coordsize="395,538" o:gfxdata="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LcK1SHXAAAABgEAAA8AAAAAAAAAAQAgAAAAIgAA&#10;AGRycy9kb3ducmV2LnhtbFBLAQIUABQAAAAIAIdO4kCUZDKftAIAAN8IAAAOAAAAAAAAAAEAIAAA&#10;ACYBAABkcnMvZTJvRG9jLnhtbFBLBQYAAAAABgAGAFkBAABMBgAAAAA=&#10;">
                  <o:lock v:ext="edit" aspectratio="f"/>
                  <v:line id="直接连接符 60" o:spid="_x0000_s1026" o:spt="20" style="position:absolute;left:7672;top:402167;height:0;width:373;" filled="f" stroked="t" coordsize="21600,21600" o:gfxdata="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uUzr4A&#10;AADbAAAADwAAAAAAAAABACAAAAAiAAAAZHJzL2Rvd25yZXYueG1sUEsBAhQAFAAAAAgAh07iQDMv&#10;BZ47AAAAOQAAABAAAAAAAAAAAQAgAAAADQEAAGRycy9zaGFwZXhtbC54bWxQSwUGAAAAAAYABgBb&#10;AQAAtwMAAAAA&#10;">
                    <v:fill on="f" focussize="0,0"/>
                    <v:stroke weight="1pt" color="#000000" joinstyle="round" dashstyle="dash" endarrow="block"/>
                    <v:imagedata o:title=""/>
                    <o:lock v:ext="edit" aspectratio="f"/>
                  </v:line>
                  <v:line id="直接连接符 61" o:spid="_x0000_s1026" o:spt="20" style="position:absolute;left:7656;top:402166;flip:x;height:538;width:5;" filled="f" stroked="t" coordsize="21600,21600" o:gfxdata="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I7ksvQAA&#10;ANsAAAAPAAAAAAAAAAEAIAAAACIAAABkcnMvZG93bnJldi54bWxQSwECFAAUAAAACACHTuJAMy8F&#10;njsAAAA5AAAAEAAAAAAAAAABACAAAAAMAQAAZHJzL3NoYXBleG1sLnhtbFBLBQYAAAAABgAGAFsB&#10;AAC2AwAAAAA=&#10;">
                    <v:fill on="f" focussize="0,0"/>
                    <v:stroke weight="1pt" color="#000000" joinstyle="round" dashstyle="dash"/>
                    <v:imagedata o:title=""/>
                    <o:lock v:ext="edit" aspectratio="f"/>
                  </v:line>
                  <v:line id="直接连接符 62" o:spid="_x0000_s1026" o:spt="20" style="position:absolute;left:7679;top:402695;height:0;width:373;" filled="f" stroked="t" coordsize="21600,21600" o:gfxdata="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2nsu/&#10;AAAA2w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line>
                </v:group>
                <v:line id="直接连接符 64" o:spid="_x0000_s1026" o:spt="20" style="position:absolute;left:3475355;top:3368675;height:635;width:44894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545T2AAAAAYBAAAPAAAAAAAAAAEAIAAAACIAAABkcnMvZG93bnJldi54bWxQSwECFAAUAAAACACH&#10;TuJATS14fesBAACeAwAADgAAAAAAAAABACAAAAAnAQAAZHJzL2Uyb0RvYy54bWxQSwUGAAAAAAYA&#10;BgBZAQAAhAUAAAAA&#10;">
                  <v:fill on="f" focussize="0,0"/>
                  <v:stroke weight="1pt" color="#000000" joinstyle="round" dashstyle="dash" endarrow="block"/>
                  <v:imagedata o:title=""/>
                  <o:lock v:ext="edit" aspectratio="f"/>
                </v:line>
                <v:line id="直接连接符 65" o:spid="_x0000_s1026" o:spt="20" style="position:absolute;left:3953510;top:3119120;height:0;width:23685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545T&#10;2AAAAAYBAAAPAAAAAAAAAAEAIAAAACIAAABkcnMvZG93bnJldi54bWxQSwECFAAUAAAACACHTuJA&#10;E9y3XOgBAACcAwAADgAAAAAAAAABACAAAAAnAQAAZHJzL2Uyb0RvYy54bWxQSwUGAAAAAAYABgBZ&#10;AQAAgQUAAAAA&#10;">
                  <v:fill on="f" focussize="0,0"/>
                  <v:stroke weight="1pt" color="#000000" joinstyle="round" dashstyle="dash" endarrow="block"/>
                  <v:imagedata o:title=""/>
                  <o:lock v:ext="edit" aspectratio="f"/>
                </v:line>
                <v:shape id="文本框 66" o:spid="_x0000_s1026" o:spt="202" type="#_x0000_t202" style="position:absolute;left:4182110;top:2905760;height:491490;width:1149350;"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FJA0qrVAAAABgEAAA8AAAAA&#10;AAAAAQAgAAAAIgAAAGRycy9kb3ducmV2LnhtbFBLAQIUABQAAAAIAIdO4kDqccxZpQEAABkDAAAO&#10;AAAAAAAAAAEAIAAAACQBAABkcnMvZTJvRG9jLnhtbFBLBQYAAAAABgAGAFkBAAA7BQAAAAA=&#10;">
                  <v:fill on="f" focussize="0,0"/>
                  <v:stroke on="f" weight="1pt"/>
                  <v:imagedata o:title=""/>
                  <o:lock v:ext="edit" aspectratio="f"/>
                  <v:textbox>
                    <w:txbxContent>
                      <w:p>
                        <w:pPr>
                          <w:pStyle w:val="34"/>
                          <w:ind w:left="0" w:firstLine="0"/>
                          <w:jc w:val="both"/>
                          <w:rPr>
                            <w:sz w:val="20"/>
                            <w:szCs w:val="22"/>
                          </w:rPr>
                        </w:pPr>
                        <w:r>
                          <w:rPr>
                            <w:rFonts w:hint="eastAsia"/>
                            <w:sz w:val="20"/>
                            <w:szCs w:val="22"/>
                          </w:rPr>
                          <w:t>无组织挥发（非甲烷总烃、硫化氢）</w:t>
                        </w:r>
                      </w:p>
                    </w:txbxContent>
                  </v:textbox>
                </v:shape>
                <v:line id="直接连接符 67" o:spid="_x0000_s1026" o:spt="20" style="position:absolute;left:3986530;top:4403090;flip:y;height:7620;width:207645;" filled="f" stroked="t" coordsize="21600,21600" o:gfxdata="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LSRO9UAAAAGAQAADwAAAAAAAAABACAAAAAiAAAAZHJzL2Rvd25yZXYueG1sUEsBAhQAFAAA&#10;AAgAh07iQEG52RjyAQAAqQMAAA4AAAAAAAAAAQAgAAAAJAEAAGRycy9lMm9Eb2MueG1sUEsFBgAA&#10;AAAGAAYAWQEAAIgFAAAAAA==&#10;">
                  <v:fill on="f" focussize="0,0"/>
                  <v:stroke weight="1pt" color="#000000" joinstyle="round" dashstyle="dash" endarrow="block"/>
                  <v:imagedata o:title=""/>
                  <o:lock v:ext="edit" aspectratio="f"/>
                </v:line>
                <v:shape id="文本框 68" o:spid="_x0000_s1026" o:spt="202" type="#_x0000_t202" style="position:absolute;left:4182110;top:3263265;height:662940;width:1099820;"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JA0qrVAAAABgEAAA8A&#10;AAAAAAAAAQAgAAAAIgAAAGRycy9kb3ducmV2LnhtbFBLAQIUABQAAAAIAIdO4kASGopGqAEAABkD&#10;AAAOAAAAAAAAAAEAIAAAACQBAABkcnMvZTJvRG9jLnhtbFBLBQYAAAAABgAGAFkBAAA+BQAAAAA=&#10;">
                  <v:fill on="f" focussize="0,0"/>
                  <v:stroke on="f" weight="1pt"/>
                  <v:imagedata o:title=""/>
                  <o:lock v:ext="edit" aspectratio="f"/>
                  <v:textbox>
                    <w:txbxContent>
                      <w:p>
                        <w:pPr>
                          <w:rPr>
                            <w:sz w:val="20"/>
                            <w:szCs w:val="20"/>
                          </w:rPr>
                        </w:pPr>
                        <w:r>
                          <w:rPr>
                            <w:rFonts w:hint="eastAsia"/>
                            <w:sz w:val="20"/>
                            <w:szCs w:val="20"/>
                          </w:rPr>
                          <w:t>井下作业废水、射孔液、废洗井液、采出水</w:t>
                        </w:r>
                      </w:p>
                    </w:txbxContent>
                  </v:textbox>
                </v:shape>
                <v:line id="直接连接符 69" o:spid="_x0000_s1026" o:spt="20" style="position:absolute;left:3948430;top:3121025;height:1268095;width:8890;" filled="f" stroked="t" coordsize="21600,21600" o:gfxdata="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1y3K9MAAAAGAQAA&#10;DwAAAAAAAAABACAAAAAiAAAAZHJzL2Rvd25yZXYueG1sUEsBAhQAFAAAAAgAh07iQAPrfZzlAQAA&#10;nAMAAA4AAAAAAAAAAQAgAAAAIgEAAGRycy9lMm9Eb2MueG1sUEsFBgAAAAAGAAYAWQEAAHkFAAAA&#10;AA==&#10;">
                  <v:fill on="f" focussize="0,0"/>
                  <v:stroke weight="1pt" color="#000000" joinstyle="round" dashstyle="dash"/>
                  <v:imagedata o:title=""/>
                  <o:lock v:ext="edit" aspectratio="f"/>
                </v:line>
                <v:shape id="文本框 70" o:spid="_x0000_s1026" o:spt="202" type="#_x0000_t202" style="position:absolute;left:3891915;top:2468880;height:266700;width:86169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SQNKq1QAAAAYBAAAPAAAAAAAA&#10;AAEAIAAAACIAAABkcnMvZG93bnJldi54bWxQSwECFAAUAAAACACHTuJAR4fJMqMBAAAYAwAADgAA&#10;AAAAAAABACAAAAAkAQAAZHJzL2Uyb0RvYy54bWxQSwUGAAAAAAYABgBZAQAAOQUAAAAA&#10;">
                  <v:fill on="f" focussize="0,0"/>
                  <v:stroke on="f" weight="1pt"/>
                  <v:imagedata o:title=""/>
                  <o:lock v:ext="edit" aspectratio="f"/>
                  <v:textbox>
                    <w:txbxContent>
                      <w:p>
                        <w:pPr>
                          <w:rPr>
                            <w:sz w:val="20"/>
                            <w:szCs w:val="20"/>
                          </w:rPr>
                        </w:pPr>
                        <w:r>
                          <w:rPr>
                            <w:rFonts w:hint="eastAsia"/>
                            <w:sz w:val="20"/>
                            <w:szCs w:val="20"/>
                          </w:rPr>
                          <w:t>生活垃圾</w:t>
                        </w:r>
                      </w:p>
                    </w:txbxContent>
                  </v:textbox>
                </v:shape>
                <v:line id="直接连接符 71" o:spid="_x0000_s1026" o:spt="20" style="position:absolute;left:3674110;top:2360295;height:0;width:228600;"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eO&#10;U9gAAAAGAQAADwAAAAAAAAABACAAAAAiAAAAZHJzL2Rvd25yZXYueG1sUEsBAhQAFAAAAAgAh07i&#10;QJQSEDnpAQAAnAMAAA4AAAAAAAAAAQAgAAAAJwEAAGRycy9lMm9Eb2MueG1sUEsFBgAAAAAGAAYA&#10;WQEAAIIFAAAAAA==&#10;">
                  <v:fill on="f" focussize="0,0"/>
                  <v:stroke weight="1pt" color="#000000" joinstyle="round" dashstyle="dash" endarrow="block"/>
                  <v:imagedata o:title=""/>
                  <o:lock v:ext="edit" aspectratio="f"/>
                </v:line>
                <v:shape id="文本框 72" o:spid="_x0000_s1026" o:spt="202" type="#_x0000_t202" style="position:absolute;left:3893820;top:2721610;height:266700;width:102298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kDSqtUAAAAGAQAADwAAAAAA&#10;AAABACAAAAAiAAAAZHJzL2Rvd25yZXYueG1sUEsBAhQAFAAAAAgAh07iQDXUq6akAQAAGQMAAA4A&#10;AAAAAAAAAQAgAAAAJAEAAGRycy9lMm9Eb2MueG1sUEsFBgAAAAAGAAYAWQEAADoFAAAAAA==&#10;">
                  <v:fill on="f" focussize="0,0"/>
                  <v:stroke on="f" weight="1pt"/>
                  <v:imagedata o:title=""/>
                  <o:lock v:ext="edit" aspectratio="f"/>
                  <v:textbox>
                    <w:txbxContent>
                      <w:p>
                        <w:pPr>
                          <w:rPr>
                            <w:sz w:val="20"/>
                            <w:szCs w:val="20"/>
                          </w:rPr>
                        </w:pPr>
                        <w:r>
                          <w:rPr>
                            <w:rFonts w:hint="eastAsia"/>
                            <w:sz w:val="20"/>
                            <w:szCs w:val="20"/>
                          </w:rPr>
                          <w:t>建筑垃圾</w:t>
                        </w:r>
                      </w:p>
                    </w:txbxContent>
                  </v:textbox>
                </v:shape>
                <v:line id="直接连接符 133" o:spid="_x0000_s1026" o:spt="20" style="position:absolute;left:3678555;top:2599055;height:0;width:228600;"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545T&#10;2AAAAAYBAAAPAAAAAAAAAAEAIAAAACIAAABkcnMvZG93bnJldi54bWxQSwECFAAUAAAACACHTuJA&#10;kka7JOgBAACdAwAADgAAAAAAAAABACAAAAAnAQAAZHJzL2Uyb0RvYy54bWxQSwUGAAAAAAYABgBZ&#10;AQAAgQUAAAAA&#10;">
                  <v:fill on="f" focussize="0,0"/>
                  <v:stroke weight="1pt" color="#000000" joinstyle="round" dashstyle="dash" endarrow="block"/>
                  <v:imagedata o:title=""/>
                  <o:lock v:ext="edit" aspectratio="f"/>
                </v:line>
                <v:shape id="文本框 68" o:spid="_x0000_s1026" o:spt="202" type="#_x0000_t202" style="position:absolute;left:4199255;top:3917315;height:302895;width:75882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JA0qrVAAAABgEAAA8A&#10;AAAAAAAAAQAgAAAAIgAAAGRycy9kb3ducmV2LnhtbFBLAQIUABQAAAAIAIdO4kA43iMZqAEAABgD&#10;AAAOAAAAAAAAAAEAIAAAACQBAABkcnMvZTJvRG9jLnhtbFBLBQYAAAAABgAGAFkBAAA+BQAAAAA=&#10;">
                  <v:fill on="f" focussize="0,0"/>
                  <v:stroke on="f" weight="1pt"/>
                  <v:imagedata o:title=""/>
                  <o:lock v:ext="edit" aspectratio="f"/>
                  <v:textbox>
                    <w:txbxContent>
                      <w:p>
                        <w:pPr>
                          <w:rPr>
                            <w:sz w:val="20"/>
                            <w:szCs w:val="20"/>
                          </w:rPr>
                        </w:pPr>
                        <w:r>
                          <w:rPr>
                            <w:rFonts w:hint="eastAsia"/>
                            <w:sz w:val="20"/>
                            <w:szCs w:val="20"/>
                          </w:rPr>
                          <w:t>噪声</w:t>
                        </w:r>
                      </w:p>
                    </w:txbxContent>
                  </v:textbox>
                </v:shape>
                <v:shape id="文本框 68" o:spid="_x0000_s1026" o:spt="202" type="#_x0000_t202" style="position:absolute;left:4194175;top:4206875;height:1075055;width:1085850;"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kDSqtUAAAAGAQAADwAA&#10;AAAAAAABACAAAAAiAAAAZHJzL2Rvd25yZXYueG1sUEsBAhQAFAAAAAgAh07iQPZvSvmnAQAAGgMA&#10;AA4AAAAAAAAAAQAgAAAAJAEAAGRycy9lMm9Eb2MueG1sUEsFBgAAAAAGAAYAWQEAAD0FAAAAAA==&#10;">
                  <v:fill on="f" focussize="0,0"/>
                  <v:stroke on="f" weight="1pt"/>
                  <v:imagedata o:title=""/>
                  <o:lock v:ext="edit" aspectratio="f"/>
                  <v:textbox>
                    <w:txbxContent>
                      <w:p>
                        <w:pPr>
                          <w:rPr>
                            <w:rFonts w:eastAsia="宋体"/>
                            <w:sz w:val="20"/>
                            <w:szCs w:val="20"/>
                          </w:rPr>
                        </w:pPr>
                        <w:r>
                          <w:rPr>
                            <w:rFonts w:hint="eastAsia"/>
                            <w:sz w:val="20"/>
                            <w:szCs w:val="20"/>
                          </w:rPr>
                          <w:t>含油污泥、事故状态下落地油、废润滑油、废弃防渗膜、清管废渣</w:t>
                        </w:r>
                      </w:p>
                    </w:txbxContent>
                  </v:textbox>
                </v:shape>
                <v:line id="直接连接符 44" o:spid="_x0000_s1026" o:spt="20" style="position:absolute;left:3977005;top:3693795;height:0;width:23685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eO&#10;U9gAAAAGAQAADwAAAAAAAAABACAAAAAiAAAAZHJzL2Rvd25yZXYueG1sUEsBAhQAFAAAAAgAh07i&#10;QNvjdwHpAQAAnAMAAA4AAAAAAAAAAQAgAAAAJwEAAGRycy9lMm9Eb2MueG1sUEsFBgAAAAAGAAYA&#10;WQEAAIIFAAAAAA==&#10;">
                  <v:fill on="f" focussize="0,0"/>
                  <v:stroke weight="1pt" color="#000000" joinstyle="round" dashstyle="dash" endarrow="block"/>
                  <v:imagedata o:title=""/>
                  <o:lock v:ext="edit" aspectratio="f"/>
                </v:line>
                <v:line id="直接连接符 44" o:spid="_x0000_s1026" o:spt="20" style="position:absolute;left:3977005;top:4065905;height:0;width:23685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545T&#10;2AAAAAYBAAAPAAAAAAAAAAEAIAAAACIAAABkcnMvZG93bnJldi54bWxQSwECFAAUAAAACACHTuJA&#10;lJlTGegBAACcAwAADgAAAAAAAAABACAAAAAnAQAAZHJzL2Uyb0RvYy54bWxQSwUGAAAAAAYABgBZ&#10;AQAAgQUAAAAA&#10;">
                  <v:fill on="f" focussize="0,0"/>
                  <v:stroke weight="1pt" color="#000000" joinstyle="round" dashstyle="dash" endarrow="block"/>
                  <v:imagedata o:title=""/>
                  <o:lock v:ext="edit" aspectratio="f"/>
                </v:line>
                <v:line id="直接连接符 46" o:spid="_x0000_s1026" o:spt="20" style="position:absolute;left:1589405;top:4719955;height:635;width:44894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UuYp3V&#10;AAAABgEAAA8AAAAAAAAAAQAgAAAAIgAAAGRycy9kb3ducmV2LnhtbFBLAQIUABQAAAAIAIdO4kA6&#10;nrA+6gEAAJ4DAAAOAAAAAAAAAAEAIAAAACQBAABkcnMvZTJvRG9jLnhtbFBLBQYAAAAABgAGAFkB&#10;AACABQAAAAA=&#10;">
                  <v:fill on="f" focussize="0,0"/>
                  <v:stroke weight="1pt" color="#000000" joinstyle="round" dashstyle="dash" startarrow="block"/>
                  <v:imagedata o:title=""/>
                  <o:lock v:ext="edit" aspectratio="f"/>
                </v:line>
                <v:line id="直接连接符 47" o:spid="_x0000_s1026" o:spt="20" style="position:absolute;left:1583055;top:4408805;height:621030;width:635;" filled="f" stroked="t" coordsize="21600,21600" o:gfxdata="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ctyvTAAAABgEAAA8A&#10;AAAAAAAAAQAgAAAAIgAAAGRycy9kb3ducmV2LnhtbFBLAQIUABQAAAAIAIdO4kDFeNBJ4wEAAJoD&#10;AAAOAAAAAAAAAAEAIAAAACIBAABkcnMvZTJvRG9jLnhtbFBLBQYAAAAABgAGAFkBAAB3BQAAAAA=&#10;">
                  <v:fill on="f" focussize="0,0"/>
                  <v:stroke weight="1pt" color="#000000" joinstyle="round" dashstyle="dash"/>
                  <v:imagedata o:title=""/>
                  <o:lock v:ext="edit" aspectratio="f"/>
                </v:line>
                <v:line id="直接连接符 48" o:spid="_x0000_s1026" o:spt="20" style="position:absolute;left:1379855;top:5005705;height:0;width:23685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VLmKd1QAA&#10;AAYBAAAPAAAAAAAAAAEAIAAAACIAAABkcnMvZG93bnJldi54bWxQSwECFAAUAAAACACHTuJA7+Ws&#10;aOgBAACcAwAADgAAAAAAAAABACAAAAAkAQAAZHJzL2Uyb0RvYy54bWxQSwUGAAAAAAYABgBZAQAA&#10;fgUAAAAA&#10;">
                  <v:fill on="f" focussize="0,0"/>
                  <v:stroke weight="1pt" color="#000000" joinstyle="round" dashstyle="dash" startarrow="block"/>
                  <v:imagedata o:title=""/>
                  <o:lock v:ext="edit" aspectratio="f"/>
                </v:line>
                <v:line id="直接连接符 48" o:spid="_x0000_s1026" o:spt="20" style="position:absolute;left:1360805;top:4421505;height:0;width:23685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UuYp3VAAAA&#10;BgEAAA8AAAAAAAAAAQAgAAAAIgAAAGRycy9kb3ducmV2LnhtbFBLAQIUABQAAAAIAIdO4kDYe+sH&#10;5wEAAJwDAAAOAAAAAAAAAAEAIAAAACQBAABkcnMvZTJvRG9jLnhtbFBLBQYAAAAABgAGAFkBAAB9&#10;BQAAAAA=&#10;">
                  <v:fill on="f" focussize="0,0"/>
                  <v:stroke weight="1pt" color="#000000" joinstyle="round" dashstyle="dash" startarrow="block"/>
                  <v:imagedata o:title=""/>
                  <o:lock v:ext="edit" aspectratio="f"/>
                </v:line>
                <v:shape id="文本框 51" o:spid="_x0000_s1026" o:spt="202" type="#_x0000_t202" style="position:absolute;left:802005;top:4872355;height:289560;width:566420;"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kDSqtUAAAAGAQAADwAA&#10;AAAAAAABACAAAAAiAAAAZHJzL2Rvd25yZXYueG1sUEsBAhQAFAAAAAgAh07iQPj0LvynAQAAFwMA&#10;AA4AAAAAAAAAAQAgAAAAJAEAAGRycy9lMm9Eb2MueG1sUEsFBgAAAAAGAAYAWQEAAD0FAAAAAA==&#10;">
                  <v:fill on="f" focussize="0,0"/>
                  <v:stroke on="f" weight="1pt"/>
                  <v:imagedata o:title=""/>
                  <o:lock v:ext="edit" aspectratio="f"/>
                  <v:textbox>
                    <w:txbxContent>
                      <w:p>
                        <w:pPr>
                          <w:pStyle w:val="34"/>
                          <w:ind w:left="0" w:firstLine="0"/>
                          <w:jc w:val="both"/>
                          <w:rPr>
                            <w:sz w:val="20"/>
                            <w:szCs w:val="22"/>
                          </w:rPr>
                        </w:pPr>
                        <w:r>
                          <w:rPr>
                            <w:rFonts w:hint="eastAsia"/>
                            <w:sz w:val="20"/>
                            <w:szCs w:val="22"/>
                          </w:rPr>
                          <w:t>噪声</w:t>
                        </w:r>
                      </w:p>
                    </w:txbxContent>
                  </v:textbox>
                </v:shape>
                <v:shape id="文本框 51" o:spid="_x0000_s1026" o:spt="202" type="#_x0000_t202" style="position:absolute;left:509270;top:4262755;height:289560;width:83375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SQNKq1QAAAAYBAAAPAAAA&#10;AAAAAAEAIAAAACIAAABkcnMvZG93bnJldi54bWxQSwECFAAUAAAACACHTuJAeHIGnqYBAAAXAwAA&#10;DgAAAAAAAAABACAAAAAkAQAAZHJzL2Uyb0RvYy54bWxQSwUGAAAAAAYABgBZAQAAPAUAAAAA&#10;">
                  <v:fill on="f" focussize="0,0"/>
                  <v:stroke on="f" weight="1pt"/>
                  <v:imagedata o:title=""/>
                  <o:lock v:ext="edit" aspectratio="f"/>
                  <v:textbox>
                    <w:txbxContent>
                      <w:p>
                        <w:pPr>
                          <w:pStyle w:val="34"/>
                          <w:ind w:left="0" w:firstLine="0"/>
                          <w:jc w:val="both"/>
                          <w:rPr>
                            <w:sz w:val="20"/>
                            <w:szCs w:val="22"/>
                          </w:rPr>
                        </w:pPr>
                        <w:r>
                          <w:rPr>
                            <w:rFonts w:hint="eastAsia"/>
                            <w:sz w:val="20"/>
                            <w:szCs w:val="22"/>
                          </w:rPr>
                          <w:t>无组织挥发</w:t>
                        </w:r>
                      </w:p>
                    </w:txbxContent>
                  </v:textbox>
                </v:shape>
                <v:line id="直接连接符 39" o:spid="_x0000_s1026" o:spt="20" style="position:absolute;left:2548255;top:4866005;height:424815;width:635;" filled="f" stroked="t" coordsize="21600,21600" o:gfxdata="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jrN&#10;FtYAAAAGAQAADwAAAAAAAAABACAAAAAiAAAAZHJzL2Rvd25yZXYueG1sUEsBAhQAFAAAAAgAh07i&#10;QKXfqsPrAQAAnwMAAA4AAAAAAAAAAQAgAAAAJQEAAGRycy9lMm9Eb2MueG1sUEsFBgAAAAAGAAYA&#10;WQEAAIIFAAAAAA==&#10;">
                  <v:fill on="f" focussize="0,0"/>
                  <v:stroke weight="1pt" color="#000000" joinstyle="round" endarrow="block"/>
                  <v:imagedata o:title=""/>
                  <o:lock v:ext="edit" aspectratio="f"/>
                </v:line>
                <v:shape id="文本框 38" o:spid="_x0000_s1026" o:spt="202" type="#_x0000_t202" style="position:absolute;left:1908175;top:5283835;height:280670;width:1119505;" filled="f" stroked="t" coordsize="21600,21600" o:gfxdata="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qMVNtQAAAAGAQAADwAAAAAAAAABACAAAAAiAAAAZHJzL2Rvd25yZXYueG1sUEsB&#10;AhQAFAAAAAgAh07iQF66qoT5AQAAzwMAAA4AAAAAAAAAAQAgAAAAIwEAAGRycy9lMm9Eb2MueG1s&#10;UEsFBgAAAAAGAAYAWQEAAI4FAAAAAA==&#10;">
                  <v:fill on="f" focussize="0,0"/>
                  <v:stroke weight="1pt" color="#000000" joinstyle="miter"/>
                  <v:imagedata o:title=""/>
                  <o:lock v:ext="edit" aspectratio="f"/>
                  <v:textbox>
                    <w:txbxContent>
                      <w:p>
                        <w:pPr>
                          <w:adjustRightInd w:val="0"/>
                          <w:snapToGrid w:val="0"/>
                          <w:jc w:val="center"/>
                          <w:rPr>
                            <w:kern w:val="0"/>
                            <w:sz w:val="20"/>
                            <w:szCs w:val="22"/>
                          </w:rPr>
                        </w:pPr>
                        <w:r>
                          <w:rPr>
                            <w:rFonts w:hint="eastAsia"/>
                            <w:kern w:val="0"/>
                            <w:sz w:val="20"/>
                            <w:szCs w:val="22"/>
                          </w:rPr>
                          <w:t>陆梁集中处理站</w:t>
                        </w:r>
                      </w:p>
                    </w:txbxContent>
                  </v:textbox>
                </v:shape>
                <v:line id="直接连接符 39" o:spid="_x0000_s1026" o:spt="20" style="position:absolute;left:2568575;top:5575935;height:250825;width:1905;" filled="f" stroked="t" coordsize="21600,21600" o:gfxdata="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jrN&#10;FtYAAAAGAQAADwAAAAAAAAABACAAAAAiAAAAZHJzL2Rvd25yZXYueG1sUEsBAhQAFAAAAAgAh07i&#10;QH3ereDrAQAAoAMAAA4AAAAAAAAAAQAgAAAAJQEAAGRycy9lMm9Eb2MueG1sUEsFBgAAAAAGAAYA&#10;WQEAAIIFAAAAAA==&#10;">
                  <v:fill on="f" focussize="0,0"/>
                  <v:stroke weight="1pt" color="#000000" joinstyle="round" endarrow="block"/>
                  <v:imagedata o:title=""/>
                  <o:lock v:ext="edit" aspectratio="f"/>
                </v:line>
                <v:shape id="文本框 38" o:spid="_x0000_s1026" o:spt="202" type="#_x0000_t202" style="position:absolute;left:2181225;top:5828665;height:301625;width:768985;" filled="f" stroked="t" coordsize="21600,21600" o:gfxdata="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qMVNtQAAAAGAQAADwAAAAAAAAABACAAAAAiAAAAZHJzL2Rvd25yZXYueG1sUEsBAhQA&#10;FAAAAAgAh07iQPKVjV72AQAAzgMAAA4AAAAAAAAAAQAgAAAAIwEAAGRycy9lMm9Eb2MueG1sUEsF&#10;BgAAAAAGAAYAWQEAAIsFAAAAAA==&#10;">
                  <v:fill on="f" focussize="0,0"/>
                  <v:stroke weight="1pt" color="#000000" joinstyle="miter"/>
                  <v:imagedata o:title=""/>
                  <o:lock v:ext="edit" aspectratio="f"/>
                  <v:textbox>
                    <w:txbxContent>
                      <w:p>
                        <w:pPr>
                          <w:adjustRightInd w:val="0"/>
                          <w:snapToGrid w:val="0"/>
                          <w:jc w:val="center"/>
                          <w:rPr>
                            <w:kern w:val="0"/>
                            <w:sz w:val="20"/>
                            <w:szCs w:val="22"/>
                          </w:rPr>
                        </w:pPr>
                        <w:r>
                          <w:rPr>
                            <w:rFonts w:hint="eastAsia"/>
                            <w:kern w:val="0"/>
                            <w:sz w:val="20"/>
                            <w:szCs w:val="22"/>
                          </w:rPr>
                          <w:t>外输</w:t>
                        </w:r>
                      </w:p>
                    </w:txbxContent>
                  </v:textbox>
                </v:shape>
                <v:line id="直接连接符 46" o:spid="_x0000_s1026" o:spt="20" style="position:absolute;left:1471295;top:5419725;height:635;width:448945;" filled="f" stroked="t" coordsize="21600,21600" o:gfxdata="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LmKd&#10;1QAAAAYBAAAPAAAAAAAAAAEAIAAAACIAAABkcnMvZG93bnJldi54bWxQSwECFAAUAAAACACHTuJA&#10;ECrObusBAACeAwAADgAAAAAAAAABACAAAAAkAQAAZHJzL2Uyb0RvYy54bWxQSwUGAAAAAAYABgBZ&#10;AQAAgQUAAAAA&#10;">
                  <v:fill on="f" focussize="0,0"/>
                  <v:stroke weight="1pt" color="#000000" joinstyle="round" dashstyle="dash" startarrow="block"/>
                  <v:imagedata o:title=""/>
                  <o:lock v:ext="edit" aspectratio="f"/>
                </v:line>
                <v:shape id="文本框 51" o:spid="_x0000_s1026" o:spt="202" type="#_x0000_t202" style="position:absolute;left:746760;top:5251450;height:289560;width:838200;"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kDSqtUAAAAGAQAADwAAAAAA&#10;AAABACAAAAAiAAAAZHJzL2Rvd25yZXYueG1sUEsBAhQAFAAAAAgAh07iQMA56dGkAQAAFwMAAA4A&#10;AAAAAAAAAQAgAAAAJAEAAGRycy9lMm9Eb2MueG1sUEsFBgAAAAAGAAYAWQEAADoFAAAAAA==&#10;">
                  <v:fill on="f" focussize="0,0"/>
                  <v:stroke on="f" weight="1pt"/>
                  <v:imagedata o:title=""/>
                  <o:lock v:ext="edit" aspectratio="f"/>
                  <v:textbox>
                    <w:txbxContent>
                      <w:p>
                        <w:pPr>
                          <w:pStyle w:val="34"/>
                          <w:ind w:left="0" w:firstLine="0"/>
                          <w:jc w:val="both"/>
                          <w:rPr>
                            <w:sz w:val="20"/>
                            <w:szCs w:val="22"/>
                          </w:rPr>
                        </w:pPr>
                        <w:r>
                          <w:rPr>
                            <w:rFonts w:hint="eastAsia"/>
                            <w:sz w:val="20"/>
                            <w:szCs w:val="22"/>
                          </w:rPr>
                          <w:t>回注油藏</w:t>
                        </w:r>
                      </w:p>
                    </w:txbxContent>
                  </v:textbox>
                </v:shape>
                <v:shape id="文本框 51" o:spid="_x0000_s1026" o:spt="202" type="#_x0000_t202" style="position:absolute;left:1350010;top:5097145;height:269875;width:60007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SQNKq1QAAAAYBAAAPAAAA&#10;AAAAAAEAIAAAACIAAABkcnMvZG93bnJldi54bWxQSwECFAAUAAAACACHTuJA3MHHAqYBAAAYAwAA&#10;DgAAAAAAAAABACAAAAAkAQAAZHJzL2Uyb0RvYy54bWxQSwUGAAAAAAYABgBZAQAAPAUAAAAA&#10;">
                  <v:fill on="f" focussize="0,0"/>
                  <v:stroke on="f" weight="1pt"/>
                  <v:imagedata o:title=""/>
                  <o:lock v:ext="edit" aspectratio="f"/>
                  <v:textbox>
                    <w:txbxContent>
                      <w:p>
                        <w:pPr>
                          <w:pStyle w:val="34"/>
                          <w:ind w:left="0" w:firstLine="0"/>
                          <w:jc w:val="both"/>
                          <w:rPr>
                            <w:sz w:val="20"/>
                            <w:szCs w:val="22"/>
                          </w:rPr>
                        </w:pPr>
                        <w:r>
                          <w:rPr>
                            <w:rFonts w:hint="eastAsia"/>
                            <w:sz w:val="20"/>
                            <w:szCs w:val="22"/>
                          </w:rPr>
                          <w:t>采出水</w:t>
                        </w:r>
                      </w:p>
                    </w:txbxContent>
                  </v:textbox>
                </v:shape>
                <v:line id="直接连接符 64" o:spid="_x0000_s1026" o:spt="20" style="position:absolute;left:3053715;top:5415915;flip:y;height:7620;width:262255;" filled="f" stroked="t" coordsize="21600,21600" o:gfxdata="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C0kTvVAAAABgEAAA8AAAAAAAAAAQAgAAAAIgAAAGRycy9kb3ducmV2LnhtbFBLAQIUABQA&#10;AAAIAIdO4kAyFccJ8wEAAKkDAAAOAAAAAAAAAAEAIAAAACQBAABkcnMvZTJvRG9jLnhtbFBLBQYA&#10;AAAABgAGAFkBAACJBQAAAAA=&#10;">
                  <v:fill on="f" focussize="0,0"/>
                  <v:stroke weight="1pt" color="#000000" joinstyle="round" dashstyle="dash" endarrow="block"/>
                  <v:imagedata o:title=""/>
                  <o:lock v:ext="edit" aspectratio="f"/>
                </v:line>
                <v:shape id="文本框 68" o:spid="_x0000_s1026" o:spt="202" type="#_x0000_t202" style="position:absolute;left:3308350;top:5268595;height:284480;width:75247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SQNKq1QAAAAYBAAAP&#10;AAAAAAAAAAEAIAAAACIAAABkcnMvZG93bnJldi54bWxQSwECFAAUAAAACACHTuJAlx1NhqkBAAAY&#10;AwAADgAAAAAAAAABACAAAAAkAQAAZHJzL2Uyb0RvYy54bWxQSwUGAAAAAAYABgBZAQAAPwUAAAAA&#10;">
                  <v:fill on="f" focussize="0,0"/>
                  <v:stroke on="f" weight="1pt"/>
                  <v:imagedata o:title=""/>
                  <o:lock v:ext="edit" aspectratio="f"/>
                  <v:textbox>
                    <w:txbxContent>
                      <w:p>
                        <w:pPr>
                          <w:rPr>
                            <w:sz w:val="20"/>
                            <w:szCs w:val="20"/>
                          </w:rPr>
                        </w:pPr>
                        <w:r>
                          <w:rPr>
                            <w:rFonts w:hint="eastAsia"/>
                            <w:sz w:val="20"/>
                            <w:szCs w:val="20"/>
                          </w:rPr>
                          <w:t>含油污泥</w:t>
                        </w:r>
                      </w:p>
                    </w:txbxContent>
                  </v:textbox>
                </v:shape>
                <v:shape id="文本框 68" o:spid="_x0000_s1026" o:spt="202" type="#_x0000_t202" style="position:absolute;left:4377690;top:5185410;height:467995;width:95567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JA0qrVAAAABgEAAA8A&#10;AAAAAAAAAQAgAAAAIgAAAGRycy9kb3ducmV2LnhtbFBLAQIUABQAAAAIAIdO4kC7YcoCqAEAABgD&#10;AAAOAAAAAAAAAAEAIAAAACQBAABkcnMvZTJvRG9jLnhtbFBLBQYAAAAABgAGAFkBAAA+BQAAAAA=&#10;">
                  <v:fill on="f" focussize="0,0"/>
                  <v:stroke on="f" weight="1pt"/>
                  <v:imagedata o:title=""/>
                  <o:lock v:ext="edit" aspectratio="f"/>
                  <v:textbox>
                    <w:txbxContent>
                      <w:p>
                        <w:pPr>
                          <w:rPr>
                            <w:sz w:val="20"/>
                            <w:szCs w:val="20"/>
                          </w:rPr>
                        </w:pPr>
                        <w:r>
                          <w:rPr>
                            <w:rFonts w:hint="eastAsia"/>
                            <w:sz w:val="20"/>
                            <w:szCs w:val="20"/>
                          </w:rPr>
                          <w:t>委托有资质的单位处置</w:t>
                        </w:r>
                      </w:p>
                    </w:txbxContent>
                  </v:textbox>
                </v:shape>
                <v:line id="直接连接符 64" o:spid="_x0000_s1026" o:spt="20" style="position:absolute;left:4048760;top:5415915;height:1905;width:352425;" filled="f" stroked="t" coordsize="21600,21600" o:gfxdata="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eOU9gAAAAGAQAADwAAAAAAAAABACAAAAAiAAAAZHJzL2Rvd25yZXYueG1sUEsBAhQAFAAAAAgA&#10;h07iQHFIG0vsAQAAnwMAAA4AAAAAAAAAAQAgAAAAJwEAAGRycy9lMm9Eb2MueG1sUEsFBgAAAAAG&#10;AAYAWQEAAIUFAAAAAA==&#10;">
                  <v:fill on="f" focussize="0,0"/>
                  <v:stroke weight="1pt" color="#000000" joinstyle="round" dashstyle="dash" endarrow="block"/>
                  <v:imagedata o:title=""/>
                  <o:lock v:ext="edit" aspectratio="f"/>
                </v:line>
                <v:shape id="文本框 34" o:spid="_x0000_s1026" o:spt="202" type="#_x0000_t202" style="position:absolute;left:701040;top:1370330;height:302260;width:1172845;" filled="f" stroked="t" coordsize="21600,21600" o:gfxdata="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qMVNtQAAAAGAQAADwAAAAAAAAABACAAAAAiAAAAZHJzL2Rvd25yZXYueG1sUEsB&#10;AhQAFAAAAAgAh07iQCRBg6X5AQAAzgMAAA4AAAAAAAAAAQAgAAAAIwEAAGRycy9lMm9Eb2MueG1s&#10;UEsFBgAAAAAGAAYAWQEAAI4FAAAAAA==&#10;">
                  <v:fill on="f" focussize="0,0"/>
                  <v:stroke weight="1pt" color="#000000" joinstyle="miter"/>
                  <v:imagedata o:title=""/>
                  <o:lock v:ext="edit" aspectratio="f"/>
                  <v:textbox>
                    <w:txbxContent>
                      <w:p>
                        <w:pPr>
                          <w:pStyle w:val="34"/>
                          <w:ind w:left="0" w:firstLine="0"/>
                          <w:rPr>
                            <w:sz w:val="20"/>
                            <w:szCs w:val="22"/>
                          </w:rPr>
                        </w:pPr>
                        <w:r>
                          <w:rPr>
                            <w:rFonts w:hint="eastAsia"/>
                            <w:sz w:val="20"/>
                            <w:szCs w:val="22"/>
                          </w:rPr>
                          <w:t>老井转注（修井）</w:t>
                        </w:r>
                      </w:p>
                    </w:txbxContent>
                  </v:textbox>
                </v:shape>
                <v:shape id="文本框 34" o:spid="_x0000_s1026" o:spt="202" type="#_x0000_t202" style="position:absolute;left:174625;top:1240155;height:302260;width:46037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JA0qrVAAAABgEAAA8A&#10;AAAAAAAAAQAgAAAAIgAAAGRycy9kb3ducmV2LnhtbFBLAQIUABQAAAAIAIdO4kCWlQml4QEAAKQD&#10;AAAOAAAAAAAAAAEAIAAAACQBAABkcnMvZTJvRG9jLnhtbFBLBQYAAAAABgAGAFkBAAB3BQAAAAA=&#10;">
                  <v:fill on="f" focussize="0,0"/>
                  <v:stroke on="f" weight="1pt" joinstyle="miter"/>
                  <v:imagedata o:title=""/>
                  <o:lock v:ext="edit" aspectratio="f"/>
                  <v:textbox>
                    <w:txbxContent>
                      <w:p>
                        <w:pPr>
                          <w:pStyle w:val="34"/>
                          <w:ind w:left="0" w:firstLine="0"/>
                          <w:rPr>
                            <w:sz w:val="20"/>
                            <w:szCs w:val="22"/>
                          </w:rPr>
                        </w:pPr>
                        <w:r>
                          <w:rPr>
                            <w:rFonts w:hint="eastAsia"/>
                            <w:sz w:val="20"/>
                            <w:szCs w:val="22"/>
                          </w:rPr>
                          <w:t>注水</w:t>
                        </w:r>
                      </w:p>
                    </w:txbxContent>
                  </v:textbox>
                </v:shape>
                <v:shape id="文本框 34" o:spid="_x0000_s1026" o:spt="202" type="#_x0000_t202" style="position:absolute;left:735965;top:925195;height:302260;width:1038225;" filled="f" stroked="f" coordsize="21600,21600" o:gfxdata="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JA0qrVAAAA&#10;BgEAAA8AAAAAAAAAAQAgAAAAIgAAAGRycy9kb3ducmV2LnhtbFBLAQIUABQAAAAIAIdO4kBb66kz&#10;5wEAAKQDAAAOAAAAAAAAAAEAIAAAACQBAABkcnMvZTJvRG9jLnhtbFBLBQYAAAAABgAGAFkBAAB9&#10;BQAAAAA=&#10;">
                  <v:fill on="f" focussize="0,0"/>
                  <v:stroke on="f" weight="1pt" joinstyle="miter"/>
                  <v:imagedata o:title=""/>
                  <o:lock v:ext="edit" aspectratio="f"/>
                  <v:textbox>
                    <w:txbxContent>
                      <w:p>
                        <w:pPr>
                          <w:pStyle w:val="34"/>
                          <w:ind w:left="0" w:firstLine="0"/>
                          <w:rPr>
                            <w:sz w:val="20"/>
                            <w:szCs w:val="22"/>
                          </w:rPr>
                        </w:pPr>
                        <w:r>
                          <w:rPr>
                            <w:rFonts w:hint="eastAsia"/>
                            <w:sz w:val="20"/>
                            <w:szCs w:val="22"/>
                          </w:rPr>
                          <w:t>噪声、试压废水</w:t>
                        </w:r>
                      </w:p>
                    </w:txbxContent>
                  </v:textbox>
                </v:shape>
                <w10:wrap type="none"/>
                <w10:anchorlock/>
              </v:group>
            </w:pict>
          </mc:Fallback>
        </mc:AlternateContent>
      </w:r>
    </w:p>
    <w:p>
      <w:pPr>
        <w:pStyle w:val="37"/>
        <w:spacing w:line="360"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图3.7-1  本项目工艺流程及产污节点图</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3.7.</w:t>
      </w:r>
      <w:r>
        <w:rPr>
          <w:rFonts w:hint="eastAsia" w:ascii="Times New Roman" w:hAnsi="Times New Roman" w:eastAsia="黑体" w:cs="Times New Roman"/>
          <w:b/>
          <w:color w:val="000000" w:themeColor="text1"/>
          <w:sz w:val="30"/>
          <w:szCs w:val="30"/>
          <w14:textFill>
            <w14:solidFill>
              <w14:schemeClr w14:val="tx1"/>
            </w14:solidFill>
          </w14:textFill>
        </w:rPr>
        <w:t>3</w:t>
      </w:r>
      <w:r>
        <w:rPr>
          <w:rFonts w:ascii="Times New Roman" w:hAnsi="Times New Roman" w:eastAsia="黑体" w:cs="Times New Roman"/>
          <w:b/>
          <w:color w:val="000000" w:themeColor="text1"/>
          <w:sz w:val="30"/>
          <w:szCs w:val="30"/>
          <w14:textFill>
            <w14:solidFill>
              <w14:schemeClr w14:val="tx1"/>
            </w14:solidFill>
          </w14:textFill>
        </w:rPr>
        <w:t>施工期主要施工工艺及产污环节</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本项目施工期主要包括钻前工程、钻井工程、</w:t>
      </w:r>
      <w:r>
        <w:rPr>
          <w:rFonts w:hint="eastAsia" w:ascii="Times New Roman" w:hAnsi="Times New Roman" w:cs="Times New Roman"/>
          <w:color w:val="000000" w:themeColor="text1"/>
          <w14:textFill>
            <w14:solidFill>
              <w14:schemeClr w14:val="tx1"/>
            </w14:solidFill>
          </w14:textFill>
        </w:rPr>
        <w:t>修井工程、</w:t>
      </w:r>
      <w:r>
        <w:rPr>
          <w:rFonts w:ascii="Times New Roman" w:hAnsi="Times New Roman" w:cs="Times New Roman"/>
          <w:color w:val="000000" w:themeColor="text1"/>
          <w14:textFill>
            <w14:solidFill>
              <w14:schemeClr w14:val="tx1"/>
            </w14:solidFill>
          </w14:textFill>
        </w:rPr>
        <w:t>储层改造工程、管线等地面工程。根据建设单位提供资料，老井转注主要为修井作业。</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3.7.3.1钻前工程</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钻前准备工作中，在预选井位前首先根据井的深浅、设备的类型及设计的要求来进行平整井场，修建进场道路，进行设备基础施工（包括钻井、井架、钻井泵等基础设备），其次是搬运钻井设备及安装。</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本次开发部署区域位于老区，区内建有比较完善的油田路网，交通便利，依托性较好。本次无需新建道路，巡井道路可依托已建道路。</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3.7.3.2钻井工程</w:t>
      </w:r>
    </w:p>
    <w:p>
      <w:pPr>
        <w:pStyle w:val="63"/>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本项目新钻采油井28口。</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钻井工艺主要包括：钻进、录井、测井、固井和完井。钻井过程中产生的污染物主要有施工扬尘、车辆设备尾气、柴油机废气、钻井废水、射孔液、试压废水、生活废水、生活垃圾、钻井岩屑、废防渗膜、建筑垃圾等。</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（1）钻进</w:t>
      </w:r>
    </w:p>
    <w:p>
      <w:pPr>
        <w:spacing w:line="348" w:lineRule="auto"/>
        <w:ind w:firstLine="488" w:firstLineChars="200"/>
        <w:rPr>
          <w:rFonts w:ascii="Times New Roman" w:hAnsi="Times New Roman" w:cs="Times New Roman"/>
          <w:color w:val="000000" w:themeColor="text1"/>
          <w:spacing w:val="2"/>
          <w:sz w:val="24"/>
          <w14:textFill>
            <w14:solidFill>
              <w14:schemeClr w14:val="tx1"/>
            </w14:solidFill>
          </w14:textFill>
        </w:rPr>
      </w:pPr>
      <w:r>
        <w:rPr>
          <w:rFonts w:ascii="Times New Roman" w:hAnsi="Times New Roman" w:cs="Times New Roman"/>
          <w:color w:val="000000" w:themeColor="text1"/>
          <w:spacing w:val="2"/>
          <w:sz w:val="24"/>
          <w14:textFill>
            <w14:solidFill>
              <w14:schemeClr w14:val="tx1"/>
            </w14:solidFill>
          </w14:textFill>
        </w:rPr>
        <w:t>一开钻进为保证井身质量，刚开钻时钻压10kN~20kN，以后逐渐增加钻压，其原则为不超过钻铤浮重的80%。每钻完一根单根洗井2min~3min，上下划眼2次修好井壁再接单根，提钻时抓好灌钻井液工作，确保井内压力平衡。做到早开泵、晚停泵，接单根要迅速，防止堵水眼蹩泵。钻进中必须开动振动筛、除砂器，控制固相含量，防止坍塌和沉砂。表层容易漏失、垮坍和发生窜槽，钻进过程中要求平稳操作，缓慢开泵，及时灌好钻井液。</w:t>
      </w:r>
    </w:p>
    <w:p>
      <w:pPr>
        <w:tabs>
          <w:tab w:val="left" w:pos="720"/>
          <w:tab w:val="left" w:pos="844"/>
        </w:tabs>
        <w:spacing w:line="360" w:lineRule="auto"/>
        <w:ind w:firstLine="496" w:firstLineChars="200"/>
        <w:rPr>
          <w:rFonts w:ascii="Times New Roman" w:hAnsi="Times New Roman" w:cs="Times New Roman"/>
          <w:color w:val="000000" w:themeColor="text1"/>
          <w:spacing w:val="4"/>
          <w:sz w:val="24"/>
          <w14:textFill>
            <w14:solidFill>
              <w14:schemeClr w14:val="tx1"/>
            </w14:solidFill>
          </w14:textFill>
        </w:rPr>
      </w:pPr>
      <w:r>
        <w:rPr>
          <w:rFonts w:ascii="Times New Roman" w:hAnsi="Times New Roman" w:cs="Times New Roman"/>
          <w:color w:val="000000" w:themeColor="text1"/>
          <w:spacing w:val="4"/>
          <w:sz w:val="24"/>
          <w14:textFill>
            <w14:solidFill>
              <w14:schemeClr w14:val="tx1"/>
            </w14:solidFill>
          </w14:textFill>
        </w:rPr>
        <w:t>二开前对套管以及井口装置进行试压，试压合格后方可钻水泥塞，钻套管附件时，钻压20kN~40kN，转速60r/min，以防下部套管脱落；二开第一只钻头前50m用小于50kN钻压钻进，待新井眼形成后再加至设计钻压钻进。</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（2）录井</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二开及以后各开次下套管（含尾管）前，应换装与套管尺寸匹配的半封闸板。下套管、注水泥过程中，钻井队、录井队安排专人坐岗，观察并记录灌入、返出量，及时发现井漏、井涌及其他异常情况。</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（3）测井</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测井配备专门的测井队，测井方式为电测井，电测井井控主要要求为：</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1）若电测时间将要大于安全作业时间时，中途通井循环再电测。</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2）测井队到井后向钻井队了解井况，确认安全作业时间，电测时发生溢流立即停止电测，尽快起出井内电缆。当不具备起出电缆条件，立即实施剪断电缆。</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3）由钻井队值班干部决定何时切断电缆，测井队专用剪切工具放置在钻台上，测井中随时处于待命状态，测井队队长实施剪断电缆工作。</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（4）固井</w:t>
      </w:r>
    </w:p>
    <w:p>
      <w:pPr>
        <w:spacing w:line="360" w:lineRule="auto"/>
        <w:ind w:firstLine="496"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pacing w:val="4"/>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Ф244.5mm表层套管</w:t>
      </w:r>
    </w:p>
    <w:p>
      <w:pPr>
        <w:spacing w:line="360" w:lineRule="auto"/>
        <w:ind w:left="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①采用G级水泥双胶塞固井；下套管前采用原钻具或带扶正器通井，确保畅通无阻卡、洗净井底沉砂后提钻下套管。</w:t>
      </w:r>
    </w:p>
    <w:p>
      <w:pPr>
        <w:spacing w:line="360" w:lineRule="auto"/>
        <w:ind w:left="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②下完表层套管后要循环洗井、找正并固定好井口后再固井；注水泥前注入</w:t>
      </w:r>
      <w:r>
        <w:rPr>
          <w:rFonts w:ascii="Times New Roman" w:hAnsi="Times New Roman" w:cs="Times New Roman"/>
          <w:color w:val="000000" w:themeColor="text1"/>
          <w:spacing w:val="4"/>
          <w:sz w:val="24"/>
          <w14:textFill>
            <w14:solidFill>
              <w14:schemeClr w14:val="tx1"/>
            </w14:solidFill>
          </w14:textFill>
        </w:rPr>
        <w:t>2m</w:t>
      </w:r>
      <w:r>
        <w:rPr>
          <w:rFonts w:ascii="Times New Roman" w:hAnsi="Times New Roman" w:cs="Times New Roman"/>
          <w:color w:val="000000" w:themeColor="text1"/>
          <w:spacing w:val="4"/>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清水作隔离液。</w:t>
      </w:r>
    </w:p>
    <w:p>
      <w:pPr>
        <w:spacing w:line="360" w:lineRule="auto"/>
        <w:ind w:left="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③现场注水泥施工要连续进行，套管外水泥浆应返出地面。</w:t>
      </w:r>
    </w:p>
    <w:p>
      <w:pPr>
        <w:spacing w:line="360" w:lineRule="auto"/>
        <w:ind w:left="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④注水泥时，要随时观察井口钻井液返出情况，若发生井漏，水泥浆未返至地面，井口应打水泥帽子至地面。注水泥结束后候凝</w:t>
      </w:r>
      <w:r>
        <w:rPr>
          <w:rFonts w:hint="eastAsia" w:ascii="Times New Roman" w:hAnsi="Times New Roman" w:cs="Times New Roman"/>
          <w:color w:val="000000" w:themeColor="text1"/>
          <w:spacing w:val="4"/>
          <w:sz w:val="24"/>
          <w14:textFill>
            <w14:solidFill>
              <w14:schemeClr w14:val="tx1"/>
            </w14:solidFill>
          </w14:textFill>
        </w:rPr>
        <w:t>24</w:t>
      </w:r>
      <w:r>
        <w:rPr>
          <w:rFonts w:ascii="Times New Roman" w:hAnsi="Times New Roman" w:cs="Times New Roman"/>
          <w:color w:val="000000" w:themeColor="text1"/>
          <w:spacing w:val="4"/>
          <w:sz w:val="24"/>
          <w14:textFill>
            <w14:solidFill>
              <w14:schemeClr w14:val="tx1"/>
            </w14:solidFill>
          </w14:textFill>
        </w:rPr>
        <w:t>h</w:t>
      </w:r>
      <w:r>
        <w:rPr>
          <w:rFonts w:hint="eastAsia" w:ascii="Times New Roman" w:hAnsi="Times New Roman" w:cs="Times New Roman"/>
          <w:color w:val="000000" w:themeColor="text1"/>
          <w:spacing w:val="4"/>
          <w:sz w:val="24"/>
          <w14:textFill>
            <w14:solidFill>
              <w14:schemeClr w14:val="tx1"/>
            </w14:solidFill>
          </w14:textFill>
        </w:rPr>
        <w:t>后进行固井质量检测，再动井口</w:t>
      </w:r>
      <w:r>
        <w:rPr>
          <w:rFonts w:ascii="Times New Roman" w:hAnsi="Times New Roman" w:cs="Times New Roman"/>
          <w:color w:val="000000" w:themeColor="text1"/>
          <w:sz w:val="24"/>
          <w14:textFill>
            <w14:solidFill>
              <w14:schemeClr w14:val="tx1"/>
            </w14:solidFill>
          </w14:textFill>
        </w:rPr>
        <w:t>。</w:t>
      </w:r>
    </w:p>
    <w:p>
      <w:pPr>
        <w:spacing w:line="360" w:lineRule="auto"/>
        <w:ind w:firstLine="496"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pacing w:val="4"/>
          <w:sz w:val="24"/>
          <w14:textFill>
            <w14:solidFill>
              <w14:schemeClr w14:val="tx1"/>
            </w14:solidFill>
          </w14:textFill>
        </w:rPr>
        <w:t>2）Φ139.7mm</w:t>
      </w:r>
      <w:r>
        <w:rPr>
          <w:rFonts w:ascii="Times New Roman" w:hAnsi="Times New Roman" w:cs="Times New Roman"/>
          <w:color w:val="000000" w:themeColor="text1"/>
          <w:sz w:val="24"/>
          <w14:textFill>
            <w14:solidFill>
              <w14:schemeClr w14:val="tx1"/>
            </w14:solidFill>
          </w14:textFill>
        </w:rPr>
        <w:t>油层套管</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①采用（超低密度+低密度）双凝双密度水泥浆体系常规固井。</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w:t>
      </w:r>
      <w:r>
        <w:rPr>
          <w:rFonts w:ascii="Times New Roman" w:hAnsi="Times New Roman" w:cs="Times New Roman"/>
          <w:color w:val="000000" w:themeColor="text1"/>
          <w:spacing w:val="4"/>
          <w:sz w:val="24"/>
          <w14:textFill>
            <w14:solidFill>
              <w14:schemeClr w14:val="tx1"/>
            </w14:solidFill>
          </w14:textFill>
        </w:rPr>
        <w:t>为确保完井固井</w:t>
      </w:r>
      <w:r>
        <w:rPr>
          <w:rFonts w:ascii="Times New Roman" w:hAnsi="Times New Roman" w:cs="Times New Roman"/>
          <w:color w:val="000000" w:themeColor="text1"/>
          <w:sz w:val="24"/>
          <w14:textFill>
            <w14:solidFill>
              <w14:schemeClr w14:val="tx1"/>
            </w14:solidFill>
          </w14:textFill>
        </w:rPr>
        <w:t>正常施工和固井质量，电测完后根据实际完钻钻井液密度和使用的水泥浆密度，要求稳压15min以上，压降不大于0.5MPa。大排量洗井要求按照固井最大排量循环15min，无井漏，井口液面稳定可见为准；</w:t>
      </w:r>
    </w:p>
    <w:p>
      <w:pPr>
        <w:adjustRightInd w:val="0"/>
        <w:snapToGrid w:val="0"/>
        <w:spacing w:line="360" w:lineRule="auto"/>
        <w:ind w:firstLine="496" w:firstLineChars="200"/>
        <w:textAlignment w:val="baseline"/>
        <w:rPr>
          <w:rFonts w:ascii="Times New Roman" w:hAnsi="Times New Roman" w:cs="Times New Roman"/>
          <w:color w:val="000000" w:themeColor="text1"/>
          <w:spacing w:val="4"/>
          <w:kern w:val="0"/>
          <w:sz w:val="24"/>
          <w14:textFill>
            <w14:solidFill>
              <w14:schemeClr w14:val="tx1"/>
            </w14:solidFill>
          </w14:textFill>
        </w:rPr>
      </w:pPr>
      <w:r>
        <w:rPr>
          <w:rFonts w:ascii="Times New Roman" w:hAnsi="Times New Roman" w:cs="Times New Roman"/>
          <w:color w:val="000000" w:themeColor="text1"/>
          <w:spacing w:val="4"/>
          <w:kern w:val="0"/>
          <w:sz w:val="24"/>
          <w14:textFill>
            <w14:solidFill>
              <w14:schemeClr w14:val="tx1"/>
            </w14:solidFill>
          </w14:textFill>
        </w:rPr>
        <w:t>③下套管前换Φ139.7mm防喷器芯子并按照井口装置试压要求试压合格，</w:t>
      </w:r>
      <w:r>
        <w:rPr>
          <w:rFonts w:ascii="Times New Roman" w:hAnsi="Times New Roman" w:cs="Times New Roman"/>
          <w:bCs/>
          <w:color w:val="000000" w:themeColor="text1"/>
          <w:sz w:val="24"/>
          <w:szCs w:val="22"/>
          <w14:textFill>
            <w14:solidFill>
              <w14:schemeClr w14:val="tx1"/>
            </w14:solidFill>
          </w14:textFill>
        </w:rPr>
        <w:t>提前准备好防喷单根和循环洗井接头。</w:t>
      </w:r>
      <w:r>
        <w:rPr>
          <w:rFonts w:ascii="Times New Roman" w:hAnsi="Times New Roman" w:cs="Times New Roman"/>
          <w:color w:val="000000" w:themeColor="text1"/>
          <w:sz w:val="24"/>
          <w:lang w:bidi="ar"/>
          <w14:textFill>
            <w14:solidFill>
              <w14:schemeClr w14:val="tx1"/>
            </w14:solidFill>
          </w14:textFill>
        </w:rPr>
        <w:t>下完套管后要进行循环洗井，循环洗井不少于2个循环周；</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④</w:t>
      </w:r>
      <w:r>
        <w:rPr>
          <w:rFonts w:ascii="Times New Roman" w:hAnsi="Times New Roman" w:cs="Times New Roman"/>
          <w:color w:val="000000" w:themeColor="text1"/>
          <w:spacing w:val="4"/>
          <w:kern w:val="0"/>
          <w:sz w:val="24"/>
          <w14:textFill>
            <w14:solidFill>
              <w14:schemeClr w14:val="tx1"/>
            </w14:solidFill>
          </w14:textFill>
        </w:rPr>
        <w:t>采用过渡</w:t>
      </w:r>
      <w:r>
        <w:rPr>
          <w:rFonts w:hint="eastAsia" w:ascii="Times New Roman" w:hAnsi="Times New Roman" w:cs="Times New Roman"/>
          <w:color w:val="000000" w:themeColor="text1"/>
          <w:spacing w:val="4"/>
          <w:kern w:val="0"/>
          <w:sz w:val="24"/>
          <w14:textFill>
            <w14:solidFill>
              <w14:schemeClr w14:val="tx1"/>
            </w14:solidFill>
          </w14:textFill>
        </w:rPr>
        <w:t>灌注</w:t>
      </w:r>
      <w:r>
        <w:rPr>
          <w:rFonts w:ascii="Times New Roman" w:hAnsi="Times New Roman" w:cs="Times New Roman"/>
          <w:color w:val="000000" w:themeColor="text1"/>
          <w:spacing w:val="4"/>
          <w:kern w:val="0"/>
          <w:sz w:val="24"/>
          <w14:textFill>
            <w14:solidFill>
              <w14:schemeClr w14:val="tx1"/>
            </w14:solidFill>
          </w14:textFill>
        </w:rPr>
        <w:t>水泥，水泥浆密度允许偏差范围±0.02g/cm</w:t>
      </w:r>
      <w:r>
        <w:rPr>
          <w:rFonts w:ascii="Times New Roman" w:hAnsi="Times New Roman" w:cs="Times New Roman"/>
          <w:color w:val="000000" w:themeColor="text1"/>
          <w:spacing w:val="4"/>
          <w:kern w:val="0"/>
          <w:sz w:val="24"/>
          <w:vertAlign w:val="superscript"/>
          <w14:textFill>
            <w14:solidFill>
              <w14:schemeClr w14:val="tx1"/>
            </w14:solidFill>
          </w14:textFill>
        </w:rPr>
        <w:t>3</w:t>
      </w:r>
      <w:r>
        <w:rPr>
          <w:rFonts w:ascii="Times New Roman" w:hAnsi="Times New Roman" w:cs="Times New Roman"/>
          <w:color w:val="000000" w:themeColor="text1"/>
          <w:spacing w:val="4"/>
          <w:kern w:val="0"/>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采用流变学注水泥方法进行固井施工，</w:t>
      </w:r>
      <w:r>
        <w:rPr>
          <w:rFonts w:ascii="Times New Roman" w:hAnsi="Times New Roman" w:cs="Times New Roman"/>
          <w:color w:val="000000" w:themeColor="text1"/>
          <w:spacing w:val="4"/>
          <w:kern w:val="0"/>
          <w:sz w:val="24"/>
          <w14:textFill>
            <w14:solidFill>
              <w14:schemeClr w14:val="tx1"/>
            </w14:solidFill>
          </w14:textFill>
        </w:rPr>
        <w:t>注水泥施工连续进行，</w:t>
      </w:r>
      <w:r>
        <w:rPr>
          <w:rFonts w:ascii="Times New Roman" w:hAnsi="Times New Roman" w:cs="Times New Roman"/>
          <w:color w:val="000000" w:themeColor="text1"/>
          <w:sz w:val="24"/>
          <w14:textFill>
            <w14:solidFill>
              <w14:schemeClr w14:val="tx1"/>
            </w14:solidFill>
          </w14:textFill>
        </w:rPr>
        <w:t>水泥浆返至地面。</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⑤固完井候凝48h后进行固井质量检测，再进行套管内试压。</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（5）完井</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完井是钻井工程的最后环节，整个钻井工艺结束。一般情况下，完井即钻开油层，完井方式采用</w:t>
      </w:r>
      <w:r>
        <w:rPr>
          <w:rFonts w:ascii="Times New Roman" w:hAnsi="Times New Roman" w:cs="Times New Roman"/>
          <w:color w:val="000000" w:themeColor="text1"/>
          <w14:textFill>
            <w14:solidFill>
              <w14:schemeClr w14:val="tx1"/>
            </w14:solidFill>
          </w14:textFill>
        </w:rPr>
        <w:sym w:font="Symbol" w:char="F046"/>
      </w:r>
      <w:r>
        <w:rPr>
          <w:rFonts w:ascii="Times New Roman" w:hAnsi="Times New Roman" w:cs="Times New Roman"/>
          <w:color w:val="000000" w:themeColor="text1"/>
          <w14:textFill>
            <w14:solidFill>
              <w14:schemeClr w14:val="tx1"/>
            </w14:solidFill>
          </w14:textFill>
        </w:rPr>
        <w:t>245mm×</w:t>
      </w:r>
      <w:r>
        <w:rPr>
          <w:rFonts w:ascii="Times New Roman" w:hAnsi="Times New Roman" w:cs="Times New Roman"/>
          <w:color w:val="000000" w:themeColor="text1"/>
          <w14:textFill>
            <w14:solidFill>
              <w14:schemeClr w14:val="tx1"/>
            </w14:solidFill>
          </w14:textFill>
        </w:rPr>
        <w:sym w:font="Symbol" w:char="F046"/>
      </w:r>
      <w:r>
        <w:rPr>
          <w:rFonts w:ascii="Times New Roman" w:hAnsi="Times New Roman" w:cs="Times New Roman"/>
          <w:color w:val="000000" w:themeColor="text1"/>
          <w14:textFill>
            <w14:solidFill>
              <w14:schemeClr w14:val="tx1"/>
            </w14:solidFill>
          </w14:textFill>
        </w:rPr>
        <w:t>140mm×21MPa正规套管固井完井。</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完井要求：保持钻井井场面积，井场内平整无杂物及材料，以井口为中心，30m×30m范围内井场水平度高差≤10cm；天然气井、评价井及油气生产单位有特殊要求的井应保留方（圆）井，井壁完整，井底清洁；井场及周边环境保护符合安全环保法规要求。</w:t>
      </w:r>
    </w:p>
    <w:p>
      <w:pPr>
        <w:pStyle w:val="64"/>
        <w:numPr>
          <w:ilvl w:val="0"/>
          <w:numId w:val="0"/>
        </w:numPr>
        <w:spacing w:afterLines="0" w:line="360" w:lineRule="auto"/>
        <w:ind w:firstLine="480" w:firstLineChars="200"/>
        <w:rPr>
          <w:rFonts w:ascii="Times New Roman" w:hAnsi="Times New Roman" w:cs="Times New Roman"/>
          <w:color w:val="000000" w:themeColor="text1"/>
          <w:spacing w:val="4"/>
          <w:kern w:val="2"/>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完井井口要求：交接的采油（气）井口装置附属附件齐全完好、各类标识应清晰，安装后井口装置表面无明显掉漆并留好影像资料；套管头、油管头、采油（气）树严格按《钻井工程设计》《采油工艺方案》的型号及压力级别安装，各附件配备齐全；天然气井、评价井及接收单位有特殊要求的，按照要求执行。未安装采油（气）树的井口应加装井口保护装置，并注明建设方和井号标志；其余井口装置按照《SY/T 5678-2017钻完井交接验收规则》执行；冬季交接应做好井口及井筒防冻工作。</w:t>
      </w:r>
    </w:p>
    <w:p>
      <w:pPr>
        <w:pStyle w:val="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钻井工程作业流程见图3.7-2所示。</w:t>
      </w:r>
    </w:p>
    <w:p>
      <w:pPr>
        <w:pStyle w:val="65"/>
        <w:spacing w:line="24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05680" cy="3221990"/>
            <wp:effectExtent l="0" t="0" r="13970" b="16510"/>
            <wp:docPr id="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
                    <pic:cNvPicPr>
                      <a:picLocks noChangeAspect="1"/>
                    </pic:cNvPicPr>
                  </pic:nvPicPr>
                  <pic:blipFill>
                    <a:blip r:embed="rId33"/>
                    <a:stretch>
                      <a:fillRect/>
                    </a:stretch>
                  </pic:blipFill>
                  <pic:spPr>
                    <a:xfrm>
                      <a:off x="0" y="0"/>
                      <a:ext cx="4805680" cy="3221990"/>
                    </a:xfrm>
                    <a:prstGeom prst="rect">
                      <a:avLst/>
                    </a:prstGeom>
                    <a:noFill/>
                    <a:ln>
                      <a:noFill/>
                    </a:ln>
                  </pic:spPr>
                </pic:pic>
              </a:graphicData>
            </a:graphic>
          </wp:inline>
        </w:drawing>
      </w:r>
    </w:p>
    <w:p>
      <w:pPr>
        <w:pStyle w:val="37"/>
        <w:spacing w:line="360"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图3.7-2  钻井</w:t>
      </w:r>
      <w:r>
        <w:rPr>
          <w:rFonts w:hint="eastAsia" w:ascii="Times New Roman" w:hAnsi="Times New Roman" w:cs="Times New Roman"/>
          <w:color w:val="000000" w:themeColor="text1"/>
          <w:sz w:val="21"/>
          <w:szCs w:val="21"/>
          <w14:textFill>
            <w14:solidFill>
              <w14:schemeClr w14:val="tx1"/>
            </w14:solidFill>
          </w14:textFill>
        </w:rPr>
        <w:t>工艺</w:t>
      </w:r>
      <w:r>
        <w:rPr>
          <w:rFonts w:ascii="Times New Roman" w:hAnsi="Times New Roman" w:cs="Times New Roman"/>
          <w:color w:val="000000" w:themeColor="text1"/>
          <w:sz w:val="21"/>
          <w:szCs w:val="21"/>
          <w14:textFill>
            <w14:solidFill>
              <w14:schemeClr w14:val="tx1"/>
            </w14:solidFill>
          </w14:textFill>
        </w:rPr>
        <w:t>及产污节点图</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本项目钻井泥浆不落地设备工艺如下：</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由于开挖大循环池存放钻井液及岩屑的形式会造成土壤及地下水污染，破坏生态环境，对本工程施</w:t>
      </w:r>
      <w:bookmarkStart w:id="255" w:name="_Hlk26200389"/>
      <w:r>
        <w:rPr>
          <w:rFonts w:ascii="Times New Roman" w:hAnsi="Times New Roman" w:cs="Times New Roman"/>
          <w:color w:val="000000" w:themeColor="text1"/>
          <w14:textFill>
            <w14:solidFill>
              <w14:schemeClr w14:val="tx1"/>
            </w14:solidFill>
          </w14:textFill>
        </w:rPr>
        <w:t>工期产生的岩屑及钻井液全部进行不落地处理，使施工期固体废物实现回用及妥善处理。泥浆进入钻井不落地系统中处理并实现固液分离，分离后的液相循环使用，钻井结束后，剩余的少量液相由钻井施工单位回收至钻井液配制站，用于其他区块井场的钻井液配制，</w:t>
      </w:r>
      <w:r>
        <w:rPr>
          <w:rFonts w:ascii="Times New Roman" w:hAnsi="Times New Roman" w:cs="Times New Roman"/>
          <w:color w:val="000000" w:themeColor="text1"/>
          <w:lang w:bidi="ar"/>
          <w14:textFill>
            <w14:solidFill>
              <w14:schemeClr w14:val="tx1"/>
            </w14:solidFill>
          </w14:textFill>
        </w:rPr>
        <w:t>固相（水基岩屑）收集于储罐内，直接委托岩屑公司处置</w:t>
      </w:r>
      <w:r>
        <w:rPr>
          <w:rFonts w:ascii="Times New Roman" w:hAnsi="Times New Roman" w:cs="Times New Roman"/>
          <w:color w:val="000000" w:themeColor="text1"/>
          <w:szCs w:val="21"/>
          <w14:textFill>
            <w14:solidFill>
              <w14:schemeClr w14:val="tx1"/>
            </w14:solidFill>
          </w14:textFill>
        </w:rPr>
        <w:t>。</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※工艺流程说明：</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不落地系统由振动筛、除砂器、除泥器、离心机等设备组成，钻井液（泥浆）进入不落地系统后，经以下步骤进行处理：</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钻井液（泥浆）经振动筛、除砂器、离心机多级分离后，实现初步分离，分离后的固相进入收集箱，再输送至甩干机和离心机进行二次深度固液分离，二次分离出的液相（泥浆）回用，分离出的固相（岩屑）收集于储罐内；</w:t>
      </w:r>
    </w:p>
    <w:p>
      <w:pPr>
        <w:pStyle w:val="60"/>
        <w:adjustRightInd/>
        <w:snapToGrid/>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b.初步分离出的液相进入废水收集罐。通过废水收集罐进行处理，处理后的再生钻井液进入处理水储罐内用于钻井液配制。工艺流程图见图3.7-3。</w:t>
      </w:r>
    </w:p>
    <w:bookmarkEnd w:id="255"/>
    <w:p>
      <w:pPr>
        <w:pStyle w:val="60"/>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134610" cy="2469515"/>
            <wp:effectExtent l="0" t="0" r="8890" b="6985"/>
            <wp:docPr id="227"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6" descr="图片1"/>
                    <pic:cNvPicPr>
                      <a:picLocks noChangeAspect="1"/>
                    </pic:cNvPicPr>
                  </pic:nvPicPr>
                  <pic:blipFill>
                    <a:blip r:embed="rId34"/>
                    <a:srcRect l="403" t="253" r="758" b="1166"/>
                    <a:stretch>
                      <a:fillRect/>
                    </a:stretch>
                  </pic:blipFill>
                  <pic:spPr>
                    <a:xfrm>
                      <a:off x="0" y="0"/>
                      <a:ext cx="5134610" cy="2469515"/>
                    </a:xfrm>
                    <a:prstGeom prst="rect">
                      <a:avLst/>
                    </a:prstGeom>
                    <a:noFill/>
                    <a:ln>
                      <a:noFill/>
                    </a:ln>
                  </pic:spPr>
                </pic:pic>
              </a:graphicData>
            </a:graphic>
          </wp:inline>
        </w:drawing>
      </w:r>
    </w:p>
    <w:p>
      <w:pPr>
        <w:pStyle w:val="37"/>
        <w:spacing w:line="360"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图3.7-3  泥浆不落地工艺流程图</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3.7.3.3修井工艺流程</w:t>
      </w:r>
    </w:p>
    <w:p>
      <w:pPr>
        <w:pStyle w:val="10"/>
        <w:spacing w:line="360" w:lineRule="auto"/>
        <w:ind w:left="-69" w:right="-107" w:firstLine="480" w:firstLineChars="200"/>
        <w:jc w:val="left"/>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hint="eastAsia" w:ascii="Times New Roman" w:hAnsi="Times New Roman" w:cs="Times New Roman"/>
          <w:color w:val="000000" w:themeColor="text1"/>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t>口注水井老井利用，</w:t>
      </w:r>
      <w:r>
        <w:rPr>
          <w:rFonts w:hint="eastAsia" w:ascii="Times New Roman" w:hAnsi="Times New Roman" w:cs="Times New Roman"/>
          <w:color w:val="000000" w:themeColor="text1"/>
          <w14:textFill>
            <w14:solidFill>
              <w14:schemeClr w14:val="tx1"/>
            </w14:solidFill>
          </w14:textFill>
        </w:rPr>
        <w:t>对老井</w:t>
      </w:r>
      <w:r>
        <w:rPr>
          <w:rFonts w:ascii="Times New Roman" w:hAnsi="Times New Roman" w:cs="Times New Roman"/>
          <w:color w:val="000000" w:themeColor="text1"/>
          <w14:textFill>
            <w14:solidFill>
              <w14:schemeClr w14:val="tx1"/>
            </w14:solidFill>
          </w14:textFill>
        </w:rPr>
        <w:t>无需新钻井，需进行修井，其修井工艺流程见图3.7-4。</w:t>
      </w:r>
    </w:p>
    <w:p>
      <w:pPr>
        <w:pStyle w:val="10"/>
        <w:ind w:left="-69" w:right="-107"/>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52070</wp:posOffset>
                </wp:positionH>
                <wp:positionV relativeFrom="paragraph">
                  <wp:posOffset>95885</wp:posOffset>
                </wp:positionV>
                <wp:extent cx="4999990" cy="1853565"/>
                <wp:effectExtent l="4445" t="0" r="0" b="0"/>
                <wp:wrapNone/>
                <wp:docPr id="190" name="组合 190"/>
                <wp:cNvGraphicFramePr/>
                <a:graphic xmlns:a="http://schemas.openxmlformats.org/drawingml/2006/main">
                  <a:graphicData uri="http://schemas.microsoft.com/office/word/2010/wordprocessingGroup">
                    <wpg:wgp>
                      <wpg:cNvGrpSpPr/>
                      <wpg:grpSpPr>
                        <a:xfrm>
                          <a:off x="0" y="0"/>
                          <a:ext cx="4999990" cy="1853565"/>
                          <a:chOff x="2537" y="559890"/>
                          <a:chExt cx="7874" cy="2919"/>
                        </a:xfrm>
                      </wpg:grpSpPr>
                      <wpg:grpSp>
                        <wpg:cNvPr id="191" name="组合 257"/>
                        <wpg:cNvGrpSpPr/>
                        <wpg:grpSpPr>
                          <a:xfrm>
                            <a:off x="3458" y="559890"/>
                            <a:ext cx="6953" cy="445"/>
                            <a:chOff x="3458" y="559890"/>
                            <a:chExt cx="6953" cy="445"/>
                          </a:xfrm>
                        </wpg:grpSpPr>
                        <wps:wsp>
                          <wps:cNvPr id="230" name="文本框 230"/>
                          <wps:cNvSpPr txBox="1"/>
                          <wps:spPr>
                            <a:xfrm>
                              <a:off x="3458" y="559937"/>
                              <a:ext cx="1762"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噪声、试压废水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 name="文本框 231"/>
                          <wps:cNvSpPr txBox="1"/>
                          <wps:spPr>
                            <a:xfrm>
                              <a:off x="6703" y="559890"/>
                              <a:ext cx="842"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 name="文本框 247"/>
                          <wps:cNvSpPr txBox="1"/>
                          <wps:spPr>
                            <a:xfrm>
                              <a:off x="8729" y="559921"/>
                              <a:ext cx="1683"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噪声、试压废水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92" name="组合 255"/>
                        <wpg:cNvGrpSpPr/>
                        <wpg:grpSpPr>
                          <a:xfrm>
                            <a:off x="2537" y="559964"/>
                            <a:ext cx="7509" cy="2845"/>
                            <a:chOff x="2537" y="559964"/>
                            <a:chExt cx="7509" cy="2845"/>
                          </a:xfrm>
                        </wpg:grpSpPr>
                        <wps:wsp>
                          <wps:cNvPr id="208" name="文本框 208"/>
                          <wps:cNvSpPr txBox="1"/>
                          <wps:spPr>
                            <a:xfrm>
                              <a:off x="2537" y="560646"/>
                              <a:ext cx="947" cy="4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校井口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 name="文本框 209"/>
                          <wps:cNvSpPr txBox="1"/>
                          <wps:spPr>
                            <a:xfrm>
                              <a:off x="3980" y="560641"/>
                              <a:ext cx="718" cy="4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试压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0" name="文本框 210"/>
                          <wps:cNvSpPr txBox="1"/>
                          <wps:spPr>
                            <a:xfrm>
                              <a:off x="5180" y="560644"/>
                              <a:ext cx="947" cy="4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提结构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 name="文本框 211"/>
                          <wps:cNvSpPr txBox="1"/>
                          <wps:spPr>
                            <a:xfrm>
                              <a:off x="6585" y="560638"/>
                              <a:ext cx="947" cy="4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探井底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文本框 212"/>
                          <wps:cNvSpPr txBox="1"/>
                          <wps:spPr>
                            <a:xfrm>
                              <a:off x="7969" y="560640"/>
                              <a:ext cx="763" cy="4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通井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 name="文本框 213"/>
                          <wps:cNvSpPr txBox="1"/>
                          <wps:spPr>
                            <a:xfrm>
                              <a:off x="9183" y="560629"/>
                              <a:ext cx="774" cy="4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试压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 name="文本框 214"/>
                          <wps:cNvSpPr txBox="1"/>
                          <wps:spPr>
                            <a:xfrm>
                              <a:off x="9099" y="561505"/>
                              <a:ext cx="947" cy="4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下结构</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文本框 215"/>
                          <wps:cNvSpPr txBox="1"/>
                          <wps:spPr>
                            <a:xfrm>
                              <a:off x="7848" y="561507"/>
                              <a:ext cx="728" cy="4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射孔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 name="文本框 224"/>
                          <wps:cNvSpPr txBox="1"/>
                          <wps:spPr>
                            <a:xfrm>
                              <a:off x="6498" y="561509"/>
                              <a:ext cx="751" cy="4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试压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文本框 225"/>
                          <wps:cNvSpPr txBox="1"/>
                          <wps:spPr>
                            <a:xfrm>
                              <a:off x="5180" y="561521"/>
                              <a:ext cx="786" cy="4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完井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4" name="文本框 228"/>
                          <wps:cNvSpPr txBox="1"/>
                          <wps:spPr>
                            <a:xfrm>
                              <a:off x="2595" y="559964"/>
                              <a:ext cx="842"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文本框 237"/>
                          <wps:cNvSpPr txBox="1"/>
                          <wps:spPr>
                            <a:xfrm>
                              <a:off x="8553" y="562411"/>
                              <a:ext cx="842"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0" name="文本框 250"/>
                          <wps:cNvSpPr txBox="1"/>
                          <wps:spPr>
                            <a:xfrm>
                              <a:off x="5989" y="562309"/>
                              <a:ext cx="1776"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噪声、试压废水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95" name="组合 256"/>
                        <wpg:cNvGrpSpPr/>
                        <wpg:grpSpPr>
                          <a:xfrm>
                            <a:off x="2962" y="560288"/>
                            <a:ext cx="7180" cy="2123"/>
                            <a:chOff x="2962" y="560288"/>
                            <a:chExt cx="7180" cy="2123"/>
                          </a:xfrm>
                        </wpg:grpSpPr>
                        <wps:wsp>
                          <wps:cNvPr id="216" name="直接箭头连接符 216"/>
                          <wps:cNvCnPr>
                            <a:stCxn id="208" idx="3"/>
                            <a:endCxn id="209" idx="1"/>
                          </wps:cNvCnPr>
                          <wps:spPr>
                            <a:xfrm flipV="1">
                              <a:off x="3484" y="560872"/>
                              <a:ext cx="496" cy="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7" name="直接箭头连接符 217"/>
                          <wps:cNvCnPr>
                            <a:stCxn id="209" idx="3"/>
                            <a:endCxn id="210" idx="1"/>
                          </wps:cNvCnPr>
                          <wps:spPr>
                            <a:xfrm>
                              <a:off x="4698" y="560872"/>
                              <a:ext cx="482" cy="3"/>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18" name="直接箭头连接符 218"/>
                          <wps:cNvCnPr>
                            <a:stCxn id="210" idx="3"/>
                            <a:endCxn id="211" idx="1"/>
                          </wps:cNvCnPr>
                          <wps:spPr>
                            <a:xfrm flipV="1">
                              <a:off x="6127" y="560869"/>
                              <a:ext cx="458" cy="6"/>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6" name="直接箭头连接符 219"/>
                          <wps:cNvCnPr>
                            <a:stCxn id="211" idx="3"/>
                            <a:endCxn id="212" idx="1"/>
                          </wps:cNvCnPr>
                          <wps:spPr>
                            <a:xfrm>
                              <a:off x="7532" y="560869"/>
                              <a:ext cx="437" cy="2"/>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97" name="直接箭头连接符 220"/>
                          <wps:cNvCnPr>
                            <a:stCxn id="212" idx="3"/>
                            <a:endCxn id="213" idx="1"/>
                          </wps:cNvCnPr>
                          <wps:spPr>
                            <a:xfrm flipV="1">
                              <a:off x="8732" y="560860"/>
                              <a:ext cx="451" cy="11"/>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0" name="直接箭头连接符 221"/>
                          <wps:cNvCnPr>
                            <a:stCxn id="213" idx="2"/>
                            <a:endCxn id="214" idx="0"/>
                          </wps:cNvCnPr>
                          <wps:spPr>
                            <a:xfrm>
                              <a:off x="9570" y="561091"/>
                              <a:ext cx="3" cy="414"/>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3" name="直接箭头连接符 222"/>
                          <wps:cNvCnPr>
                            <a:stCxn id="214" idx="1"/>
                            <a:endCxn id="215" idx="3"/>
                          </wps:cNvCnPr>
                          <wps:spPr>
                            <a:xfrm flipH="1">
                              <a:off x="8576" y="561736"/>
                              <a:ext cx="523" cy="2"/>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6" name="直接箭头连接符 223"/>
                          <wps:cNvCnPr>
                            <a:stCxn id="215" idx="1"/>
                          </wps:cNvCnPr>
                          <wps:spPr>
                            <a:xfrm flipH="1">
                              <a:off x="7249" y="561738"/>
                              <a:ext cx="599" cy="2"/>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07" name="直接箭头连接符 226"/>
                          <wps:cNvCnPr>
                            <a:endCxn id="225" idx="3"/>
                          </wps:cNvCnPr>
                          <wps:spPr>
                            <a:xfrm flipH="1">
                              <a:off x="5966" y="561740"/>
                              <a:ext cx="532" cy="12"/>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29" name="直接箭头连接符 227"/>
                          <wps:cNvCnPr/>
                          <wps:spPr>
                            <a:xfrm flipV="1">
                              <a:off x="2962" y="560364"/>
                              <a:ext cx="5" cy="293"/>
                            </a:xfrm>
                            <a:prstGeom prst="straightConnector1">
                              <a:avLst/>
                            </a:prstGeom>
                            <a:ln>
                              <a:prstDash val="sys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2" name="直接箭头连接符 229"/>
                          <wps:cNvCnPr>
                            <a:stCxn id="209" idx="0"/>
                            <a:endCxn id="230" idx="2"/>
                          </wps:cNvCnPr>
                          <wps:spPr>
                            <a:xfrm flipV="1">
                              <a:off x="4339" y="560335"/>
                              <a:ext cx="0" cy="306"/>
                            </a:xfrm>
                            <a:prstGeom prst="straightConnector1">
                              <a:avLst/>
                            </a:prstGeom>
                            <a:ln>
                              <a:prstDash val="sys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34" name="直接箭头连接符 234"/>
                          <wps:cNvCnPr>
                            <a:endCxn id="231" idx="2"/>
                          </wps:cNvCnPr>
                          <wps:spPr>
                            <a:xfrm flipH="1" flipV="1">
                              <a:off x="7124" y="560288"/>
                              <a:ext cx="6" cy="306"/>
                            </a:xfrm>
                            <a:prstGeom prst="straightConnector1">
                              <a:avLst/>
                            </a:prstGeom>
                            <a:ln>
                              <a:prstDash val="sys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1" name="直接箭头连接符 241"/>
                          <wps:cNvCnPr>
                            <a:stCxn id="254" idx="2"/>
                            <a:endCxn id="237" idx="0"/>
                          </wps:cNvCnPr>
                          <wps:spPr>
                            <a:xfrm>
                              <a:off x="8971" y="562037"/>
                              <a:ext cx="3" cy="374"/>
                            </a:xfrm>
                            <a:prstGeom prst="straightConnector1">
                              <a:avLst/>
                            </a:prstGeom>
                            <a:ln>
                              <a:prstDash val="sys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48" name="直接箭头连接符 248"/>
                          <wps:cNvCnPr>
                            <a:endCxn id="247" idx="2"/>
                          </wps:cNvCnPr>
                          <wps:spPr>
                            <a:xfrm flipH="1" flipV="1">
                              <a:off x="9571" y="560319"/>
                              <a:ext cx="1" cy="306"/>
                            </a:xfrm>
                            <a:prstGeom prst="straightConnector1">
                              <a:avLst/>
                            </a:prstGeom>
                            <a:ln>
                              <a:prstDash val="sys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1" name="直接箭头连接符 251"/>
                          <wps:cNvCnPr>
                            <a:endCxn id="250" idx="0"/>
                          </wps:cNvCnPr>
                          <wps:spPr>
                            <a:xfrm>
                              <a:off x="6874" y="561971"/>
                              <a:ext cx="3" cy="338"/>
                            </a:xfrm>
                            <a:prstGeom prst="straightConnector1">
                              <a:avLst/>
                            </a:prstGeom>
                            <a:ln>
                              <a:prstDash val="sysDash"/>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252" name="矩形 252"/>
                          <wps:cNvSpPr/>
                          <wps:spPr>
                            <a:xfrm>
                              <a:off x="5124" y="560600"/>
                              <a:ext cx="3634" cy="588"/>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4" name="矩形 254"/>
                          <wps:cNvSpPr/>
                          <wps:spPr>
                            <a:xfrm>
                              <a:off x="7799" y="561449"/>
                              <a:ext cx="2343" cy="588"/>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1pt;margin-top:7.55pt;height:145.95pt;width:393.7pt;z-index:251668480;mso-width-relative:page;mso-height-relative:page;" coordorigin="2537,559890" coordsize="7874,2919" o:gfxdata="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">
                <o:lock v:ext="edit" aspectratio="f"/>
                <v:group id="组合 257" o:spid="_x0000_s1026" o:spt="203" style="position:absolute;left:3458;top:559890;height:445;width:6953;" coordorigin="3458,559890" coordsize="6953,445"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3458;top:559937;height:398;width:1762;" filled="f" stroked="f" coordsize="21600,21600" o:gfxdata="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g6ZP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噪声、试压废水</w:t>
                          </w:r>
                        </w:p>
                      </w:txbxContent>
                    </v:textbox>
                  </v:shape>
                  <v:shape id="_x0000_s1026" o:spid="_x0000_s1026" o:spt="202" type="#_x0000_t202" style="position:absolute;left:6703;top:559890;height:398;width:842;" filled="f" stroked="f" coordsize="21600,21600" o:gfxdata="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zwP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噪声</w:t>
                          </w:r>
                        </w:p>
                      </w:txbxContent>
                    </v:textbox>
                  </v:shape>
                  <v:shape id="_x0000_s1026" o:spid="_x0000_s1026" o:spt="202" type="#_x0000_t202" style="position:absolute;left:8729;top:559921;height:398;width:1683;" filled="f" stroked="f" coordsize="21600,21600" o:gfxdata="UEsDBAoAAAAAAIdO4kAAAAAAAAAAAAAAAAAEAAAAZHJzL1BLAwQUAAAACACHTuJAbWxNRr8AAADc&#10;AAAADwAAAGRycy9kb3ducmV2LnhtbEWPT4vCMBTE78J+h/AW9qapRV2p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sTU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噪声、试压废水</w:t>
                          </w:r>
                        </w:p>
                      </w:txbxContent>
                    </v:textbox>
                  </v:shape>
                </v:group>
                <v:group id="组合 255" o:spid="_x0000_s1026" o:spt="203" style="position:absolute;left:2537;top:559964;height:2845;width:7509;" coordorigin="2537,559964" coordsize="7509,2845"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537;top:560646;height:462;width:947;" fillcolor="#FFFFFF [3201]" filled="t" stroked="t" coordsize="21600,21600" o:gfxdata="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V93tMtAAAANw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r>
                            <w:rPr>
                              <w:rFonts w:hint="eastAsia"/>
                            </w:rPr>
                            <w:t>校井口</w:t>
                          </w:r>
                        </w:p>
                      </w:txbxContent>
                    </v:textbox>
                  </v:shape>
                  <v:shape id="_x0000_s1026" o:spid="_x0000_s1026" o:spt="202" type="#_x0000_t202" style="position:absolute;left:3980;top:560641;height:462;width:718;" fillcolor="#FFFFFF [3201]" filled="t" stroked="t" coordsize="21600,21600" o:gfxdata="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73te5AAAA3A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r>
                            <w:rPr>
                              <w:rFonts w:hint="eastAsia"/>
                            </w:rPr>
                            <w:t>试压</w:t>
                          </w:r>
                        </w:p>
                      </w:txbxContent>
                    </v:textbox>
                  </v:shape>
                  <v:shape id="_x0000_s1026" o:spid="_x0000_s1026" o:spt="202" type="#_x0000_t202" style="position:absolute;left:5180;top:560644;height:462;width:947;" fillcolor="#FFFFFF [3201]" filled="t" stroked="t" coordsize="21600,21600" o:gfxdata="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ljhl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提结构</w:t>
                          </w:r>
                        </w:p>
                      </w:txbxContent>
                    </v:textbox>
                  </v:shape>
                  <v:shape id="_x0000_s1026" o:spid="_x0000_s1026" o:spt="202" type="#_x0000_t202" style="position:absolute;left:6585;top:560638;height:462;width:947;" fillcolor="#FFFFFF [3201]" filled="t" stroked="t" coordsize="21600,21600" o:gfxdata="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FEQM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r>
                            <w:rPr>
                              <w:rFonts w:hint="eastAsia"/>
                            </w:rPr>
                            <w:t>探井底</w:t>
                          </w:r>
                        </w:p>
                      </w:txbxContent>
                    </v:textbox>
                  </v:shape>
                  <v:shape id="_x0000_s1026" o:spid="_x0000_s1026" o:spt="202" type="#_x0000_t202" style="position:absolute;left:7969;top:560640;height:462;width:763;" fillcolor="#FFFFFF [3201]" filled="t" stroked="t" coordsize="21600,21600" o:gfxdata="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xtp7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pPr>
                          <w:r>
                            <w:rPr>
                              <w:rFonts w:hint="eastAsia"/>
                            </w:rPr>
                            <w:t>通井</w:t>
                          </w:r>
                        </w:p>
                      </w:txbxContent>
                    </v:textbox>
                  </v:shape>
                  <v:shape id="_x0000_s1026" o:spid="_x0000_s1026" o:spt="202" type="#_x0000_t202" style="position:absolute;left:9183;top:560629;height:462;width:774;" fillcolor="#FFFFFF [3201]" filled="t" stroked="t" coordsize="21600,21600" o:gfxdata="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p/4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r>
                            <w:rPr>
                              <w:rFonts w:hint="eastAsia"/>
                            </w:rPr>
                            <w:t>试压</w:t>
                          </w:r>
                        </w:p>
                      </w:txbxContent>
                    </v:textbox>
                  </v:shape>
                  <v:shape id="_x0000_s1026" o:spid="_x0000_s1026" o:spt="202" type="#_x0000_t202" style="position:absolute;left:9099;top:561505;height:462;width:947;" fillcolor="#FFFFFF [3201]" filled="t" stroked="t" coordsize="21600,21600" o:gfxdata="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j55S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r>
                            <w:rPr>
                              <w:rFonts w:hint="eastAsia"/>
                            </w:rPr>
                            <w:t>下结构</w:t>
                          </w:r>
                        </w:p>
                      </w:txbxContent>
                    </v:textbox>
                  </v:shape>
                  <v:shape id="_x0000_s1026" o:spid="_x0000_s1026" o:spt="202" type="#_x0000_t202" style="position:absolute;left:7848;top:561507;height:462;width:728;" fillcolor="#FFFFFF [3201]" filled="t" stroked="t" coordsize="21600,21600" o:gfxdata="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vQg+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r>
                            <w:rPr>
                              <w:rFonts w:hint="eastAsia"/>
                            </w:rPr>
                            <w:t>射孔</w:t>
                          </w:r>
                        </w:p>
                      </w:txbxContent>
                    </v:textbox>
                  </v:shape>
                  <v:shape id="文本框 224" o:spid="_x0000_s1026" o:spt="202" type="#_x0000_t202" style="position:absolute;left:6498;top:561509;height:462;width:751;" fillcolor="#FFFFFF [3201]" filled="t" stroked="t" coordsize="21600,21600" o:gfxdata="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Hwdx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试压</w:t>
                          </w:r>
                        </w:p>
                      </w:txbxContent>
                    </v:textbox>
                  </v:shape>
                  <v:shape id="_x0000_s1026" o:spid="_x0000_s1026" o:spt="202" type="#_x0000_t202" style="position:absolute;left:5180;top:561521;height:462;width:786;" fillcolor="#FFFFFF [3201]" filled="t" stroked="t" coordsize="21600,21600" o:gfxdata="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Q4iy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r>
                            <w:rPr>
                              <w:rFonts w:hint="eastAsia"/>
                            </w:rPr>
                            <w:t>完井</w:t>
                          </w:r>
                        </w:p>
                      </w:txbxContent>
                    </v:textbox>
                  </v:shape>
                  <v:shape id="文本框 228" o:spid="_x0000_s1026" o:spt="202" type="#_x0000_t202" style="position:absolute;left:2595;top:559964;height:398;width:842;" filled="f" stroked="f" coordsize="21600,21600" o:gfxdata="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ueC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噪声</w:t>
                          </w:r>
                        </w:p>
                      </w:txbxContent>
                    </v:textbox>
                  </v:shape>
                  <v:shape id="_x0000_s1026" o:spid="_x0000_s1026" o:spt="202" type="#_x0000_t202" style="position:absolute;left:8553;top:562411;height:398;width:842;" filled="f" stroked="f" coordsize="21600,21600" o:gfxdata="UEsDBAoAAAAAAIdO4kAAAAAAAAAAAAAAAAAEAAAAZHJzL1BLAwQUAAAACACHTuJANWo+O78AAADc&#10;AAAADwAAAGRycy9kb3ducmV2LnhtbEWPT4vCMBTE78J+h/AW9qapFV2p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qPj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噪声</w:t>
                          </w:r>
                        </w:p>
                      </w:txbxContent>
                    </v:textbox>
                  </v:shape>
                  <v:shape id="_x0000_s1026" o:spid="_x0000_s1026" o:spt="202" type="#_x0000_t202" style="position:absolute;left:5989;top:562309;height:398;width:1776;" filled="f" stroked="f" coordsize="21600,21600" o:gfxdata="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EPv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噪声、试压废水</w:t>
                          </w:r>
                        </w:p>
                      </w:txbxContent>
                    </v:textbox>
                  </v:shape>
                </v:group>
                <v:group id="组合 256" o:spid="_x0000_s1026" o:spt="203" style="position:absolute;left:2962;top:560288;height:2123;width:7180;" coordorigin="2962,560288" coordsize="7180,2123"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3484;top:560872;flip:y;height:5;width:496;" filled="f" stroked="t" coordsize="21600,21600" o:gfxdata="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VevrvQAA&#10;ANwAAAAPAAAAAAAAAAEAIAAAACIAAABkcnMvZG93bnJldi54bWxQSwECFAAUAAAACACHTuJAMy8F&#10;njsAAAA5AAAAEAAAAAAAAAABACAAAAAMAQAAZHJzL3NoYXBleG1sLnhtbFBLBQYAAAAABgAGAFsB&#10;AAC2AwAAAAA=&#10;">
                    <v:fill on="f" focussize="0,0"/>
                    <v:stroke weight="1pt" color="#000000 [3200]" miterlimit="8" joinstyle="miter" endarrow="block"/>
                    <v:imagedata o:title=""/>
                    <o:lock v:ext="edit" aspectratio="f"/>
                  </v:shape>
                  <v:shape id="_x0000_s1026" o:spid="_x0000_s1026" o:spt="32" type="#_x0000_t32" style="position:absolute;left:4698;top:560872;height:3;width:482;" filled="f" stroked="t" coordsize="21600,21600" o:gfxdata="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IUX74A&#10;AADcAAAADwAAAAAAAAABACAAAAAiAAAAZHJzL2Rvd25yZXYueG1sUEsBAhQAFAAAAAgAh07iQDMv&#10;BZ47AAAAOQAAABAAAAAAAAAAAQAgAAAADQEAAGRycy9zaGFwZXhtbC54bWxQSwUGAAAAAAYABgBb&#10;AQAAtwMAAAAA&#10;">
                    <v:fill on="f" focussize="0,0"/>
                    <v:stroke weight="1pt" color="#000000 [3200]" miterlimit="8" joinstyle="miter" endarrow="block"/>
                    <v:imagedata o:title=""/>
                    <o:lock v:ext="edit" aspectratio="f"/>
                  </v:shape>
                  <v:shape id="_x0000_s1026" o:spid="_x0000_s1026" o:spt="32" type="#_x0000_t32" style="position:absolute;left:6127;top:560869;flip:y;height:6;width:458;" filled="f" stroked="t" coordsize="21600,21600" o:gfxdata="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htoCugAAANwA&#10;AAAPAAAAAAAAAAEAIAAAACIAAABkcnMvZG93bnJldi54bWxQSwECFAAUAAAACACHTuJAMy8FnjsA&#10;AAA5AAAAEAAAAAAAAAABACAAAAAJAQAAZHJzL3NoYXBleG1sLnhtbFBLBQYAAAAABgAGAFsBAACz&#10;AwAAAAA=&#10;">
                    <v:fill on="f" focussize="0,0"/>
                    <v:stroke weight="1pt" color="#000000 [3200]" miterlimit="8" joinstyle="miter" endarrow="block"/>
                    <v:imagedata o:title=""/>
                    <o:lock v:ext="edit" aspectratio="f"/>
                  </v:shape>
                  <v:shape id="直接箭头连接符 219" o:spid="_x0000_s1026" o:spt="32" type="#_x0000_t32" style="position:absolute;left:7532;top:560869;height:2;width:437;" filled="f" stroked="t" coordsize="21600,21600" o:gfxdata="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o0+K8AAAA&#10;3A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shape id="直接箭头连接符 220" o:spid="_x0000_s1026" o:spt="32" type="#_x0000_t32" style="position:absolute;left:8732;top:560860;flip:y;height:11;width:451;" filled="f" stroked="t" coordsize="21600,21600" o:gfxdata="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vLFa8AAAA&#10;3AAAAA8AAAAAAAAAAQAgAAAAIgAAAGRycy9kb3ducmV2LnhtbFBLAQIUABQAAAAIAIdO4kAzLwWe&#10;OwAAADkAAAAQAAAAAAAAAAEAIAAAAAsBAABkcnMvc2hhcGV4bWwueG1sUEsFBgAAAAAGAAYAWwEA&#10;ALUDAAAAAA==&#10;">
                    <v:fill on="f" focussize="0,0"/>
                    <v:stroke weight="1pt" color="#000000 [3200]" miterlimit="8" joinstyle="miter" endarrow="block"/>
                    <v:imagedata o:title=""/>
                    <o:lock v:ext="edit" aspectratio="f"/>
                  </v:shape>
                  <v:shape id="直接箭头连接符 221" o:spid="_x0000_s1026" o:spt="32" type="#_x0000_t32" style="position:absolute;left:9570;top:561091;height:414;width:3;" filled="f" stroked="t" coordsize="21600,21600" o:gfxdata="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ohr2vQAA&#10;ANwAAAAPAAAAAAAAAAEAIAAAACIAAABkcnMvZG93bnJldi54bWxQSwECFAAUAAAACACHTuJAMy8F&#10;njsAAAA5AAAAEAAAAAAAAAABACAAAAAMAQAAZHJzL3NoYXBleG1sLnhtbFBLBQYAAAAABgAGAFsB&#10;AAC2AwAAAAA=&#10;">
                    <v:fill on="f" focussize="0,0"/>
                    <v:stroke weight="1pt" color="#000000 [3200]" miterlimit="8" joinstyle="miter" endarrow="block"/>
                    <v:imagedata o:title=""/>
                    <o:lock v:ext="edit" aspectratio="f"/>
                  </v:shape>
                  <v:shape id="直接箭头连接符 222" o:spid="_x0000_s1026" o:spt="32" type="#_x0000_t32" style="position:absolute;left:8576;top:561736;flip:x;height:2;width:523;" filled="f" stroked="t" coordsize="21600,21600" o:gfxdata="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96uvQAA&#10;ANwAAAAPAAAAAAAAAAEAIAAAACIAAABkcnMvZG93bnJldi54bWxQSwECFAAUAAAACACHTuJAMy8F&#10;njsAAAA5AAAAEAAAAAAAAAABACAAAAAMAQAAZHJzL3NoYXBleG1sLnhtbFBLBQYAAAAABgAGAFsB&#10;AAC2AwAAAAA=&#10;">
                    <v:fill on="f" focussize="0,0"/>
                    <v:stroke weight="1pt" color="#000000 [3200]" miterlimit="8" joinstyle="miter" endarrow="block"/>
                    <v:imagedata o:title=""/>
                    <o:lock v:ext="edit" aspectratio="f"/>
                  </v:shape>
                  <v:shape id="直接箭头连接符 223" o:spid="_x0000_s1026" o:spt="32" type="#_x0000_t32" style="position:absolute;left:7249;top:561738;flip:x;height:2;width:599;" filled="f" stroked="t" coordsize="21600,21600" o:gfxdata="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jH02vQAA&#10;ANwAAAAPAAAAAAAAAAEAIAAAACIAAABkcnMvZG93bnJldi54bWxQSwECFAAUAAAACACHTuJAMy8F&#10;njsAAAA5AAAAEAAAAAAAAAABACAAAAAMAQAAZHJzL3NoYXBleG1sLnhtbFBLBQYAAAAABgAGAFsB&#10;AAC2AwAAAAA=&#10;">
                    <v:fill on="f" focussize="0,0"/>
                    <v:stroke weight="1pt" color="#000000 [3200]" miterlimit="8" joinstyle="miter" endarrow="block"/>
                    <v:imagedata o:title=""/>
                    <o:lock v:ext="edit" aspectratio="f"/>
                  </v:shape>
                  <v:shape id="直接箭头连接符 226" o:spid="_x0000_s1026" o:spt="32" type="#_x0000_t32" style="position:absolute;left:5966;top:561740;flip:x;height:12;width:532;" filled="f" stroked="t" coordsize="21600,21600" o:gfxdata="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DYrb4A&#10;AADcAAAADwAAAAAAAAABACAAAAAiAAAAZHJzL2Rvd25yZXYueG1sUEsBAhQAFAAAAAgAh07iQDMv&#10;BZ47AAAAOQAAABAAAAAAAAAAAQAgAAAADQEAAGRycy9zaGFwZXhtbC54bWxQSwUGAAAAAAYABgBb&#10;AQAAtwMAAAAA&#10;">
                    <v:fill on="f" focussize="0,0"/>
                    <v:stroke weight="1pt" color="#000000 [3200]" miterlimit="8" joinstyle="miter" endarrow="block"/>
                    <v:imagedata o:title=""/>
                    <o:lock v:ext="edit" aspectratio="f"/>
                  </v:shape>
                  <v:shape id="直接箭头连接符 227" o:spid="_x0000_s1026" o:spt="32" type="#_x0000_t32" style="position:absolute;left:2962;top:560364;flip:y;height:293;width:5;" filled="f" stroked="t" coordsize="21600,21600" o:gfxdata="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tjU7vQAA&#10;ANwAAAAPAAAAAAAAAAEAIAAAACIAAABkcnMvZG93bnJldi54bWxQSwECFAAUAAAACACHTuJAMy8F&#10;njsAAAA5AAAAEAAAAAAAAAABACAAAAAMAQAAZHJzL3NoYXBleG1sLnhtbFBLBQYAAAAABgAGAFsB&#10;AAC2AwAAAAA=&#10;">
                    <v:fill on="f" focussize="0,0"/>
                    <v:stroke weight="1pt" color="#000000 [3200]" miterlimit="8" joinstyle="miter" dashstyle="3 1" endarrow="block"/>
                    <v:imagedata o:title=""/>
                    <o:lock v:ext="edit" aspectratio="f"/>
                  </v:shape>
                  <v:shape id="直接箭头连接符 229" o:spid="_x0000_s1026" o:spt="32" type="#_x0000_t32" style="position:absolute;left:4339;top:560335;flip:y;height:306;width:0;" filled="f" stroked="t" coordsize="21600,21600" o:gfxdata="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LMZe8AAAA&#10;3AAAAA8AAAAAAAAAAQAgAAAAIgAAAGRycy9kb3ducmV2LnhtbFBLAQIUABQAAAAIAIdO4kAzLwWe&#10;OwAAADkAAAAQAAAAAAAAAAEAIAAAAAsBAABkcnMvc2hhcGV4bWwueG1sUEsFBgAAAAAGAAYAWwEA&#10;ALUDAAAAAA==&#10;">
                    <v:fill on="f" focussize="0,0"/>
                    <v:stroke weight="1pt" color="#000000 [3200]" miterlimit="8" joinstyle="miter" dashstyle="3 1" endarrow="block"/>
                    <v:imagedata o:title=""/>
                    <o:lock v:ext="edit" aspectratio="f"/>
                  </v:shape>
                  <v:shape id="_x0000_s1026" o:spid="_x0000_s1026" o:spt="32" type="#_x0000_t32" style="position:absolute;left:7124;top:560288;flip:x y;height:306;width:6;" filled="f" stroked="t" coordsize="21600,21600" o:gfxdata="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WM0u/&#10;AAAA3AAAAA8AAAAAAAAAAQAgAAAAIgAAAGRycy9kb3ducmV2LnhtbFBLAQIUABQAAAAIAIdO4kAz&#10;LwWeOwAAADkAAAAQAAAAAAAAAAEAIAAAAA4BAABkcnMvc2hhcGV4bWwueG1sUEsFBgAAAAAGAAYA&#10;WwEAALgDAAAAAA==&#10;">
                    <v:fill on="f" focussize="0,0"/>
                    <v:stroke weight="1pt" color="#000000 [3200]" miterlimit="8" joinstyle="miter" dashstyle="3 1" endarrow="block"/>
                    <v:imagedata o:title=""/>
                    <o:lock v:ext="edit" aspectratio="f"/>
                  </v:shape>
                  <v:shape id="_x0000_s1026" o:spid="_x0000_s1026" o:spt="32" type="#_x0000_t32" style="position:absolute;left:8971;top:562037;height:374;width:3;" filled="f" stroked="t" coordsize="21600,21600" o:gfxdata="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vyj+/&#10;AAAA3AAAAA8AAAAAAAAAAQAgAAAAIgAAAGRycy9kb3ducmV2LnhtbFBLAQIUABQAAAAIAIdO4kAz&#10;LwWeOwAAADkAAAAQAAAAAAAAAAEAIAAAAA4BAABkcnMvc2hhcGV4bWwueG1sUEsFBgAAAAAGAAYA&#10;WwEAALgDAAAAAA==&#10;">
                    <v:fill on="f" focussize="0,0"/>
                    <v:stroke weight="1pt" color="#000000 [3200]" miterlimit="8" joinstyle="miter" dashstyle="3 1" endarrow="block"/>
                    <v:imagedata o:title=""/>
                    <o:lock v:ext="edit" aspectratio="f"/>
                  </v:shape>
                  <v:shape id="_x0000_s1026" o:spid="_x0000_s1026" o:spt="32" type="#_x0000_t32" style="position:absolute;left:9571;top:560319;flip:x y;height:306;width:1;" filled="f" stroked="t" coordsize="21600,21600" o:gfxdata="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3UozugAAANwA&#10;AAAPAAAAAAAAAAEAIAAAACIAAABkcnMvZG93bnJldi54bWxQSwECFAAUAAAACACHTuJAMy8FnjsA&#10;AAA5AAAAEAAAAAAAAAABACAAAAAJAQAAZHJzL3NoYXBleG1sLnhtbFBLBQYAAAAABgAGAFsBAACz&#10;AwAAAAA=&#10;">
                    <v:fill on="f" focussize="0,0"/>
                    <v:stroke weight="1pt" color="#000000 [3200]" miterlimit="8" joinstyle="miter" dashstyle="3 1" endarrow="block"/>
                    <v:imagedata o:title=""/>
                    <o:lock v:ext="edit" aspectratio="f"/>
                  </v:shape>
                  <v:shape id="_x0000_s1026" o:spid="_x0000_s1026" o:spt="32" type="#_x0000_t32" style="position:absolute;left:6874;top:561971;height:338;width:3;" filled="f" stroked="t" coordsize="21600,21600" o:gfxdata="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2XOK/&#10;AAAA3AAAAA8AAAAAAAAAAQAgAAAAIgAAAGRycy9kb3ducmV2LnhtbFBLAQIUABQAAAAIAIdO4kAz&#10;LwWeOwAAADkAAAAQAAAAAAAAAAEAIAAAAA4BAABkcnMvc2hhcGV4bWwueG1sUEsFBgAAAAAGAAYA&#10;WwEAALgDAAAAAA==&#10;">
                    <v:fill on="f" focussize="0,0"/>
                    <v:stroke weight="1pt" color="#000000 [3200]" miterlimit="8" joinstyle="miter" dashstyle="3 1" endarrow="block"/>
                    <v:imagedata o:title=""/>
                    <o:lock v:ext="edit" aspectratio="f"/>
                  </v:shape>
                  <v:rect id="_x0000_s1026" o:spid="_x0000_s1026" o:spt="1" style="position:absolute;left:5124;top:560600;height:588;width:3634;v-text-anchor:middle;" filled="f" stroked="t" coordsize="21600,21600" o:gfxdata="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rL4A&#10;AADcAAAADwAAAAAAAAABACAAAAAiAAAAZHJzL2Rvd25yZXYueG1sUEsBAhQAFAAAAAgAh07iQDMv&#10;BZ47AAAAOQAAABAAAAAAAAAAAQAgAAAADQEAAGRycy9zaGFwZXhtbC54bWxQSwUGAAAAAAYABgBb&#10;AQAAtwMAAAAA&#10;">
                    <v:fill on="f" focussize="0,0"/>
                    <v:stroke color="#000000 [3213]" miterlimit="8" joinstyle="miter" dashstyle="3 1"/>
                    <v:imagedata o:title=""/>
                    <o:lock v:ext="edit" aspectratio="f"/>
                  </v:rect>
                  <v:rect id="_x0000_s1026" o:spid="_x0000_s1026" o:spt="1" style="position:absolute;left:7799;top:561449;height:588;width:2343;v-text-anchor:middle;" filled="f" stroked="t" coordsize="21600,21600" o:gfxdata="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StlDvQAA&#10;ANwAAAAPAAAAAAAAAAEAIAAAACIAAABkcnMvZG93bnJldi54bWxQSwECFAAUAAAACACHTuJAMy8F&#10;njsAAAA5AAAAEAAAAAAAAAABACAAAAAMAQAAZHJzL3NoYXBleG1sLnhtbFBLBQYAAAAABgAGAFsB&#10;AAC2AwAAAAA=&#10;">
                    <v:fill on="f" focussize="0,0"/>
                    <v:stroke color="#000000 [3213]" miterlimit="8" joinstyle="miter" dashstyle="3 1"/>
                    <v:imagedata o:title=""/>
                    <o:lock v:ext="edit" aspectratio="f"/>
                  </v:rect>
                </v:group>
              </v:group>
            </w:pict>
          </mc:Fallback>
        </mc:AlternateContent>
      </w:r>
    </w:p>
    <w:p>
      <w:pPr>
        <w:pStyle w:val="11"/>
        <w:rPr>
          <w:rFonts w:ascii="Times New Roman" w:hAnsi="Times New Roman" w:cs="Times New Roman"/>
          <w:b/>
          <w:color w:val="000000" w:themeColor="text1"/>
          <w:szCs w:val="21"/>
          <w14:textFill>
            <w14:solidFill>
              <w14:schemeClr w14:val="tx1"/>
            </w14:solidFill>
          </w14:textFill>
        </w:rPr>
      </w:pPr>
    </w:p>
    <w:p>
      <w:pPr>
        <w:rPr>
          <w:rFonts w:ascii="Times New Roman" w:hAnsi="Times New Roman" w:cs="Times New Roman"/>
          <w:b/>
          <w:color w:val="000000" w:themeColor="text1"/>
          <w:szCs w:val="21"/>
          <w14:textFill>
            <w14:solidFill>
              <w14:schemeClr w14:val="tx1"/>
            </w14:solidFill>
          </w14:textFill>
        </w:rPr>
      </w:pPr>
    </w:p>
    <w:p>
      <w:pPr>
        <w:pStyle w:val="10"/>
        <w:ind w:left="-69" w:right="-107"/>
        <w:rPr>
          <w:rFonts w:ascii="Times New Roman" w:hAnsi="Times New Roman" w:cs="Times New Roman"/>
          <w:b/>
          <w:color w:val="000000" w:themeColor="text1"/>
          <w:szCs w:val="21"/>
          <w14:textFill>
            <w14:solidFill>
              <w14:schemeClr w14:val="tx1"/>
            </w14:solidFill>
          </w14:textFill>
        </w:rPr>
      </w:pPr>
    </w:p>
    <w:p>
      <w:pPr>
        <w:pStyle w:val="11"/>
        <w:rPr>
          <w:rFonts w:ascii="Times New Roman" w:hAnsi="Times New Roman" w:cs="Times New Roman"/>
          <w:b/>
          <w:color w:val="000000" w:themeColor="text1"/>
          <w:szCs w:val="21"/>
          <w14:textFill>
            <w14:solidFill>
              <w14:schemeClr w14:val="tx1"/>
            </w14:solidFill>
          </w14:textFill>
        </w:rPr>
      </w:pPr>
    </w:p>
    <w:p>
      <w:pPr>
        <w:rPr>
          <w:rFonts w:ascii="Times New Roman" w:hAnsi="Times New Roman" w:cs="Times New Roman"/>
          <w:b/>
          <w:color w:val="000000" w:themeColor="text1"/>
          <w:szCs w:val="21"/>
          <w14:textFill>
            <w14:solidFill>
              <w14:schemeClr w14:val="tx1"/>
            </w14:solidFill>
          </w14:textFill>
        </w:rPr>
      </w:pPr>
    </w:p>
    <w:p>
      <w:pPr>
        <w:pStyle w:val="10"/>
        <w:ind w:left="-69" w:right="-107"/>
        <w:rPr>
          <w:rFonts w:ascii="Times New Roman" w:hAnsi="Times New Roman" w:cs="Times New Roman"/>
          <w:color w:val="000000" w:themeColor="text1"/>
          <w14:textFill>
            <w14:solidFill>
              <w14:schemeClr w14:val="tx1"/>
            </w14:solidFill>
          </w14:textFill>
        </w:rPr>
      </w:pPr>
    </w:p>
    <w:p>
      <w:pPr>
        <w:pStyle w:val="10"/>
        <w:ind w:left="-69" w:right="-107"/>
        <w:rPr>
          <w:rFonts w:ascii="Times New Roman" w:hAnsi="Times New Roman" w:cs="Times New Roman"/>
          <w:b/>
          <w:color w:val="000000" w:themeColor="text1"/>
          <w:szCs w:val="21"/>
          <w14:textFill>
            <w14:solidFill>
              <w14:schemeClr w14:val="tx1"/>
            </w14:solidFill>
          </w14:textFill>
        </w:rPr>
      </w:pPr>
    </w:p>
    <w:p>
      <w:pPr>
        <w:pStyle w:val="11"/>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color w:val="000000" w:themeColor="text1"/>
          <w14:textFill>
            <w14:solidFill>
              <w14:schemeClr w14:val="tx1"/>
            </w14:solidFill>
          </w14:textFill>
        </w:rPr>
      </w:pPr>
    </w:p>
    <w:p>
      <w:pPr>
        <w:pStyle w:val="11"/>
        <w:ind w:left="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图3.7-4  修井工艺流程图</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（1）校井口：将修井设备搬家至注水井场，接井，立架子，井场标准化布置，填井口；</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（2）试压：注水净水试压，试吸收性以及井控装置试压，安装SFZ16.5-35手动单闸板防喷器，紧固平整所有螺栓，配下Φ115mm双皮碗封隔器，对防喷器、防喷管线及放喷阀试压10MPa；</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（3）提结构：提单管，检查全井油管是否完好，喇叭口是否被堵死，是否存在偏磨、结蜡或结垢；</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（4）探井底、通井：探砂面深度，检查油管及通井是否完好；</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（5）试压、下结构：注水净水对上部套管试压，下入油管，以油管传输射孔，注水净水试吸收性是否合格；</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（6）完井：架子、收尾，完善井口流程，打扫井场卫生、交井完修。</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3.7.3.4储层改造工程</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油层改造工程一般在采油井投产前进行。根据建设单位提供资料，陆9井区呼图壁组油藏属高孔、高渗储集层，射孔后直接转机抽生产，因此，本项目储层改造主要为射孔工艺，不涉及压裂和酸化工艺。</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射孔即在井内下入专门的射孔器在油层部位射孔，穿透套管的水泥环进入地层，使油层通过这些孔道与井底连通，从而为油流入井内造成通道的过程。本项目</w:t>
      </w:r>
      <w:r>
        <w:rPr>
          <w:rFonts w:hint="eastAsia" w:ascii="Times New Roman" w:hAnsi="Times New Roman" w:cs="Times New Roman"/>
          <w:color w:val="000000" w:themeColor="text1"/>
          <w:kern w:val="0"/>
          <w:sz w:val="24"/>
          <w14:textFill>
            <w14:solidFill>
              <w14:schemeClr w14:val="tx1"/>
            </w14:solidFill>
          </w14:textFill>
        </w:rPr>
        <w:t>37</w:t>
      </w:r>
      <w:r>
        <w:rPr>
          <w:rFonts w:ascii="Times New Roman" w:hAnsi="Times New Roman" w:cs="Times New Roman"/>
          <w:color w:val="000000" w:themeColor="text1"/>
          <w:kern w:val="0"/>
          <w:sz w:val="24"/>
          <w14:textFill>
            <w14:solidFill>
              <w14:schemeClr w14:val="tx1"/>
            </w14:solidFill>
          </w14:textFill>
        </w:rPr>
        <w:t>口井均进行射孔作业。本项目</w:t>
      </w:r>
      <w:r>
        <w:rPr>
          <w:rFonts w:ascii="Times New Roman" w:hAnsi="Times New Roman" w:cs="Times New Roman"/>
          <w:color w:val="000000" w:themeColor="text1"/>
          <w:sz w:val="24"/>
          <w14:textFill>
            <w14:solidFill>
              <w14:schemeClr w14:val="tx1"/>
            </w14:solidFill>
          </w14:textFill>
        </w:rPr>
        <w:t>采油井采用SDP-89射孔枪，注水井采用YD-89型射孔弹；相位角60°；孔密16孔/m，螺旋布孔。</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3.7.3.5地面工程建设</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地面工程建设主要包括井场建设、计量站</w:t>
      </w:r>
      <w:r>
        <w:rPr>
          <w:rFonts w:hint="eastAsia" w:ascii="Times New Roman" w:hAnsi="Times New Roman" w:cs="Times New Roman"/>
          <w:color w:val="000000" w:themeColor="text1"/>
          <w:kern w:val="0"/>
          <w:sz w:val="24"/>
          <w14:textFill>
            <w14:solidFill>
              <w14:schemeClr w14:val="tx1"/>
            </w14:solidFill>
          </w14:textFill>
        </w:rPr>
        <w:t>（配水站）</w:t>
      </w:r>
      <w:r>
        <w:rPr>
          <w:rFonts w:ascii="Times New Roman" w:hAnsi="Times New Roman" w:cs="Times New Roman"/>
          <w:color w:val="000000" w:themeColor="text1"/>
          <w:kern w:val="0"/>
          <w:sz w:val="24"/>
          <w14:textFill>
            <w14:solidFill>
              <w14:schemeClr w14:val="tx1"/>
            </w14:solidFill>
          </w14:textFill>
        </w:rPr>
        <w:t>建设、设备安装、管线敷设等内容。</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（1）井场、计量站建设</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拟建项目新建井场、计量站地面拟全部采用素土压实。</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（2）井口设备安装</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本工程新建水平井采油井场28座，其中19座采用30</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80m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的防腐防垢变频潜油电泵机组，配套电机功率27kW，8座采用8型节能抽油机，配套电机功率18.5kW，1座采用10型抽油机，配套电机22kW，井口均设置保温盒保温，保温盒内设0.25kW防爆电加热器，压力表置于保温盒内。设置清蜡和热洗接口，同时设置安全标志牌，采油井口采用标准化设计通集20141。</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部署</w:t>
      </w:r>
      <w:r>
        <w:rPr>
          <w:rFonts w:hint="eastAsia" w:ascii="Times New Roman" w:hAnsi="Times New Roman" w:eastAsia="宋体" w:cs="Times New Roman"/>
          <w:color w:val="000000" w:themeColor="text1"/>
          <w:sz w:val="24"/>
          <w14:textFill>
            <w14:solidFill>
              <w14:schemeClr w14:val="tx1"/>
            </w14:solidFill>
          </w14:textFill>
        </w:rPr>
        <w:t>老井转注（</w:t>
      </w:r>
      <w:r>
        <w:rPr>
          <w:rFonts w:ascii="Times New Roman" w:hAnsi="Times New Roman" w:eastAsia="宋体" w:cs="Times New Roman"/>
          <w:color w:val="000000" w:themeColor="text1"/>
          <w:sz w:val="24"/>
          <w14:textFill>
            <w14:solidFill>
              <w14:schemeClr w14:val="tx1"/>
            </w14:solidFill>
          </w14:textFill>
        </w:rPr>
        <w:t>注水井</w:t>
      </w:r>
      <w:r>
        <w:rPr>
          <w:rFonts w:hint="eastAsia" w:ascii="Times New Roman" w:hAnsi="Times New Roman" w:eastAsia="宋体" w:cs="Times New Roman"/>
          <w:color w:val="000000" w:themeColor="text1"/>
          <w:sz w:val="24"/>
          <w14:textFill>
            <w14:solidFill>
              <w14:schemeClr w14:val="tx1"/>
            </w14:solidFill>
          </w14:textFill>
        </w:rPr>
        <w:t>）9</w:t>
      </w:r>
      <w:r>
        <w:rPr>
          <w:rFonts w:ascii="Times New Roman" w:hAnsi="Times New Roman" w:eastAsia="宋体" w:cs="Times New Roman"/>
          <w:color w:val="000000" w:themeColor="text1"/>
          <w:sz w:val="24"/>
          <w14:textFill>
            <w14:solidFill>
              <w14:schemeClr w14:val="tx1"/>
            </w14:solidFill>
          </w14:textFill>
        </w:rPr>
        <w:t>口，最大注入压力为12MPa。</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采油井安装井口装置、抽油机及配套电机等。主要工程活动包括抽油机基础施工、抽油机安装、电加热设备等安装。</w:t>
      </w:r>
    </w:p>
    <w:p>
      <w:pPr>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抽油机安装顺序为：施工准备→基础验收划线→机座安装→抽油机主体安装→电机安装→电控箱安装→加注润滑油坚固螺栓。</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注水井井口安装DN50 25MPa采油树即可。</w:t>
      </w:r>
    </w:p>
    <w:p>
      <w:pPr>
        <w:spacing w:line="360" w:lineRule="auto"/>
        <w:ind w:firstLine="480"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（3）管线敷设</w:t>
      </w:r>
    </w:p>
    <w:p>
      <w:pPr>
        <w:pStyle w:val="55"/>
        <w:spacing w:line="360" w:lineRule="auto"/>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集输工程建设工艺流程及产污环节详见图3.7-5。</w:t>
      </w:r>
    </w:p>
    <w:p>
      <w:pPr>
        <w:pStyle w:val="55"/>
        <w:spacing w:line="360" w:lineRule="auto"/>
        <w:ind w:firstLine="0" w:firstLineChars="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225415" cy="939800"/>
            <wp:effectExtent l="9525" t="9525" r="22860" b="22225"/>
            <wp:docPr id="2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5"/>
                    <pic:cNvPicPr>
                      <a:picLocks noChangeAspect="1"/>
                    </pic:cNvPicPr>
                  </pic:nvPicPr>
                  <pic:blipFill>
                    <a:blip r:embed="rId35"/>
                    <a:srcRect l="2834" t="10987" r="2969" b="11659"/>
                    <a:stretch>
                      <a:fillRect/>
                    </a:stretch>
                  </pic:blipFill>
                  <pic:spPr>
                    <a:xfrm>
                      <a:off x="0" y="0"/>
                      <a:ext cx="5225415" cy="939800"/>
                    </a:xfrm>
                    <a:prstGeom prst="rect">
                      <a:avLst/>
                    </a:prstGeom>
                    <a:noFill/>
                    <a:ln>
                      <a:solidFill>
                        <a:srgbClr val="000000">
                          <a:alpha val="0"/>
                        </a:srgbClr>
                      </a:solidFill>
                    </a:ln>
                  </pic:spPr>
                </pic:pic>
              </a:graphicData>
            </a:graphic>
          </wp:inline>
        </w:drawing>
      </w:r>
    </w:p>
    <w:p>
      <w:pPr>
        <w:pStyle w:val="37"/>
        <w:spacing w:line="360"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图3.7-5  集输工程建设工艺流程及产污环节示意图</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①</w:t>
      </w:r>
      <w:r>
        <w:rPr>
          <w:rFonts w:ascii="Times New Roman" w:hAnsi="Times New Roman" w:cs="Times New Roman"/>
          <w:color w:val="000000" w:themeColor="text1"/>
          <w:sz w:val="24"/>
          <w14:textFill>
            <w14:solidFill>
              <w14:schemeClr w14:val="tx1"/>
            </w14:solidFill>
          </w14:textFill>
        </w:rPr>
        <w:t>场地平整</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管线工程施工首先进行施工放线，现场施工放线确定路由后，即进行施工作业带线路的清理，对施工作业带内地上、地下各种建（构）筑物和植物等进行清点造册。</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清理和平整施工作业带时，应注意保护线路控制桩，如有损坏应立即补桩恢复。施工作业带范围内，对于影响施工机具通行或施工作业的石块、杂草、树木、构筑物等应适当清理，沟、坎应予平整，有积水的地势低洼地段应排水填平。施工完毕之后，要注意施工作业带的恢复工作，使土地恢复原有状态。</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②管沟开挖</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管道运输和布管在管沟堆土的另一侧进行，要求堆放地点地势平整、无水、无尖硬物的地方。布管过程不允许地面拖拉，以防损坏。</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③管道敷设</w:t>
      </w:r>
    </w:p>
    <w:p>
      <w:pPr>
        <w:pStyle w:val="25"/>
        <w:spacing w:line="360" w:lineRule="auto"/>
        <w:ind w:firstLine="480" w:firstLineChars="200"/>
        <w:jc w:val="left"/>
        <w:rPr>
          <w:rFonts w:ascii="Times New Roman" w:hAnsi="Times New Roman" w:eastAsia="宋体" w:cs="Times New Roman"/>
          <w:b w:val="0"/>
          <w:color w:val="000000" w:themeColor="text1"/>
          <w14:textFill>
            <w14:solidFill>
              <w14:schemeClr w14:val="tx1"/>
            </w14:solidFill>
          </w14:textFill>
        </w:rPr>
      </w:pPr>
      <w:r>
        <w:rPr>
          <w:rFonts w:ascii="Times New Roman" w:hAnsi="Times New Roman" w:eastAsia="宋体" w:cs="Times New Roman"/>
          <w:b w:val="0"/>
          <w:color w:val="000000" w:themeColor="text1"/>
          <w14:textFill>
            <w14:solidFill>
              <w14:schemeClr w14:val="tx1"/>
            </w14:solidFill>
          </w14:textFill>
        </w:rPr>
        <w:t>本工程新建单井出油管道采用DN50 2.5MPa塑料合金防腐蚀复合管，</w:t>
      </w:r>
      <w:r>
        <w:rPr>
          <w:rFonts w:hint="eastAsia" w:ascii="Times New Roman" w:hAnsi="Times New Roman" w:eastAsia="宋体" w:cs="Times New Roman"/>
          <w:b w:val="0"/>
          <w:color w:val="000000" w:themeColor="text1"/>
          <w14:textFill>
            <w14:solidFill>
              <w14:schemeClr w14:val="tx1"/>
            </w14:solidFill>
          </w14:textFill>
        </w:rPr>
        <w:t>长度10.33km，</w:t>
      </w:r>
      <w:r>
        <w:rPr>
          <w:rFonts w:ascii="Times New Roman" w:hAnsi="Times New Roman" w:eastAsia="宋体" w:cs="Times New Roman"/>
          <w:b w:val="0"/>
          <w:color w:val="000000" w:themeColor="text1"/>
          <w14:textFill>
            <w14:solidFill>
              <w14:schemeClr w14:val="tx1"/>
            </w14:solidFill>
          </w14:textFill>
        </w:rPr>
        <w:t>管线埋深-1.</w:t>
      </w:r>
      <w:r>
        <w:rPr>
          <w:rFonts w:hint="eastAsia" w:ascii="Times New Roman" w:hAnsi="Times New Roman" w:eastAsia="宋体" w:cs="Times New Roman"/>
          <w:b w:val="0"/>
          <w:color w:val="000000" w:themeColor="text1"/>
          <w14:textFill>
            <w14:solidFill>
              <w14:schemeClr w14:val="tx1"/>
            </w14:solidFill>
          </w14:textFill>
        </w:rPr>
        <w:t>7</w:t>
      </w:r>
      <w:r>
        <w:rPr>
          <w:rFonts w:ascii="Times New Roman" w:hAnsi="Times New Roman" w:eastAsia="宋体" w:cs="Times New Roman"/>
          <w:b w:val="0"/>
          <w:color w:val="000000" w:themeColor="text1"/>
          <w14:textFill>
            <w14:solidFill>
              <w14:schemeClr w14:val="tx1"/>
            </w14:solidFill>
          </w14:textFill>
        </w:rPr>
        <w:t>0m。新建集油支线及干线均采用DN150 2.5MPa塑料合金防腐蚀复合管，</w:t>
      </w:r>
      <w:r>
        <w:rPr>
          <w:rFonts w:hint="eastAsia" w:ascii="Times New Roman" w:hAnsi="Times New Roman" w:eastAsia="宋体" w:cs="Times New Roman"/>
          <w:b w:val="0"/>
          <w:color w:val="000000" w:themeColor="text1"/>
          <w14:textFill>
            <w14:solidFill>
              <w14:schemeClr w14:val="tx1"/>
            </w14:solidFill>
          </w14:textFill>
        </w:rPr>
        <w:t>长度合计5.7km，</w:t>
      </w:r>
      <w:r>
        <w:rPr>
          <w:rFonts w:ascii="Times New Roman" w:hAnsi="Times New Roman" w:eastAsia="宋体" w:cs="Times New Roman"/>
          <w:b w:val="0"/>
          <w:color w:val="000000" w:themeColor="text1"/>
          <w14:textFill>
            <w14:solidFill>
              <w14:schemeClr w14:val="tx1"/>
            </w14:solidFill>
          </w14:textFill>
        </w:rPr>
        <w:t>管道均保温埋地敷设，保温层采用30mm厚发泡保温橡塑海绵，防护层采用2mm厚聚乙烯胶粘带，管线埋深-1.</w:t>
      </w:r>
      <w:r>
        <w:rPr>
          <w:rFonts w:hint="eastAsia" w:ascii="Times New Roman" w:hAnsi="Times New Roman" w:eastAsia="宋体" w:cs="Times New Roman"/>
          <w:b w:val="0"/>
          <w:color w:val="000000" w:themeColor="text1"/>
          <w14:textFill>
            <w14:solidFill>
              <w14:schemeClr w14:val="tx1"/>
            </w14:solidFill>
          </w14:textFill>
        </w:rPr>
        <w:t>9</w:t>
      </w:r>
      <w:r>
        <w:rPr>
          <w:rFonts w:ascii="Times New Roman" w:hAnsi="Times New Roman" w:eastAsia="宋体" w:cs="Times New Roman"/>
          <w:b w:val="0"/>
          <w:color w:val="000000" w:themeColor="text1"/>
          <w14:textFill>
            <w14:solidFill>
              <w14:schemeClr w14:val="tx1"/>
            </w14:solidFill>
          </w14:textFill>
        </w:rPr>
        <w:t>0m。本工程管道穿越专用公路及沥青、水泥路及路政部门要求顶管穿越路段采用顶管穿越方式，顶管时设套管保护；管道穿越碎石路、土路采用大开挖穿越方式，并设套管保护，穿越完毕后恢复原有路面。</w:t>
      </w:r>
    </w:p>
    <w:p>
      <w:pPr>
        <w:widowControl/>
        <w:spacing w:line="360" w:lineRule="auto"/>
        <w:ind w:firstLine="480" w:firstLineChars="200"/>
        <w:jc w:val="left"/>
        <w:rPr>
          <w:rFonts w:ascii="Times New Roman" w:hAnsi="Times New Roman" w:eastAsia="宋体" w:cs="Times New Roman"/>
          <w:bCs/>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新建单井注水管道选DN50 16MPa塑料合金防腐蚀复合管，</w:t>
      </w:r>
      <w:r>
        <w:rPr>
          <w:rFonts w:hint="eastAsia" w:ascii="Times New Roman" w:hAnsi="Times New Roman" w:eastAsia="宋体" w:cs="Times New Roman"/>
          <w:color w:val="000000" w:themeColor="text1"/>
          <w:kern w:val="0"/>
          <w:sz w:val="24"/>
          <w:lang w:bidi="ar"/>
          <w14:textFill>
            <w14:solidFill>
              <w14:schemeClr w14:val="tx1"/>
            </w14:solidFill>
          </w14:textFill>
        </w:rPr>
        <w:t>长度4.52km，</w:t>
      </w:r>
      <w:r>
        <w:rPr>
          <w:rFonts w:ascii="Times New Roman" w:hAnsi="Times New Roman" w:eastAsia="宋体" w:cs="Times New Roman"/>
          <w:color w:val="000000" w:themeColor="text1"/>
          <w:kern w:val="0"/>
          <w:sz w:val="24"/>
          <w:lang w:bidi="ar"/>
          <w14:textFill>
            <w14:solidFill>
              <w14:schemeClr w14:val="tx1"/>
            </w14:solidFill>
          </w14:textFill>
        </w:rPr>
        <w:t>埋地不保温敷设，管线埋深-1.80m。新建单井注水支线选DN100 16MPa塑料合金防腐蚀复合管，</w:t>
      </w:r>
      <w:r>
        <w:rPr>
          <w:rFonts w:hint="eastAsia" w:ascii="Times New Roman" w:hAnsi="Times New Roman" w:eastAsia="宋体" w:cs="Times New Roman"/>
          <w:color w:val="000000" w:themeColor="text1"/>
          <w:kern w:val="0"/>
          <w:sz w:val="24"/>
          <w:lang w:bidi="ar"/>
          <w14:textFill>
            <w14:solidFill>
              <w14:schemeClr w14:val="tx1"/>
            </w14:solidFill>
          </w14:textFill>
        </w:rPr>
        <w:t>长度1.77km，</w:t>
      </w:r>
      <w:r>
        <w:rPr>
          <w:rFonts w:ascii="Times New Roman" w:hAnsi="Times New Roman" w:eastAsia="宋体" w:cs="Times New Roman"/>
          <w:color w:val="000000" w:themeColor="text1"/>
          <w:kern w:val="0"/>
          <w:sz w:val="24"/>
          <w:lang w:bidi="ar"/>
          <w14:textFill>
            <w14:solidFill>
              <w14:schemeClr w14:val="tx1"/>
            </w14:solidFill>
          </w14:textFill>
        </w:rPr>
        <w:t>埋地不保温敷设，管线埋深-2.0m。新建单井注水</w:t>
      </w:r>
      <w:r>
        <w:rPr>
          <w:rFonts w:hint="eastAsia" w:ascii="Times New Roman" w:hAnsi="Times New Roman" w:eastAsia="宋体" w:cs="Times New Roman"/>
          <w:color w:val="000000" w:themeColor="text1"/>
          <w:kern w:val="0"/>
          <w:sz w:val="24"/>
          <w:lang w:bidi="ar"/>
          <w14:textFill>
            <w14:solidFill>
              <w14:schemeClr w14:val="tx1"/>
            </w14:solidFill>
          </w14:textFill>
        </w:rPr>
        <w:t>干线</w:t>
      </w:r>
      <w:r>
        <w:rPr>
          <w:rFonts w:ascii="Times New Roman" w:hAnsi="Times New Roman" w:eastAsia="宋体" w:cs="Times New Roman"/>
          <w:color w:val="000000" w:themeColor="text1"/>
          <w:kern w:val="0"/>
          <w:sz w:val="24"/>
          <w:lang w:bidi="ar"/>
          <w14:textFill>
            <w14:solidFill>
              <w14:schemeClr w14:val="tx1"/>
            </w14:solidFill>
          </w14:textFill>
        </w:rPr>
        <w:t>选DN150 16MPa塑料合金防腐蚀复合管，</w:t>
      </w:r>
      <w:r>
        <w:rPr>
          <w:rFonts w:hint="eastAsia" w:ascii="Times New Roman" w:hAnsi="Times New Roman" w:eastAsia="宋体" w:cs="Times New Roman"/>
          <w:color w:val="000000" w:themeColor="text1"/>
          <w:kern w:val="0"/>
          <w:sz w:val="24"/>
          <w:lang w:bidi="ar"/>
          <w14:textFill>
            <w14:solidFill>
              <w14:schemeClr w14:val="tx1"/>
            </w14:solidFill>
          </w14:textFill>
        </w:rPr>
        <w:t>长度2.12km</w:t>
      </w:r>
      <w:r>
        <w:rPr>
          <w:rFonts w:ascii="Times New Roman" w:hAnsi="Times New Roman" w:eastAsia="宋体" w:cs="Times New Roman"/>
          <w:color w:val="000000" w:themeColor="text1"/>
          <w:kern w:val="0"/>
          <w:sz w:val="24"/>
          <w:lang w:bidi="ar"/>
          <w14:textFill>
            <w14:solidFill>
              <w14:schemeClr w14:val="tx1"/>
            </w14:solidFill>
          </w14:textFill>
        </w:rPr>
        <w:t>埋地不保温敷设，管线埋深-2.0m。</w:t>
      </w:r>
      <w:r>
        <w:rPr>
          <w:rFonts w:ascii="Times New Roman" w:hAnsi="Times New Roman" w:eastAsia="宋体" w:cs="Times New Roman"/>
          <w:bCs/>
          <w:color w:val="000000" w:themeColor="text1"/>
          <w:kern w:val="0"/>
          <w:sz w:val="24"/>
          <w:lang w:bidi="ar"/>
          <w14:textFill>
            <w14:solidFill>
              <w14:schemeClr w14:val="tx1"/>
            </w14:solidFill>
          </w14:textFill>
        </w:rPr>
        <w:t>本工程管道穿越专用公路及沥青、水泥路面</w:t>
      </w:r>
      <w:r>
        <w:rPr>
          <w:rFonts w:hint="eastAsia" w:ascii="Times New Roman" w:hAnsi="Times New Roman" w:eastAsia="宋体" w:cs="Times New Roman"/>
          <w:bCs/>
          <w:color w:val="000000" w:themeColor="text1"/>
          <w:kern w:val="0"/>
          <w:sz w:val="24"/>
          <w:lang w:bidi="ar"/>
          <w14:textFill>
            <w14:solidFill>
              <w14:schemeClr w14:val="tx1"/>
            </w14:solidFill>
          </w14:textFill>
        </w:rPr>
        <w:t>（</w:t>
      </w:r>
      <w:r>
        <w:rPr>
          <w:rFonts w:ascii="Times New Roman" w:hAnsi="Times New Roman" w:eastAsia="宋体" w:cs="Times New Roman"/>
          <w:bCs/>
          <w:color w:val="000000" w:themeColor="text1"/>
          <w:kern w:val="0"/>
          <w:sz w:val="24"/>
          <w:lang w:bidi="ar"/>
          <w14:textFill>
            <w14:solidFill>
              <w14:schemeClr w14:val="tx1"/>
            </w14:solidFill>
          </w14:textFill>
        </w:rPr>
        <w:t>通车量大</w:t>
      </w:r>
      <w:r>
        <w:rPr>
          <w:rFonts w:hint="eastAsia" w:ascii="Times New Roman" w:hAnsi="Times New Roman" w:eastAsia="宋体" w:cs="Times New Roman"/>
          <w:bCs/>
          <w:color w:val="000000" w:themeColor="text1"/>
          <w:kern w:val="0"/>
          <w:sz w:val="24"/>
          <w:lang w:bidi="ar"/>
          <w14:textFill>
            <w14:solidFill>
              <w14:schemeClr w14:val="tx1"/>
            </w14:solidFill>
          </w14:textFill>
        </w:rPr>
        <w:t>）</w:t>
      </w:r>
      <w:r>
        <w:rPr>
          <w:rFonts w:ascii="Times New Roman" w:hAnsi="Times New Roman" w:eastAsia="宋体" w:cs="Times New Roman"/>
          <w:bCs/>
          <w:color w:val="000000" w:themeColor="text1"/>
          <w:kern w:val="0"/>
          <w:sz w:val="24"/>
          <w:lang w:bidi="ar"/>
          <w14:textFill>
            <w14:solidFill>
              <w14:schemeClr w14:val="tx1"/>
            </w14:solidFill>
          </w14:textFill>
        </w:rPr>
        <w:t>的公路采用顶管穿越方式，顶管时设套管保护；管道穿越碎石路、土路采用大开挖穿越方式，并设套管保护。</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④试压回填</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管道回填时，先用细土回填50cm，再用其他土回填并夯实，原有熟土最后恢复。回填土中不得有坚硬土石、垃圾、腐殖质等，管道两侧及管顶0.5m内的回填土，不得含有碎石砖块等杂物，且不得用灰土回填，距管顶0.5m上的回填土中的石块不得多于10%，直径不得大于0.1</w:t>
      </w:r>
      <w:r>
        <w:rPr>
          <w:rFonts w:hint="eastAsia"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14:textFill>
            <w14:solidFill>
              <w14:schemeClr w14:val="tx1"/>
            </w14:solidFill>
          </w14:textFill>
        </w:rPr>
        <w:t>，且均匀分布。主管道警示带敷设前应将敷设面压实，并平整地敷设于管道顶正上方0.5m，且不得敷设于路基和路面里。</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⑤场地恢复</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施工结束后，进行生态恢复，及时清除施工垃圾，对施工现场进行回填平整，尽可能覆土压实，采用自然恢复的方式对区域植被进行恢复，对井场周围已建成的永久性占地进行砾石铺垫，以减少风蚀量。</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）输配电工程施工</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架空输电线路施工主要为：</w:t>
      </w:r>
      <w:r>
        <w:rPr>
          <w:rFonts w:hint="eastAsia" w:ascii="Times New Roman" w:hAnsi="Times New Roman" w:cs="Times New Roman"/>
          <w:color w:val="000000" w:themeColor="text1"/>
          <w:sz w:val="24"/>
          <w14:textFill>
            <w14:solidFill>
              <w14:schemeClr w14:val="tx1"/>
            </w14:solidFill>
          </w14:textFill>
        </w:rPr>
        <w:t>塔坑</w:t>
      </w:r>
      <w:r>
        <w:rPr>
          <w:rFonts w:ascii="Times New Roman" w:hAnsi="Times New Roman" w:cs="Times New Roman"/>
          <w:color w:val="000000" w:themeColor="text1"/>
          <w:sz w:val="24"/>
          <w14:textFill>
            <w14:solidFill>
              <w14:schemeClr w14:val="tx1"/>
            </w14:solidFill>
          </w14:textFill>
        </w:rPr>
        <w:t>开挖前，先</w:t>
      </w:r>
      <w:r>
        <w:rPr>
          <w:rFonts w:hint="eastAsia" w:ascii="Times New Roman" w:hAnsi="Times New Roman" w:cs="Times New Roman"/>
          <w:color w:val="000000" w:themeColor="text1"/>
          <w:sz w:val="24"/>
          <w14:textFill>
            <w14:solidFill>
              <w14:schemeClr w14:val="tx1"/>
            </w14:solidFill>
          </w14:textFill>
        </w:rPr>
        <w:t>进行定位</w:t>
      </w:r>
      <w:r>
        <w:rPr>
          <w:rFonts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lang w:val="zh-CN"/>
          <w14:textFill>
            <w14:solidFill>
              <w14:schemeClr w14:val="tx1"/>
            </w14:solidFill>
          </w14:textFill>
        </w:rPr>
        <w:t>确定位置后采用机械及人工辅助开挖</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开挖后将杆</w:t>
      </w:r>
      <w:r>
        <w:rPr>
          <w:rFonts w:ascii="Times New Roman" w:hAnsi="Times New Roman" w:cs="Times New Roman"/>
          <w:color w:val="000000" w:themeColor="text1"/>
          <w:sz w:val="24"/>
          <w14:textFill>
            <w14:solidFill>
              <w14:schemeClr w14:val="tx1"/>
            </w14:solidFill>
          </w14:textFill>
        </w:rPr>
        <w:t>塔采用流动式起重机组立，导线放线方法是将导线沿电杆根部放开后，再将导线吊上电杆。</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3.7.3.6产污环节分析</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（1）废气</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本项目施工期产生的大气污染物主要包括施工扬尘、施工车辆废气及钻井时柴油机排放的废气。</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施工扬尘主要产生于管线施工、井场施工以及施工机械及运输车辆往来；施工车辆废气主要为施工过程中各类车辆尾气；钻井时柴油机排放的废气</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钻井柴油发动机废气。</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（2）废水</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本项目施工期产生的废水主要包括钻井废水、废射孔液、管道试压废水。</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钻井废水循环使用；射孔作业过程产生的废液；管道试压废水是管线敷设完成后，对其进行分段试压过程中产生废水。</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（3）噪声</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施工噪声为项目施工活动中机械设施及车辆运输产生的噪声。</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（4）固废</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施工期产生的固体废物主要有钻井固废（钻井岩屑）、机械设备废油、废防渗膜、施工土方、建筑垃圾和生活垃圾等固废。</w:t>
      </w:r>
    </w:p>
    <w:p>
      <w:pPr>
        <w:pStyle w:val="31"/>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钻井固废主要为钻井过程中产生的钻井岩屑；落地油主要产生于试油等井下作业过程中，会有少量原油散落井场；其他固废主要是产生于钻井、试油、射孔等作业过程中，主要有废防渗膜、钻井添加剂的外包装袋、钻机更换的机械设备废油；管道敷设开挖产生的施工土方，施工人员生活垃圾主要是施工现场人员产生的生活垃圾。</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3.7.4运营期主要工艺流程及产污环节</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运营期主要有采油、油气集输及处理、注水、井下作业等作业过程。</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3.7.4.1采油</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采油是借助油层的自身压力或使用机械方式，使原油从地下储油层产出的工艺过程。本区块开井后直接转抽生产。</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3.7.4.2油气集输及处理</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本项目运营期</w:t>
      </w:r>
      <w:r>
        <w:rPr>
          <w:rFonts w:ascii="Times New Roman" w:hAnsi="Times New Roman" w:cs="Times New Roman"/>
          <w:color w:val="000000" w:themeColor="text1"/>
          <w:sz w:val="24"/>
          <w14:textFill>
            <w14:solidFill>
              <w14:schemeClr w14:val="tx1"/>
            </w14:solidFill>
          </w14:textFill>
        </w:rPr>
        <w:t>油气集输采用密闭集输工艺，</w:t>
      </w:r>
      <w:r>
        <w:rPr>
          <w:rFonts w:ascii="Times New Roman" w:hAnsi="Times New Roman" w:eastAsia="宋体" w:cs="Times New Roman"/>
          <w:color w:val="000000" w:themeColor="text1"/>
          <w:sz w:val="24"/>
          <w14:textFill>
            <w14:solidFill>
              <w14:schemeClr w14:val="tx1"/>
            </w14:solidFill>
          </w14:textFill>
        </w:rPr>
        <w:t>根据对陆9井区已建集输系统现状的分析，结合新建采油井部署位置，新建</w:t>
      </w:r>
      <w:r>
        <w:rPr>
          <w:rFonts w:hint="eastAsia" w:ascii="Times New Roman" w:hAnsi="Times New Roman" w:eastAsia="宋体" w:cs="Times New Roman"/>
          <w:color w:val="000000" w:themeColor="text1"/>
          <w:sz w:val="24"/>
          <w14:textFill>
            <w14:solidFill>
              <w14:schemeClr w14:val="tx1"/>
            </w14:solidFill>
          </w14:textFill>
        </w:rPr>
        <w:t>28</w:t>
      </w:r>
      <w:r>
        <w:rPr>
          <w:rFonts w:ascii="Times New Roman" w:hAnsi="Times New Roman" w:eastAsia="宋体" w:cs="Times New Roman"/>
          <w:color w:val="000000" w:themeColor="text1"/>
          <w:sz w:val="24"/>
          <w14:textFill>
            <w14:solidFill>
              <w14:schemeClr w14:val="tx1"/>
            </w14:solidFill>
          </w14:textFill>
        </w:rPr>
        <w:t>口采油井采用二级布站输送工艺，即：井口→计量站→陆梁集中处理站的布站方式</w:t>
      </w:r>
      <w:r>
        <w:rPr>
          <w:rFonts w:hint="eastAsia" w:ascii="Times New Roman" w:hAnsi="Times New Roman" w:eastAsia="宋体" w:cs="Times New Roman"/>
          <w:color w:val="000000" w:themeColor="text1"/>
          <w:sz w:val="24"/>
          <w14:textFill>
            <w14:solidFill>
              <w14:schemeClr w14:val="tx1"/>
            </w14:solidFill>
          </w14:textFill>
        </w:rPr>
        <w:t>，采用不加热集输工艺</w:t>
      </w:r>
      <w:r>
        <w:rPr>
          <w:rFonts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本项目油气集输工艺见图3.7-</w:t>
      </w:r>
      <w:r>
        <w:rPr>
          <w:rFonts w:hint="eastAsia" w:ascii="Times New Roman" w:hAnsi="Times New Roman" w:cs="Times New Roman"/>
          <w:color w:val="000000" w:themeColor="text1"/>
          <w:sz w:val="24"/>
          <w:lang w:val="en-US" w:eastAsia="zh-CN"/>
          <w14:textFill>
            <w14:solidFill>
              <w14:schemeClr w14:val="tx1"/>
            </w14:solidFill>
          </w14:textFill>
        </w:rPr>
        <w:t>6</w:t>
      </w:r>
      <w:r>
        <w:rPr>
          <w:rFonts w:ascii="Times New Roman" w:hAnsi="Times New Roman" w:cs="Times New Roman"/>
          <w:color w:val="000000" w:themeColor="text1"/>
          <w:sz w:val="24"/>
          <w14:textFill>
            <w14:solidFill>
              <w14:schemeClr w14:val="tx1"/>
            </w14:solidFill>
          </w14:textFill>
        </w:rPr>
        <w:t>。</w:t>
      </w:r>
    </w:p>
    <w:p>
      <w:pPr>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p>
    <w:p>
      <w:pPr>
        <w:pStyle w:val="25"/>
        <w:rPr>
          <w:rFonts w:ascii="Times New Roman" w:hAnsi="Times New Roman" w:cs="Times New Roman"/>
          <w:color w:val="000000" w:themeColor="text1"/>
          <w:sz w:val="24"/>
          <w14:textFill>
            <w14:solidFill>
              <w14:schemeClr w14:val="tx1"/>
            </w14:solidFill>
          </w14:textFill>
        </w:rPr>
      </w:pPr>
    </w:p>
    <w:p>
      <w:pPr>
        <w:pStyle w:val="25"/>
        <w:rPr>
          <w:rFonts w:ascii="Times New Roman" w:hAnsi="Times New Roman" w:cs="Times New Roman"/>
          <w:color w:val="000000" w:themeColor="text1"/>
          <w:sz w:val="24"/>
          <w14:textFill>
            <w14:solidFill>
              <w14:schemeClr w14:val="tx1"/>
            </w14:solidFill>
          </w14:textFill>
        </w:rPr>
      </w:pPr>
    </w:p>
    <w:p>
      <w:pPr>
        <w:pStyle w:val="25"/>
        <w:jc w:val="both"/>
        <w:rPr>
          <w:rFonts w:ascii="Times New Roman" w:hAnsi="Times New Roman" w:cs="Times New Roman"/>
          <w:color w:val="000000" w:themeColor="text1"/>
          <w:sz w:val="24"/>
          <w14:textFill>
            <w14:solidFill>
              <w14:schemeClr w14:val="tx1"/>
            </w14:solidFill>
          </w14:textFill>
        </w:rPr>
      </w:pPr>
    </w:p>
    <w:p>
      <w:pP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57785</wp:posOffset>
                </wp:positionH>
                <wp:positionV relativeFrom="paragraph">
                  <wp:posOffset>67945</wp:posOffset>
                </wp:positionV>
                <wp:extent cx="5104765" cy="2935605"/>
                <wp:effectExtent l="4445" t="5080" r="15240" b="12065"/>
                <wp:wrapNone/>
                <wp:docPr id="104" name="组合 104"/>
                <wp:cNvGraphicFramePr/>
                <a:graphic xmlns:a="http://schemas.openxmlformats.org/drawingml/2006/main">
                  <a:graphicData uri="http://schemas.microsoft.com/office/word/2010/wordprocessingGroup">
                    <wpg:wgp>
                      <wpg:cNvGrpSpPr/>
                      <wpg:grpSpPr>
                        <a:xfrm>
                          <a:off x="0" y="0"/>
                          <a:ext cx="5104765" cy="2935605"/>
                          <a:chOff x="1953" y="2213370"/>
                          <a:chExt cx="8039" cy="4623"/>
                        </a:xfrm>
                      </wpg:grpSpPr>
                      <wpg:grpSp>
                        <wpg:cNvPr id="105" name="组合 262"/>
                        <wpg:cNvGrpSpPr/>
                        <wpg:grpSpPr>
                          <a:xfrm>
                            <a:off x="1953" y="2213370"/>
                            <a:ext cx="8039" cy="4623"/>
                            <a:chOff x="1315" y="844877"/>
                            <a:chExt cx="8039" cy="4623"/>
                          </a:xfrm>
                        </wpg:grpSpPr>
                        <wps:wsp>
                          <wps:cNvPr id="263" name="文本框 30"/>
                          <wps:cNvSpPr txBox="1"/>
                          <wps:spPr>
                            <a:xfrm>
                              <a:off x="1315" y="844877"/>
                              <a:ext cx="2830" cy="46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ascii="Times New Roman" w:hAnsi="Times New Roman" w:eastAsia="宋体" w:cs="Times New Roman"/>
                                    <w:color w:val="000000" w:themeColor="text1"/>
                                    <w:kern w:val="0"/>
                                    <w:szCs w:val="21"/>
                                    <w:lang w:bidi="ar"/>
                                    <w14:textFill>
                                      <w14:solidFill>
                                        <w14:schemeClr w14:val="tx1"/>
                                      </w14:solidFill>
                                    </w14:textFill>
                                  </w:rPr>
                                  <w:t>LUD3263、LUD3272、LUD3273、LUD3274、LUD3275、LUD3282、LUD3283、LUD3284、LUD3285、LUD3286、LUD3292、LUD3293、LUD3294、LUD3295、LUD3302、LUD3303、LUD3304、LUD3305、LUD3312、LUD3313、LUD3314、LUD3315、LUD3323、LUD3324、LUD3325、LUD3332、LUD3333、LUD3334</w:t>
                                </w:r>
                                <w:r>
                                  <w:rPr>
                                    <w:rFonts w:ascii="Times New Roman" w:hAnsi="Times New Roman" w:cs="Times New Roman"/>
                                  </w:rPr>
                                  <w:t>采油井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0" name="文本框 31"/>
                          <wps:cNvSpPr txBox="1"/>
                          <wps:spPr>
                            <a:xfrm>
                              <a:off x="7529" y="846971"/>
                              <a:ext cx="1825" cy="40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陆梁集中处理站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5" name="文本框 32"/>
                          <wps:cNvSpPr txBox="1"/>
                          <wps:spPr>
                            <a:xfrm>
                              <a:off x="5347" y="846983"/>
                              <a:ext cx="1000" cy="40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计量站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6" name="直接箭头连接符 33"/>
                          <wps:cNvCnPr>
                            <a:stCxn id="263" idx="3"/>
                            <a:endCxn id="265" idx="1"/>
                          </wps:cNvCnPr>
                          <wps:spPr>
                            <a:xfrm flipV="1">
                              <a:off x="4145" y="847184"/>
                              <a:ext cx="1202" cy="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91" name="直接箭头连接符 34"/>
                          <wps:cNvCnPr>
                            <a:stCxn id="265" idx="3"/>
                            <a:endCxn id="290" idx="1"/>
                          </wps:cNvCnPr>
                          <wps:spPr>
                            <a:xfrm flipV="1">
                              <a:off x="6347" y="847172"/>
                              <a:ext cx="1182" cy="12"/>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69" name="文本框 36"/>
                          <wps:cNvSpPr txBox="1"/>
                          <wps:spPr>
                            <a:xfrm>
                              <a:off x="4203" y="846804"/>
                              <a:ext cx="1176" cy="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ascii="Times New Roman" w:hAnsi="Times New Roman" w:cs="Times New Roman"/>
                                  </w:rPr>
                                  <w:t>采出液</w:t>
                                </w:r>
                              </w:p>
                              <w:p>
                                <w:pPr>
                                  <w:rPr>
                                    <w:rFonts w:ascii="Times New Roman" w:hAnsi="Times New Roman" w:cs="Times New Roman"/>
                                  </w:rPr>
                                </w:pPr>
                                <w:r>
                                  <w:rPr>
                                    <w:rFonts w:hint="eastAsia" w:ascii="Times New Roman" w:hAnsi="Times New Roman" w:cs="Times New Roman"/>
                                  </w:rPr>
                                  <w:t>密闭集输</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92" name="文本框 36"/>
                        <wps:cNvSpPr txBox="1"/>
                        <wps:spPr>
                          <a:xfrm>
                            <a:off x="6967" y="2215289"/>
                            <a:ext cx="1227"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ascii="Times New Roman" w:hAnsi="Times New Roman" w:cs="Times New Roman"/>
                                </w:rPr>
                                <w:t>采出液</w:t>
                              </w:r>
                            </w:p>
                            <w:p>
                              <w:pPr>
                                <w:rPr>
                                  <w:rFonts w:ascii="Times New Roman" w:hAnsi="Times New Roman" w:cs="Times New Roman"/>
                                </w:rPr>
                              </w:pPr>
                              <w:r>
                                <w:rPr>
                                  <w:rFonts w:hint="eastAsia" w:ascii="Times New Roman" w:hAnsi="Times New Roman" w:cs="Times New Roman"/>
                                </w:rPr>
                                <w:t>密闭集输</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pt;margin-top:5.35pt;height:231.15pt;width:401.95pt;z-index:251669504;mso-width-relative:page;mso-height-relative:page;" coordorigin="1953,2213370" coordsize="8039,4623" o:gfxdata="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">
                <o:lock v:ext="edit" aspectratio="f"/>
                <v:group id="组合 262" o:spid="_x0000_s1026" o:spt="203" style="position:absolute;left:1953;top:2213370;height:4623;width:8039;" coordorigin="1315,844877" coordsize="8039,4623"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文本框 30" o:spid="_x0000_s1026" o:spt="202" type="#_x0000_t202" style="position:absolute;left:1315;top:844877;height:4623;width:2830;" fillcolor="#FFFFFF [3201]" filled="t" stroked="t" coordsize="21600,21600" o:gfxdata="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wMn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rPr>
                              <w:rFonts w:ascii="Times New Roman" w:hAnsi="Times New Roman" w:cs="Times New Roman"/>
                            </w:rPr>
                          </w:pPr>
                          <w:r>
                            <w:rPr>
                              <w:rFonts w:ascii="Times New Roman" w:hAnsi="Times New Roman" w:eastAsia="宋体" w:cs="Times New Roman"/>
                              <w:color w:val="000000" w:themeColor="text1"/>
                              <w:kern w:val="0"/>
                              <w:szCs w:val="21"/>
                              <w:lang w:bidi="ar"/>
                              <w14:textFill>
                                <w14:solidFill>
                                  <w14:schemeClr w14:val="tx1"/>
                                </w14:solidFill>
                              </w14:textFill>
                            </w:rPr>
                            <w:t>LUD3263、LUD3272、LUD3273、LUD3274、LUD3275、LUD3282、LUD3283、LUD3284、LUD3285、LUD3286、LUD3292、LUD3293、LUD3294、LUD3295、LUD3302、LUD3303、LUD3304、LUD3305、LUD3312、LUD3313、LUD3314、LUD3315、LUD3323、LUD3324、LUD3325、LUD3332、LUD3333、LUD3334</w:t>
                          </w:r>
                          <w:r>
                            <w:rPr>
                              <w:rFonts w:ascii="Times New Roman" w:hAnsi="Times New Roman" w:cs="Times New Roman"/>
                            </w:rPr>
                            <w:t>采油井</w:t>
                          </w:r>
                        </w:p>
                      </w:txbxContent>
                    </v:textbox>
                  </v:shape>
                  <v:shape id="文本框 31" o:spid="_x0000_s1026" o:spt="202" type="#_x0000_t202" style="position:absolute;left:7529;top:846971;height:401;width:1825;" fillcolor="#FFFFFF [3201]" filled="t" stroked="t" coordsize="21600,21600" o:gfxdata="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4viz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r>
                            <w:rPr>
                              <w:rFonts w:hint="eastAsia"/>
                            </w:rPr>
                            <w:t>陆梁集中处理站</w:t>
                          </w:r>
                        </w:p>
                      </w:txbxContent>
                    </v:textbox>
                  </v:shape>
                  <v:shape id="文本框 32" o:spid="_x0000_s1026" o:spt="202" type="#_x0000_t202" style="position:absolute;left:5347;top:846983;height:401;width:1000;" fillcolor="#FFFFFF [3201]" filled="t" stroked="t" coordsize="21600,21600" o:gfxdata="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pMX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r>
                            <w:rPr>
                              <w:rFonts w:hint="eastAsia"/>
                            </w:rPr>
                            <w:t>计量站</w:t>
                          </w:r>
                        </w:p>
                      </w:txbxContent>
                    </v:textbox>
                  </v:shape>
                  <v:shape id="直接箭头连接符 33" o:spid="_x0000_s1026" o:spt="32" type="#_x0000_t32" style="position:absolute;left:4145;top:847184;flip:y;height:5;width:1202;" filled="f" stroked="t" coordsize="21600,21600" o:gfxdata="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5iW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34" o:spid="_x0000_s1026" o:spt="32" type="#_x0000_t32" style="position:absolute;left:6347;top:847172;flip:y;height:12;width:1182;" filled="f" stroked="t" coordsize="21600,21600" o:gfxdata="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b3DF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文本框 36" o:spid="_x0000_s1026" o:spt="202" type="#_x0000_t202" style="position:absolute;left:4203;top:846804;height:790;width:1176;" filled="f" stroked="f" coordsize="21600,21600" o:gfxdata="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KI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rPr>
                          </w:pPr>
                          <w:r>
                            <w:rPr>
                              <w:rFonts w:ascii="Times New Roman" w:hAnsi="Times New Roman" w:cs="Times New Roman"/>
                            </w:rPr>
                            <w:t>采出液</w:t>
                          </w:r>
                        </w:p>
                        <w:p>
                          <w:pPr>
                            <w:rPr>
                              <w:rFonts w:ascii="Times New Roman" w:hAnsi="Times New Roman" w:cs="Times New Roman"/>
                            </w:rPr>
                          </w:pPr>
                          <w:r>
                            <w:rPr>
                              <w:rFonts w:hint="eastAsia" w:ascii="Times New Roman" w:hAnsi="Times New Roman" w:cs="Times New Roman"/>
                            </w:rPr>
                            <w:t>密闭集输</w:t>
                          </w:r>
                        </w:p>
                      </w:txbxContent>
                    </v:textbox>
                  </v:shape>
                </v:group>
                <v:shape id="文本框 36" o:spid="_x0000_s1026" o:spt="202" type="#_x0000_t202" style="position:absolute;left:6967;top:2215289;height:778;width:1227;" filled="f" stroked="f" coordsize="21600,21600" o:gfxdata="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e8K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cs="Times New Roman"/>
                          </w:rPr>
                        </w:pPr>
                        <w:r>
                          <w:rPr>
                            <w:rFonts w:ascii="Times New Roman" w:hAnsi="Times New Roman" w:cs="Times New Roman"/>
                          </w:rPr>
                          <w:t>采出液</w:t>
                        </w:r>
                      </w:p>
                      <w:p>
                        <w:pPr>
                          <w:rPr>
                            <w:rFonts w:ascii="Times New Roman" w:hAnsi="Times New Roman" w:cs="Times New Roman"/>
                          </w:rPr>
                        </w:pPr>
                        <w:r>
                          <w:rPr>
                            <w:rFonts w:hint="eastAsia" w:ascii="Times New Roman" w:hAnsi="Times New Roman" w:cs="Times New Roman"/>
                          </w:rPr>
                          <w:t>密闭集输</w:t>
                        </w:r>
                      </w:p>
                    </w:txbxContent>
                  </v:textbox>
                </v:shape>
              </v:group>
            </w:pict>
          </mc:Fallback>
        </mc:AlternateContent>
      </w:r>
    </w:p>
    <w:p>
      <w:pPr>
        <w:pStyle w:val="31"/>
        <w:rPr>
          <w:rFonts w:ascii="Times New Roman" w:hAnsi="Times New Roman"/>
          <w:b/>
          <w:bCs/>
          <w:color w:val="000000" w:themeColor="text1"/>
          <w:sz w:val="21"/>
          <w:szCs w:val="21"/>
          <w14:textFill>
            <w14:solidFill>
              <w14:schemeClr w14:val="tx1"/>
            </w14:solidFill>
          </w14:textFill>
        </w:rPr>
      </w:pPr>
    </w:p>
    <w:p>
      <w:pPr>
        <w:pStyle w:val="31"/>
        <w:rPr>
          <w:rFonts w:ascii="Times New Roman" w:hAnsi="Times New Roman"/>
          <w:b/>
          <w:bCs/>
          <w:color w:val="000000" w:themeColor="text1"/>
          <w:sz w:val="21"/>
          <w:szCs w:val="21"/>
          <w14:textFill>
            <w14:solidFill>
              <w14:schemeClr w14:val="tx1"/>
            </w14:solidFill>
          </w14:textFill>
        </w:rPr>
      </w:pPr>
    </w:p>
    <w:p>
      <w:pPr>
        <w:pStyle w:val="31"/>
        <w:rPr>
          <w:rFonts w:ascii="Times New Roman" w:hAnsi="Times New Roman"/>
          <w:b/>
          <w:bCs/>
          <w:color w:val="000000" w:themeColor="text1"/>
          <w:sz w:val="21"/>
          <w:szCs w:val="21"/>
          <w14:textFill>
            <w14:solidFill>
              <w14:schemeClr w14:val="tx1"/>
            </w14:solidFill>
          </w14:textFill>
        </w:rPr>
      </w:pPr>
    </w:p>
    <w:p>
      <w:pPr>
        <w:pStyle w:val="65"/>
        <w:rPr>
          <w:snapToGrid/>
          <w:color w:val="000000" w:themeColor="text1"/>
          <w:kern w:val="2"/>
          <w:szCs w:val="21"/>
          <w14:textFill>
            <w14:solidFill>
              <w14:schemeClr w14:val="tx1"/>
            </w14:solidFill>
          </w14:textFill>
        </w:rPr>
      </w:pPr>
    </w:p>
    <w:p>
      <w:pPr>
        <w:pStyle w:val="65"/>
        <w:rPr>
          <w:snapToGrid/>
          <w:color w:val="000000" w:themeColor="text1"/>
          <w:kern w:val="2"/>
          <w:szCs w:val="21"/>
          <w14:textFill>
            <w14:solidFill>
              <w14:schemeClr w14:val="tx1"/>
            </w14:solidFill>
          </w14:textFill>
        </w:rPr>
      </w:pPr>
    </w:p>
    <w:p>
      <w:pPr>
        <w:pStyle w:val="65"/>
        <w:rPr>
          <w:snapToGrid/>
          <w:color w:val="000000" w:themeColor="text1"/>
          <w:kern w:val="2"/>
          <w:szCs w:val="21"/>
          <w14:textFill>
            <w14:solidFill>
              <w14:schemeClr w14:val="tx1"/>
            </w14:solidFill>
          </w14:textFill>
        </w:rPr>
      </w:pPr>
    </w:p>
    <w:p>
      <w:pPr>
        <w:pStyle w:val="65"/>
        <w:rPr>
          <w:snapToGrid/>
          <w:color w:val="000000" w:themeColor="text1"/>
          <w:kern w:val="2"/>
          <w:szCs w:val="21"/>
          <w14:textFill>
            <w14:solidFill>
              <w14:schemeClr w14:val="tx1"/>
            </w14:solidFill>
          </w14:textFill>
        </w:rPr>
      </w:pPr>
    </w:p>
    <w:p>
      <w:pPr>
        <w:pStyle w:val="65"/>
        <w:rPr>
          <w:snapToGrid/>
          <w:color w:val="000000" w:themeColor="text1"/>
          <w:kern w:val="2"/>
          <w:szCs w:val="21"/>
          <w14:textFill>
            <w14:solidFill>
              <w14:schemeClr w14:val="tx1"/>
            </w14:solidFill>
          </w14:textFill>
        </w:rPr>
      </w:pPr>
    </w:p>
    <w:p>
      <w:pPr>
        <w:pStyle w:val="65"/>
        <w:rPr>
          <w:snapToGrid/>
          <w:color w:val="000000" w:themeColor="text1"/>
          <w:kern w:val="2"/>
          <w:szCs w:val="21"/>
          <w14:textFill>
            <w14:solidFill>
              <w14:schemeClr w14:val="tx1"/>
            </w14:solidFill>
          </w14:textFill>
        </w:rPr>
      </w:pPr>
    </w:p>
    <w:p>
      <w:pPr>
        <w:pStyle w:val="65"/>
        <w:rPr>
          <w:snapToGrid/>
          <w:color w:val="000000" w:themeColor="text1"/>
          <w:kern w:val="2"/>
          <w:szCs w:val="21"/>
          <w14:textFill>
            <w14:solidFill>
              <w14:schemeClr w14:val="tx1"/>
            </w14:solidFill>
          </w14:textFill>
        </w:rPr>
      </w:pPr>
    </w:p>
    <w:p>
      <w:pPr>
        <w:pStyle w:val="65"/>
        <w:rPr>
          <w:snapToGrid/>
          <w:color w:val="000000" w:themeColor="text1"/>
          <w:kern w:val="2"/>
          <w:szCs w:val="21"/>
          <w14:textFill>
            <w14:solidFill>
              <w14:schemeClr w14:val="tx1"/>
            </w14:solidFill>
          </w14:textFill>
        </w:rPr>
      </w:pPr>
      <w:r>
        <w:rPr>
          <w:snapToGrid/>
          <w:color w:val="000000" w:themeColor="text1"/>
          <w:kern w:val="2"/>
          <w:szCs w:val="21"/>
          <w14:textFill>
            <w14:solidFill>
              <w14:schemeClr w14:val="tx1"/>
            </w14:solidFill>
          </w14:textFill>
        </w:rPr>
        <w:t>图3.7-</w:t>
      </w:r>
      <w:r>
        <w:rPr>
          <w:rFonts w:hint="eastAsia"/>
          <w:snapToGrid/>
          <w:color w:val="000000" w:themeColor="text1"/>
          <w:kern w:val="2"/>
          <w:szCs w:val="21"/>
          <w:lang w:val="en-US" w:eastAsia="zh-CN"/>
          <w14:textFill>
            <w14:solidFill>
              <w14:schemeClr w14:val="tx1"/>
            </w14:solidFill>
          </w14:textFill>
        </w:rPr>
        <w:t>6</w:t>
      </w:r>
      <w:r>
        <w:rPr>
          <w:snapToGrid/>
          <w:color w:val="000000" w:themeColor="text1"/>
          <w:kern w:val="2"/>
          <w:szCs w:val="21"/>
          <w14:textFill>
            <w14:solidFill>
              <w14:schemeClr w14:val="tx1"/>
            </w14:solidFill>
          </w14:textFill>
        </w:rPr>
        <w:t xml:space="preserve">  集输工艺流程图</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3.7.4.3回注工艺</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本项目运营期注水工艺流程描述如下：陆梁注水站的水管输至计量配水间，来水经过单井注水管道注入井口，注水井口设保温盒，保温盒内单井注水管道设止回阀，防止高压水倒流。</w:t>
      </w:r>
      <w:r>
        <w:rPr>
          <w:rFonts w:ascii="Times New Roman" w:hAnsi="Times New Roman" w:cs="Times New Roman"/>
          <w:color w:val="000000" w:themeColor="text1"/>
          <w:sz w:val="24"/>
          <w14:textFill>
            <w14:solidFill>
              <w14:schemeClr w14:val="tx1"/>
            </w14:solidFill>
          </w14:textFill>
        </w:rPr>
        <w:t>本项目注水工艺见图3.7-</w:t>
      </w:r>
      <w:r>
        <w:rPr>
          <w:rFonts w:hint="eastAsia" w:ascii="Times New Roman" w:hAnsi="Times New Roman" w:cs="Times New Roman"/>
          <w:color w:val="000000" w:themeColor="text1"/>
          <w:sz w:val="24"/>
          <w:lang w:val="en-US" w:eastAsia="zh-CN"/>
          <w14:textFill>
            <w14:solidFill>
              <w14:schemeClr w14:val="tx1"/>
            </w14:solidFill>
          </w14:textFill>
        </w:rPr>
        <w:t>7</w:t>
      </w:r>
      <w:r>
        <w:rPr>
          <w:rFonts w:ascii="Times New Roman" w:hAnsi="Times New Roman" w:cs="Times New Roman"/>
          <w:color w:val="000000" w:themeColor="text1"/>
          <w:sz w:val="24"/>
          <w14:textFill>
            <w14:solidFill>
              <w14:schemeClr w14:val="tx1"/>
            </w14:solidFill>
          </w14:textFill>
        </w:rPr>
        <w:t>。</w:t>
      </w:r>
    </w:p>
    <w:p>
      <w:pPr>
        <w:spacing w:line="360" w:lineRule="auto"/>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mc:AlternateContent>
          <mc:Choice Requires="wpg">
            <w:drawing>
              <wp:anchor distT="0" distB="0" distL="114300" distR="114300" simplePos="0" relativeHeight="251670528" behindDoc="0" locked="0" layoutInCell="1" allowOverlap="1">
                <wp:simplePos x="0" y="0"/>
                <wp:positionH relativeFrom="column">
                  <wp:posOffset>79375</wp:posOffset>
                </wp:positionH>
                <wp:positionV relativeFrom="paragraph">
                  <wp:posOffset>52705</wp:posOffset>
                </wp:positionV>
                <wp:extent cx="5141595" cy="839470"/>
                <wp:effectExtent l="4445" t="4445" r="16510" b="13335"/>
                <wp:wrapNone/>
                <wp:docPr id="487" name="组合 487"/>
                <wp:cNvGraphicFramePr/>
                <a:graphic xmlns:a="http://schemas.openxmlformats.org/drawingml/2006/main">
                  <a:graphicData uri="http://schemas.microsoft.com/office/word/2010/wordprocessingGroup">
                    <wpg:wgp>
                      <wpg:cNvGrpSpPr/>
                      <wpg:grpSpPr>
                        <a:xfrm>
                          <a:off x="0" y="0"/>
                          <a:ext cx="5141595" cy="839470"/>
                          <a:chOff x="2125" y="2213315"/>
                          <a:chExt cx="8097" cy="1322"/>
                        </a:xfrm>
                      </wpg:grpSpPr>
                      <wpg:grpSp>
                        <wpg:cNvPr id="488" name="组合 262"/>
                        <wpg:cNvGrpSpPr/>
                        <wpg:grpSpPr>
                          <a:xfrm>
                            <a:off x="2125" y="2213315"/>
                            <a:ext cx="8097" cy="1322"/>
                            <a:chOff x="1487" y="844822"/>
                            <a:chExt cx="8097" cy="1322"/>
                          </a:xfrm>
                        </wpg:grpSpPr>
                        <wps:wsp>
                          <wps:cNvPr id="489" name="文本框 30"/>
                          <wps:cNvSpPr txBox="1"/>
                          <wps:spPr>
                            <a:xfrm>
                              <a:off x="1487" y="845263"/>
                              <a:ext cx="1396" cy="42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hint="eastAsia" w:ascii="Times New Roman" w:hAnsi="Times New Roman" w:eastAsia="宋体" w:cs="Times New Roman"/>
                                    <w:color w:val="000000"/>
                                    <w:kern w:val="0"/>
                                    <w:szCs w:val="21"/>
                                    <w:lang w:bidi="ar"/>
                                  </w:rPr>
                                  <w:t>陆梁注水站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0" name="文本框 31"/>
                          <wps:cNvSpPr txBox="1"/>
                          <wps:spPr>
                            <a:xfrm>
                              <a:off x="6757" y="844822"/>
                              <a:ext cx="2827" cy="132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LU3053、LU3073、LU3075、LU3093、LU3095、LU3113、LU3115、LU3133、LU3135</w:t>
                                </w:r>
                                <w:r>
                                  <w:rPr>
                                    <w:rFonts w:hint="eastAsia" w:ascii="Times New Roman" w:hAnsi="Times New Roman" w:eastAsia="宋体" w:cs="Times New Roman"/>
                                    <w:color w:val="000000"/>
                                    <w:kern w:val="0"/>
                                    <w:szCs w:val="21"/>
                                    <w:lang w:bidi="ar"/>
                                  </w:rPr>
                                  <w:t>注水井</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1" name="文本框 32"/>
                          <wps:cNvSpPr txBox="1"/>
                          <wps:spPr>
                            <a:xfrm>
                              <a:off x="4078" y="845280"/>
                              <a:ext cx="1488" cy="40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计量配水站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2" name="直接箭头连接符 33"/>
                          <wps:cNvCnPr>
                            <a:stCxn id="489" idx="3"/>
                            <a:endCxn id="491" idx="1"/>
                          </wps:cNvCnPr>
                          <wps:spPr>
                            <a:xfrm>
                              <a:off x="2883" y="845477"/>
                              <a:ext cx="1195" cy="4"/>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93" name="直接箭头连接符 34"/>
                          <wps:cNvCnPr>
                            <a:stCxn id="491" idx="3"/>
                            <a:endCxn id="490" idx="1"/>
                          </wps:cNvCnPr>
                          <wps:spPr>
                            <a:xfrm>
                              <a:off x="5566" y="845481"/>
                              <a:ext cx="1191" cy="2"/>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94" name="文本框 36"/>
                          <wps:cNvSpPr txBox="1"/>
                          <wps:spPr>
                            <a:xfrm>
                              <a:off x="2849" y="845092"/>
                              <a:ext cx="1162" cy="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hint="eastAsia" w:ascii="Times New Roman" w:hAnsi="Times New Roman" w:cs="Times New Roman"/>
                                  </w:rPr>
                                  <w:t>回注水</w:t>
                                </w:r>
                              </w:p>
                              <w:p>
                                <w:pPr>
                                  <w:rPr>
                                    <w:rFonts w:ascii="Times New Roman" w:hAnsi="Times New Roman" w:cs="Times New Roman"/>
                                  </w:rPr>
                                </w:pPr>
                                <w:r>
                                  <w:rPr>
                                    <w:rFonts w:hint="eastAsia" w:ascii="Times New Roman" w:hAnsi="Times New Roman" w:cs="Times New Roman"/>
                                  </w:rPr>
                                  <w:t>密闭集输</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95" name="文本框 36"/>
                        <wps:cNvSpPr txBox="1"/>
                        <wps:spPr>
                          <a:xfrm>
                            <a:off x="6195" y="2213586"/>
                            <a:ext cx="1227"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hint="eastAsia" w:ascii="Times New Roman" w:hAnsi="Times New Roman" w:cs="Times New Roman"/>
                                </w:rPr>
                                <w:t>回注水</w:t>
                              </w:r>
                            </w:p>
                            <w:p>
                              <w:pPr>
                                <w:rPr>
                                  <w:rFonts w:ascii="Times New Roman" w:hAnsi="Times New Roman" w:cs="Times New Roman"/>
                                </w:rPr>
                              </w:pPr>
                              <w:r>
                                <w:rPr>
                                  <w:rFonts w:hint="eastAsia" w:ascii="Times New Roman" w:hAnsi="Times New Roman" w:cs="Times New Roman"/>
                                </w:rPr>
                                <w:t>密闭集输</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25pt;margin-top:4.15pt;height:66.1pt;width:404.85pt;z-index:251670528;mso-width-relative:page;mso-height-relative:page;" coordorigin="2125,2213315" coordsize="8097,1322" o:gfxdata="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">
                <o:lock v:ext="edit" aspectratio="f"/>
                <v:group id="组合 262" o:spid="_x0000_s1026" o:spt="203" style="position:absolute;left:2125;top:2213315;height:1322;width:8097;" coordorigin="1487,844822" coordsize="8097,1322"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shape id="文本框 30" o:spid="_x0000_s1026" o:spt="202" type="#_x0000_t202" style="position:absolute;left:1487;top:845263;height:427;width:1396;" fillcolor="#FFFFFF [3201]" filled="t" stroked="t" coordsize="21600,21600" o:gfxdata="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SMfd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rPr>
                              <w:rFonts w:ascii="Times New Roman" w:hAnsi="Times New Roman" w:cs="Times New Roman"/>
                            </w:rPr>
                          </w:pPr>
                          <w:r>
                            <w:rPr>
                              <w:rFonts w:hint="eastAsia" w:ascii="Times New Roman" w:hAnsi="Times New Roman" w:eastAsia="宋体" w:cs="Times New Roman"/>
                              <w:color w:val="000000"/>
                              <w:kern w:val="0"/>
                              <w:szCs w:val="21"/>
                              <w:lang w:bidi="ar"/>
                            </w:rPr>
                            <w:t>陆梁注水站</w:t>
                          </w:r>
                        </w:p>
                      </w:txbxContent>
                    </v:textbox>
                  </v:shape>
                  <v:shape id="文本框 31" o:spid="_x0000_s1026" o:spt="202" type="#_x0000_t202" style="position:absolute;left:6757;top:844822;height:1322;width:2827;" fillcolor="#FFFFFF [3201]" filled="t" stroked="t" coordsize="21600,21600" o:gfxdata="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cAgN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LU3053、LU3073、LU3075、LU3093、LU3095、LU3113、LU3115、LU3133、LU3135</w:t>
                          </w:r>
                          <w:r>
                            <w:rPr>
                              <w:rFonts w:hint="eastAsia" w:ascii="Times New Roman" w:hAnsi="Times New Roman" w:eastAsia="宋体" w:cs="Times New Roman"/>
                              <w:color w:val="000000"/>
                              <w:kern w:val="0"/>
                              <w:szCs w:val="21"/>
                              <w:lang w:bidi="ar"/>
                            </w:rPr>
                            <w:t>注水井</w:t>
                          </w:r>
                        </w:p>
                        <w:p/>
                      </w:txbxContent>
                    </v:textbox>
                  </v:shape>
                  <v:shape id="文本框 32" o:spid="_x0000_s1026" o:spt="202" type="#_x0000_t202" style="position:absolute;left:4078;top:845280;height:401;width:1488;" fillcolor="#FFFFFF [3201]" filled="t" stroked="t" coordsize="21600,21600" o:gfxdata="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yFr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r>
                            <w:rPr>
                              <w:rFonts w:hint="eastAsia"/>
                            </w:rPr>
                            <w:t>计量配水站</w:t>
                          </w:r>
                        </w:p>
                      </w:txbxContent>
                    </v:textbox>
                  </v:shape>
                  <v:shape id="直接箭头连接符 33" o:spid="_x0000_s1026" o:spt="32" type="#_x0000_t32" style="position:absolute;left:2883;top:845477;height:4;width:1195;" filled="f" stroked="t" coordsize="21600,21600" o:gfxdata="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9dmW/&#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34" o:spid="_x0000_s1026" o:spt="32" type="#_x0000_t32" style="position:absolute;left:5566;top:845481;height:2;width:1191;" filled="f" stroked="t" coordsize="21600,21600" o:gfxdata="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x0/6/&#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文本框 36" o:spid="_x0000_s1026" o:spt="202" type="#_x0000_t202" style="position:absolute;left:2849;top:845092;height:790;width:1162;" filled="f" stroked="f" coordsize="21600,21600" o:gfxdata="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U9&#10;j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cs="Times New Roman"/>
                            </w:rPr>
                          </w:pPr>
                          <w:r>
                            <w:rPr>
                              <w:rFonts w:hint="eastAsia" w:ascii="Times New Roman" w:hAnsi="Times New Roman" w:cs="Times New Roman"/>
                            </w:rPr>
                            <w:t>回注水</w:t>
                          </w:r>
                        </w:p>
                        <w:p>
                          <w:pPr>
                            <w:rPr>
                              <w:rFonts w:ascii="Times New Roman" w:hAnsi="Times New Roman" w:cs="Times New Roman"/>
                            </w:rPr>
                          </w:pPr>
                          <w:r>
                            <w:rPr>
                              <w:rFonts w:hint="eastAsia" w:ascii="Times New Roman" w:hAnsi="Times New Roman" w:cs="Times New Roman"/>
                            </w:rPr>
                            <w:t>密闭集输</w:t>
                          </w:r>
                        </w:p>
                      </w:txbxContent>
                    </v:textbox>
                  </v:shape>
                </v:group>
                <v:shape id="文本框 36" o:spid="_x0000_s1026" o:spt="202" type="#_x0000_t202" style="position:absolute;left:6195;top:2213586;height:778;width:1227;" filled="f" stroked="f" coordsize="21600,21600" o:gfxdata="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ZmB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rPr>
                        </w:pPr>
                        <w:r>
                          <w:rPr>
                            <w:rFonts w:hint="eastAsia" w:ascii="Times New Roman" w:hAnsi="Times New Roman" w:cs="Times New Roman"/>
                          </w:rPr>
                          <w:t>回注水</w:t>
                        </w:r>
                      </w:p>
                      <w:p>
                        <w:pPr>
                          <w:rPr>
                            <w:rFonts w:ascii="Times New Roman" w:hAnsi="Times New Roman" w:cs="Times New Roman"/>
                          </w:rPr>
                        </w:pPr>
                        <w:r>
                          <w:rPr>
                            <w:rFonts w:hint="eastAsia" w:ascii="Times New Roman" w:hAnsi="Times New Roman" w:cs="Times New Roman"/>
                          </w:rPr>
                          <w:t>密闭集输</w:t>
                        </w:r>
                      </w:p>
                    </w:txbxContent>
                  </v:textbox>
                </v:shape>
              </v:group>
            </w:pict>
          </mc:Fallback>
        </mc:AlternateContent>
      </w:r>
    </w:p>
    <w:p>
      <w:pPr>
        <w:rPr>
          <w:rFonts w:ascii="Times New Roman" w:hAnsi="Times New Roman" w:eastAsia="宋体" w:cs="Times New Roman"/>
          <w:color w:val="000000" w:themeColor="text1"/>
          <w:kern w:val="0"/>
          <w:szCs w:val="21"/>
          <w:lang w:bidi="ar"/>
          <w14:textFill>
            <w14:solidFill>
              <w14:schemeClr w14:val="tx1"/>
            </w14:solidFill>
          </w14:textFill>
        </w:rPr>
      </w:pPr>
    </w:p>
    <w:p>
      <w:pPr>
        <w:rPr>
          <w:rFonts w:ascii="Times New Roman" w:hAnsi="Times New Roman" w:eastAsia="宋体" w:cs="Times New Roman"/>
          <w:color w:val="000000" w:themeColor="text1"/>
          <w:kern w:val="0"/>
          <w:szCs w:val="21"/>
          <w:lang w:bidi="ar"/>
          <w14:textFill>
            <w14:solidFill>
              <w14:schemeClr w14:val="tx1"/>
            </w14:solidFill>
          </w14:textFill>
        </w:rPr>
      </w:pPr>
    </w:p>
    <w:p>
      <w:pPr>
        <w:pStyle w:val="65"/>
        <w:rPr>
          <w:snapToGrid/>
          <w:color w:val="000000" w:themeColor="text1"/>
          <w:kern w:val="2"/>
          <w:szCs w:val="21"/>
          <w14:textFill>
            <w14:solidFill>
              <w14:schemeClr w14:val="tx1"/>
            </w14:solidFill>
          </w14:textFill>
        </w:rPr>
      </w:pPr>
    </w:p>
    <w:p>
      <w:pPr>
        <w:pStyle w:val="65"/>
        <w:rPr>
          <w:snapToGrid/>
          <w:color w:val="000000" w:themeColor="text1"/>
          <w:kern w:val="2"/>
          <w:szCs w:val="21"/>
          <w14:textFill>
            <w14:solidFill>
              <w14:schemeClr w14:val="tx1"/>
            </w14:solidFill>
          </w14:textFill>
        </w:rPr>
      </w:pPr>
      <w:r>
        <w:rPr>
          <w:snapToGrid/>
          <w:color w:val="000000" w:themeColor="text1"/>
          <w:kern w:val="2"/>
          <w:szCs w:val="21"/>
          <w14:textFill>
            <w14:solidFill>
              <w14:schemeClr w14:val="tx1"/>
            </w14:solidFill>
          </w14:textFill>
        </w:rPr>
        <w:t>图3.7-</w:t>
      </w:r>
      <w:r>
        <w:rPr>
          <w:rFonts w:hint="eastAsia"/>
          <w:snapToGrid/>
          <w:color w:val="000000" w:themeColor="text1"/>
          <w:kern w:val="2"/>
          <w:szCs w:val="21"/>
          <w:lang w:val="en-US" w:eastAsia="zh-CN"/>
          <w14:textFill>
            <w14:solidFill>
              <w14:schemeClr w14:val="tx1"/>
            </w14:solidFill>
          </w14:textFill>
        </w:rPr>
        <w:t>7</w:t>
      </w:r>
      <w:r>
        <w:rPr>
          <w:snapToGrid/>
          <w:color w:val="000000" w:themeColor="text1"/>
          <w:kern w:val="2"/>
          <w:szCs w:val="21"/>
          <w14:textFill>
            <w14:solidFill>
              <w14:schemeClr w14:val="tx1"/>
            </w14:solidFill>
          </w14:textFill>
        </w:rPr>
        <w:t xml:space="preserve">  注水工艺流程图</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3.7.4.4井下作业</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井下作业主要包括维护性作业和措施性作业。</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维护性作业主要以井下故障维修和产能恢复为目的，从而恢复采油井产能、封堵无效层以及其他井下故障处理的过程。</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措施性作业主要包括压裂作业、改造、修井、洗井等，其主要作业环节基本相同，污染物主要为起管柱过程散落的少量落地油、刮削作业过程产生的含油污泥、烃类气体挥发，以及洗井环节产生的洗井废水。</w:t>
      </w:r>
    </w:p>
    <w:p>
      <w:pPr>
        <w:widowControl/>
        <w:spacing w:line="360" w:lineRule="auto"/>
        <w:ind w:firstLine="480" w:firstLineChars="200"/>
        <w:jc w:val="left"/>
        <w:rPr>
          <w:rFonts w:hint="default" w:ascii="Times New Roman" w:hAnsi="Times New Roman" w:eastAsia="宋体" w:cs="Times New Roman"/>
          <w:color w:val="000000" w:themeColor="text1"/>
          <w:spacing w:val="4"/>
          <w:sz w:val="24"/>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呼图壁河组</w:t>
      </w:r>
      <w:r>
        <w:rPr>
          <w:rFonts w:hint="default" w:ascii="Times New Roman" w:hAnsi="Times New Roman" w:eastAsia="宋体" w:cs="Times New Roman"/>
          <w:color w:val="000000" w:themeColor="text1"/>
          <w:sz w:val="24"/>
          <w:highlight w:val="none"/>
          <w14:textFill>
            <w14:solidFill>
              <w14:schemeClr w14:val="tx1"/>
            </w14:solidFill>
          </w14:textFill>
        </w:rPr>
        <w:t>K</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w:t>
      </w:r>
      <w:r>
        <w:rPr>
          <w:rFonts w:hint="default" w:ascii="Times New Roman" w:hAnsi="Times New Roman" w:eastAsia="宋体" w:cs="Times New Roman"/>
          <w:i/>
          <w:iCs/>
          <w:color w:val="000000" w:themeColor="text1"/>
          <w:sz w:val="24"/>
          <w:highlight w:val="none"/>
          <w14:textFill>
            <w14:solidFill>
              <w14:schemeClr w14:val="tx1"/>
            </w14:solidFill>
          </w14:textFill>
        </w:rPr>
        <w:t>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3-4</w:t>
      </w:r>
      <w:r>
        <w:rPr>
          <w:rFonts w:hint="default" w:ascii="Times New Roman" w:hAnsi="Times New Roman" w:eastAsia="宋体" w:cs="Times New Roman"/>
          <w:color w:val="000000" w:themeColor="text1"/>
          <w:spacing w:val="4"/>
          <w:sz w:val="24"/>
          <w:highlight w:val="none"/>
          <w14:textFill>
            <w14:solidFill>
              <w14:schemeClr w14:val="tx1"/>
            </w14:solidFill>
          </w14:textFill>
        </w:rPr>
        <w:t>渗透率平均</w:t>
      </w:r>
      <w:r>
        <w:rPr>
          <w:rFonts w:hint="default" w:ascii="Times New Roman" w:hAnsi="Times New Roman" w:eastAsia="宋体" w:cs="Times New Roman"/>
          <w:color w:val="000000" w:themeColor="text1"/>
          <w:spacing w:val="4"/>
          <w:sz w:val="24"/>
          <w:highlight w:val="none"/>
          <w:lang w:val="en-US" w:eastAsia="zh-CN"/>
          <w14:textFill>
            <w14:solidFill>
              <w14:schemeClr w14:val="tx1"/>
            </w14:solidFill>
          </w14:textFill>
        </w:rPr>
        <w:t>1801.9</w:t>
      </w:r>
      <w:r>
        <w:rPr>
          <w:rFonts w:hint="default" w:ascii="Times New Roman" w:hAnsi="Times New Roman" w:eastAsia="宋体" w:cs="Times New Roman"/>
          <w:color w:val="000000" w:themeColor="text1"/>
          <w:spacing w:val="4"/>
          <w:sz w:val="24"/>
          <w:highlight w:val="none"/>
          <w14:textFill>
            <w14:solidFill>
              <w14:schemeClr w14:val="tx1"/>
            </w14:solidFill>
          </w14:textFill>
        </w:rPr>
        <w:t>mD</w:t>
      </w:r>
      <w:r>
        <w:rPr>
          <w:rFonts w:hint="default" w:ascii="Times New Roman" w:hAnsi="Times New Roman" w:eastAsia="宋体" w:cs="Times New Roman"/>
          <w:color w:val="000000" w:themeColor="text1"/>
          <w:spacing w:val="4"/>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4"/>
          <w:highlight w:val="none"/>
          <w14:textFill>
            <w14:solidFill>
              <w14:schemeClr w14:val="tx1"/>
            </w14:solidFill>
          </w14:textFill>
        </w:rPr>
        <w:t>为</w:t>
      </w:r>
      <w:r>
        <w:rPr>
          <w:rFonts w:hint="default" w:ascii="Times New Roman" w:hAnsi="Times New Roman" w:eastAsia="宋体" w:cs="Times New Roman"/>
          <w:color w:val="000000" w:themeColor="text1"/>
          <w:spacing w:val="4"/>
          <w:sz w:val="24"/>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pacing w:val="4"/>
          <w:sz w:val="24"/>
          <w:highlight w:val="none"/>
          <w14:textFill>
            <w14:solidFill>
              <w14:schemeClr w14:val="tx1"/>
            </w14:solidFill>
          </w14:textFill>
        </w:rPr>
        <w:t>孔、</w:t>
      </w:r>
      <w:r>
        <w:rPr>
          <w:rFonts w:hint="default" w:ascii="Times New Roman" w:hAnsi="Times New Roman" w:eastAsia="宋体" w:cs="Times New Roman"/>
          <w:color w:val="000000" w:themeColor="text1"/>
          <w:spacing w:val="4"/>
          <w:sz w:val="24"/>
          <w:highlight w:val="none"/>
          <w:lang w:val="en-US" w:eastAsia="zh-CN"/>
          <w14:textFill>
            <w14:solidFill>
              <w14:schemeClr w14:val="tx1"/>
            </w14:solidFill>
          </w14:textFill>
        </w:rPr>
        <w:t>高</w:t>
      </w:r>
      <w:r>
        <w:rPr>
          <w:rFonts w:hint="default" w:ascii="Times New Roman" w:hAnsi="Times New Roman" w:eastAsia="宋体" w:cs="Times New Roman"/>
          <w:color w:val="000000" w:themeColor="text1"/>
          <w:spacing w:val="4"/>
          <w:sz w:val="24"/>
          <w:highlight w:val="none"/>
          <w14:textFill>
            <w14:solidFill>
              <w14:schemeClr w14:val="tx1"/>
            </w14:solidFill>
          </w14:textFill>
        </w:rPr>
        <w:t>渗</w:t>
      </w:r>
      <w:r>
        <w:rPr>
          <w:rFonts w:hint="default" w:ascii="Times New Roman" w:hAnsi="Times New Roman" w:eastAsia="宋体" w:cs="Times New Roman"/>
          <w:color w:val="000000" w:themeColor="text1"/>
          <w:spacing w:val="4"/>
          <w:sz w:val="24"/>
          <w14:textFill>
            <w14:solidFill>
              <w14:schemeClr w14:val="tx1"/>
            </w14:solidFill>
          </w14:textFill>
        </w:rPr>
        <w:t>储集层</w:t>
      </w:r>
      <w:r>
        <w:rPr>
          <w:rFonts w:hint="eastAsia" w:ascii="Times New Roman" w:hAnsi="Times New Roman" w:eastAsia="宋体" w:cs="Times New Roman"/>
          <w:color w:val="000000" w:themeColor="text1"/>
          <w:spacing w:val="4"/>
          <w:sz w:val="24"/>
          <w:lang w:eastAsia="zh-CN"/>
          <w14:textFill>
            <w14:solidFill>
              <w14:schemeClr w14:val="tx1"/>
            </w14:solidFill>
          </w14:textFill>
        </w:rPr>
        <w:t>，</w:t>
      </w:r>
      <w:r>
        <w:rPr>
          <w:rFonts w:hint="eastAsia" w:ascii="Times New Roman" w:hAnsi="Times New Roman" w:eastAsia="宋体" w:cs="Times New Roman"/>
          <w:color w:val="000000" w:themeColor="text1"/>
          <w:spacing w:val="4"/>
          <w:sz w:val="24"/>
          <w:lang w:val="en-US" w:eastAsia="zh-CN"/>
          <w14:textFill>
            <w14:solidFill>
              <w14:schemeClr w14:val="tx1"/>
            </w14:solidFill>
          </w14:textFill>
        </w:rPr>
        <w:t>无需进行压裂作业</w:t>
      </w:r>
      <w:r>
        <w:rPr>
          <w:rFonts w:hint="default" w:ascii="Times New Roman" w:hAnsi="Times New Roman" w:eastAsia="宋体" w:cs="Times New Roman"/>
          <w:color w:val="000000" w:themeColor="text1"/>
          <w:spacing w:val="4"/>
          <w:sz w:val="24"/>
          <w14:textFill>
            <w14:solidFill>
              <w14:schemeClr w14:val="tx1"/>
            </w14:solidFill>
          </w14:textFill>
        </w:rPr>
        <w:t>。</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3.7.4.5产污环节分析</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（1）废气</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本项目运营期产生大气污染物的主要环节为油气集输处理过程中挥发的无组织烃类气体和温室气体。</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（2）废水</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本项目运营期产生废水的主要环节为采出液在中心井场内进行油气水分离而产生的油田采出水、井下作业过程中产生的</w:t>
      </w:r>
      <w:r>
        <w:rPr>
          <w:rFonts w:hint="eastAsia" w:ascii="Times New Roman" w:hAnsi="Times New Roman" w:eastAsia="宋体" w:cs="Times New Roman"/>
          <w:color w:val="000000" w:themeColor="text1"/>
          <w:kern w:val="0"/>
          <w:sz w:val="24"/>
          <w:lang w:val="en-US" w:eastAsia="zh-CN" w:bidi="ar"/>
          <w14:textFill>
            <w14:solidFill>
              <w14:schemeClr w14:val="tx1"/>
            </w14:solidFill>
          </w14:textFill>
        </w:rPr>
        <w:t>井下作业废水</w:t>
      </w:r>
      <w:r>
        <w:rPr>
          <w:rFonts w:ascii="Times New Roman" w:hAnsi="Times New Roman" w:eastAsia="宋体" w:cs="Times New Roman"/>
          <w:color w:val="000000" w:themeColor="text1"/>
          <w:kern w:val="0"/>
          <w:sz w:val="24"/>
          <w:lang w:bidi="ar"/>
          <w14:textFill>
            <w14:solidFill>
              <w14:schemeClr w14:val="tx1"/>
            </w14:solidFill>
          </w14:textFill>
        </w:rPr>
        <w:t>、洗井液。</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（3）噪声</w:t>
      </w:r>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项目运营期噪声主要来自井场和井下作业设备的各类机泵等。</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（4）固废</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本项目运营期产生的固体废物主要包括生产过程中产生的危险废物；其中危险废物主要来自井下作业时产生的落地油、废防渗膜和含油污泥、各类机械设备更换下来的废润滑油及其清管废渣。</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3.7.5退役期主要工艺过程及产污环节</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运营期结束后进入闭井期，闭井期主要是井口封存、井场设备拆除、清理井场等过程，由于施工时间较短，施工人员无需驻场。</w:t>
      </w:r>
    </w:p>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3.7.5.1封井措施</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拟按照《废弃井及长停井处置指南》</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SY/T 6646-2017</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、中国石油天然气集团有限公司有关规定进行退役封井处置。</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封堵作业前进行压井，待井内液柱压力平衡后方可进行其他作业。注水泥塞施工时，井内的静液柱压力应大于地层压力。难以实现静态平衡的高压地层或漏失地层可采用桥塞、膨胀封隔器、水泥承留器等一些机械工具进行挤注水泥浆。</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（2）封井用水泥的选用和配制，应按《常规修井作业规程第14部分注塞、钻塞》（SY/T 5587.14-2013）的规定执行；低渗层储层可采用超细水泥。</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低压井在油层套管水泥返高以下、最上部油层射孔井段以上200m内，注50m长的水泥塞；然后在距井口深度200m以内注50m长的水泥塞封井；高压井在油层套管水泥返高以下、最上部油层射孔井段以上200m内先打高压桥塞，再在桥塞上注50m长的水泥塞，最后在距井口深度200m以内注50m长的水泥塞封井。</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（4）周边存在注采井干扰的废弃井封固前，应暂停周边干扰井的生产或注水等作业，待地层压力稳定后，对可能存在井间干扰的层位进行挤注封堵。</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（5）封井后进行试压，符合标准后进行其他作业。</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（6）已封堵的井口套管接头应露出地面，并用厚度不低于5mm的圆形钢板焊牢，钢板上面应用焊痕标注井号和封堵日期。按照油田相关要求统一做好标识，并记录存档。</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（7）建立报废井档案。每年至少巡检1次，并记录巡井资料。</w:t>
      </w:r>
    </w:p>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3.7.5.2设备清洗</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报废管线清洗后，采用盲板进行封堵，原地弃置不挖出。为减轻废弃管线处置对周边环境的不利影响，管段均在停输后泵入热水，实现输送介质回收及管壁清洗，清洗废水输送至或由密闭罐车拉运至附近站场采出水处理系统进行集中处理。</w:t>
      </w:r>
    </w:p>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3.7.5.3设备拆除</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清洗完成后，将地面设施拆除并清理井场，废弃设备和建筑垃圾，应集中清理收集，其中废弃设备等设施按照资产报废程序由中石油新疆油田分公司物资管理部门统一处理，其余不能回收的外运至市政部门指定地点，由环卫部门处置。地面设施拆除、井场清理等工作过程中产生的落地油等危险废物，直接</w:t>
      </w:r>
      <w:r>
        <w:rPr>
          <w:rFonts w:hint="eastAsia" w:ascii="Times New Roman" w:hAnsi="Times New Roman" w:cs="Times New Roman"/>
          <w:color w:val="000000" w:themeColor="text1"/>
          <w:sz w:val="24"/>
          <w14:textFill>
            <w14:solidFill>
              <w14:schemeClr w14:val="tx1"/>
            </w14:solidFill>
          </w14:textFill>
        </w:rPr>
        <w:t>由</w:t>
      </w:r>
      <w:r>
        <w:rPr>
          <w:rFonts w:ascii="Times New Roman" w:hAnsi="Times New Roman" w:cs="Times New Roman"/>
          <w:color w:val="000000" w:themeColor="text1"/>
          <w:sz w:val="24"/>
          <w14:textFill>
            <w14:solidFill>
              <w14:schemeClr w14:val="tx1"/>
            </w14:solidFill>
          </w14:textFill>
        </w:rPr>
        <w:t>具备危险废物处理资质的单位拉运并进行无害化处理。</w:t>
      </w:r>
    </w:p>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3.7.5.4场地清理及修复</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设备搬迁后，井场内污染物应得到妥善处理，做到工完、料净、场地清。最后按照《土地复垦条例》（2011年3月5日）要求，将占地恢复原貌。</w:t>
      </w:r>
    </w:p>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3.7.5.5产污环节分析</w:t>
      </w:r>
    </w:p>
    <w:p>
      <w:pPr>
        <w:pStyle w:val="25"/>
        <w:spacing w:line="360" w:lineRule="auto"/>
        <w:ind w:firstLine="480" w:firstLineChars="200"/>
        <w:jc w:val="left"/>
        <w:rPr>
          <w:rFonts w:ascii="Times New Roman" w:hAnsi="Times New Roman" w:cs="Times New Roman"/>
          <w:b w:val="0"/>
          <w:color w:val="000000" w:themeColor="text1"/>
          <w14:textFill>
            <w14:solidFill>
              <w14:schemeClr w14:val="tx1"/>
            </w14:solidFill>
          </w14:textFill>
        </w:rPr>
      </w:pPr>
      <w:r>
        <w:rPr>
          <w:rFonts w:ascii="Times New Roman" w:hAnsi="Times New Roman" w:eastAsia="宋体" w:cs="Times New Roman"/>
          <w:b w:val="0"/>
          <w:color w:val="000000" w:themeColor="text1"/>
          <w14:textFill>
            <w14:solidFill>
              <w14:schemeClr w14:val="tx1"/>
            </w14:solidFill>
          </w14:textFill>
        </w:rPr>
        <w:t>退役期产生的污染主要为井场设备的拆除、井口封堵、井场清理等过程中施工机械废气、施工噪声、清管废水、废弃建筑残渣等。</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bookmarkStart w:id="256" w:name="_Hlk92707236"/>
      <w:r>
        <w:rPr>
          <w:rFonts w:ascii="Times New Roman" w:hAnsi="Times New Roman" w:eastAsia="黑体" w:cs="Times New Roman"/>
          <w:b/>
          <w:color w:val="000000" w:themeColor="text1"/>
          <w:sz w:val="30"/>
          <w:szCs w:val="30"/>
          <w14:textFill>
            <w14:solidFill>
              <w14:schemeClr w14:val="tx1"/>
            </w14:solidFill>
          </w14:textFill>
        </w:rPr>
        <w:t>3.7.6施工期污染源及源强核算</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本次施工期环境影响因素主要表现在钻井工程、集输管线及电力线建设等施工活动中。废气主要为大功率柴油机和发电机燃料燃烧废气、施工扬尘及汽车尾气；废水主要为射孔液、管道试压废水</w:t>
      </w:r>
      <w:r>
        <w:rPr>
          <w:rFonts w:hint="eastAsia" w:cs="Times New Roman"/>
          <w:color w:val="000000" w:themeColor="text1"/>
          <w:sz w:val="24"/>
          <w:szCs w:val="24"/>
          <w14:textFill>
            <w14:solidFill>
              <w14:schemeClr w14:val="tx1"/>
            </w14:solidFill>
          </w14:textFill>
        </w:rPr>
        <w:t>和生活污水</w:t>
      </w:r>
      <w:r>
        <w:rPr>
          <w:rFonts w:cs="Times New Roman"/>
          <w:color w:val="000000" w:themeColor="text1"/>
          <w:sz w:val="24"/>
          <w:szCs w:val="24"/>
          <w14:textFill>
            <w14:solidFill>
              <w14:schemeClr w14:val="tx1"/>
            </w14:solidFill>
          </w14:textFill>
        </w:rPr>
        <w:t>；噪声主要为钻井设备、施工机械及施工车辆噪声；固体废物主要为钻井岩屑、废土石方、生活垃圾、机械设备废油、废弃防渗膜和建筑垃圾，平整场地和堆放设备破坏地表等。</w:t>
      </w:r>
    </w:p>
    <w:bookmarkEnd w:id="256"/>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3.7.6.1废气污染源</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施工期大气污染源</w:t>
      </w:r>
      <w:bookmarkStart w:id="257" w:name="_Hlk101709494"/>
      <w:r>
        <w:rPr>
          <w:rFonts w:cs="Times New Roman"/>
          <w:color w:val="000000" w:themeColor="text1"/>
          <w:sz w:val="24"/>
          <w:szCs w:val="24"/>
          <w14:textFill>
            <w14:solidFill>
              <w14:schemeClr w14:val="tx1"/>
            </w14:solidFill>
          </w14:textFill>
        </w:rPr>
        <w:t>主要为管线敷设、场站工程等在施工作业过程中产生的施工扬尘</w:t>
      </w:r>
      <w:bookmarkEnd w:id="257"/>
      <w:bookmarkStart w:id="258" w:name="_Hlk92828089"/>
      <w:r>
        <w:rPr>
          <w:rFonts w:cs="Times New Roman"/>
          <w:color w:val="000000" w:themeColor="text1"/>
          <w:sz w:val="24"/>
          <w:szCs w:val="24"/>
          <w14:textFill>
            <w14:solidFill>
              <w14:schemeClr w14:val="tx1"/>
            </w14:solidFill>
          </w14:textFill>
        </w:rPr>
        <w:t>、钻井工程施工活动中大功率柴油机和发电机燃料燃烧废气</w:t>
      </w:r>
      <w:bookmarkEnd w:id="258"/>
      <w:bookmarkStart w:id="259" w:name="_Hlk92827834"/>
      <w:r>
        <w:rPr>
          <w:rFonts w:cs="Times New Roman"/>
          <w:color w:val="000000" w:themeColor="text1"/>
          <w:sz w:val="24"/>
          <w:szCs w:val="24"/>
          <w14:textFill>
            <w14:solidFill>
              <w14:schemeClr w14:val="tx1"/>
            </w14:solidFill>
          </w14:textFill>
        </w:rPr>
        <w:t>、运输车辆的尾气</w:t>
      </w:r>
      <w:bookmarkEnd w:id="259"/>
      <w:r>
        <w:rPr>
          <w:rFonts w:cs="Times New Roman"/>
          <w:color w:val="000000" w:themeColor="text1"/>
          <w:sz w:val="24"/>
          <w:szCs w:val="24"/>
          <w14:textFill>
            <w14:solidFill>
              <w14:schemeClr w14:val="tx1"/>
            </w14:solidFill>
          </w14:textFill>
        </w:rPr>
        <w:t>等。</w:t>
      </w:r>
    </w:p>
    <w:p>
      <w:pPr>
        <w:pStyle w:val="30"/>
        <w:spacing w:line="360" w:lineRule="auto"/>
        <w:ind w:firstLine="482"/>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（1）施工扬尘</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施工扬尘主要是场地平整、井场设备安装，管道施工管沟的开挖回填，站场建设土地平整、设备安装的过程中，由于设备的运输，少量临时弃土和固体废物的堆积、搬运，水泥、石灰、沙石等材料的装卸、运输、拌合等过程，均会导致部分尘埃散逸到周围环境空气中，增加环境空气中的颗粒物浓度。</w:t>
      </w:r>
    </w:p>
    <w:p>
      <w:pPr>
        <w:pStyle w:val="30"/>
        <w:spacing w:line="360" w:lineRule="auto"/>
        <w:ind w:firstLine="482"/>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（2）柴油发电机燃油燃烧废气</w:t>
      </w:r>
    </w:p>
    <w:p>
      <w:pPr>
        <w:pStyle w:val="30"/>
        <w:overflowPunct w:val="0"/>
        <w:topLinePunct/>
        <w:spacing w:line="360" w:lineRule="auto"/>
        <w:ind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每个井队配备钻井钻机（电钻）2台，柴油发电机2台，柴油消耗量平均2t/d，本项目钻井</w:t>
      </w:r>
      <w:r>
        <w:rPr>
          <w:rFonts w:hint="eastAsia" w:cs="Times New Roman"/>
          <w:color w:val="000000" w:themeColor="text1"/>
          <w:sz w:val="24"/>
          <w:szCs w:val="24"/>
          <w14:textFill>
            <w14:solidFill>
              <w14:schemeClr w14:val="tx1"/>
            </w14:solidFill>
          </w14:textFill>
        </w:rPr>
        <w:t>28</w:t>
      </w:r>
      <w:r>
        <w:rPr>
          <w:rFonts w:cs="Times New Roman"/>
          <w:color w:val="000000" w:themeColor="text1"/>
          <w:sz w:val="24"/>
          <w:szCs w:val="24"/>
          <w14:textFill>
            <w14:solidFill>
              <w14:schemeClr w14:val="tx1"/>
            </w14:solidFill>
          </w14:textFill>
        </w:rPr>
        <w:t>口，</w:t>
      </w:r>
      <w:r>
        <w:rPr>
          <w:rFonts w:hint="eastAsia" w:cs="Times New Roman"/>
          <w:color w:val="000000" w:themeColor="text1"/>
          <w:sz w:val="24"/>
          <w:szCs w:val="24"/>
          <w14:textFill>
            <w14:solidFill>
              <w14:schemeClr w14:val="tx1"/>
            </w14:solidFill>
          </w14:textFill>
        </w:rPr>
        <w:t>9</w:t>
      </w:r>
      <w:r>
        <w:rPr>
          <w:rFonts w:cs="Times New Roman"/>
          <w:color w:val="000000" w:themeColor="text1"/>
          <w:sz w:val="24"/>
          <w:szCs w:val="24"/>
          <w14:textFill>
            <w14:solidFill>
              <w14:schemeClr w14:val="tx1"/>
            </w14:solidFill>
          </w14:textFill>
        </w:rPr>
        <w:t>口井老井转注。</w:t>
      </w:r>
      <w:r>
        <w:rPr>
          <w:rFonts w:cs="Times New Roman"/>
          <w:color w:val="000000" w:themeColor="text1"/>
          <w:sz w:val="24"/>
          <w14:textFill>
            <w14:solidFill>
              <w14:schemeClr w14:val="tx1"/>
            </w14:solidFill>
          </w14:textFill>
        </w:rPr>
        <w:t>钻井周期</w:t>
      </w:r>
      <w:r>
        <w:rPr>
          <w:rFonts w:hint="eastAsia" w:cs="Times New Roman"/>
          <w:color w:val="000000" w:themeColor="text1"/>
          <w:sz w:val="24"/>
          <w14:textFill>
            <w14:solidFill>
              <w14:schemeClr w14:val="tx1"/>
            </w14:solidFill>
          </w14:textFill>
        </w:rPr>
        <w:t>322</w:t>
      </w:r>
      <w:r>
        <w:rPr>
          <w:rFonts w:cs="Times New Roman"/>
          <w:color w:val="000000" w:themeColor="text1"/>
          <w:sz w:val="24"/>
          <w14:textFill>
            <w14:solidFill>
              <w14:schemeClr w14:val="tx1"/>
            </w14:solidFill>
          </w14:textFill>
        </w:rPr>
        <w:t>d，</w:t>
      </w:r>
      <w:r>
        <w:rPr>
          <w:rFonts w:hint="eastAsia" w:cs="Times New Roman"/>
          <w:color w:val="000000" w:themeColor="text1"/>
          <w:sz w:val="24"/>
          <w14:textFill>
            <w14:solidFill>
              <w14:schemeClr w14:val="tx1"/>
            </w14:solidFill>
          </w14:textFill>
        </w:rPr>
        <w:t>修井周期103.5d，</w:t>
      </w:r>
      <w:r>
        <w:rPr>
          <w:rFonts w:cs="Times New Roman"/>
          <w:color w:val="000000" w:themeColor="text1"/>
          <w:sz w:val="24"/>
          <w14:textFill>
            <w14:solidFill>
              <w14:schemeClr w14:val="tx1"/>
            </w14:solidFill>
          </w14:textFill>
        </w:rPr>
        <w:t>施工期间共耗柴油</w:t>
      </w:r>
      <w:r>
        <w:rPr>
          <w:rFonts w:hint="eastAsia" w:cs="Times New Roman"/>
          <w:color w:val="000000" w:themeColor="text1"/>
          <w:sz w:val="24"/>
          <w14:textFill>
            <w14:solidFill>
              <w14:schemeClr w14:val="tx1"/>
            </w14:solidFill>
          </w14:textFill>
        </w:rPr>
        <w:t>851</w:t>
      </w:r>
      <w:r>
        <w:rPr>
          <w:rFonts w:cs="Times New Roman"/>
          <w:color w:val="000000" w:themeColor="text1"/>
          <w:sz w:val="24"/>
          <w14:textFill>
            <w14:solidFill>
              <w14:schemeClr w14:val="tx1"/>
            </w14:solidFill>
          </w14:textFill>
        </w:rPr>
        <w:t>t。</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根据《非道路移动源大气污染物排放清单编制技术指南（试行）》：</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①非道路移动机械（柴油发电机组）大气污染物排放量计算公式为：</w:t>
      </w:r>
    </w:p>
    <w:p>
      <w:pPr>
        <w:pStyle w:val="30"/>
        <w:spacing w:line="360" w:lineRule="auto"/>
        <w:jc w:val="center"/>
        <w:rPr>
          <w:rFonts w:cs="Times New Roman"/>
          <w:color w:val="000000" w:themeColor="text1"/>
          <w:sz w:val="24"/>
          <w:szCs w:val="24"/>
          <w14:textFill>
            <w14:solidFill>
              <w14:schemeClr w14:val="tx1"/>
            </w14:solidFill>
          </w14:textFill>
        </w:rPr>
      </w:pPr>
      <m:oMathPara>
        <m:oMath>
          <m:r>
            <m:rPr>
              <m:sty m:val="p"/>
            </m:rPr>
            <w:rPr>
              <w:rFonts w:ascii="Cambria Math" w:hAnsi="Cambria Math" w:cs="Times New Roman"/>
              <w:color w:val="000000" w:themeColor="text1"/>
              <w:sz w:val="24"/>
              <w:szCs w:val="24"/>
              <w14:textFill>
                <w14:solidFill>
                  <w14:schemeClr w14:val="tx1"/>
                </w14:solidFill>
              </w14:textFill>
            </w:rPr>
            <m:t>E=(Y×EF)×</m:t>
          </m:r>
          <m:sSup>
            <m:sSupPr>
              <m:ctrlPr>
                <w:rPr>
                  <w:rFonts w:ascii="Cambria Math" w:hAnsi="Cambria Math" w:cs="Times New Roman"/>
                  <w:color w:val="000000" w:themeColor="text1"/>
                  <w:sz w:val="24"/>
                  <w:szCs w:val="24"/>
                  <w14:textFill>
                    <w14:solidFill>
                      <w14:schemeClr w14:val="tx1"/>
                    </w14:solidFill>
                  </w14:textFill>
                </w:rPr>
              </m:ctrlPr>
            </m:sSupPr>
            <m:e>
              <m:r>
                <w:rPr>
                  <w:rFonts w:ascii="Cambria Math" w:hAnsi="Cambria Math" w:cs="Times New Roman"/>
                  <w:color w:val="000000" w:themeColor="text1"/>
                  <w:sz w:val="24"/>
                  <w:szCs w:val="24"/>
                  <w14:textFill>
                    <w14:solidFill>
                      <w14:schemeClr w14:val="tx1"/>
                    </w14:solidFill>
                  </w14:textFill>
                </w:rPr>
                <m:t>10</m:t>
              </m:r>
              <m:ctrlPr>
                <w:rPr>
                  <w:rFonts w:ascii="Cambria Math" w:hAnsi="Cambria Math" w:cs="Times New Roman"/>
                  <w:color w:val="000000" w:themeColor="text1"/>
                  <w:sz w:val="24"/>
                  <w:szCs w:val="24"/>
                  <w14:textFill>
                    <w14:solidFill>
                      <w14:schemeClr w14:val="tx1"/>
                    </w14:solidFill>
                  </w14:textFill>
                </w:rPr>
              </m:ctrlPr>
            </m:e>
            <m:sup>
              <m:r>
                <w:rPr>
                  <w:rFonts w:ascii="Cambria Math" w:hAnsi="Cambria Math" w:cs="Times New Roman"/>
                  <w:color w:val="000000" w:themeColor="text1"/>
                  <w:sz w:val="24"/>
                  <w:szCs w:val="24"/>
                  <w14:textFill>
                    <w14:solidFill>
                      <w14:schemeClr w14:val="tx1"/>
                    </w14:solidFill>
                  </w14:textFill>
                </w:rPr>
                <m:t>−6</m:t>
              </m:r>
              <m:ctrlPr>
                <w:rPr>
                  <w:rFonts w:ascii="Cambria Math" w:hAnsi="Cambria Math" w:cs="Times New Roman"/>
                  <w:color w:val="000000" w:themeColor="text1"/>
                  <w:sz w:val="24"/>
                  <w:szCs w:val="24"/>
                  <w14:textFill>
                    <w14:solidFill>
                      <w14:schemeClr w14:val="tx1"/>
                    </w14:solidFill>
                  </w14:textFill>
                </w:rPr>
              </m:ctrlPr>
            </m:sup>
          </m:sSup>
        </m:oMath>
      </m:oMathPara>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式中，E—非道路移动机械的CO、HC、NO</w:t>
      </w:r>
      <w:r>
        <w:rPr>
          <w:rFonts w:cs="Times New Roman"/>
          <w:color w:val="000000" w:themeColor="text1"/>
          <w:sz w:val="24"/>
          <w:szCs w:val="24"/>
          <w:vertAlign w:val="subscript"/>
          <w14:textFill>
            <w14:solidFill>
              <w14:schemeClr w14:val="tx1"/>
            </w14:solidFill>
          </w14:textFill>
        </w:rPr>
        <w:t>X</w:t>
      </w:r>
      <w:r>
        <w:rPr>
          <w:rFonts w:cs="Times New Roman"/>
          <w:color w:val="000000" w:themeColor="text1"/>
          <w:sz w:val="24"/>
          <w:szCs w:val="24"/>
          <w14:textFill>
            <w14:solidFill>
              <w14:schemeClr w14:val="tx1"/>
            </w14:solidFill>
          </w14:textFill>
        </w:rPr>
        <w:t>、PM</w:t>
      </w:r>
      <w:r>
        <w:rPr>
          <w:rFonts w:cs="Times New Roman"/>
          <w:color w:val="000000" w:themeColor="text1"/>
          <w:sz w:val="24"/>
          <w:szCs w:val="24"/>
          <w:vertAlign w:val="subscript"/>
          <w14:textFill>
            <w14:solidFill>
              <w14:schemeClr w14:val="tx1"/>
            </w14:solidFill>
          </w14:textFill>
        </w:rPr>
        <w:t>2.5</w:t>
      </w:r>
      <w:r>
        <w:rPr>
          <w:rFonts w:cs="Times New Roman"/>
          <w:color w:val="000000" w:themeColor="text1"/>
          <w:sz w:val="24"/>
          <w:szCs w:val="24"/>
          <w14:textFill>
            <w14:solidFill>
              <w14:schemeClr w14:val="tx1"/>
            </w14:solidFill>
          </w14:textFill>
        </w:rPr>
        <w:t>和PM</w:t>
      </w:r>
      <w:r>
        <w:rPr>
          <w:rFonts w:cs="Times New Roman"/>
          <w:color w:val="000000" w:themeColor="text1"/>
          <w:sz w:val="24"/>
          <w:szCs w:val="24"/>
          <w:vertAlign w:val="subscript"/>
          <w14:textFill>
            <w14:solidFill>
              <w14:schemeClr w14:val="tx1"/>
            </w14:solidFill>
          </w14:textFill>
        </w:rPr>
        <w:t>10</w:t>
      </w:r>
      <w:r>
        <w:rPr>
          <w:rFonts w:cs="Times New Roman"/>
          <w:color w:val="000000" w:themeColor="text1"/>
          <w:sz w:val="24"/>
          <w:szCs w:val="24"/>
          <w14:textFill>
            <w14:solidFill>
              <w14:schemeClr w14:val="tx1"/>
            </w14:solidFill>
          </w14:textFill>
        </w:rPr>
        <w:t>排放量，t；</w:t>
      </w:r>
    </w:p>
    <w:p>
      <w:pPr>
        <w:pStyle w:val="30"/>
        <w:spacing w:line="360" w:lineRule="auto"/>
        <w:ind w:firstLine="1200" w:firstLineChars="5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Y—燃油消耗量，kg；</w:t>
      </w:r>
    </w:p>
    <w:p>
      <w:pPr>
        <w:pStyle w:val="30"/>
        <w:spacing w:line="360" w:lineRule="auto"/>
        <w:ind w:firstLine="1200" w:firstLineChars="5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EY—排放系数，g/kg燃料。</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②二氧化硫排放量根据非移动源燃油中的硫含量计算，计算公式为：</w:t>
      </w:r>
    </w:p>
    <w:p>
      <w:pPr>
        <w:pStyle w:val="30"/>
        <w:spacing w:line="360" w:lineRule="auto"/>
        <w:jc w:val="center"/>
        <w:rPr>
          <w:rFonts w:cs="Times New Roman"/>
          <w:color w:val="000000" w:themeColor="text1"/>
          <w:sz w:val="24"/>
          <w:szCs w:val="24"/>
          <w14:textFill>
            <w14:solidFill>
              <w14:schemeClr w14:val="tx1"/>
            </w14:solidFill>
          </w14:textFill>
        </w:rPr>
      </w:pPr>
      <m:oMathPara>
        <m:oMath>
          <m:r>
            <m:rPr>
              <m:sty m:val="p"/>
            </m:rPr>
            <w:rPr>
              <w:rFonts w:ascii="Cambria Math" w:hAnsi="Cambria Math" w:cs="Times New Roman"/>
              <w:color w:val="000000" w:themeColor="text1"/>
              <w:sz w:val="24"/>
              <w:szCs w:val="24"/>
              <w14:textFill>
                <w14:solidFill>
                  <w14:schemeClr w14:val="tx1"/>
                </w14:solidFill>
              </w14:textFill>
            </w:rPr>
            <m:t>E=2×Y×S×</m:t>
          </m:r>
          <m:sSup>
            <m:sSupPr>
              <m:ctrlPr>
                <w:rPr>
                  <w:rFonts w:ascii="Cambria Math" w:hAnsi="Cambria Math" w:cs="Times New Roman"/>
                  <w:color w:val="000000" w:themeColor="text1"/>
                  <w:sz w:val="24"/>
                  <w:szCs w:val="24"/>
                  <w14:textFill>
                    <w14:solidFill>
                      <w14:schemeClr w14:val="tx1"/>
                    </w14:solidFill>
                  </w14:textFill>
                </w:rPr>
              </m:ctrlPr>
            </m:sSupPr>
            <m:e>
              <m:r>
                <w:rPr>
                  <w:rFonts w:ascii="Cambria Math" w:hAnsi="Cambria Math" w:cs="Times New Roman"/>
                  <w:color w:val="000000" w:themeColor="text1"/>
                  <w:sz w:val="24"/>
                  <w:szCs w:val="24"/>
                  <w14:textFill>
                    <w14:solidFill>
                      <w14:schemeClr w14:val="tx1"/>
                    </w14:solidFill>
                  </w14:textFill>
                </w:rPr>
                <m:t>10</m:t>
              </m:r>
              <m:ctrlPr>
                <w:rPr>
                  <w:rFonts w:ascii="Cambria Math" w:hAnsi="Cambria Math" w:cs="Times New Roman"/>
                  <w:color w:val="000000" w:themeColor="text1"/>
                  <w:sz w:val="24"/>
                  <w:szCs w:val="24"/>
                  <w14:textFill>
                    <w14:solidFill>
                      <w14:schemeClr w14:val="tx1"/>
                    </w14:solidFill>
                  </w14:textFill>
                </w:rPr>
              </m:ctrlPr>
            </m:e>
            <m:sup>
              <m:r>
                <w:rPr>
                  <w:rFonts w:ascii="Cambria Math" w:hAnsi="Cambria Math" w:cs="Times New Roman"/>
                  <w:color w:val="000000" w:themeColor="text1"/>
                  <w:sz w:val="24"/>
                  <w:szCs w:val="24"/>
                  <w14:textFill>
                    <w14:solidFill>
                      <w14:schemeClr w14:val="tx1"/>
                    </w14:solidFill>
                  </w14:textFill>
                </w:rPr>
                <m:t>−6</m:t>
              </m:r>
              <m:ctrlPr>
                <w:rPr>
                  <w:rFonts w:ascii="Cambria Math" w:hAnsi="Cambria Math" w:cs="Times New Roman"/>
                  <w:color w:val="000000" w:themeColor="text1"/>
                  <w:sz w:val="24"/>
                  <w:szCs w:val="24"/>
                  <w14:textFill>
                    <w14:solidFill>
                      <w14:schemeClr w14:val="tx1"/>
                    </w14:solidFill>
                  </w14:textFill>
                </w:rPr>
              </m:ctrlPr>
            </m:sup>
          </m:sSup>
        </m:oMath>
      </m:oMathPara>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式中，E—非道路移动机械的SO</w:t>
      </w:r>
      <w:r>
        <w:rPr>
          <w:rFonts w:cs="Times New Roman"/>
          <w:color w:val="000000" w:themeColor="text1"/>
          <w:sz w:val="24"/>
          <w:szCs w:val="24"/>
          <w:vertAlign w:val="subscript"/>
          <w14:textFill>
            <w14:solidFill>
              <w14:schemeClr w14:val="tx1"/>
            </w14:solidFill>
          </w14:textFill>
        </w:rPr>
        <w:t>2</w:t>
      </w:r>
      <w:r>
        <w:rPr>
          <w:rFonts w:cs="Times New Roman"/>
          <w:color w:val="000000" w:themeColor="text1"/>
          <w:sz w:val="24"/>
          <w:szCs w:val="24"/>
          <w14:textFill>
            <w14:solidFill>
              <w14:schemeClr w14:val="tx1"/>
            </w14:solidFill>
          </w14:textFill>
        </w:rPr>
        <w:t>排放量，t；</w:t>
      </w:r>
    </w:p>
    <w:p>
      <w:pPr>
        <w:pStyle w:val="30"/>
        <w:spacing w:line="360" w:lineRule="auto"/>
        <w:ind w:firstLine="1200" w:firstLineChars="5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Y—燃油消耗量，kg；</w:t>
      </w:r>
    </w:p>
    <w:p>
      <w:pPr>
        <w:pStyle w:val="30"/>
        <w:spacing w:line="360" w:lineRule="auto"/>
        <w:ind w:firstLine="1200" w:firstLineChars="5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S—燃油硫含量，g/kg燃料。</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③适用排放系数：</w:t>
      </w:r>
    </w:p>
    <w:p>
      <w:pPr>
        <w:pStyle w:val="6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柴油机污染物排放系数和柴油机组燃烧废气中各污染物产生情况见表3.7-2。</w:t>
      </w:r>
    </w:p>
    <w:p>
      <w:pPr>
        <w:pStyle w:val="60"/>
        <w:ind w:firstLine="0" w:firstLineChars="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表3.7-2  柴油机污染物排放量</w:t>
      </w:r>
    </w:p>
    <w:tbl>
      <w:tblPr>
        <w:tblStyle w:val="23"/>
        <w:tblW w:w="8519" w:type="dxa"/>
        <w:tblInd w:w="0" w:type="dxa"/>
        <w:tblLayout w:type="fixed"/>
        <w:tblCellMar>
          <w:top w:w="0" w:type="dxa"/>
          <w:left w:w="108" w:type="dxa"/>
          <w:bottom w:w="0" w:type="dxa"/>
          <w:right w:w="108" w:type="dxa"/>
        </w:tblCellMar>
      </w:tblPr>
      <w:tblGrid>
        <w:gridCol w:w="2361"/>
        <w:gridCol w:w="1955"/>
        <w:gridCol w:w="2265"/>
        <w:gridCol w:w="1938"/>
      </w:tblGrid>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污染物</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排污系数kg/t</w:t>
            </w:r>
          </w:p>
        </w:tc>
        <w:tc>
          <w:tcPr>
            <w:tcW w:w="226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柴油用量（t）</w:t>
            </w: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排放量（t）</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CO</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10.722</w:t>
            </w:r>
          </w:p>
        </w:tc>
        <w:tc>
          <w:tcPr>
            <w:tcW w:w="2265"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851</w:t>
            </w: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9.12</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NOx</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32.792</w:t>
            </w:r>
          </w:p>
        </w:tc>
        <w:tc>
          <w:tcPr>
            <w:tcW w:w="226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27.91</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HC</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3.385</w:t>
            </w:r>
          </w:p>
        </w:tc>
        <w:tc>
          <w:tcPr>
            <w:tcW w:w="226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2.88</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SO</w:t>
            </w:r>
            <w:r>
              <w:rPr>
                <w:rFonts w:ascii="Times New Roman" w:hAnsi="Times New Roman" w:eastAsia="宋体" w:cs="Times New Roman"/>
                <w:color w:val="000000" w:themeColor="text1"/>
                <w:szCs w:val="21"/>
                <w:vertAlign w:val="subscript"/>
                <w14:textFill>
                  <w14:solidFill>
                    <w14:schemeClr w14:val="tx1"/>
                  </w14:solidFill>
                </w14:textFill>
              </w:rPr>
              <w:t>2</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w:t>
            </w:r>
          </w:p>
        </w:tc>
        <w:tc>
          <w:tcPr>
            <w:tcW w:w="226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0.01</w:t>
            </w:r>
            <w:r>
              <w:rPr>
                <w:rFonts w:hint="eastAsia" w:ascii="Times New Roman" w:hAnsi="Times New Roman" w:eastAsia="宋体" w:cs="Times New Roman"/>
                <w:color w:val="000000" w:themeColor="text1"/>
                <w:szCs w:val="21"/>
                <w14:textFill>
                  <w14:solidFill>
                    <w14:schemeClr w14:val="tx1"/>
                  </w14:solidFill>
                </w14:textFill>
              </w:rPr>
              <w:t>7</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PM</w:t>
            </w:r>
            <w:r>
              <w:rPr>
                <w:rFonts w:ascii="Times New Roman" w:hAnsi="Times New Roman" w:eastAsia="宋体" w:cs="Times New Roman"/>
                <w:color w:val="000000" w:themeColor="text1"/>
                <w:szCs w:val="21"/>
                <w:vertAlign w:val="subscript"/>
                <w14:textFill>
                  <w14:solidFill>
                    <w14:schemeClr w14:val="tx1"/>
                  </w14:solidFill>
                </w14:textFill>
              </w:rPr>
              <w:t>10</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2.09</w:t>
            </w:r>
          </w:p>
        </w:tc>
        <w:tc>
          <w:tcPr>
            <w:tcW w:w="226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1.78</w:t>
            </w:r>
          </w:p>
        </w:tc>
      </w:tr>
      <w:tr>
        <w:tblPrEx>
          <w:tblLayout w:type="fixed"/>
          <w:tblCellMar>
            <w:top w:w="0" w:type="dxa"/>
            <w:left w:w="108" w:type="dxa"/>
            <w:bottom w:w="0" w:type="dxa"/>
            <w:right w:w="108" w:type="dxa"/>
          </w:tblCellMar>
        </w:tblPrEx>
        <w:trPr>
          <w:trHeight w:val="312" w:hRule="atLeast"/>
        </w:trPr>
        <w:tc>
          <w:tcPr>
            <w:tcW w:w="236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PM</w:t>
            </w:r>
            <w:r>
              <w:rPr>
                <w:rFonts w:ascii="Times New Roman" w:hAnsi="Times New Roman" w:eastAsia="宋体" w:cs="Times New Roman"/>
                <w:color w:val="000000" w:themeColor="text1"/>
                <w:szCs w:val="21"/>
                <w:vertAlign w:val="subscript"/>
                <w14:textFill>
                  <w14:solidFill>
                    <w14:schemeClr w14:val="tx1"/>
                  </w14:solidFill>
                </w14:textFill>
              </w:rPr>
              <w:t>2.5</w:t>
            </w:r>
          </w:p>
        </w:tc>
        <w:tc>
          <w:tcPr>
            <w:tcW w:w="195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2.09</w:t>
            </w:r>
          </w:p>
        </w:tc>
        <w:tc>
          <w:tcPr>
            <w:tcW w:w="226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9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r>
              <w:rPr>
                <w:rFonts w:hint="eastAsia" w:ascii="Times New Roman" w:hAnsi="Times New Roman" w:eastAsia="宋体" w:cs="Times New Roman"/>
                <w:color w:val="000000" w:themeColor="text1"/>
                <w:szCs w:val="21"/>
                <w14:textFill>
                  <w14:solidFill>
                    <w14:schemeClr w14:val="tx1"/>
                  </w14:solidFill>
                </w14:textFill>
              </w:rPr>
              <w:t>78</w:t>
            </w:r>
          </w:p>
        </w:tc>
      </w:tr>
    </w:tbl>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施工期间排放的大气污染物将随钻井工程的结束而消失。</w:t>
      </w:r>
    </w:p>
    <w:p>
      <w:pPr>
        <w:pStyle w:val="30"/>
        <w:spacing w:line="360" w:lineRule="auto"/>
        <w:ind w:firstLine="482"/>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（3）车辆尾气</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本项目开发施工期每个单井钻井场各类车辆8余驾次/日，预计每天可排放CO1.26kg/d，烃类物质2.15kg/d，NO</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为5.78kg/d，SO</w:t>
      </w:r>
      <w:r>
        <w:rPr>
          <w:rFonts w:ascii="Times New Roman" w:hAnsi="Times New Roman" w:cs="Times New Roman"/>
          <w:color w:val="000000" w:themeColor="text1"/>
          <w:sz w:val="24"/>
          <w:vertAlign w:val="sub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为0.064kg/d。本次施工期以</w:t>
      </w:r>
      <w:r>
        <w:rPr>
          <w:rFonts w:hint="eastAsia" w:ascii="Times New Roman" w:hAnsi="Times New Roman" w:cs="Times New Roman"/>
          <w:color w:val="000000" w:themeColor="text1"/>
          <w:sz w:val="24"/>
          <w14:textFill>
            <w14:solidFill>
              <w14:schemeClr w14:val="tx1"/>
            </w14:solidFill>
          </w14:textFill>
        </w:rPr>
        <w:t>1165.5</w:t>
      </w:r>
      <w:r>
        <w:rPr>
          <w:rFonts w:ascii="Times New Roman" w:hAnsi="Times New Roman" w:cs="Times New Roman"/>
          <w:color w:val="000000" w:themeColor="text1"/>
          <w:sz w:val="24"/>
          <w14:textFill>
            <w14:solidFill>
              <w14:schemeClr w14:val="tx1"/>
            </w14:solidFill>
          </w14:textFill>
        </w:rPr>
        <w:t>d计，则施工期施工车辆排放的大气污染物排放情况详见表3.7-3。</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表3.7-3  施工期大气污染物排放统计表</w:t>
      </w:r>
    </w:p>
    <w:tbl>
      <w:tblPr>
        <w:tblStyle w:val="23"/>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754"/>
        <w:gridCol w:w="1875"/>
        <w:gridCol w:w="1375"/>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97"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污染源</w:t>
            </w:r>
          </w:p>
        </w:tc>
        <w:tc>
          <w:tcPr>
            <w:tcW w:w="6823"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污染物排放（t）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97"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7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烃类</w:t>
            </w:r>
          </w:p>
        </w:tc>
        <w:tc>
          <w:tcPr>
            <w:tcW w:w="18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CO</w:t>
            </w:r>
          </w:p>
        </w:tc>
        <w:tc>
          <w:tcPr>
            <w:tcW w:w="13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NOx</w:t>
            </w:r>
          </w:p>
        </w:tc>
        <w:tc>
          <w:tcPr>
            <w:tcW w:w="181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SO</w:t>
            </w:r>
            <w:r>
              <w:rPr>
                <w:rFonts w:cs="Times New Roman"/>
                <w:b/>
                <w:bCs/>
                <w:color w:val="000000" w:themeColor="text1"/>
                <w:vertAlign w:val="sub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车辆尾气</w:t>
            </w:r>
          </w:p>
        </w:tc>
        <w:tc>
          <w:tcPr>
            <w:tcW w:w="17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2.51</w:t>
            </w:r>
          </w:p>
        </w:tc>
        <w:tc>
          <w:tcPr>
            <w:tcW w:w="18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1.47</w:t>
            </w:r>
          </w:p>
        </w:tc>
        <w:tc>
          <w:tcPr>
            <w:tcW w:w="13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6.74</w:t>
            </w:r>
          </w:p>
        </w:tc>
        <w:tc>
          <w:tcPr>
            <w:tcW w:w="181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0.075</w:t>
            </w:r>
          </w:p>
        </w:tc>
      </w:tr>
    </w:tbl>
    <w:p>
      <w:pPr>
        <w:pStyle w:val="58"/>
        <w:rPr>
          <w:rFonts w:cs="Times New Roman"/>
          <w:color w:val="000000" w:themeColor="text1"/>
          <w:kern w:val="0"/>
          <w14:textFill>
            <w14:solidFill>
              <w14:schemeClr w14:val="tx1"/>
            </w14:solidFill>
          </w14:textFill>
        </w:rPr>
      </w:pPr>
      <w:bookmarkStart w:id="260" w:name="_Hlk94103630"/>
      <w:r>
        <w:rPr>
          <w:rFonts w:cs="Times New Roman"/>
          <w:color w:val="000000" w:themeColor="text1"/>
          <w:kern w:val="0"/>
          <w14:textFill>
            <w14:solidFill>
              <w14:schemeClr w14:val="tx1"/>
            </w14:solidFill>
          </w14:textFill>
        </w:rPr>
        <w:t>3.7.6.2废水污染源</w:t>
      </w:r>
    </w:p>
    <w:bookmarkEnd w:id="260"/>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项目施工期废水主要为：射孔液、管道试压废水及施工人员生活污水。</w:t>
      </w:r>
    </w:p>
    <w:p>
      <w:pPr>
        <w:pStyle w:val="66"/>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（1）钻井废水</w:t>
      </w:r>
    </w:p>
    <w:p>
      <w:pPr>
        <w:pStyle w:val="66"/>
        <w:spacing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钻井废水采用临时罐体收集，按泥浆体系不同阶段用于配制相应体系泥浆，在钻井期间综合利用，不外排。</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（2）射孔液</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w:t>
      </w:r>
      <w:r>
        <w:rPr>
          <w:rFonts w:hint="eastAsia" w:ascii="Times New Roman" w:hAnsi="Times New Roman" w:cs="Times New Roman"/>
          <w:color w:val="000000" w:themeColor="text1"/>
          <w:sz w:val="24"/>
          <w14:textFill>
            <w14:solidFill>
              <w14:schemeClr w14:val="tx1"/>
            </w14:solidFill>
          </w14:textFill>
        </w:rPr>
        <w:t>37</w:t>
      </w:r>
      <w:r>
        <w:rPr>
          <w:rFonts w:ascii="Times New Roman" w:hAnsi="Times New Roman" w:cs="Times New Roman"/>
          <w:color w:val="000000" w:themeColor="text1"/>
          <w:sz w:val="24"/>
          <w14:textFill>
            <w14:solidFill>
              <w14:schemeClr w14:val="tx1"/>
            </w14:solidFill>
          </w14:textFill>
        </w:rPr>
        <w:t>口井全部需要射孔，根据建设单位提供资料，在射孔完井过程中，单井射孔液用量30m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～40m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，本次射孔按最大使用量40m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/口计，则射孔液用量1</w:t>
      </w:r>
      <w:r>
        <w:rPr>
          <w:rFonts w:hint="eastAsia" w:ascii="Times New Roman" w:hAnsi="Times New Roman" w:cs="Times New Roman"/>
          <w:color w:val="000000" w:themeColor="text1"/>
          <w:sz w:val="24"/>
          <w14:textFill>
            <w14:solidFill>
              <w14:schemeClr w14:val="tx1"/>
            </w14:solidFill>
          </w14:textFill>
        </w:rPr>
        <w:t>48</w:t>
      </w:r>
      <w:r>
        <w:rPr>
          <w:rFonts w:ascii="Times New Roman" w:hAnsi="Times New Roman" w:cs="Times New Roman"/>
          <w:color w:val="000000" w:themeColor="text1"/>
          <w:sz w:val="24"/>
          <w14:textFill>
            <w14:solidFill>
              <w14:schemeClr w14:val="tx1"/>
            </w14:solidFill>
          </w14:textFill>
        </w:rPr>
        <w:t>0m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。射孔液与采出液一起管输至陆梁集中处理站处理，不外排。</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（3）管道试压废水</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项目集输管线敷设完成后，需进行试压，采用分段试压方式，管道试压用水一般采用清洁水，可重复使用。本项目新建管线主要为单井管线</w:t>
      </w:r>
      <w:r>
        <w:rPr>
          <w:rFonts w:hint="eastAsia" w:ascii="Times New Roman" w:hAnsi="Times New Roman" w:cs="Times New Roman"/>
          <w:color w:val="000000" w:themeColor="text1"/>
          <w:sz w:val="24"/>
          <w14:textFill>
            <w14:solidFill>
              <w14:schemeClr w14:val="tx1"/>
            </w14:solidFill>
          </w14:textFill>
        </w:rPr>
        <w:t>14.85</w:t>
      </w:r>
      <w:r>
        <w:rPr>
          <w:rFonts w:ascii="Times New Roman" w:hAnsi="Times New Roman" w:cs="Times New Roman"/>
          <w:color w:val="000000" w:themeColor="text1"/>
          <w:sz w:val="24"/>
          <w14:textFill>
            <w14:solidFill>
              <w14:schemeClr w14:val="tx1"/>
            </w14:solidFill>
          </w14:textFill>
        </w:rPr>
        <w:t>km，支线长度为</w:t>
      </w:r>
      <w:r>
        <w:rPr>
          <w:rFonts w:hint="eastAsia" w:ascii="Times New Roman" w:hAnsi="Times New Roman" w:cs="Times New Roman"/>
          <w:color w:val="000000" w:themeColor="text1"/>
          <w:sz w:val="24"/>
          <w14:textFill>
            <w14:solidFill>
              <w14:schemeClr w14:val="tx1"/>
            </w14:solidFill>
          </w14:textFill>
        </w:rPr>
        <w:t>5.37</w:t>
      </w:r>
      <w:r>
        <w:rPr>
          <w:rFonts w:ascii="Times New Roman" w:hAnsi="Times New Roman" w:cs="Times New Roman"/>
          <w:color w:val="000000" w:themeColor="text1"/>
          <w:sz w:val="24"/>
          <w14:textFill>
            <w14:solidFill>
              <w14:schemeClr w14:val="tx1"/>
            </w14:solidFill>
          </w14:textFill>
        </w:rPr>
        <w:t>km</w:t>
      </w:r>
      <w:r>
        <w:rPr>
          <w:rFonts w:hint="eastAsia" w:ascii="Times New Roman" w:hAnsi="Times New Roman" w:cs="Times New Roman"/>
          <w:color w:val="000000" w:themeColor="text1"/>
          <w:sz w:val="24"/>
          <w14:textFill>
            <w14:solidFill>
              <w14:schemeClr w14:val="tx1"/>
            </w14:solidFill>
          </w14:textFill>
        </w:rPr>
        <w:t>，干线</w:t>
      </w:r>
      <w:r>
        <w:rPr>
          <w:rFonts w:ascii="Times New Roman" w:hAnsi="Times New Roman" w:cs="Times New Roman"/>
          <w:color w:val="000000" w:themeColor="text1"/>
          <w:sz w:val="24"/>
          <w14:textFill>
            <w14:solidFill>
              <w14:schemeClr w14:val="tx1"/>
            </w14:solidFill>
          </w14:textFill>
        </w:rPr>
        <w:t>长度为</w:t>
      </w:r>
      <w:r>
        <w:rPr>
          <w:rFonts w:hint="eastAsia" w:ascii="Times New Roman" w:hAnsi="Times New Roman" w:cs="Times New Roman"/>
          <w:color w:val="000000" w:themeColor="text1"/>
          <w:sz w:val="24"/>
          <w14:textFill>
            <w14:solidFill>
              <w14:schemeClr w14:val="tx1"/>
            </w14:solidFill>
          </w14:textFill>
        </w:rPr>
        <w:t>4.22</w:t>
      </w:r>
      <w:r>
        <w:rPr>
          <w:rFonts w:ascii="Times New Roman" w:hAnsi="Times New Roman" w:cs="Times New Roman"/>
          <w:color w:val="000000" w:themeColor="text1"/>
          <w:sz w:val="24"/>
          <w14:textFill>
            <w14:solidFill>
              <w14:schemeClr w14:val="tx1"/>
            </w14:solidFill>
          </w14:textFill>
        </w:rPr>
        <w:t>km。试压水可循环使用，水质不满足试压要求时，再补充试压用水。经核算，实际试压用水为</w:t>
      </w:r>
      <w:r>
        <w:rPr>
          <w:rFonts w:hint="eastAsia" w:ascii="Times New Roman" w:hAnsi="Times New Roman" w:cs="Times New Roman"/>
          <w:color w:val="000000" w:themeColor="text1"/>
          <w:sz w:val="24"/>
          <w14:textFill>
            <w14:solidFill>
              <w14:schemeClr w14:val="tx1"/>
            </w14:solidFill>
          </w14:textFill>
        </w:rPr>
        <w:t>95.38</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，废水产生率取80%，则管道试压废水产生量约为</w:t>
      </w:r>
      <w:r>
        <w:rPr>
          <w:rFonts w:hint="eastAsia" w:ascii="Times New Roman" w:hAnsi="Times New Roman" w:cs="Times New Roman"/>
          <w:color w:val="000000" w:themeColor="text1"/>
          <w:sz w:val="24"/>
          <w14:textFill>
            <w14:solidFill>
              <w14:schemeClr w14:val="tx1"/>
            </w14:solidFill>
          </w14:textFill>
        </w:rPr>
        <w:t>31.25</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，管道试压用水不允许具有腐蚀性，不含无机或有机污染物，试压废水中主要污染物为悬浮物，浓度在40mg/L～60mg/L。现场沉淀后用于场地洒水降尘。</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项目试压废水产生量见表3.7-4。</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表3.7-4  本项目试压废水产生量统计表</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2360"/>
        <w:gridCol w:w="1423"/>
        <w:gridCol w:w="1465"/>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215" w:type="dxa"/>
            <w:vAlign w:val="center"/>
          </w:tcPr>
          <w:p>
            <w:pPr>
              <w:pStyle w:val="3"/>
              <w:keepNext w:val="0"/>
              <w:keepLines w:val="0"/>
              <w:spacing w:before="0"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bookmarkStart w:id="261" w:name="_Toc22760"/>
            <w:bookmarkStart w:id="262" w:name="_Toc13495"/>
            <w:bookmarkStart w:id="263" w:name="_Toc14221"/>
            <w:bookmarkStart w:id="264" w:name="_Toc9466"/>
            <w:bookmarkStart w:id="265" w:name="_Toc5173"/>
            <w:r>
              <w:rPr>
                <w:rFonts w:ascii="Times New Roman" w:hAnsi="Times New Roman" w:eastAsia="宋体" w:cs="Times New Roman"/>
                <w:color w:val="000000" w:themeColor="text1"/>
                <w:sz w:val="21"/>
                <w:szCs w:val="21"/>
                <w14:textFill>
                  <w14:solidFill>
                    <w14:schemeClr w14:val="tx1"/>
                  </w14:solidFill>
                </w14:textFill>
              </w:rPr>
              <w:t>序号</w:t>
            </w:r>
            <w:bookmarkEnd w:id="261"/>
            <w:bookmarkEnd w:id="262"/>
            <w:bookmarkEnd w:id="263"/>
            <w:bookmarkEnd w:id="264"/>
            <w:bookmarkEnd w:id="265"/>
          </w:p>
        </w:tc>
        <w:tc>
          <w:tcPr>
            <w:tcW w:w="2360" w:type="dxa"/>
            <w:vAlign w:val="center"/>
          </w:tcPr>
          <w:p>
            <w:pPr>
              <w:pStyle w:val="3"/>
              <w:keepNext w:val="0"/>
              <w:keepLines w:val="0"/>
              <w:spacing w:before="0"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bookmarkStart w:id="266" w:name="_Toc17690"/>
            <w:bookmarkStart w:id="267" w:name="_Toc15581"/>
            <w:bookmarkStart w:id="268" w:name="_Toc30162"/>
            <w:bookmarkStart w:id="269" w:name="_Toc15029"/>
            <w:bookmarkStart w:id="270" w:name="_Toc28232"/>
            <w:r>
              <w:rPr>
                <w:rFonts w:ascii="Times New Roman" w:hAnsi="Times New Roman" w:eastAsia="宋体" w:cs="Times New Roman"/>
                <w:color w:val="000000" w:themeColor="text1"/>
                <w:sz w:val="21"/>
                <w:szCs w:val="21"/>
                <w14:textFill>
                  <w14:solidFill>
                    <w14:schemeClr w14:val="tx1"/>
                  </w14:solidFill>
                </w14:textFill>
              </w:rPr>
              <w:t>管线半径/mm</w:t>
            </w:r>
            <w:bookmarkEnd w:id="266"/>
            <w:bookmarkEnd w:id="267"/>
            <w:bookmarkEnd w:id="268"/>
            <w:bookmarkEnd w:id="269"/>
            <w:bookmarkEnd w:id="270"/>
          </w:p>
        </w:tc>
        <w:tc>
          <w:tcPr>
            <w:tcW w:w="1423" w:type="dxa"/>
            <w:vAlign w:val="center"/>
          </w:tcPr>
          <w:p>
            <w:pPr>
              <w:pStyle w:val="3"/>
              <w:keepNext w:val="0"/>
              <w:keepLines w:val="0"/>
              <w:spacing w:before="0"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bookmarkStart w:id="271" w:name="_Toc5150"/>
            <w:bookmarkStart w:id="272" w:name="_Toc20736"/>
            <w:bookmarkStart w:id="273" w:name="_Toc8072"/>
            <w:bookmarkStart w:id="274" w:name="_Toc12942"/>
            <w:bookmarkStart w:id="275" w:name="_Toc11828"/>
            <w:r>
              <w:rPr>
                <w:rFonts w:ascii="Times New Roman" w:hAnsi="Times New Roman" w:eastAsia="宋体" w:cs="Times New Roman"/>
                <w:color w:val="000000" w:themeColor="text1"/>
                <w:sz w:val="21"/>
                <w:szCs w:val="21"/>
                <w14:textFill>
                  <w14:solidFill>
                    <w14:schemeClr w14:val="tx1"/>
                  </w14:solidFill>
                </w14:textFill>
              </w:rPr>
              <w:t>管线长度/km</w:t>
            </w:r>
            <w:bookmarkEnd w:id="271"/>
            <w:bookmarkEnd w:id="272"/>
            <w:bookmarkEnd w:id="273"/>
            <w:bookmarkEnd w:id="274"/>
            <w:bookmarkEnd w:id="275"/>
          </w:p>
        </w:tc>
        <w:tc>
          <w:tcPr>
            <w:tcW w:w="1465" w:type="dxa"/>
            <w:vAlign w:val="center"/>
          </w:tcPr>
          <w:p>
            <w:pPr>
              <w:pStyle w:val="3"/>
              <w:keepNext w:val="0"/>
              <w:keepLines w:val="0"/>
              <w:spacing w:before="0"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bookmarkStart w:id="276" w:name="_Toc31665"/>
            <w:bookmarkStart w:id="277" w:name="_Toc26949"/>
            <w:bookmarkStart w:id="278" w:name="_Toc9406"/>
            <w:bookmarkStart w:id="279" w:name="_Toc8409"/>
            <w:bookmarkStart w:id="280" w:name="_Toc31678"/>
            <w:r>
              <w:rPr>
                <w:rFonts w:ascii="Times New Roman" w:hAnsi="Times New Roman" w:eastAsia="宋体" w:cs="Times New Roman"/>
                <w:color w:val="000000" w:themeColor="text1"/>
                <w:sz w:val="21"/>
                <w:szCs w:val="21"/>
                <w14:textFill>
                  <w14:solidFill>
                    <w14:schemeClr w14:val="tx1"/>
                  </w14:solidFill>
                </w14:textFill>
              </w:rPr>
              <w:t>系数取值</w:t>
            </w:r>
            <w:bookmarkEnd w:id="276"/>
            <w:bookmarkEnd w:id="277"/>
            <w:bookmarkEnd w:id="278"/>
            <w:bookmarkEnd w:id="279"/>
            <w:bookmarkEnd w:id="280"/>
          </w:p>
        </w:tc>
        <w:tc>
          <w:tcPr>
            <w:tcW w:w="2056" w:type="dxa"/>
            <w:vAlign w:val="center"/>
          </w:tcPr>
          <w:p>
            <w:pPr>
              <w:pStyle w:val="3"/>
              <w:keepNext w:val="0"/>
              <w:keepLines w:val="0"/>
              <w:spacing w:before="0"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bookmarkStart w:id="281" w:name="_Toc4248"/>
            <w:bookmarkStart w:id="282" w:name="_Toc29189"/>
            <w:bookmarkStart w:id="283" w:name="_Toc6992"/>
            <w:bookmarkStart w:id="284" w:name="_Toc19591"/>
            <w:bookmarkStart w:id="285" w:name="_Toc21888"/>
            <w:r>
              <w:rPr>
                <w:rFonts w:ascii="Times New Roman" w:hAnsi="Times New Roman" w:eastAsia="宋体" w:cs="Times New Roman"/>
                <w:color w:val="000000" w:themeColor="text1"/>
                <w:sz w:val="21"/>
                <w:szCs w:val="21"/>
                <w14:textFill>
                  <w14:solidFill>
                    <w14:schemeClr w14:val="tx1"/>
                  </w14:solidFill>
                </w14:textFill>
              </w:rPr>
              <w:t>试压废水量/m</w:t>
            </w:r>
            <w:r>
              <w:rPr>
                <w:rFonts w:ascii="Times New Roman" w:hAnsi="Times New Roman" w:eastAsia="宋体" w:cs="Times New Roman"/>
                <w:color w:val="000000" w:themeColor="text1"/>
                <w:sz w:val="21"/>
                <w:szCs w:val="21"/>
                <w:vertAlign w:val="superscript"/>
                <w14:textFill>
                  <w14:solidFill>
                    <w14:schemeClr w14:val="tx1"/>
                  </w14:solidFill>
                </w14:textFill>
              </w:rPr>
              <w:t>3</w:t>
            </w:r>
            <w:bookmarkEnd w:id="281"/>
            <w:bookmarkEnd w:id="282"/>
            <w:bookmarkEnd w:id="283"/>
            <w:bookmarkEnd w:id="284"/>
            <w:bookmarkEnd w:id="2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215" w:type="dxa"/>
            <w:vAlign w:val="center"/>
          </w:tcPr>
          <w:p>
            <w:pPr>
              <w:pStyle w:val="3"/>
              <w:keepNext w:val="0"/>
              <w:keepLines w:val="0"/>
              <w:spacing w:before="0" w:after="0" w:line="240" w:lineRule="auto"/>
              <w:ind w:firstLine="420"/>
              <w:rPr>
                <w:rFonts w:ascii="Times New Roman" w:hAnsi="Times New Roman" w:eastAsia="宋体" w:cs="Times New Roman"/>
                <w:b w:val="0"/>
                <w:bCs w:val="0"/>
                <w:color w:val="000000" w:themeColor="text1"/>
                <w:sz w:val="21"/>
                <w:szCs w:val="21"/>
                <w14:textFill>
                  <w14:solidFill>
                    <w14:schemeClr w14:val="tx1"/>
                  </w14:solidFill>
                </w14:textFill>
              </w:rPr>
            </w:pPr>
            <w:bookmarkStart w:id="286" w:name="_Toc15208"/>
            <w:bookmarkStart w:id="287" w:name="_Toc5765"/>
            <w:bookmarkStart w:id="288" w:name="_Toc27290"/>
            <w:bookmarkStart w:id="289" w:name="_Toc14589"/>
            <w:bookmarkStart w:id="290" w:name="_Toc3701"/>
            <w:r>
              <w:rPr>
                <w:rFonts w:ascii="Times New Roman" w:hAnsi="Times New Roman" w:eastAsia="宋体" w:cs="Times New Roman"/>
                <w:b w:val="0"/>
                <w:bCs w:val="0"/>
                <w:color w:val="000000" w:themeColor="text1"/>
                <w:sz w:val="21"/>
                <w:szCs w:val="21"/>
                <w14:textFill>
                  <w14:solidFill>
                    <w14:schemeClr w14:val="tx1"/>
                  </w14:solidFill>
                </w14:textFill>
              </w:rPr>
              <w:t>1</w:t>
            </w:r>
            <w:bookmarkEnd w:id="286"/>
            <w:bookmarkEnd w:id="287"/>
            <w:bookmarkEnd w:id="288"/>
            <w:bookmarkEnd w:id="289"/>
            <w:bookmarkEnd w:id="290"/>
          </w:p>
        </w:tc>
        <w:tc>
          <w:tcPr>
            <w:tcW w:w="2360"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bookmarkStart w:id="291" w:name="_Toc1551"/>
            <w:bookmarkStart w:id="292" w:name="_Toc32188"/>
            <w:bookmarkStart w:id="293" w:name="_Toc10440"/>
            <w:bookmarkStart w:id="294" w:name="_Toc22625"/>
            <w:bookmarkStart w:id="295" w:name="_Toc20008"/>
            <w:r>
              <w:rPr>
                <w:rFonts w:ascii="Times New Roman" w:hAnsi="Times New Roman" w:eastAsia="宋体" w:cs="Times New Roman"/>
                <w:b w:val="0"/>
                <w:bCs w:val="0"/>
                <w:color w:val="000000" w:themeColor="text1"/>
                <w:sz w:val="21"/>
                <w:szCs w:val="21"/>
                <w14:textFill>
                  <w14:solidFill>
                    <w14:schemeClr w14:val="tx1"/>
                  </w14:solidFill>
                </w14:textFill>
              </w:rPr>
              <w:t>单井采油管线</w:t>
            </w:r>
            <w:bookmarkEnd w:id="291"/>
            <w:bookmarkEnd w:id="292"/>
            <w:bookmarkEnd w:id="293"/>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ascii="Times New Roman" w:hAnsi="Times New Roman" w:eastAsia="宋体" w:cs="Times New Roman"/>
                <w:b w:val="0"/>
                <w:bCs w:val="0"/>
                <w:color w:val="000000" w:themeColor="text1"/>
                <w:sz w:val="21"/>
                <w:szCs w:val="21"/>
                <w14:textFill>
                  <w14:solidFill>
                    <w14:schemeClr w14:val="tx1"/>
                  </w14:solidFill>
                </w14:textFill>
              </w:rPr>
              <w:t>50</w:t>
            </w:r>
            <w:bookmarkEnd w:id="294"/>
            <w:bookmarkEnd w:id="295"/>
          </w:p>
        </w:tc>
        <w:tc>
          <w:tcPr>
            <w:tcW w:w="1423"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10.33</w:t>
            </w:r>
          </w:p>
        </w:tc>
        <w:tc>
          <w:tcPr>
            <w:tcW w:w="1465" w:type="dxa"/>
            <w:vMerge w:val="restart"/>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bookmarkStart w:id="296" w:name="_Toc821"/>
            <w:bookmarkStart w:id="297" w:name="_Toc14213"/>
            <w:bookmarkStart w:id="298" w:name="_Toc5813"/>
            <w:bookmarkStart w:id="299" w:name="_Toc1992"/>
            <w:bookmarkStart w:id="300" w:name="_Toc358"/>
            <w:r>
              <w:rPr>
                <w:rFonts w:ascii="Times New Roman" w:hAnsi="Times New Roman" w:eastAsia="宋体" w:cs="Times New Roman"/>
                <w:b w:val="0"/>
                <w:bCs w:val="0"/>
                <w:color w:val="000000" w:themeColor="text1"/>
                <w:sz w:val="21"/>
                <w:szCs w:val="21"/>
                <w14:textFill>
                  <w14:solidFill>
                    <w14:schemeClr w14:val="tx1"/>
                  </w14:solidFill>
                </w14:textFill>
              </w:rPr>
              <w:t>1.5</w:t>
            </w:r>
            <w:bookmarkEnd w:id="296"/>
            <w:bookmarkEnd w:id="297"/>
            <w:bookmarkEnd w:id="298"/>
            <w:bookmarkEnd w:id="299"/>
            <w:bookmarkEnd w:id="300"/>
          </w:p>
        </w:tc>
        <w:tc>
          <w:tcPr>
            <w:tcW w:w="2056"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30.41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215" w:type="dxa"/>
            <w:shd w:val="clear" w:color="auto" w:fill="auto"/>
            <w:vAlign w:val="center"/>
          </w:tcPr>
          <w:p>
            <w:pPr>
              <w:pStyle w:val="3"/>
              <w:keepNext w:val="0"/>
              <w:keepLines w:val="0"/>
              <w:spacing w:before="0" w:after="0" w:line="240" w:lineRule="auto"/>
              <w:ind w:firstLine="420"/>
              <w:rPr>
                <w:rFonts w:ascii="Times New Roman" w:hAnsi="Times New Roman" w:eastAsia="宋体" w:cs="Times New Roman"/>
                <w:b w:val="0"/>
                <w:bCs w:val="0"/>
                <w:color w:val="000000" w:themeColor="text1"/>
                <w:sz w:val="21"/>
                <w:szCs w:val="21"/>
                <w14:textFill>
                  <w14:solidFill>
                    <w14:schemeClr w14:val="tx1"/>
                  </w14:solidFill>
                </w14:textFill>
              </w:rPr>
            </w:pPr>
            <w:bookmarkStart w:id="301" w:name="_Toc32024"/>
            <w:bookmarkStart w:id="302" w:name="_Toc18598"/>
            <w:bookmarkStart w:id="303" w:name="_Toc25292"/>
            <w:bookmarkStart w:id="304" w:name="_Toc26488"/>
            <w:bookmarkStart w:id="305" w:name="_Toc14894"/>
            <w:r>
              <w:rPr>
                <w:rFonts w:ascii="Times New Roman" w:hAnsi="Times New Roman" w:eastAsia="宋体" w:cs="Times New Roman"/>
                <w:b w:val="0"/>
                <w:bCs w:val="0"/>
                <w:color w:val="000000" w:themeColor="text1"/>
                <w:sz w:val="21"/>
                <w:szCs w:val="21"/>
                <w14:textFill>
                  <w14:solidFill>
                    <w14:schemeClr w14:val="tx1"/>
                  </w14:solidFill>
                </w14:textFill>
              </w:rPr>
              <w:t>2</w:t>
            </w:r>
          </w:p>
        </w:tc>
        <w:tc>
          <w:tcPr>
            <w:tcW w:w="2360"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集油支线/150</w:t>
            </w:r>
          </w:p>
        </w:tc>
        <w:tc>
          <w:tcPr>
            <w:tcW w:w="1423"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3.6</w:t>
            </w:r>
          </w:p>
        </w:tc>
        <w:tc>
          <w:tcPr>
            <w:tcW w:w="1465" w:type="dxa"/>
            <w:vMerge w:val="continue"/>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p>
        </w:tc>
        <w:tc>
          <w:tcPr>
            <w:tcW w:w="2056"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95.38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215" w:type="dxa"/>
            <w:shd w:val="clear" w:color="auto" w:fill="auto"/>
            <w:vAlign w:val="center"/>
          </w:tcPr>
          <w:p>
            <w:pPr>
              <w:pStyle w:val="3"/>
              <w:keepNext w:val="0"/>
              <w:keepLines w:val="0"/>
              <w:spacing w:before="0" w:after="0" w:line="240" w:lineRule="auto"/>
              <w:ind w:firstLine="420"/>
              <w:rPr>
                <w:rFonts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eastAsia="宋体" w:cs="Times New Roman"/>
                <w:b w:val="0"/>
                <w:bCs w:val="0"/>
                <w:color w:val="000000" w:themeColor="text1"/>
                <w:sz w:val="21"/>
                <w:szCs w:val="21"/>
                <w14:textFill>
                  <w14:solidFill>
                    <w14:schemeClr w14:val="tx1"/>
                  </w14:solidFill>
                </w14:textFill>
              </w:rPr>
              <w:t>3</w:t>
            </w:r>
          </w:p>
        </w:tc>
        <w:tc>
          <w:tcPr>
            <w:tcW w:w="2360"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集油干线/150</w:t>
            </w:r>
          </w:p>
        </w:tc>
        <w:tc>
          <w:tcPr>
            <w:tcW w:w="1423"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2.1</w:t>
            </w:r>
          </w:p>
        </w:tc>
        <w:tc>
          <w:tcPr>
            <w:tcW w:w="1465" w:type="dxa"/>
            <w:vMerge w:val="continue"/>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p>
        </w:tc>
        <w:tc>
          <w:tcPr>
            <w:tcW w:w="2056"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55.64</w:t>
            </w:r>
          </w:p>
        </w:tc>
      </w:tr>
      <w:bookmarkEnd w:id="301"/>
      <w:bookmarkEnd w:id="302"/>
      <w:bookmarkEnd w:id="303"/>
      <w:bookmarkEnd w:id="304"/>
      <w:bookmarkEnd w:id="30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215" w:type="dxa"/>
            <w:shd w:val="clear" w:color="auto" w:fill="auto"/>
            <w:vAlign w:val="center"/>
          </w:tcPr>
          <w:p>
            <w:pPr>
              <w:pStyle w:val="3"/>
              <w:keepNext w:val="0"/>
              <w:keepLines w:val="0"/>
              <w:spacing w:before="0" w:after="0" w:line="240" w:lineRule="auto"/>
              <w:ind w:firstLine="420"/>
              <w:rPr>
                <w:rFonts w:ascii="Times New Roman" w:hAnsi="Times New Roman" w:eastAsia="宋体" w:cs="Times New Roman"/>
                <w:b w:val="0"/>
                <w:bCs w:val="0"/>
                <w:color w:val="000000" w:themeColor="text1"/>
                <w:sz w:val="21"/>
                <w:szCs w:val="21"/>
                <w14:textFill>
                  <w14:solidFill>
                    <w14:schemeClr w14:val="tx1"/>
                  </w14:solidFill>
                </w14:textFill>
              </w:rPr>
            </w:pPr>
            <w:r>
              <w:rPr>
                <w:rFonts w:ascii="Times New Roman" w:hAnsi="Times New Roman" w:eastAsia="宋体" w:cs="Times New Roman"/>
                <w:b w:val="0"/>
                <w:bCs w:val="0"/>
                <w:color w:val="000000" w:themeColor="text1"/>
                <w:sz w:val="21"/>
                <w:szCs w:val="21"/>
                <w14:textFill>
                  <w14:solidFill>
                    <w14:schemeClr w14:val="tx1"/>
                  </w14:solidFill>
                </w14:textFill>
              </w:rPr>
              <w:t>4</w:t>
            </w:r>
          </w:p>
        </w:tc>
        <w:tc>
          <w:tcPr>
            <w:tcW w:w="2360"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bookmarkStart w:id="306" w:name="_Toc2472"/>
            <w:bookmarkStart w:id="307" w:name="_Toc14130"/>
            <w:bookmarkStart w:id="308" w:name="_Toc65"/>
            <w:bookmarkStart w:id="309" w:name="_Toc16355"/>
            <w:bookmarkStart w:id="310" w:name="_Toc516"/>
            <w:r>
              <w:rPr>
                <w:rFonts w:ascii="Times New Roman" w:hAnsi="Times New Roman" w:eastAsia="宋体" w:cs="Times New Roman"/>
                <w:b w:val="0"/>
                <w:bCs w:val="0"/>
                <w:color w:val="000000" w:themeColor="text1"/>
                <w:sz w:val="21"/>
                <w:szCs w:val="21"/>
                <w14:textFill>
                  <w14:solidFill>
                    <w14:schemeClr w14:val="tx1"/>
                  </w14:solidFill>
                </w14:textFill>
              </w:rPr>
              <w:t>单井注水管线</w:t>
            </w:r>
            <w:bookmarkEnd w:id="306"/>
            <w:bookmarkEnd w:id="307"/>
            <w:bookmarkEnd w:id="308"/>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ascii="Times New Roman" w:hAnsi="Times New Roman" w:eastAsia="宋体" w:cs="Times New Roman"/>
                <w:b w:val="0"/>
                <w:bCs w:val="0"/>
                <w:color w:val="000000" w:themeColor="text1"/>
                <w:sz w:val="21"/>
                <w:szCs w:val="21"/>
                <w14:textFill>
                  <w14:solidFill>
                    <w14:schemeClr w14:val="tx1"/>
                  </w14:solidFill>
                </w14:textFill>
              </w:rPr>
              <w:t>50</w:t>
            </w:r>
            <w:bookmarkEnd w:id="309"/>
            <w:bookmarkEnd w:id="310"/>
          </w:p>
        </w:tc>
        <w:tc>
          <w:tcPr>
            <w:tcW w:w="1423"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4.52</w:t>
            </w:r>
          </w:p>
        </w:tc>
        <w:tc>
          <w:tcPr>
            <w:tcW w:w="1465" w:type="dxa"/>
            <w:vMerge w:val="continue"/>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p>
        </w:tc>
        <w:tc>
          <w:tcPr>
            <w:tcW w:w="2056"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215" w:type="dxa"/>
            <w:vAlign w:val="center"/>
          </w:tcPr>
          <w:p>
            <w:pPr>
              <w:pStyle w:val="3"/>
              <w:keepNext w:val="0"/>
              <w:keepLines w:val="0"/>
              <w:spacing w:before="0" w:after="0" w:line="240" w:lineRule="auto"/>
              <w:ind w:firstLine="420"/>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5</w:t>
            </w:r>
          </w:p>
        </w:tc>
        <w:tc>
          <w:tcPr>
            <w:tcW w:w="2360"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bookmarkStart w:id="311" w:name="_Toc13073"/>
            <w:bookmarkStart w:id="312" w:name="_Toc20890"/>
            <w:r>
              <w:rPr>
                <w:rFonts w:hint="eastAsia" w:ascii="Times New Roman" w:hAnsi="Times New Roman" w:eastAsia="宋体" w:cs="Times New Roman"/>
                <w:b w:val="0"/>
                <w:bCs w:val="0"/>
                <w:color w:val="000000" w:themeColor="text1"/>
                <w:sz w:val="21"/>
                <w:szCs w:val="21"/>
                <w14:textFill>
                  <w14:solidFill>
                    <w14:schemeClr w14:val="tx1"/>
                  </w14:solidFill>
                </w14:textFill>
              </w:rPr>
              <w:t>注水</w:t>
            </w:r>
            <w:r>
              <w:rPr>
                <w:rFonts w:ascii="Times New Roman" w:hAnsi="Times New Roman" w:eastAsia="宋体" w:cs="Times New Roman"/>
                <w:b w:val="0"/>
                <w:bCs w:val="0"/>
                <w:color w:val="000000" w:themeColor="text1"/>
                <w:sz w:val="21"/>
                <w:szCs w:val="21"/>
                <w14:textFill>
                  <w14:solidFill>
                    <w14:schemeClr w14:val="tx1"/>
                  </w14:solidFill>
                </w14:textFill>
              </w:rPr>
              <w:t>支线</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ascii="Times New Roman" w:hAnsi="Times New Roman" w:eastAsia="宋体" w:cs="Times New Roman"/>
                <w:b w:val="0"/>
                <w:bCs w:val="0"/>
                <w:color w:val="000000" w:themeColor="text1"/>
                <w:sz w:val="21"/>
                <w:szCs w:val="21"/>
                <w14:textFill>
                  <w14:solidFill>
                    <w14:schemeClr w14:val="tx1"/>
                  </w14:solidFill>
                </w14:textFill>
              </w:rPr>
              <w:t>100</w:t>
            </w:r>
            <w:bookmarkEnd w:id="311"/>
            <w:bookmarkEnd w:id="312"/>
          </w:p>
        </w:tc>
        <w:tc>
          <w:tcPr>
            <w:tcW w:w="1423"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1.77</w:t>
            </w:r>
          </w:p>
        </w:tc>
        <w:tc>
          <w:tcPr>
            <w:tcW w:w="1465" w:type="dxa"/>
            <w:vMerge w:val="continue"/>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p>
        </w:tc>
        <w:tc>
          <w:tcPr>
            <w:tcW w:w="2056"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20.84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215" w:type="dxa"/>
            <w:vAlign w:val="center"/>
          </w:tcPr>
          <w:p>
            <w:pPr>
              <w:pStyle w:val="3"/>
              <w:keepNext w:val="0"/>
              <w:keepLines w:val="0"/>
              <w:spacing w:before="0" w:after="0" w:line="240" w:lineRule="auto"/>
              <w:ind w:firstLine="420"/>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6</w:t>
            </w:r>
          </w:p>
        </w:tc>
        <w:tc>
          <w:tcPr>
            <w:tcW w:w="2360"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bookmarkStart w:id="313" w:name="_Toc10014"/>
            <w:bookmarkStart w:id="314" w:name="_Toc19856"/>
            <w:r>
              <w:rPr>
                <w:rFonts w:ascii="Times New Roman" w:hAnsi="Times New Roman" w:eastAsia="宋体" w:cs="Times New Roman"/>
                <w:b w:val="0"/>
                <w:bCs w:val="0"/>
                <w:color w:val="000000" w:themeColor="text1"/>
                <w:sz w:val="21"/>
                <w:szCs w:val="21"/>
                <w14:textFill>
                  <w14:solidFill>
                    <w14:schemeClr w14:val="tx1"/>
                  </w14:solidFill>
                </w14:textFill>
              </w:rPr>
              <w:t>注水</w:t>
            </w:r>
            <w:r>
              <w:rPr>
                <w:rFonts w:hint="eastAsia" w:ascii="Times New Roman" w:hAnsi="Times New Roman" w:eastAsia="宋体" w:cs="Times New Roman"/>
                <w:b w:val="0"/>
                <w:bCs w:val="0"/>
                <w:color w:val="000000" w:themeColor="text1"/>
                <w:sz w:val="21"/>
                <w:szCs w:val="21"/>
                <w14:textFill>
                  <w14:solidFill>
                    <w14:schemeClr w14:val="tx1"/>
                  </w14:solidFill>
                </w14:textFill>
              </w:rPr>
              <w:t>干</w:t>
            </w:r>
            <w:r>
              <w:rPr>
                <w:rFonts w:ascii="Times New Roman" w:hAnsi="Times New Roman" w:eastAsia="宋体" w:cs="Times New Roman"/>
                <w:b w:val="0"/>
                <w:bCs w:val="0"/>
                <w:color w:val="000000" w:themeColor="text1"/>
                <w:sz w:val="21"/>
                <w:szCs w:val="21"/>
                <w14:textFill>
                  <w14:solidFill>
                    <w14:schemeClr w14:val="tx1"/>
                  </w14:solidFill>
                </w14:textFill>
              </w:rPr>
              <w:t>线</w:t>
            </w:r>
            <w:bookmarkEnd w:id="313"/>
            <w:bookmarkEnd w:id="314"/>
            <w:r>
              <w:rPr>
                <w:rFonts w:hint="eastAsia" w:ascii="Times New Roman" w:hAnsi="Times New Roman" w:eastAsia="宋体" w:cs="Times New Roman"/>
                <w:b w:val="0"/>
                <w:bCs w:val="0"/>
                <w:color w:val="000000" w:themeColor="text1"/>
                <w:sz w:val="21"/>
                <w:szCs w:val="21"/>
                <w14:textFill>
                  <w14:solidFill>
                    <w14:schemeClr w14:val="tx1"/>
                  </w14:solidFill>
                </w14:textFill>
              </w:rPr>
              <w:t>/150</w:t>
            </w:r>
          </w:p>
        </w:tc>
        <w:tc>
          <w:tcPr>
            <w:tcW w:w="1423"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2.12</w:t>
            </w:r>
          </w:p>
        </w:tc>
        <w:tc>
          <w:tcPr>
            <w:tcW w:w="1465" w:type="dxa"/>
            <w:vMerge w:val="continue"/>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p>
        </w:tc>
        <w:tc>
          <w:tcPr>
            <w:tcW w:w="2056"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56.17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463" w:type="dxa"/>
            <w:gridSpan w:val="4"/>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bookmarkStart w:id="315" w:name="_Toc3471"/>
            <w:bookmarkStart w:id="316" w:name="_Toc24677"/>
            <w:bookmarkStart w:id="317" w:name="_Toc1714"/>
            <w:bookmarkStart w:id="318" w:name="_Toc14525"/>
            <w:bookmarkStart w:id="319" w:name="_Toc9012"/>
            <w:r>
              <w:rPr>
                <w:rFonts w:ascii="Times New Roman" w:hAnsi="Times New Roman" w:eastAsia="宋体" w:cs="Times New Roman"/>
                <w:b w:val="0"/>
                <w:bCs w:val="0"/>
                <w:color w:val="000000" w:themeColor="text1"/>
                <w:sz w:val="21"/>
                <w:szCs w:val="21"/>
                <w14:textFill>
                  <w14:solidFill>
                    <w14:schemeClr w14:val="tx1"/>
                  </w14:solidFill>
                </w14:textFill>
              </w:rPr>
              <w:t>按80%循环量，则废水产生量：</w:t>
            </w:r>
            <w:bookmarkEnd w:id="315"/>
            <w:bookmarkEnd w:id="316"/>
            <w:bookmarkEnd w:id="317"/>
          </w:p>
        </w:tc>
        <w:tc>
          <w:tcPr>
            <w:tcW w:w="2056" w:type="dxa"/>
            <w:vAlign w:val="center"/>
          </w:tcPr>
          <w:p>
            <w:pPr>
              <w:pStyle w:val="3"/>
              <w:keepNext w:val="0"/>
              <w:keepLines w:val="0"/>
              <w:spacing w:before="0" w:after="0" w:line="240" w:lineRule="auto"/>
              <w:jc w:val="center"/>
              <w:rPr>
                <w:rFonts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519" w:type="dxa"/>
            <w:gridSpan w:val="5"/>
            <w:vAlign w:val="center"/>
          </w:tcPr>
          <w:p>
            <w:pPr>
              <w:pStyle w:val="3"/>
              <w:keepNext w:val="0"/>
              <w:keepLines w:val="0"/>
              <w:spacing w:before="0" w:after="0" w:line="240" w:lineRule="auto"/>
              <w:jc w:val="left"/>
              <w:rPr>
                <w:rFonts w:ascii="Times New Roman" w:hAnsi="Times New Roman" w:eastAsia="宋体" w:cs="Times New Roman"/>
                <w:b w:val="0"/>
                <w:bCs w:val="0"/>
                <w:color w:val="000000" w:themeColor="text1"/>
                <w:sz w:val="18"/>
                <w:szCs w:val="18"/>
                <w14:textFill>
                  <w14:solidFill>
                    <w14:schemeClr w14:val="tx1"/>
                  </w14:solidFill>
                </w14:textFill>
              </w:rPr>
            </w:pPr>
            <w:bookmarkStart w:id="320" w:name="_Toc9278"/>
            <w:bookmarkStart w:id="321" w:name="_Toc21596"/>
            <w:bookmarkStart w:id="322" w:name="_Toc10649"/>
            <w:r>
              <w:rPr>
                <w:rFonts w:ascii="Times New Roman" w:hAnsi="Times New Roman" w:eastAsia="宋体" w:cs="Times New Roman"/>
                <w:b w:val="0"/>
                <w:bCs w:val="0"/>
                <w:color w:val="000000" w:themeColor="text1"/>
                <w:sz w:val="18"/>
                <w:szCs w:val="18"/>
                <w14:textFill>
                  <w14:solidFill>
                    <w14:schemeClr w14:val="tx1"/>
                  </w14:solidFill>
                </w14:textFill>
              </w:rPr>
              <w:t>注：1.试压废水计算公式为：管线容积×1.5。</w:t>
            </w:r>
            <w:bookmarkEnd w:id="318"/>
            <w:bookmarkEnd w:id="319"/>
            <w:bookmarkEnd w:id="320"/>
            <w:bookmarkEnd w:id="321"/>
            <w:bookmarkEnd w:id="322"/>
          </w:p>
          <w:p>
            <w:pPr>
              <w:pStyle w:val="3"/>
              <w:keepNext w:val="0"/>
              <w:keepLines w:val="0"/>
              <w:spacing w:before="0" w:after="0" w:line="240" w:lineRule="auto"/>
              <w:ind w:firstLine="360" w:firstLineChars="200"/>
              <w:jc w:val="left"/>
              <w:rPr>
                <w:rFonts w:ascii="Times New Roman" w:hAnsi="Times New Roman" w:eastAsia="宋体" w:cs="Times New Roman"/>
                <w:b w:val="0"/>
                <w:bCs w:val="0"/>
                <w:color w:val="000000" w:themeColor="text1"/>
                <w:sz w:val="21"/>
                <w:szCs w:val="21"/>
                <w14:textFill>
                  <w14:solidFill>
                    <w14:schemeClr w14:val="tx1"/>
                  </w14:solidFill>
                </w14:textFill>
              </w:rPr>
            </w:pPr>
            <w:bookmarkStart w:id="323" w:name="_Toc22115"/>
            <w:bookmarkStart w:id="324" w:name="_Toc26619"/>
            <w:bookmarkStart w:id="325" w:name="_Toc20727"/>
            <w:r>
              <w:rPr>
                <w:rFonts w:ascii="Times New Roman" w:hAnsi="Times New Roman" w:eastAsia="宋体" w:cs="Times New Roman"/>
                <w:b w:val="0"/>
                <w:bCs w:val="0"/>
                <w:color w:val="000000" w:themeColor="text1"/>
                <w:sz w:val="18"/>
                <w:szCs w:val="18"/>
                <w14:textFill>
                  <w14:solidFill>
                    <w14:schemeClr w14:val="tx1"/>
                  </w14:solidFill>
                </w14:textFill>
              </w:rPr>
              <w:t>2.管线试压废水优先考虑循环使用，</w:t>
            </w:r>
            <w:r>
              <w:rPr>
                <w:rFonts w:hint="eastAsia" w:ascii="Times New Roman" w:hAnsi="Times New Roman" w:eastAsia="宋体" w:cs="Times New Roman"/>
                <w:b w:val="0"/>
                <w:bCs w:val="0"/>
                <w:color w:val="000000" w:themeColor="text1"/>
                <w:sz w:val="18"/>
                <w:szCs w:val="18"/>
                <w14:textFill>
                  <w14:solidFill>
                    <w14:schemeClr w14:val="tx1"/>
                  </w14:solidFill>
                </w14:textFill>
              </w:rPr>
              <w:t>6</w:t>
            </w:r>
            <w:r>
              <w:rPr>
                <w:rFonts w:ascii="Times New Roman" w:hAnsi="Times New Roman" w:eastAsia="宋体" w:cs="Times New Roman"/>
                <w:b w:val="0"/>
                <w:bCs w:val="0"/>
                <w:color w:val="000000" w:themeColor="text1"/>
                <w:sz w:val="18"/>
                <w:szCs w:val="18"/>
                <w14:textFill>
                  <w14:solidFill>
                    <w14:schemeClr w14:val="tx1"/>
                  </w14:solidFill>
                </w14:textFill>
              </w:rPr>
              <w:t>条不同管径的集输管线试压废水产生量最大为</w:t>
            </w:r>
            <w:r>
              <w:rPr>
                <w:rFonts w:hint="eastAsia" w:ascii="Times New Roman" w:hAnsi="Times New Roman" w:eastAsia="宋体" w:cs="Times New Roman"/>
                <w:b w:val="0"/>
                <w:bCs w:val="0"/>
                <w:color w:val="000000" w:themeColor="text1"/>
                <w:sz w:val="18"/>
                <w:szCs w:val="18"/>
                <w14:textFill>
                  <w14:solidFill>
                    <w14:schemeClr w14:val="tx1"/>
                  </w14:solidFill>
                </w14:textFill>
              </w:rPr>
              <w:t>95.38</w:t>
            </w:r>
            <w:r>
              <w:rPr>
                <w:rFonts w:ascii="Times New Roman" w:hAnsi="Times New Roman" w:eastAsia="宋体" w:cs="Times New Roman"/>
                <w:b w:val="0"/>
                <w:bCs w:val="0"/>
                <w:color w:val="000000" w:themeColor="text1"/>
                <w:sz w:val="18"/>
                <w:szCs w:val="18"/>
                <w14:textFill>
                  <w14:solidFill>
                    <w14:schemeClr w14:val="tx1"/>
                  </w14:solidFill>
                </w14:textFill>
              </w:rPr>
              <w:t>m</w:t>
            </w:r>
            <w:r>
              <w:rPr>
                <w:rFonts w:ascii="Times New Roman" w:hAnsi="Times New Roman" w:eastAsia="宋体" w:cs="Times New Roman"/>
                <w:b w:val="0"/>
                <w:bCs w:val="0"/>
                <w:color w:val="000000" w:themeColor="text1"/>
                <w:sz w:val="18"/>
                <w:szCs w:val="18"/>
                <w:vertAlign w:val="superscript"/>
                <w14:textFill>
                  <w14:solidFill>
                    <w14:schemeClr w14:val="tx1"/>
                  </w14:solidFill>
                </w14:textFill>
              </w:rPr>
              <w:t>3</w:t>
            </w:r>
            <w:r>
              <w:rPr>
                <w:rFonts w:ascii="Times New Roman" w:hAnsi="Times New Roman" w:eastAsia="宋体" w:cs="Times New Roman"/>
                <w:b w:val="0"/>
                <w:bCs w:val="0"/>
                <w:color w:val="000000" w:themeColor="text1"/>
                <w:sz w:val="18"/>
                <w:szCs w:val="18"/>
                <w14:textFill>
                  <w14:solidFill>
                    <w14:schemeClr w14:val="tx1"/>
                  </w14:solidFill>
                </w14:textFill>
              </w:rPr>
              <w:t>，每次循环水量按80%计，则</w:t>
            </w:r>
            <w:r>
              <w:rPr>
                <w:rFonts w:hint="eastAsia" w:ascii="Times New Roman" w:hAnsi="Times New Roman" w:eastAsia="宋体" w:cs="Times New Roman"/>
                <w:b w:val="0"/>
                <w:bCs w:val="0"/>
                <w:color w:val="000000" w:themeColor="text1"/>
                <w:sz w:val="18"/>
                <w:szCs w:val="18"/>
                <w14:textFill>
                  <w14:solidFill>
                    <w14:schemeClr w14:val="tx1"/>
                  </w14:solidFill>
                </w14:textFill>
              </w:rPr>
              <w:t>6</w:t>
            </w:r>
            <w:r>
              <w:rPr>
                <w:rFonts w:ascii="Times New Roman" w:hAnsi="Times New Roman" w:eastAsia="宋体" w:cs="Times New Roman"/>
                <w:b w:val="0"/>
                <w:bCs w:val="0"/>
                <w:color w:val="000000" w:themeColor="text1"/>
                <w:sz w:val="18"/>
                <w:szCs w:val="18"/>
                <w14:textFill>
                  <w14:solidFill>
                    <w14:schemeClr w14:val="tx1"/>
                  </w14:solidFill>
                </w14:textFill>
              </w:rPr>
              <w:t>条不同管径试压后，最终废水产生量为</w:t>
            </w:r>
            <w:r>
              <w:rPr>
                <w:rFonts w:hint="eastAsia" w:ascii="Times New Roman" w:hAnsi="Times New Roman" w:eastAsia="宋体" w:cs="Times New Roman"/>
                <w:b w:val="0"/>
                <w:bCs w:val="0"/>
                <w:color w:val="000000" w:themeColor="text1"/>
                <w:sz w:val="18"/>
                <w:szCs w:val="18"/>
                <w14:textFill>
                  <w14:solidFill>
                    <w14:schemeClr w14:val="tx1"/>
                  </w14:solidFill>
                </w14:textFill>
              </w:rPr>
              <w:t>95.38</w:t>
            </w:r>
            <w:r>
              <w:rPr>
                <w:rFonts w:ascii="Times New Roman" w:hAnsi="Times New Roman" w:eastAsia="宋体" w:cs="Times New Roman"/>
                <w:b w:val="0"/>
                <w:bCs w:val="0"/>
                <w:color w:val="000000" w:themeColor="text1"/>
                <w:sz w:val="18"/>
                <w:szCs w:val="18"/>
                <w14:textFill>
                  <w14:solidFill>
                    <w14:schemeClr w14:val="tx1"/>
                  </w14:solidFill>
                </w14:textFill>
              </w:rPr>
              <w:t>×80%×80%×80%×80%×80%=</w:t>
            </w:r>
            <w:r>
              <w:rPr>
                <w:rFonts w:hint="eastAsia" w:ascii="Times New Roman" w:hAnsi="Times New Roman" w:eastAsia="宋体" w:cs="Times New Roman"/>
                <w:b w:val="0"/>
                <w:bCs w:val="0"/>
                <w:color w:val="000000" w:themeColor="text1"/>
                <w:sz w:val="18"/>
                <w:szCs w:val="18"/>
                <w14:textFill>
                  <w14:solidFill>
                    <w14:schemeClr w14:val="tx1"/>
                  </w14:solidFill>
                </w14:textFill>
              </w:rPr>
              <w:t>31.25</w:t>
            </w:r>
            <w:r>
              <w:rPr>
                <w:rFonts w:ascii="Times New Roman" w:hAnsi="Times New Roman" w:eastAsia="宋体" w:cs="Times New Roman"/>
                <w:b w:val="0"/>
                <w:bCs w:val="0"/>
                <w:color w:val="000000" w:themeColor="text1"/>
                <w:sz w:val="18"/>
                <w:szCs w:val="18"/>
                <w14:textFill>
                  <w14:solidFill>
                    <w14:schemeClr w14:val="tx1"/>
                  </w14:solidFill>
                </w14:textFill>
              </w:rPr>
              <w:t>m</w:t>
            </w:r>
            <w:r>
              <w:rPr>
                <w:rFonts w:ascii="Times New Roman" w:hAnsi="Times New Roman" w:eastAsia="宋体" w:cs="Times New Roman"/>
                <w:b w:val="0"/>
                <w:bCs w:val="0"/>
                <w:color w:val="000000" w:themeColor="text1"/>
                <w:sz w:val="18"/>
                <w:szCs w:val="18"/>
                <w:vertAlign w:val="superscript"/>
                <w14:textFill>
                  <w14:solidFill>
                    <w14:schemeClr w14:val="tx1"/>
                  </w14:solidFill>
                </w14:textFill>
              </w:rPr>
              <w:t>3</w:t>
            </w:r>
            <w:r>
              <w:rPr>
                <w:rFonts w:ascii="Times New Roman" w:hAnsi="Times New Roman" w:eastAsia="宋体" w:cs="Times New Roman"/>
                <w:b w:val="0"/>
                <w:bCs w:val="0"/>
                <w:color w:val="000000" w:themeColor="text1"/>
                <w:sz w:val="18"/>
                <w:szCs w:val="18"/>
                <w14:textFill>
                  <w14:solidFill>
                    <w14:schemeClr w14:val="tx1"/>
                  </w14:solidFill>
                </w14:textFill>
              </w:rPr>
              <w:t>。</w:t>
            </w:r>
            <w:bookmarkEnd w:id="323"/>
            <w:bookmarkEnd w:id="324"/>
            <w:bookmarkEnd w:id="325"/>
          </w:p>
        </w:tc>
      </w:tr>
    </w:tbl>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（4）生活污水</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项目施工期</w:t>
      </w:r>
      <w:r>
        <w:rPr>
          <w:rFonts w:ascii="Times New Roman" w:hAnsi="Times New Roman" w:cs="Times New Roman"/>
          <w:color w:val="000000" w:themeColor="text1"/>
          <w:sz w:val="24"/>
          <w14:textFill>
            <w14:solidFill>
              <w14:schemeClr w14:val="tx1"/>
            </w14:solidFill>
          </w14:textFill>
        </w:rPr>
        <w:t>施工人数为</w:t>
      </w:r>
      <w:r>
        <w:rPr>
          <w:rFonts w:hint="eastAsia" w:ascii="Times New Roman" w:hAnsi="Times New Roman" w:cs="Times New Roman"/>
          <w:color w:val="000000" w:themeColor="text1"/>
          <w:sz w:val="24"/>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0人，每人每天用水量约80L，</w:t>
      </w:r>
      <w:r>
        <w:rPr>
          <w:rFonts w:hint="eastAsia" w:ascii="Times New Roman" w:hAnsi="Times New Roman" w:cs="Times New Roman"/>
          <w:color w:val="000000" w:themeColor="text1"/>
          <w:sz w:val="24"/>
          <w14:textFill>
            <w14:solidFill>
              <w14:schemeClr w14:val="tx1"/>
            </w14:solidFill>
          </w14:textFill>
        </w:rPr>
        <w:t>本项目施工期1165.5d，</w:t>
      </w:r>
      <w:r>
        <w:rPr>
          <w:rFonts w:ascii="Times New Roman" w:hAnsi="Times New Roman" w:cs="Times New Roman"/>
          <w:color w:val="000000" w:themeColor="text1"/>
          <w:sz w:val="24"/>
          <w14:textFill>
            <w14:solidFill>
              <w14:schemeClr w14:val="tx1"/>
            </w14:solidFill>
          </w14:textFill>
        </w:rPr>
        <w:t>则整个</w:t>
      </w:r>
      <w:r>
        <w:rPr>
          <w:rFonts w:hint="eastAsia" w:ascii="Times New Roman" w:hAnsi="Times New Roman" w:cs="Times New Roman"/>
          <w:color w:val="000000" w:themeColor="text1"/>
          <w:sz w:val="24"/>
          <w14:textFill>
            <w14:solidFill>
              <w14:schemeClr w14:val="tx1"/>
            </w14:solidFill>
          </w14:textFill>
        </w:rPr>
        <w:t>施工</w:t>
      </w:r>
      <w:r>
        <w:rPr>
          <w:rFonts w:ascii="Times New Roman" w:hAnsi="Times New Roman" w:cs="Times New Roman"/>
          <w:color w:val="000000" w:themeColor="text1"/>
          <w:sz w:val="24"/>
          <w14:textFill>
            <w14:solidFill>
              <w14:schemeClr w14:val="tx1"/>
            </w14:solidFill>
          </w14:textFill>
        </w:rPr>
        <w:t>期间生活用水为</w:t>
      </w:r>
      <w:r>
        <w:rPr>
          <w:rFonts w:hint="eastAsia" w:ascii="Times New Roman" w:hAnsi="Times New Roman" w:cs="Times New Roman"/>
          <w:color w:val="000000" w:themeColor="text1"/>
          <w:sz w:val="24"/>
          <w14:textFill>
            <w14:solidFill>
              <w14:schemeClr w14:val="tx1"/>
            </w14:solidFill>
          </w14:textFill>
        </w:rPr>
        <w:t>1864.8</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，按照排污系数0.80计算，则整个钻井期间施工生活污水产生量为</w:t>
      </w:r>
      <w:r>
        <w:rPr>
          <w:rFonts w:hint="eastAsia" w:ascii="Times New Roman" w:hAnsi="Times New Roman" w:cs="Times New Roman"/>
          <w:color w:val="000000" w:themeColor="text1"/>
          <w:sz w:val="24"/>
          <w14:textFill>
            <w14:solidFill>
              <w14:schemeClr w14:val="tx1"/>
            </w14:solidFill>
          </w14:textFill>
        </w:rPr>
        <w:t>1491.84</w:t>
      </w:r>
      <w:r>
        <w:rPr>
          <w:rFonts w:ascii="Times New Roman" w:hAnsi="Times New Roman" w:cs="Times New Roman"/>
          <w:color w:val="000000" w:themeColor="text1"/>
          <w:sz w:val="24"/>
          <w14:textFill>
            <w14:solidFill>
              <w14:schemeClr w14:val="tx1"/>
            </w14:solidFill>
          </w14:textFill>
        </w:rPr>
        <w:t>m</w:t>
      </w:r>
      <w:r>
        <w:rPr>
          <w:rFonts w:ascii="Times New Roman" w:hAnsi="Times New Roman" w:cs="Times New Roman"/>
          <w:color w:val="000000" w:themeColor="text1"/>
          <w:sz w:val="24"/>
          <w:vertAlign w:val="super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。钻井井场不单独设置生活营地，依托陆梁生活公寓，生活污水直接排入陆梁公寓生活污水一体化处理装置进行处理，达到《</w:t>
      </w:r>
      <w:r>
        <w:rPr>
          <w:rFonts w:ascii="Times New Roman" w:hAnsi="Times New Roman" w:cs="Times New Roman"/>
          <w:color w:val="000000" w:themeColor="text1"/>
          <w:sz w:val="24"/>
          <w:lang w:val="en-US" w:eastAsia="zh-CN"/>
          <w14:textFill>
            <w14:solidFill>
              <w14:schemeClr w14:val="tx1"/>
            </w14:solidFill>
          </w14:textFill>
        </w:rPr>
        <w:t>农村生活污水处理排放标准</w:t>
      </w:r>
      <w:r>
        <w:rPr>
          <w:rFonts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 xml:space="preserve">DB </w:t>
      </w:r>
      <w:r>
        <w:rPr>
          <w:rFonts w:ascii="Times New Roman" w:hAnsi="Times New Roman" w:cs="Times New Roman"/>
          <w:color w:val="000000" w:themeColor="text1"/>
          <w:sz w:val="24"/>
          <w:lang w:val="en-US" w:eastAsia="zh-CN"/>
          <w14:textFill>
            <w14:solidFill>
              <w14:schemeClr w14:val="tx1"/>
            </w14:solidFill>
          </w14:textFill>
        </w:rPr>
        <w:t>65 4275</w:t>
      </w:r>
      <w:r>
        <w:rPr>
          <w:rFonts w:hint="eastAsia" w:ascii="Times New Roman" w:hAnsi="Times New Roman" w:cs="Times New Roman"/>
          <w:color w:val="000000" w:themeColor="text1"/>
          <w:sz w:val="24"/>
          <w:lang w:val="en-US" w:eastAsia="zh-CN"/>
          <w14:textFill>
            <w14:solidFill>
              <w14:schemeClr w14:val="tx1"/>
            </w14:solidFill>
          </w14:textFill>
        </w:rPr>
        <w:t>-</w:t>
      </w:r>
      <w:r>
        <w:rPr>
          <w:rFonts w:ascii="Times New Roman" w:hAnsi="Times New Roman" w:cs="Times New Roman"/>
          <w:color w:val="000000" w:themeColor="text1"/>
          <w:sz w:val="24"/>
          <w:lang w:val="en-US" w:eastAsia="zh-CN"/>
          <w14:textFill>
            <w14:solidFill>
              <w14:schemeClr w14:val="tx1"/>
            </w14:solidFill>
          </w14:textFill>
        </w:rPr>
        <w:t>2019</w:t>
      </w:r>
      <w:r>
        <w:rPr>
          <w:rFonts w:ascii="Times New Roman" w:hAnsi="Times New Roman" w:cs="Times New Roman"/>
          <w:color w:val="000000" w:themeColor="text1"/>
          <w:sz w:val="24"/>
          <w14:textFill>
            <w14:solidFill>
              <w14:schemeClr w14:val="tx1"/>
            </w14:solidFill>
          </w14:textFill>
        </w:rPr>
        <w:t>）中一级A标准后，夏季用于生活区绿化，冬季排入储水池。</w:t>
      </w:r>
    </w:p>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3.7.6.3噪声污染源</w:t>
      </w:r>
    </w:p>
    <w:p>
      <w:pPr>
        <w:pStyle w:val="30"/>
        <w:spacing w:line="360" w:lineRule="auto"/>
        <w:rPr>
          <w:rFonts w:cs="Times New Roman" w:eastAsiaTheme="minorEastAsia"/>
          <w:bCs w:val="0"/>
          <w:color w:val="000000" w:themeColor="text1"/>
          <w:sz w:val="24"/>
          <w:szCs w:val="24"/>
          <w14:textFill>
            <w14:solidFill>
              <w14:schemeClr w14:val="tx1"/>
            </w14:solidFill>
          </w14:textFill>
        </w:rPr>
      </w:pPr>
      <w:r>
        <w:rPr>
          <w:rFonts w:cs="Times New Roman" w:eastAsiaTheme="minorEastAsia"/>
          <w:bCs w:val="0"/>
          <w:color w:val="000000" w:themeColor="text1"/>
          <w:sz w:val="24"/>
          <w:szCs w:val="24"/>
          <w14:textFill>
            <w14:solidFill>
              <w14:schemeClr w14:val="tx1"/>
            </w14:solidFill>
          </w14:textFill>
        </w:rPr>
        <w:t>施工期的噪声源主要是钻井过程发电机、钻机和各类泵的噪声以及地面工程建设过程中推土机、挖掘机等施工机械噪声。</w:t>
      </w:r>
    </w:p>
    <w:p>
      <w:pPr>
        <w:pStyle w:val="30"/>
        <w:spacing w:line="360" w:lineRule="auto"/>
        <w:rPr>
          <w:rFonts w:cs="Times New Roman" w:eastAsiaTheme="minorEastAsia"/>
          <w:bCs w:val="0"/>
          <w:color w:val="000000" w:themeColor="text1"/>
          <w:sz w:val="24"/>
          <w:szCs w:val="24"/>
          <w14:textFill>
            <w14:solidFill>
              <w14:schemeClr w14:val="tx1"/>
            </w14:solidFill>
          </w14:textFill>
        </w:rPr>
      </w:pPr>
      <w:r>
        <w:rPr>
          <w:rFonts w:cs="Times New Roman" w:eastAsiaTheme="minorEastAsia"/>
          <w:bCs w:val="0"/>
          <w:color w:val="000000" w:themeColor="text1"/>
          <w:sz w:val="24"/>
          <w:szCs w:val="24"/>
          <w14:textFill>
            <w14:solidFill>
              <w14:schemeClr w14:val="tx1"/>
            </w14:solidFill>
          </w14:textFill>
        </w:rPr>
        <w:t>施工期主要噪声源详见表3.7-5。</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表3.7-5  施工期主要噪声源情况</w:t>
      </w:r>
    </w:p>
    <w:tbl>
      <w:tblPr>
        <w:tblStyle w:val="2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970"/>
        <w:gridCol w:w="1602"/>
        <w:gridCol w:w="1691"/>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74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序号</w:t>
            </w:r>
          </w:p>
        </w:tc>
        <w:tc>
          <w:tcPr>
            <w:tcW w:w="257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设备名称</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数量</w:t>
            </w:r>
          </w:p>
        </w:tc>
        <w:tc>
          <w:tcPr>
            <w:tcW w:w="35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噪声强度（dB</w:t>
            </w:r>
            <w:r>
              <w:rPr>
                <w:rFonts w:hint="eastAsia"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A</w:t>
            </w:r>
            <w:r>
              <w:rPr>
                <w:rFonts w:hint="eastAsia" w:ascii="Times New Roman" w:hAnsi="Times New Roman" w:eastAsia="宋体" w:cs="Times New Roman"/>
                <w:b/>
                <w:bCs/>
                <w:color w:val="000000" w:themeColor="text1"/>
                <w:szCs w:val="21"/>
                <w14:textFill>
                  <w14:solidFill>
                    <w14:schemeClr w14:val="tx1"/>
                  </w14:solidFill>
                </w14:textFill>
              </w:rPr>
              <w:t>）</w:t>
            </w:r>
            <w:r>
              <w:rPr>
                <w:rFonts w:ascii="Times New Roman" w:hAnsi="Times New Roman" w:eastAsia="宋体" w:cs="Times New Roman"/>
                <w:b/>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97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钻井</w:t>
            </w: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钻机</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1台/队</w:t>
            </w:r>
          </w:p>
        </w:tc>
        <w:tc>
          <w:tcPr>
            <w:tcW w:w="35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柴油机</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3台/队</w:t>
            </w:r>
          </w:p>
        </w:tc>
        <w:tc>
          <w:tcPr>
            <w:tcW w:w="35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柴油发电机</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2台/队</w:t>
            </w:r>
          </w:p>
        </w:tc>
        <w:tc>
          <w:tcPr>
            <w:tcW w:w="35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泥浆泵</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2台/队</w:t>
            </w:r>
          </w:p>
        </w:tc>
        <w:tc>
          <w:tcPr>
            <w:tcW w:w="35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743"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970"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储层改造</w:t>
            </w:r>
          </w:p>
        </w:tc>
        <w:tc>
          <w:tcPr>
            <w:tcW w:w="1602" w:type="dxa"/>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仪表车</w:t>
            </w:r>
          </w:p>
        </w:tc>
        <w:tc>
          <w:tcPr>
            <w:tcW w:w="1691" w:type="dxa"/>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1台/队</w:t>
            </w:r>
          </w:p>
        </w:tc>
        <w:tc>
          <w:tcPr>
            <w:tcW w:w="3513" w:type="dxa"/>
            <w:tcBorders>
              <w:top w:val="single" w:color="auto" w:sz="4" w:space="0"/>
              <w:left w:val="single" w:color="auto" w:sz="4" w:space="0"/>
              <w:bottom w:val="single" w:color="auto" w:sz="4" w:space="0"/>
              <w:right w:val="single" w:color="auto" w:sz="4" w:space="0"/>
            </w:tcBorders>
            <w:vAlign w:val="center"/>
          </w:tcPr>
          <w:p>
            <w:pPr>
              <w:pStyle w:val="6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70-</w:t>
            </w:r>
            <w:r>
              <w:rPr>
                <w:rFonts w:ascii="Times New Roman" w:hAnsi="Times New Roman" w:cs="Times New Roman"/>
                <w:color w:val="000000" w:themeColor="text1"/>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970" w:type="dxa"/>
            <w:vMerge w:val="continue"/>
            <w:tcBorders>
              <w:left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管汇车</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1台/队</w:t>
            </w:r>
          </w:p>
        </w:tc>
        <w:tc>
          <w:tcPr>
            <w:tcW w:w="3513" w:type="dxa"/>
            <w:tcBorders>
              <w:top w:val="single" w:color="auto" w:sz="4" w:space="0"/>
              <w:left w:val="single" w:color="auto" w:sz="4" w:space="0"/>
              <w:bottom w:val="single" w:color="auto" w:sz="4" w:space="0"/>
              <w:right w:val="single" w:color="auto" w:sz="4" w:space="0"/>
            </w:tcBorders>
            <w:vAlign w:val="center"/>
          </w:tcPr>
          <w:p>
            <w:pPr>
              <w:pStyle w:val="6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70-</w:t>
            </w:r>
            <w:r>
              <w:rPr>
                <w:rFonts w:ascii="Times New Roman" w:hAnsi="Times New Roman" w:cs="Times New Roman"/>
                <w:color w:val="000000" w:themeColor="text1"/>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970"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提液泵</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1台/队</w:t>
            </w:r>
          </w:p>
        </w:tc>
        <w:tc>
          <w:tcPr>
            <w:tcW w:w="3513" w:type="dxa"/>
            <w:tcBorders>
              <w:top w:val="single" w:color="auto" w:sz="4" w:space="0"/>
              <w:left w:val="single" w:color="auto" w:sz="4" w:space="0"/>
              <w:bottom w:val="single" w:color="auto" w:sz="4" w:space="0"/>
              <w:right w:val="single" w:color="auto" w:sz="4" w:space="0"/>
            </w:tcBorders>
            <w:vAlign w:val="center"/>
          </w:tcPr>
          <w:p>
            <w:pPr>
              <w:pStyle w:val="6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70-</w:t>
            </w:r>
            <w:r>
              <w:rPr>
                <w:rFonts w:ascii="Times New Roman" w:hAnsi="Times New Roman" w:cs="Times New Roman"/>
                <w:color w:val="000000" w:themeColor="text1"/>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97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地面工程建设</w:t>
            </w: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运输车辆</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2辆</w:t>
            </w:r>
          </w:p>
        </w:tc>
        <w:tc>
          <w:tcPr>
            <w:tcW w:w="35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推土机</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1台</w:t>
            </w:r>
          </w:p>
        </w:tc>
        <w:tc>
          <w:tcPr>
            <w:tcW w:w="35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挖掘机</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2台</w:t>
            </w:r>
          </w:p>
        </w:tc>
        <w:tc>
          <w:tcPr>
            <w:tcW w:w="35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p>
        </w:tc>
        <w:tc>
          <w:tcPr>
            <w:tcW w:w="16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电焊机</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1台</w:t>
            </w:r>
          </w:p>
        </w:tc>
        <w:tc>
          <w:tcPr>
            <w:tcW w:w="35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90-100</w:t>
            </w:r>
          </w:p>
        </w:tc>
      </w:tr>
    </w:tbl>
    <w:p>
      <w:pPr>
        <w:pStyle w:val="58"/>
        <w:rPr>
          <w:rFonts w:cs="Times New Roman"/>
          <w:color w:val="000000" w:themeColor="text1"/>
          <w:kern w:val="0"/>
          <w14:textFill>
            <w14:solidFill>
              <w14:schemeClr w14:val="tx1"/>
            </w14:solidFill>
          </w14:textFill>
        </w:rPr>
      </w:pPr>
      <w:bookmarkStart w:id="326" w:name="_Hlk93318279"/>
      <w:r>
        <w:rPr>
          <w:rFonts w:cs="Times New Roman"/>
          <w:color w:val="000000" w:themeColor="text1"/>
          <w:kern w:val="0"/>
          <w14:textFill>
            <w14:solidFill>
              <w14:schemeClr w14:val="tx1"/>
            </w14:solidFill>
          </w14:textFill>
        </w:rPr>
        <w:t>3.</w:t>
      </w:r>
      <w:bookmarkStart w:id="327" w:name="_Hlk87100518"/>
      <w:r>
        <w:rPr>
          <w:rFonts w:cs="Times New Roman"/>
          <w:color w:val="000000" w:themeColor="text1"/>
          <w:kern w:val="0"/>
          <w14:textFill>
            <w14:solidFill>
              <w14:schemeClr w14:val="tx1"/>
            </w14:solidFill>
          </w14:textFill>
        </w:rPr>
        <w:t>7.6.4固体废物</w:t>
      </w:r>
      <w:bookmarkEnd w:id="327"/>
    </w:p>
    <w:bookmarkEnd w:id="326"/>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施工期不新建生活营地，施工人员食宿依托陆梁公寓，由陆梁公寓集中收集后，统一拉至</w:t>
      </w:r>
      <w:r>
        <w:rPr>
          <w:rFonts w:hint="eastAsia" w:ascii="Times New Roman" w:hAnsi="Times New Roman" w:cs="Times New Roman"/>
          <w:color w:val="000000" w:themeColor="text1"/>
          <w:sz w:val="24"/>
          <w:lang w:val="en-US" w:eastAsia="zh-CN"/>
          <w14:textFill>
            <w14:solidFill>
              <w14:schemeClr w14:val="tx1"/>
            </w14:solidFill>
          </w14:textFill>
        </w:rPr>
        <w:t>乌尔禾</w:t>
      </w:r>
      <w:r>
        <w:rPr>
          <w:rFonts w:ascii="Times New Roman" w:hAnsi="Times New Roman" w:cs="Times New Roman"/>
          <w:color w:val="000000" w:themeColor="text1"/>
          <w14:textFill>
            <w14:solidFill>
              <w14:schemeClr w14:val="tx1"/>
            </w14:solidFill>
          </w14:textFill>
        </w:rPr>
        <w:t>生活垃圾填埋场；施工过程中开挖的土石方全部回填，无弃方产生；固体废物主要为钻井期产生的钻井岩屑、机械设备废油、废弃防渗膜和建筑垃圾。</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（1）生活垃圾</w:t>
      </w:r>
    </w:p>
    <w:p>
      <w:pPr>
        <w:pStyle w:val="31"/>
        <w:ind w:firstLine="480" w:firstLineChars="200"/>
        <w:rPr>
          <w:rFonts w:ascii="Times New Roman" w:hAnsi="Times New Roman"/>
          <w:color w:val="000000" w:themeColor="text1"/>
          <w:lang w:val="en-GB"/>
          <w14:textFill>
            <w14:solidFill>
              <w14:schemeClr w14:val="tx1"/>
            </w14:solidFill>
          </w14:textFill>
        </w:rPr>
      </w:pPr>
      <w:r>
        <w:rPr>
          <w:rFonts w:ascii="Times New Roman" w:hAnsi="Times New Roman"/>
          <w:color w:val="000000" w:themeColor="text1"/>
          <w14:textFill>
            <w14:solidFill>
              <w14:schemeClr w14:val="tx1"/>
            </w14:solidFill>
          </w14:textFill>
        </w:rPr>
        <w:t>本项目施工周期</w:t>
      </w:r>
      <w:r>
        <w:rPr>
          <w:rFonts w:hint="eastAsia" w:ascii="Times New Roman" w:hAnsi="Times New Roman"/>
          <w:color w:val="000000" w:themeColor="text1"/>
          <w14:textFill>
            <w14:solidFill>
              <w14:schemeClr w14:val="tx1"/>
            </w14:solidFill>
          </w14:textFill>
        </w:rPr>
        <w:t>1165.5</w:t>
      </w:r>
      <w:r>
        <w:rPr>
          <w:rFonts w:ascii="Times New Roman" w:hAnsi="Times New Roman"/>
          <w:color w:val="000000" w:themeColor="text1"/>
          <w14:textFill>
            <w14:solidFill>
              <w14:schemeClr w14:val="tx1"/>
            </w14:solidFill>
          </w14:textFill>
        </w:rPr>
        <w:t>天，施工人数合计20人。项目施工期不新建生活营地，施工人员食宿依托陆梁公寓，依托住宿每人每天产生生活垃圾按0.5kg计，整个油田施工期间产生的生活垃圾为</w:t>
      </w:r>
      <w:r>
        <w:rPr>
          <w:rFonts w:hint="eastAsia" w:ascii="Times New Roman" w:hAnsi="Times New Roman"/>
          <w:color w:val="000000" w:themeColor="text1"/>
          <w14:textFill>
            <w14:solidFill>
              <w14:schemeClr w14:val="tx1"/>
            </w14:solidFill>
          </w14:textFill>
        </w:rPr>
        <w:t>11.66</w:t>
      </w:r>
      <w:r>
        <w:rPr>
          <w:rFonts w:ascii="Times New Roman" w:hAnsi="Times New Roman"/>
          <w:color w:val="000000" w:themeColor="text1"/>
          <w14:textFill>
            <w14:solidFill>
              <w14:schemeClr w14:val="tx1"/>
            </w14:solidFill>
          </w14:textFill>
        </w:rPr>
        <w:t>t</w:t>
      </w:r>
      <w:r>
        <w:rPr>
          <w:rFonts w:ascii="Times New Roman" w:hAnsi="Times New Roman"/>
          <w:color w:val="000000" w:themeColor="text1"/>
          <w:lang w:val="en-GB"/>
          <w14:textFill>
            <w14:solidFill>
              <w14:schemeClr w14:val="tx1"/>
            </w14:solidFill>
          </w14:textFill>
        </w:rPr>
        <w:t>，由陆梁公寓集中收集后，统一拉至</w:t>
      </w:r>
      <w:r>
        <w:rPr>
          <w:rFonts w:hint="eastAsia" w:ascii="Times New Roman" w:hAnsi="Times New Roman" w:cs="Times New Roman"/>
          <w:color w:val="000000" w:themeColor="text1"/>
          <w:sz w:val="24"/>
          <w:lang w:val="en-US" w:eastAsia="zh-CN"/>
          <w14:textFill>
            <w14:solidFill>
              <w14:schemeClr w14:val="tx1"/>
            </w14:solidFill>
          </w14:textFill>
        </w:rPr>
        <w:t>乌尔禾</w:t>
      </w:r>
      <w:r>
        <w:rPr>
          <w:rFonts w:ascii="Times New Roman" w:hAnsi="Times New Roman"/>
          <w:color w:val="000000" w:themeColor="text1"/>
          <w:lang w:val="en-GB"/>
          <w14:textFill>
            <w14:solidFill>
              <w14:schemeClr w14:val="tx1"/>
            </w14:solidFill>
          </w14:textFill>
        </w:rPr>
        <w:t>生活垃圾填埋场。</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（2）钻井岩屑</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钻井过程中的钻井液采用不落地技术处理，分离出的液相继续回用于钻井，待钻井工程结束后由供应商回收或带至下一个钻井井场继续使用，无废水外排。岩屑产生、排放量与井身结构以及回收率等因素有关，其中岩屑产生量可按下式计算：</w:t>
      </w:r>
    </w:p>
    <w:p>
      <w:pPr>
        <w:pStyle w:val="60"/>
        <w:ind w:firstLine="0" w:firstLineChars="0"/>
        <w:jc w:val="center"/>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W=1/4×л×D</w:t>
      </w:r>
      <w:r>
        <w:rPr>
          <w:rFonts w:ascii="Times New Roman" w:hAnsi="Times New Roman" w:cs="Times New Roman"/>
          <w:color w:val="000000" w:themeColor="text1"/>
          <w:kern w:val="0"/>
          <w:vertAlign w:val="superscript"/>
          <w14:textFill>
            <w14:solidFill>
              <w14:schemeClr w14:val="tx1"/>
            </w14:solidFill>
          </w14:textFill>
        </w:rPr>
        <w:t>2</w:t>
      </w:r>
      <w:r>
        <w:rPr>
          <w:rFonts w:ascii="Times New Roman" w:hAnsi="Times New Roman" w:cs="Times New Roman"/>
          <w:color w:val="000000" w:themeColor="text1"/>
          <w:kern w:val="0"/>
          <w14:textFill>
            <w14:solidFill>
              <w14:schemeClr w14:val="tx1"/>
            </w14:solidFill>
          </w14:textFill>
        </w:rPr>
        <w:t>×h×α×d</w:t>
      </w:r>
    </w:p>
    <w:p>
      <w:pPr>
        <w:pStyle w:val="6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式中：W－钻井岩屑排放量，t；</w:t>
      </w:r>
    </w:p>
    <w:p>
      <w:pPr>
        <w:pStyle w:val="60"/>
        <w:ind w:firstLine="1200" w:firstLineChars="50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D—井的直径，m；一开311.2mm，二开215.9mm；</w:t>
      </w:r>
    </w:p>
    <w:p>
      <w:pPr>
        <w:pStyle w:val="60"/>
        <w:ind w:firstLine="1200" w:firstLineChars="50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h－井深，m；</w:t>
      </w:r>
    </w:p>
    <w:p>
      <w:pPr>
        <w:pStyle w:val="60"/>
        <w:ind w:firstLine="1200" w:firstLineChars="5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w:t>
      </w:r>
      <w:r>
        <w:rPr>
          <w:rFonts w:ascii="Times New Roman" w:hAnsi="Times New Roman" w:cs="Times New Roman"/>
          <w:color w:val="000000" w:themeColor="text1"/>
          <w:kern w:val="0"/>
          <w14:textFill>
            <w14:solidFill>
              <w14:schemeClr w14:val="tx1"/>
            </w14:solidFill>
          </w14:textFill>
        </w:rPr>
        <w:t>－所钻岩石的密度（g/cm</w:t>
      </w:r>
      <w:r>
        <w:rPr>
          <w:rFonts w:ascii="Times New Roman" w:hAnsi="Times New Roman" w:cs="Times New Roman"/>
          <w:color w:val="000000" w:themeColor="text1"/>
          <w:kern w:val="0"/>
          <w:vertAlign w:val="superscript"/>
          <w14:textFill>
            <w14:solidFill>
              <w14:schemeClr w14:val="tx1"/>
            </w14:solidFill>
          </w14:textFill>
        </w:rPr>
        <w:t>3</w:t>
      </w:r>
      <w:r>
        <w:rPr>
          <w:rFonts w:ascii="Times New Roman" w:hAnsi="Times New Roman" w:cs="Times New Roman"/>
          <w:color w:val="000000" w:themeColor="text1"/>
          <w:kern w:val="0"/>
          <w14:textFill>
            <w14:solidFill>
              <w14:schemeClr w14:val="tx1"/>
            </w14:solidFill>
          </w14:textFill>
        </w:rPr>
        <w:t>），取2.5g/cm</w:t>
      </w:r>
      <w:r>
        <w:rPr>
          <w:rFonts w:ascii="Times New Roman" w:hAnsi="Times New Roman" w:cs="Times New Roman"/>
          <w:color w:val="000000" w:themeColor="text1"/>
          <w:kern w:val="0"/>
          <w:vertAlign w:val="superscript"/>
          <w14:textFill>
            <w14:solidFill>
              <w14:schemeClr w14:val="tx1"/>
            </w14:solidFill>
          </w14:textFill>
        </w:rPr>
        <w:t>3</w:t>
      </w:r>
      <w:r>
        <w:rPr>
          <w:rFonts w:ascii="Times New Roman" w:hAnsi="Times New Roman" w:cs="Times New Roman"/>
          <w:color w:val="000000" w:themeColor="text1"/>
          <w:kern w:val="0"/>
          <w14:textFill>
            <w14:solidFill>
              <w14:schemeClr w14:val="tx1"/>
            </w14:solidFill>
          </w14:textFill>
        </w:rPr>
        <w:t>；</w:t>
      </w:r>
    </w:p>
    <w:p>
      <w:pPr>
        <w:pStyle w:val="60"/>
        <w:ind w:firstLine="1200" w:firstLineChars="50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α－岩石膨胀系数，取</w:t>
      </w:r>
      <w:r>
        <w:rPr>
          <w:rFonts w:hint="eastAsia" w:ascii="Times New Roman" w:hAnsi="Times New Roman" w:cs="Times New Roman"/>
          <w:color w:val="000000" w:themeColor="text1"/>
          <w:kern w:val="0"/>
          <w14:textFill>
            <w14:solidFill>
              <w14:schemeClr w14:val="tx1"/>
            </w14:solidFill>
          </w14:textFill>
        </w:rPr>
        <w:t>4.0</w:t>
      </w:r>
      <w:r>
        <w:rPr>
          <w:rFonts w:ascii="Times New Roman" w:hAnsi="Times New Roman" w:cs="Times New Roman"/>
          <w:color w:val="000000" w:themeColor="text1"/>
          <w:kern w:val="0"/>
          <w14:textFill>
            <w14:solidFill>
              <w14:schemeClr w14:val="tx1"/>
            </w14:solidFill>
          </w14:textFill>
        </w:rPr>
        <w:t>。</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本工程产生岩屑量见表3.7-</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w:t>
      </w:r>
      <w:r>
        <w:rPr>
          <w:rFonts w:hint="eastAsia" w:ascii="Times New Roman" w:hAnsi="Times New Roman" w:eastAsia="宋体" w:cs="Times New Roman"/>
          <w:bCs/>
          <w:color w:val="000000" w:themeColor="text1"/>
          <w:sz w:val="21"/>
          <w:szCs w:val="21"/>
          <w14:textFill>
            <w14:solidFill>
              <w14:schemeClr w14:val="tx1"/>
            </w14:solidFill>
          </w14:textFill>
        </w:rPr>
        <w:t>6</w:t>
      </w:r>
      <w:r>
        <w:rPr>
          <w:rFonts w:ascii="Times New Roman" w:hAnsi="Times New Roman" w:eastAsia="宋体" w:cs="Times New Roman"/>
          <w:bCs/>
          <w:color w:val="000000" w:themeColor="text1"/>
          <w:sz w:val="21"/>
          <w:szCs w:val="21"/>
          <w14:textFill>
            <w14:solidFill>
              <w14:schemeClr w14:val="tx1"/>
            </w14:solidFill>
          </w14:textFill>
        </w:rPr>
        <w:t xml:space="preserve">  本工程钻井岩屑产生量</w:t>
      </w:r>
    </w:p>
    <w:tbl>
      <w:tblPr>
        <w:tblStyle w:val="2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125"/>
        <w:gridCol w:w="1376"/>
        <w:gridCol w:w="1652"/>
        <w:gridCol w:w="1764"/>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45"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井数</w:t>
            </w:r>
          </w:p>
        </w:tc>
        <w:tc>
          <w:tcPr>
            <w:tcW w:w="1125"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结构</w:t>
            </w:r>
          </w:p>
        </w:tc>
        <w:tc>
          <w:tcPr>
            <w:tcW w:w="1376"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D井眼直径（m）</w:t>
            </w:r>
          </w:p>
        </w:tc>
        <w:tc>
          <w:tcPr>
            <w:tcW w:w="1652"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h深度（m）</w:t>
            </w:r>
          </w:p>
        </w:tc>
        <w:tc>
          <w:tcPr>
            <w:tcW w:w="1764"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W单井岩屑量（t）</w:t>
            </w:r>
          </w:p>
        </w:tc>
        <w:tc>
          <w:tcPr>
            <w:tcW w:w="1560" w:type="dxa"/>
            <w:vAlign w:val="center"/>
          </w:tcPr>
          <w:p>
            <w:pPr>
              <w:pStyle w:val="17"/>
              <w:rPr>
                <w:rFonts w:ascii="Times New Roman" w:hAnsi="Times New Roman" w:cs="Times New Roman"/>
                <w:b/>
                <w:bCs w:val="0"/>
                <w:color w:val="000000" w:themeColor="text1"/>
                <w14:textFill>
                  <w14:solidFill>
                    <w14:schemeClr w14:val="tx1"/>
                  </w14:solidFill>
                </w14:textFill>
              </w:rPr>
            </w:pPr>
            <w:r>
              <w:rPr>
                <w:rFonts w:ascii="Times New Roman" w:hAnsi="Times New Roman" w:cs="Times New Roman"/>
                <w:b/>
                <w:bCs w:val="0"/>
                <w:color w:val="000000" w:themeColor="text1"/>
                <w14:textFill>
                  <w14:solidFill>
                    <w14:schemeClr w14:val="tx1"/>
                  </w14:solidFill>
                </w14:textFill>
              </w:rPr>
              <w:t>总岩屑量（t）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45" w:type="dxa"/>
            <w:vMerge w:val="restart"/>
            <w:vAlign w:val="center"/>
          </w:tcPr>
          <w:p>
            <w:pPr>
              <w:pStyle w:val="17"/>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28</w:t>
            </w:r>
            <w:r>
              <w:rPr>
                <w:rFonts w:ascii="Times New Roman" w:hAnsi="Times New Roman" w:cs="Times New Roman"/>
                <w:color w:val="000000" w:themeColor="text1"/>
                <w14:textFill>
                  <w14:solidFill>
                    <w14:schemeClr w14:val="tx1"/>
                  </w14:solidFill>
                </w14:textFill>
              </w:rPr>
              <w:t>口</w:t>
            </w:r>
          </w:p>
        </w:tc>
        <w:tc>
          <w:tcPr>
            <w:tcW w:w="112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一开</w:t>
            </w:r>
          </w:p>
        </w:tc>
        <w:tc>
          <w:tcPr>
            <w:tcW w:w="1376"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0.3112</w:t>
            </w:r>
          </w:p>
        </w:tc>
        <w:tc>
          <w:tcPr>
            <w:tcW w:w="1652"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450</w:t>
            </w:r>
          </w:p>
        </w:tc>
        <w:tc>
          <w:tcPr>
            <w:tcW w:w="1764" w:type="dxa"/>
            <w:vAlign w:val="center"/>
          </w:tcPr>
          <w:p>
            <w:pPr>
              <w:pStyle w:val="17"/>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342.11</w:t>
            </w:r>
          </w:p>
        </w:tc>
        <w:tc>
          <w:tcPr>
            <w:tcW w:w="1560" w:type="dxa"/>
            <w:vAlign w:val="center"/>
          </w:tcPr>
          <w:p>
            <w:pPr>
              <w:pStyle w:val="17"/>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9579.08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45" w:type="dxa"/>
            <w:vMerge w:val="continue"/>
            <w:vAlign w:val="center"/>
          </w:tcPr>
          <w:p>
            <w:pPr>
              <w:pStyle w:val="17"/>
              <w:rPr>
                <w:rFonts w:ascii="Times New Roman" w:hAnsi="Times New Roman" w:cs="Times New Roman"/>
                <w:color w:val="000000" w:themeColor="text1"/>
                <w14:textFill>
                  <w14:solidFill>
                    <w14:schemeClr w14:val="tx1"/>
                  </w14:solidFill>
                </w14:textFill>
              </w:rPr>
            </w:pPr>
          </w:p>
        </w:tc>
        <w:tc>
          <w:tcPr>
            <w:tcW w:w="1125"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二开</w:t>
            </w:r>
          </w:p>
        </w:tc>
        <w:tc>
          <w:tcPr>
            <w:tcW w:w="1376"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0.2159</w:t>
            </w:r>
          </w:p>
        </w:tc>
        <w:tc>
          <w:tcPr>
            <w:tcW w:w="1652" w:type="dxa"/>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750</w:t>
            </w:r>
          </w:p>
        </w:tc>
        <w:tc>
          <w:tcPr>
            <w:tcW w:w="1764" w:type="dxa"/>
            <w:vAlign w:val="center"/>
          </w:tcPr>
          <w:p>
            <w:pPr>
              <w:pStyle w:val="17"/>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274.43</w:t>
            </w:r>
          </w:p>
        </w:tc>
        <w:tc>
          <w:tcPr>
            <w:tcW w:w="1560" w:type="dxa"/>
            <w:vAlign w:val="center"/>
          </w:tcPr>
          <w:p>
            <w:pPr>
              <w:pStyle w:val="17"/>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7684.04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62" w:type="dxa"/>
            <w:gridSpan w:val="5"/>
            <w:vAlign w:val="center"/>
          </w:tcPr>
          <w:p>
            <w:pPr>
              <w:pStyle w:val="17"/>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合计</w:t>
            </w:r>
          </w:p>
        </w:tc>
        <w:tc>
          <w:tcPr>
            <w:tcW w:w="1560" w:type="dxa"/>
            <w:vAlign w:val="center"/>
          </w:tcPr>
          <w:p>
            <w:pPr>
              <w:pStyle w:val="17"/>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17263.12</w:t>
            </w:r>
          </w:p>
        </w:tc>
      </w:tr>
    </w:tbl>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计算得知：本项目</w:t>
      </w:r>
      <w:r>
        <w:rPr>
          <w:rFonts w:hint="eastAsia" w:ascii="Times New Roman" w:hAnsi="Times New Roman" w:cs="Times New Roman"/>
          <w:color w:val="000000" w:themeColor="text1"/>
          <w14:textFill>
            <w14:solidFill>
              <w14:schemeClr w14:val="tx1"/>
            </w14:solidFill>
          </w14:textFill>
        </w:rPr>
        <w:t>28</w:t>
      </w:r>
      <w:r>
        <w:rPr>
          <w:rFonts w:ascii="Times New Roman" w:hAnsi="Times New Roman" w:cs="Times New Roman"/>
          <w:color w:val="000000" w:themeColor="text1"/>
          <w14:textFill>
            <w14:solidFill>
              <w14:schemeClr w14:val="tx1"/>
            </w14:solidFill>
          </w14:textFill>
        </w:rPr>
        <w:t>口井共产生水基岩屑</w:t>
      </w:r>
      <w:r>
        <w:rPr>
          <w:rFonts w:hint="eastAsia" w:ascii="Times New Roman" w:hAnsi="Times New Roman" w:cs="Times New Roman"/>
          <w:color w:val="000000" w:themeColor="text1"/>
          <w14:textFill>
            <w14:solidFill>
              <w14:schemeClr w14:val="tx1"/>
            </w14:solidFill>
          </w14:textFill>
        </w:rPr>
        <w:t>17263.12</w:t>
      </w:r>
      <w:r>
        <w:rPr>
          <w:rFonts w:ascii="Times New Roman" w:hAnsi="Times New Roman" w:cs="Times New Roman"/>
          <w:color w:val="000000" w:themeColor="text1"/>
          <w14:textFill>
            <w14:solidFill>
              <w14:schemeClr w14:val="tx1"/>
            </w14:solidFill>
          </w14:textFill>
        </w:rPr>
        <w:t>t，经不落地系统收集、压滤脱水后，进入岩屑储罐内，</w:t>
      </w:r>
      <w:r>
        <w:rPr>
          <w:rFonts w:hint="eastAsia" w:ascii="Times New Roman" w:hAnsi="Times New Roman" w:cs="Times New Roman"/>
          <w:color w:val="000000" w:themeColor="text1"/>
          <w:lang w:val="en-US" w:eastAsia="zh-CN"/>
          <w14:textFill>
            <w14:solidFill>
              <w14:schemeClr w14:val="tx1"/>
            </w14:solidFill>
          </w14:textFill>
        </w:rPr>
        <w:t>随钻随拉，</w:t>
      </w:r>
      <w:r>
        <w:rPr>
          <w:rFonts w:ascii="Times New Roman" w:hAnsi="Times New Roman" w:cs="Times New Roman"/>
          <w:color w:val="000000" w:themeColor="text1"/>
          <w14:textFill>
            <w14:solidFill>
              <w14:schemeClr w14:val="tx1"/>
            </w14:solidFill>
          </w14:textFill>
        </w:rPr>
        <w:t>经检测满足《油气田钻井固体废物综合利用污染控制要求》（DB65/T3997-2017）中的综合利用污染物限值，委托</w:t>
      </w:r>
      <w:r>
        <w:rPr>
          <w:rFonts w:hint="eastAsia" w:ascii="Times New Roman" w:hAnsi="Times New Roman" w:cs="Times New Roman"/>
          <w:color w:val="000000" w:themeColor="text1"/>
          <w14:textFill>
            <w14:solidFill>
              <w14:schemeClr w14:val="tx1"/>
            </w14:solidFill>
          </w14:textFill>
        </w:rPr>
        <w:t>岩屑处置单位</w:t>
      </w:r>
      <w:r>
        <w:rPr>
          <w:rFonts w:ascii="Times New Roman" w:hAnsi="Times New Roman" w:cs="Times New Roman"/>
          <w:color w:val="000000" w:themeColor="text1"/>
          <w14:textFill>
            <w14:solidFill>
              <w14:schemeClr w14:val="tx1"/>
            </w14:solidFill>
          </w14:textFill>
        </w:rPr>
        <w:t>综合利用。检测不合格的岩屑委托有处置能力的</w:t>
      </w:r>
      <w:r>
        <w:rPr>
          <w:rFonts w:hint="eastAsia" w:ascii="Times New Roman" w:hAnsi="Times New Roman" w:cs="Times New Roman"/>
          <w:color w:val="000000" w:themeColor="text1"/>
          <w14:textFill>
            <w14:solidFill>
              <w14:schemeClr w14:val="tx1"/>
            </w14:solidFill>
          </w14:textFill>
        </w:rPr>
        <w:t>岩屑处置</w:t>
      </w:r>
      <w:r>
        <w:rPr>
          <w:rFonts w:ascii="Times New Roman" w:hAnsi="Times New Roman" w:cs="Times New Roman"/>
          <w:color w:val="000000" w:themeColor="text1"/>
          <w14:textFill>
            <w14:solidFill>
              <w14:schemeClr w14:val="tx1"/>
            </w14:solidFill>
          </w14:textFill>
        </w:rPr>
        <w:t>单位进行处置，直至满足《油气田钻井固体废物综合利用污染控制要求》（DB65/T3997-2017）中的综合利用限值后综合利用。</w:t>
      </w:r>
    </w:p>
    <w:p>
      <w:pPr>
        <w:pStyle w:val="6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lang w:val="en-GB"/>
          <w14:textFill>
            <w14:solidFill>
              <w14:schemeClr w14:val="tx1"/>
            </w14:solidFill>
          </w14:textFill>
        </w:rPr>
        <w:t>）管线施工土方</w:t>
      </w:r>
    </w:p>
    <w:p>
      <w:pPr>
        <w:pStyle w:val="6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本项目施工土方主要由埋地敷设管线开挖、井场</w:t>
      </w:r>
      <w:r>
        <w:rPr>
          <w:rFonts w:hint="eastAsia" w:ascii="Times New Roman" w:hAnsi="Times New Roman" w:cs="Times New Roman"/>
          <w:color w:val="000000" w:themeColor="text1"/>
          <w:lang w:val="en-GB"/>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阀池等</w:t>
      </w:r>
      <w:r>
        <w:rPr>
          <w:rFonts w:ascii="Times New Roman" w:hAnsi="Times New Roman" w:cs="Times New Roman"/>
          <w:color w:val="000000" w:themeColor="text1"/>
          <w:lang w:val="en-GB"/>
          <w14:textFill>
            <w14:solidFill>
              <w14:schemeClr w14:val="tx1"/>
            </w14:solidFill>
          </w14:textFill>
        </w:rPr>
        <w:t>建设产生；开挖回填管沟多余的土方沿管线铺设方向形成垄，作为管道上方土层自然沉降富余量，剩余土方用于场地平整和临时施工场地恢复。项目管线施工的挖方全部回填，无弃方。</w:t>
      </w:r>
    </w:p>
    <w:p>
      <w:pPr>
        <w:pStyle w:val="6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r>
        <w:rPr>
          <w:rFonts w:ascii="Times New Roman" w:hAnsi="Times New Roman" w:cs="Times New Roman"/>
          <w:color w:val="000000" w:themeColor="text1"/>
          <w:lang w:val="en-GB"/>
          <w14:textFill>
            <w14:solidFill>
              <w14:schemeClr w14:val="tx1"/>
            </w14:solidFill>
          </w14:textFill>
        </w:rPr>
        <w:t>机械设备废油</w:t>
      </w:r>
    </w:p>
    <w:p>
      <w:pPr>
        <w:pStyle w:val="6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钻井</w:t>
      </w:r>
      <w:r>
        <w:rPr>
          <w:rFonts w:ascii="Times New Roman" w:hAnsi="Times New Roman" w:cs="Times New Roman"/>
          <w:color w:val="000000" w:themeColor="text1"/>
          <w14:textFill>
            <w14:solidFill>
              <w14:schemeClr w14:val="tx1"/>
            </w14:solidFill>
          </w14:textFill>
        </w:rPr>
        <w:t>及修井</w:t>
      </w:r>
      <w:r>
        <w:rPr>
          <w:rFonts w:ascii="Times New Roman" w:hAnsi="Times New Roman" w:cs="Times New Roman"/>
          <w:color w:val="000000" w:themeColor="text1"/>
          <w:lang w:val="en-GB"/>
          <w14:textFill>
            <w14:solidFill>
              <w14:schemeClr w14:val="tx1"/>
            </w14:solidFill>
          </w14:textFill>
        </w:rPr>
        <w:t>期间使用的机械设备运行过程中需进行维护、保养、维修等工作，以使其能正常运转，此过程中将产生少量的废油，如废液压油、废润滑油、废机油等。</w:t>
      </w:r>
      <w:r>
        <w:rPr>
          <w:rFonts w:ascii="Times New Roman" w:hAnsi="Times New Roman" w:cs="Times New Roman"/>
          <w:color w:val="000000" w:themeColor="text1"/>
          <w14:textFill>
            <w14:solidFill>
              <w14:schemeClr w14:val="tx1"/>
            </w14:solidFill>
          </w14:textFill>
        </w:rPr>
        <w:t>根据建设单位提供数据，</w:t>
      </w:r>
      <w:r>
        <w:rPr>
          <w:rFonts w:ascii="Times New Roman" w:hAnsi="Times New Roman" w:cs="Times New Roman"/>
          <w:color w:val="000000" w:themeColor="text1"/>
          <w:lang w:val="en-GB"/>
          <w14:textFill>
            <w14:solidFill>
              <w14:schemeClr w14:val="tx1"/>
            </w14:solidFill>
          </w14:textFill>
        </w:rPr>
        <w:t>一个钻井期机械设备产生的废机油产生量不足0.5t，</w:t>
      </w:r>
      <w:r>
        <w:rPr>
          <w:rFonts w:ascii="Times New Roman" w:hAnsi="Times New Roman" w:cs="Times New Roman"/>
          <w:color w:val="000000" w:themeColor="text1"/>
          <w14:textFill>
            <w14:solidFill>
              <w14:schemeClr w14:val="tx1"/>
            </w14:solidFill>
          </w14:textFill>
        </w:rPr>
        <w:t>本项目</w:t>
      </w:r>
      <w:r>
        <w:rPr>
          <w:rFonts w:hint="eastAsia" w:ascii="Times New Roman" w:hAnsi="Times New Roman" w:cs="Times New Roman"/>
          <w:color w:val="000000" w:themeColor="text1"/>
          <w14:textFill>
            <w14:solidFill>
              <w14:schemeClr w14:val="tx1"/>
            </w14:solidFill>
          </w14:textFill>
        </w:rPr>
        <w:t>37</w:t>
      </w:r>
      <w:r>
        <w:rPr>
          <w:rFonts w:ascii="Times New Roman" w:hAnsi="Times New Roman" w:cs="Times New Roman"/>
          <w:color w:val="000000" w:themeColor="text1"/>
          <w14:textFill>
            <w14:solidFill>
              <w14:schemeClr w14:val="tx1"/>
            </w14:solidFill>
          </w14:textFill>
        </w:rPr>
        <w:t>口井</w:t>
      </w:r>
      <w:r>
        <w:rPr>
          <w:rFonts w:ascii="Times New Roman" w:hAnsi="Times New Roman" w:cs="Times New Roman"/>
          <w:color w:val="000000" w:themeColor="text1"/>
          <w:lang w:val="en-GB"/>
          <w14:textFill>
            <w14:solidFill>
              <w14:schemeClr w14:val="tx1"/>
            </w14:solidFill>
          </w14:textFill>
        </w:rPr>
        <w:t>产生量约</w:t>
      </w:r>
      <w:r>
        <w:rPr>
          <w:rFonts w:hint="eastAsia" w:ascii="Times New Roman" w:hAnsi="Times New Roman" w:cs="Times New Roman"/>
          <w:color w:val="000000" w:themeColor="text1"/>
          <w14:textFill>
            <w14:solidFill>
              <w14:schemeClr w14:val="tx1"/>
            </w14:solidFill>
          </w14:textFill>
        </w:rPr>
        <w:t>18.5</w:t>
      </w:r>
      <w:r>
        <w:rPr>
          <w:rFonts w:ascii="Times New Roman" w:hAnsi="Times New Roman" w:cs="Times New Roman"/>
          <w:color w:val="000000" w:themeColor="text1"/>
          <w:lang w:val="en-GB"/>
          <w14:textFill>
            <w14:solidFill>
              <w14:schemeClr w14:val="tx1"/>
            </w14:solidFill>
          </w14:textFill>
        </w:rPr>
        <w:t>t，钻井产生的</w:t>
      </w:r>
      <w:r>
        <w:rPr>
          <w:rFonts w:ascii="Times New Roman" w:hAnsi="Times New Roman" w:cs="Times New Roman"/>
          <w:color w:val="000000" w:themeColor="text1"/>
          <w14:textFill>
            <w14:solidFill>
              <w14:schemeClr w14:val="tx1"/>
            </w14:solidFill>
          </w14:textFill>
        </w:rPr>
        <w:t>机械设备废</w:t>
      </w:r>
      <w:r>
        <w:rPr>
          <w:rFonts w:ascii="Times New Roman" w:hAnsi="Times New Roman" w:cs="Times New Roman"/>
          <w:color w:val="000000" w:themeColor="text1"/>
          <w:lang w:val="en-GB"/>
          <w14:textFill>
            <w14:solidFill>
              <w14:schemeClr w14:val="tx1"/>
            </w14:solidFill>
          </w14:textFill>
        </w:rPr>
        <w:t>油</w:t>
      </w:r>
      <w:r>
        <w:rPr>
          <w:rFonts w:ascii="Times New Roman" w:hAnsi="Times New Roman" w:cs="Times New Roman"/>
          <w:color w:val="000000" w:themeColor="text1"/>
          <w14:textFill>
            <w14:solidFill>
              <w14:schemeClr w14:val="tx1"/>
            </w14:solidFill>
          </w14:textFill>
        </w:rPr>
        <w:t>由钻井公司委托有资质的单位处置</w:t>
      </w:r>
      <w:r>
        <w:rPr>
          <w:rFonts w:ascii="Times New Roman" w:hAnsi="Times New Roman" w:cs="Times New Roman"/>
          <w:color w:val="000000" w:themeColor="text1"/>
          <w:lang w:val="en-GB"/>
          <w14:textFill>
            <w14:solidFill>
              <w14:schemeClr w14:val="tx1"/>
            </w14:solidFill>
          </w14:textFill>
        </w:rPr>
        <w:t>。</w:t>
      </w:r>
    </w:p>
    <w:p>
      <w:pPr>
        <w:pStyle w:val="6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lang w:val="en-GB"/>
          <w14:textFill>
            <w14:solidFill>
              <w14:schemeClr w14:val="tx1"/>
            </w14:solidFill>
          </w14:textFill>
        </w:rPr>
        <w:t>废弃防渗膜</w:t>
      </w:r>
    </w:p>
    <w:p>
      <w:pPr>
        <w:pStyle w:val="6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本项目钻井</w:t>
      </w:r>
      <w:r>
        <w:rPr>
          <w:rFonts w:hint="eastAsia" w:ascii="Times New Roman" w:hAnsi="Times New Roman" w:cs="Times New Roman"/>
          <w:color w:val="000000" w:themeColor="text1"/>
          <w:lang w:val="en-GB"/>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修井</w:t>
      </w:r>
      <w:r>
        <w:rPr>
          <w:rFonts w:ascii="Times New Roman" w:hAnsi="Times New Roman" w:cs="Times New Roman"/>
          <w:color w:val="000000" w:themeColor="text1"/>
          <w:lang w:val="en-GB"/>
          <w14:textFill>
            <w14:solidFill>
              <w14:schemeClr w14:val="tx1"/>
            </w14:solidFill>
          </w14:textFill>
        </w:rPr>
        <w:t>施工区域铺垫防渗膜，防止施工过程中产生的废油污染土壤，防渗膜可重复利用，若使用过程中防渗膜破损无法再次利用，则沾满油泥的废弃防渗膜作为危险废物，委托有资质单位处置。</w:t>
      </w:r>
    </w:p>
    <w:p>
      <w:pPr>
        <w:pStyle w:val="6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废弃防渗膜根据《国家危险废物名录》（202</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lang w:val="en-GB"/>
          <w14:textFill>
            <w14:solidFill>
              <w14:schemeClr w14:val="tx1"/>
            </w14:solidFill>
          </w14:textFill>
        </w:rPr>
        <w:t>年版）“HW08废矿物油与含矿物油废物类”，属于使用过程中沾染矿物油的废弃包装物，危废代码为900-249-08。</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）建筑垃圾</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本项目计量站、线路等施工产生的废包装材料尽量回收利用，建筑垃圾由施工单位清运。</w:t>
      </w:r>
    </w:p>
    <w:p>
      <w:pPr>
        <w:pStyle w:val="6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结合施工期工艺流程中的副产物产生情况，根据《固体废物鉴别标准 通则》（GB34330-2017）的规定，判断其是否属于固体废物，给出判定依据及结果，根据《国家危险废物名录》（202</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年版），判定是否属于危险废物，见表3.7-</w:t>
      </w:r>
      <w:r>
        <w:rPr>
          <w:rFonts w:hint="eastAsia"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，施工期项目固废的名称、类别、属性和数量等情况见表3.7-</w:t>
      </w:r>
      <w:r>
        <w:rPr>
          <w:rFonts w:hint="eastAsia" w:ascii="Times New Roman" w:hAnsi="Times New Roman" w:cs="Times New Roman"/>
          <w:color w:val="000000" w:themeColor="text1"/>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t>。</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bookmarkStart w:id="328" w:name="_Hlk92732586"/>
      <w:r>
        <w:rPr>
          <w:rFonts w:ascii="Times New Roman" w:hAnsi="Times New Roman" w:eastAsia="宋体" w:cs="Times New Roman"/>
          <w:bCs/>
          <w:color w:val="000000" w:themeColor="text1"/>
          <w:sz w:val="21"/>
          <w:szCs w:val="21"/>
          <w14:textFill>
            <w14:solidFill>
              <w14:schemeClr w14:val="tx1"/>
            </w14:solidFill>
          </w14:textFill>
        </w:rPr>
        <w:t>表3.7-</w:t>
      </w:r>
      <w:r>
        <w:rPr>
          <w:rFonts w:hint="eastAsia" w:ascii="Times New Roman" w:hAnsi="Times New Roman" w:eastAsia="宋体" w:cs="Times New Roman"/>
          <w:bCs/>
          <w:color w:val="000000" w:themeColor="text1"/>
          <w:sz w:val="21"/>
          <w:szCs w:val="21"/>
          <w14:textFill>
            <w14:solidFill>
              <w14:schemeClr w14:val="tx1"/>
            </w14:solidFill>
          </w14:textFill>
        </w:rPr>
        <w:t>7</w:t>
      </w:r>
      <w:r>
        <w:rPr>
          <w:rFonts w:ascii="Times New Roman" w:hAnsi="Times New Roman" w:eastAsia="宋体" w:cs="Times New Roman"/>
          <w:bCs/>
          <w:color w:val="000000" w:themeColor="text1"/>
          <w:sz w:val="21"/>
          <w:szCs w:val="21"/>
          <w14:textFill>
            <w14:solidFill>
              <w14:schemeClr w14:val="tx1"/>
            </w14:solidFill>
          </w14:textFill>
        </w:rPr>
        <w:t xml:space="preserve">  固废属性判定</w:t>
      </w:r>
    </w:p>
    <w:tbl>
      <w:tblPr>
        <w:tblStyle w:val="23"/>
        <w:tblW w:w="8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08"/>
        <w:gridCol w:w="1130"/>
        <w:gridCol w:w="1045"/>
        <w:gridCol w:w="712"/>
        <w:gridCol w:w="1137"/>
        <w:gridCol w:w="1075"/>
        <w:gridCol w:w="612"/>
        <w:gridCol w:w="799"/>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8"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1130"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固废名称</w:t>
            </w:r>
          </w:p>
        </w:tc>
        <w:tc>
          <w:tcPr>
            <w:tcW w:w="1045"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产生工序</w:t>
            </w:r>
          </w:p>
        </w:tc>
        <w:tc>
          <w:tcPr>
            <w:tcW w:w="712"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形态</w:t>
            </w:r>
          </w:p>
        </w:tc>
        <w:tc>
          <w:tcPr>
            <w:tcW w:w="1137"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主要成分</w:t>
            </w:r>
          </w:p>
        </w:tc>
        <w:tc>
          <w:tcPr>
            <w:tcW w:w="1075"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预测产生量</w:t>
            </w:r>
          </w:p>
        </w:tc>
        <w:tc>
          <w:tcPr>
            <w:tcW w:w="2650"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8"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130"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045"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71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137"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61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固废</w:t>
            </w:r>
          </w:p>
        </w:tc>
        <w:tc>
          <w:tcPr>
            <w:tcW w:w="79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副产品</w:t>
            </w:r>
          </w:p>
        </w:tc>
        <w:tc>
          <w:tcPr>
            <w:tcW w:w="123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113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水基岩屑</w:t>
            </w:r>
          </w:p>
        </w:tc>
        <w:tc>
          <w:tcPr>
            <w:tcW w:w="1045" w:type="dxa"/>
            <w:tcBorders>
              <w:left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钻井</w:t>
            </w:r>
          </w:p>
        </w:tc>
        <w:tc>
          <w:tcPr>
            <w:tcW w:w="712" w:type="dxa"/>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半固态</w:t>
            </w:r>
          </w:p>
        </w:tc>
        <w:tc>
          <w:tcPr>
            <w:tcW w:w="1137" w:type="dxa"/>
            <w:tcBorders>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钙、镁等矿物、水</w:t>
            </w:r>
          </w:p>
        </w:tc>
        <w:tc>
          <w:tcPr>
            <w:tcW w:w="10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17263.12</w:t>
            </w:r>
            <w:r>
              <w:rPr>
                <w:rFonts w:cs="Times New Roman"/>
                <w:color w:val="000000" w:themeColor="text1"/>
                <w14:textFill>
                  <w14:solidFill>
                    <w14:schemeClr w14:val="tx1"/>
                  </w14:solidFill>
                </w14:textFill>
              </w:rPr>
              <w:t>t</w:t>
            </w:r>
          </w:p>
        </w:tc>
        <w:tc>
          <w:tcPr>
            <w:tcW w:w="61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239" w:type="dxa"/>
            <w:vMerge w:val="restart"/>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《固体废物鉴别标准通则》（GB34330-2017）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113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机械设备废油</w:t>
            </w:r>
          </w:p>
        </w:tc>
        <w:tc>
          <w:tcPr>
            <w:tcW w:w="104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机械设备维修、保养等</w:t>
            </w:r>
          </w:p>
        </w:tc>
        <w:tc>
          <w:tcPr>
            <w:tcW w:w="71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液态</w:t>
            </w:r>
          </w:p>
        </w:tc>
        <w:tc>
          <w:tcPr>
            <w:tcW w:w="11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机油</w:t>
            </w:r>
          </w:p>
        </w:tc>
        <w:tc>
          <w:tcPr>
            <w:tcW w:w="10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18.5</w:t>
            </w:r>
            <w:r>
              <w:rPr>
                <w:rFonts w:cs="Times New Roman"/>
                <w:color w:val="000000" w:themeColor="text1"/>
                <w14:textFill>
                  <w14:solidFill>
                    <w14:schemeClr w14:val="tx1"/>
                  </w14:solidFill>
                </w14:textFill>
              </w:rPr>
              <w:t>t</w:t>
            </w:r>
          </w:p>
        </w:tc>
        <w:tc>
          <w:tcPr>
            <w:tcW w:w="61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239"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8"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1130"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废弃防渗膜</w:t>
            </w:r>
          </w:p>
        </w:tc>
        <w:tc>
          <w:tcPr>
            <w:tcW w:w="1045" w:type="dxa"/>
            <w:tcBorders>
              <w:top w:val="single" w:color="auto" w:sz="4" w:space="0"/>
              <w:left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地面防渗</w:t>
            </w:r>
          </w:p>
        </w:tc>
        <w:tc>
          <w:tcPr>
            <w:tcW w:w="712"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1137"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snapToGrid w:val="0"/>
                <w:color w:val="000000" w:themeColor="text1"/>
                <w:kern w:val="0"/>
                <w14:textFill>
                  <w14:solidFill>
                    <w14:schemeClr w14:val="tx1"/>
                  </w14:solidFill>
                </w14:textFill>
              </w:rPr>
              <w:t>石油类</w:t>
            </w:r>
          </w:p>
        </w:tc>
        <w:tc>
          <w:tcPr>
            <w:tcW w:w="1075"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12"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239"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8"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1130"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管线施工土方</w:t>
            </w:r>
          </w:p>
        </w:tc>
        <w:tc>
          <w:tcPr>
            <w:tcW w:w="1045" w:type="dxa"/>
            <w:tcBorders>
              <w:top w:val="single" w:color="auto" w:sz="4" w:space="0"/>
              <w:left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管沟开挖</w:t>
            </w:r>
          </w:p>
        </w:tc>
        <w:tc>
          <w:tcPr>
            <w:tcW w:w="712"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1137"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snapToGrid w:val="0"/>
                <w:color w:val="000000" w:themeColor="text1"/>
                <w:kern w:val="0"/>
                <w14:textFill>
                  <w14:solidFill>
                    <w14:schemeClr w14:val="tx1"/>
                  </w14:solidFill>
                </w14:textFill>
              </w:rPr>
              <w:t>土</w:t>
            </w:r>
          </w:p>
        </w:tc>
        <w:tc>
          <w:tcPr>
            <w:tcW w:w="1075"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0m</w:t>
            </w:r>
            <w:r>
              <w:rPr>
                <w:rFonts w:cs="Times New Roman"/>
                <w:color w:val="000000" w:themeColor="text1"/>
                <w:vertAlign w:val="superscript"/>
                <w14:textFill>
                  <w14:solidFill>
                    <w14:schemeClr w14:val="tx1"/>
                  </w14:solidFill>
                </w14:textFill>
              </w:rPr>
              <w:t>3</w:t>
            </w:r>
          </w:p>
        </w:tc>
        <w:tc>
          <w:tcPr>
            <w:tcW w:w="612"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239"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w:t>
            </w:r>
          </w:p>
        </w:tc>
        <w:tc>
          <w:tcPr>
            <w:tcW w:w="113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生活垃圾</w:t>
            </w:r>
          </w:p>
        </w:tc>
        <w:tc>
          <w:tcPr>
            <w:tcW w:w="104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color w:val="000000" w:themeColor="text1"/>
                <w14:textFill>
                  <w14:solidFill>
                    <w14:schemeClr w14:val="tx1"/>
                  </w14:solidFill>
                </w14:textFill>
              </w:rPr>
              <w:t>施工人员生活</w:t>
            </w:r>
          </w:p>
        </w:tc>
        <w:tc>
          <w:tcPr>
            <w:tcW w:w="71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11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塑料纸、纸屑等</w:t>
            </w:r>
          </w:p>
        </w:tc>
        <w:tc>
          <w:tcPr>
            <w:tcW w:w="10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11.66</w:t>
            </w:r>
            <w:r>
              <w:rPr>
                <w:rFonts w:cs="Times New Roman"/>
                <w:color w:val="000000" w:themeColor="text1"/>
                <w14:textFill>
                  <w14:solidFill>
                    <w14:schemeClr w14:val="tx1"/>
                  </w14:solidFill>
                </w14:textFill>
              </w:rPr>
              <w:t>t</w:t>
            </w:r>
          </w:p>
        </w:tc>
        <w:tc>
          <w:tcPr>
            <w:tcW w:w="61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239"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w:t>
            </w:r>
          </w:p>
        </w:tc>
        <w:tc>
          <w:tcPr>
            <w:tcW w:w="113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建筑垃圾</w:t>
            </w:r>
          </w:p>
        </w:tc>
        <w:tc>
          <w:tcPr>
            <w:tcW w:w="104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安装设备</w:t>
            </w:r>
          </w:p>
        </w:tc>
        <w:tc>
          <w:tcPr>
            <w:tcW w:w="71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11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lang w:val="en-GB"/>
                <w14:textFill>
                  <w14:solidFill>
                    <w14:schemeClr w14:val="tx1"/>
                  </w14:solidFill>
                </w14:textFill>
              </w:rPr>
            </w:pPr>
            <w:r>
              <w:rPr>
                <w:rFonts w:cs="Times New Roman"/>
                <w:color w:val="000000" w:themeColor="text1"/>
                <w14:textFill>
                  <w14:solidFill>
                    <w14:schemeClr w14:val="tx1"/>
                  </w14:solidFill>
                </w14:textFill>
              </w:rPr>
              <w:t>/</w:t>
            </w:r>
          </w:p>
        </w:tc>
        <w:tc>
          <w:tcPr>
            <w:tcW w:w="10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少量</w:t>
            </w:r>
          </w:p>
        </w:tc>
        <w:tc>
          <w:tcPr>
            <w:tcW w:w="61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239" w:type="dxa"/>
            <w:vMerge w:val="continue"/>
            <w:tcBorders>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bookmarkEnd w:id="328"/>
    </w:tbl>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w:t>
      </w:r>
      <w:r>
        <w:rPr>
          <w:rFonts w:hint="eastAsia" w:ascii="Times New Roman" w:hAnsi="Times New Roman" w:eastAsia="宋体" w:cs="Times New Roman"/>
          <w:bCs/>
          <w:color w:val="000000" w:themeColor="text1"/>
          <w:sz w:val="21"/>
          <w:szCs w:val="21"/>
          <w14:textFill>
            <w14:solidFill>
              <w14:schemeClr w14:val="tx1"/>
            </w14:solidFill>
          </w14:textFill>
        </w:rPr>
        <w:t>8</w:t>
      </w:r>
      <w:r>
        <w:rPr>
          <w:rFonts w:ascii="Times New Roman" w:hAnsi="Times New Roman" w:eastAsia="宋体" w:cs="Times New Roman"/>
          <w:bCs/>
          <w:color w:val="000000" w:themeColor="text1"/>
          <w:sz w:val="21"/>
          <w:szCs w:val="21"/>
          <w14:textFill>
            <w14:solidFill>
              <w14:schemeClr w14:val="tx1"/>
            </w14:solidFill>
          </w14:textFill>
        </w:rPr>
        <w:t xml:space="preserve">  项目施工期固体废物分析结果汇总表</w:t>
      </w:r>
    </w:p>
    <w:tbl>
      <w:tblPr>
        <w:tblStyle w:val="23"/>
        <w:tblW w:w="8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09"/>
        <w:gridCol w:w="608"/>
        <w:gridCol w:w="664"/>
        <w:gridCol w:w="752"/>
        <w:gridCol w:w="636"/>
        <w:gridCol w:w="611"/>
        <w:gridCol w:w="675"/>
        <w:gridCol w:w="611"/>
        <w:gridCol w:w="622"/>
        <w:gridCol w:w="851"/>
        <w:gridCol w:w="789"/>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tblHeader/>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bookmarkStart w:id="329" w:name="_Hlk36564446"/>
            <w:r>
              <w:rPr>
                <w:rFonts w:cs="Times New Roman"/>
                <w:b/>
                <w:bCs/>
                <w:color w:val="000000" w:themeColor="text1"/>
                <w14:textFill>
                  <w14:solidFill>
                    <w14:schemeClr w14:val="tx1"/>
                  </w14:solidFill>
                </w14:textFill>
              </w:rPr>
              <w:t>序号</w:t>
            </w:r>
          </w:p>
        </w:tc>
        <w:tc>
          <w:tcPr>
            <w:tcW w:w="6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固废名称</w:t>
            </w:r>
          </w:p>
        </w:tc>
        <w:tc>
          <w:tcPr>
            <w:tcW w:w="66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属性</w:t>
            </w:r>
          </w:p>
        </w:tc>
        <w:tc>
          <w:tcPr>
            <w:tcW w:w="75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产生工序</w:t>
            </w:r>
          </w:p>
        </w:tc>
        <w:tc>
          <w:tcPr>
            <w:tcW w:w="6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形态</w:t>
            </w: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主要成分</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危险特性鉴别方法</w:t>
            </w: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特性</w:t>
            </w:r>
          </w:p>
        </w:tc>
        <w:tc>
          <w:tcPr>
            <w:tcW w:w="62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废物</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类别</w:t>
            </w:r>
          </w:p>
        </w:tc>
        <w:tc>
          <w:tcPr>
            <w:tcW w:w="85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废物代码</w:t>
            </w:r>
          </w:p>
        </w:tc>
        <w:tc>
          <w:tcPr>
            <w:tcW w:w="78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估算产生量</w:t>
            </w:r>
          </w:p>
        </w:tc>
        <w:tc>
          <w:tcPr>
            <w:tcW w:w="128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拟采取的处理处置方式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6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水基岩屑</w:t>
            </w:r>
          </w:p>
        </w:tc>
        <w:tc>
          <w:tcPr>
            <w:tcW w:w="664" w:type="dxa"/>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固废</w:t>
            </w:r>
          </w:p>
        </w:tc>
        <w:tc>
          <w:tcPr>
            <w:tcW w:w="752" w:type="dxa"/>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w:t>
            </w:r>
          </w:p>
        </w:tc>
        <w:tc>
          <w:tcPr>
            <w:tcW w:w="636" w:type="dxa"/>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半固态</w:t>
            </w:r>
          </w:p>
        </w:tc>
        <w:tc>
          <w:tcPr>
            <w:tcW w:w="611" w:type="dxa"/>
            <w:tcBorders>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钙、镁等矿物、水</w:t>
            </w:r>
          </w:p>
        </w:tc>
        <w:tc>
          <w:tcPr>
            <w:tcW w:w="675" w:type="dxa"/>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11" w:type="dxa"/>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22" w:type="dxa"/>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851" w:type="dxa"/>
            <w:tcBorders>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一般工业固废（</w:t>
            </w:r>
            <w:r>
              <w:rPr>
                <w:rFonts w:hint="eastAsia" w:cs="Times New Roman"/>
                <w:color w:val="000000" w:themeColor="text1"/>
                <w14:textFill>
                  <w14:solidFill>
                    <w14:schemeClr w14:val="tx1"/>
                  </w14:solidFill>
                </w14:textFill>
              </w:rPr>
              <w:t>071-001-S12</w:t>
            </w:r>
            <w:r>
              <w:rPr>
                <w:rFonts w:cs="Times New Roman"/>
                <w:color w:val="000000" w:themeColor="text1"/>
                <w14:textFill>
                  <w14:solidFill>
                    <w14:schemeClr w14:val="tx1"/>
                  </w14:solidFill>
                </w14:textFill>
              </w:rPr>
              <w:t>）</w:t>
            </w:r>
          </w:p>
        </w:tc>
        <w:tc>
          <w:tcPr>
            <w:tcW w:w="78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vertAlign w:val="superscript"/>
                <w14:textFill>
                  <w14:solidFill>
                    <w14:schemeClr w14:val="tx1"/>
                  </w14:solidFill>
                </w14:textFill>
              </w:rPr>
            </w:pPr>
            <w:r>
              <w:rPr>
                <w:rFonts w:hint="eastAsia" w:cs="Times New Roman"/>
                <w:color w:val="000000" w:themeColor="text1"/>
                <w14:textFill>
                  <w14:solidFill>
                    <w14:schemeClr w14:val="tx1"/>
                  </w14:solidFill>
                </w14:textFill>
              </w:rPr>
              <w:t>17263.12</w:t>
            </w:r>
            <w:r>
              <w:rPr>
                <w:rFonts w:cs="Times New Roman"/>
                <w:color w:val="000000" w:themeColor="text1"/>
                <w14:textFill>
                  <w14:solidFill>
                    <w14:schemeClr w14:val="tx1"/>
                  </w14:solidFill>
                </w14:textFill>
              </w:rPr>
              <w:t>t</w:t>
            </w:r>
          </w:p>
        </w:tc>
        <w:tc>
          <w:tcPr>
            <w:tcW w:w="1284" w:type="dxa"/>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钻井岩屑进入岩屑储罐内，委托有处置能力的</w:t>
            </w:r>
            <w:r>
              <w:rPr>
                <w:rFonts w:hint="eastAsia" w:cs="Times New Roman"/>
                <w:color w:val="000000" w:themeColor="text1"/>
                <w14:textFill>
                  <w14:solidFill>
                    <w14:schemeClr w14:val="tx1"/>
                  </w14:solidFill>
                </w14:textFill>
              </w:rPr>
              <w:t>岩屑处置单位</w:t>
            </w:r>
            <w:r>
              <w:rPr>
                <w:rFonts w:cs="Times New Roman"/>
                <w:color w:val="000000" w:themeColor="text1"/>
                <w14:textFill>
                  <w14:solidFill>
                    <w14:schemeClr w14:val="tx1"/>
                  </w14:solidFill>
                </w14:textFill>
              </w:rPr>
              <w:t>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6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管线施工土方</w:t>
            </w:r>
          </w:p>
        </w:tc>
        <w:tc>
          <w:tcPr>
            <w:tcW w:w="664" w:type="dxa"/>
            <w:tcBorders>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固废</w:t>
            </w:r>
          </w:p>
        </w:tc>
        <w:tc>
          <w:tcPr>
            <w:tcW w:w="75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管线施工</w:t>
            </w:r>
          </w:p>
        </w:tc>
        <w:tc>
          <w:tcPr>
            <w:tcW w:w="6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2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85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900-001-S70</w:t>
            </w:r>
          </w:p>
        </w:tc>
        <w:tc>
          <w:tcPr>
            <w:tcW w:w="78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0m</w:t>
            </w:r>
            <w:r>
              <w:rPr>
                <w:rFonts w:cs="Times New Roman"/>
                <w:color w:val="000000" w:themeColor="text1"/>
                <w:vertAlign w:val="superscript"/>
                <w14:textFill>
                  <w14:solidFill>
                    <w14:schemeClr w14:val="tx1"/>
                  </w14:solidFill>
                </w14:textFill>
              </w:rPr>
              <w:t>3</w:t>
            </w:r>
          </w:p>
        </w:tc>
        <w:tc>
          <w:tcPr>
            <w:tcW w:w="1284"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回填管沟、管廊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6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机械设备废油</w:t>
            </w:r>
          </w:p>
        </w:tc>
        <w:tc>
          <w:tcPr>
            <w:tcW w:w="664"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危险废物</w:t>
            </w:r>
          </w:p>
        </w:tc>
        <w:tc>
          <w:tcPr>
            <w:tcW w:w="75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snapToGrid w:val="0"/>
                <w:color w:val="000000" w:themeColor="text1"/>
                <w:kern w:val="0"/>
                <w14:textFill>
                  <w14:solidFill>
                    <w14:schemeClr w14:val="tx1"/>
                  </w14:solidFill>
                </w14:textFill>
              </w:rPr>
              <w:t>机械设备维修、保养等</w:t>
            </w:r>
          </w:p>
        </w:tc>
        <w:tc>
          <w:tcPr>
            <w:tcW w:w="6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液态</w:t>
            </w: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机油</w:t>
            </w:r>
          </w:p>
        </w:tc>
        <w:tc>
          <w:tcPr>
            <w:tcW w:w="675" w:type="dxa"/>
            <w:vMerge w:val="restart"/>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危险废物鉴别标准</w:t>
            </w: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毒性T</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易燃性I</w:t>
            </w:r>
          </w:p>
        </w:tc>
        <w:tc>
          <w:tcPr>
            <w:tcW w:w="62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HW08</w:t>
            </w:r>
          </w:p>
        </w:tc>
        <w:tc>
          <w:tcPr>
            <w:tcW w:w="85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900-214-08</w:t>
            </w:r>
          </w:p>
        </w:tc>
        <w:tc>
          <w:tcPr>
            <w:tcW w:w="78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8</w:t>
            </w:r>
            <w:r>
              <w:rPr>
                <w:rFonts w:cs="Times New Roman"/>
                <w:color w:val="000000" w:themeColor="text1"/>
                <w14:textFill>
                  <w14:solidFill>
                    <w14:schemeClr w14:val="tx1"/>
                  </w14:solidFill>
                </w14:textFill>
              </w:rPr>
              <w:t>.5t</w:t>
            </w:r>
          </w:p>
        </w:tc>
        <w:tc>
          <w:tcPr>
            <w:tcW w:w="1284" w:type="dxa"/>
            <w:tcBorders>
              <w:top w:val="single" w:color="auto" w:sz="4" w:space="0"/>
              <w:left w:val="single" w:color="auto" w:sz="4" w:space="0"/>
              <w:right w:val="single" w:color="auto" w:sz="4" w:space="0"/>
            </w:tcBorders>
            <w:vAlign w:val="center"/>
          </w:tcPr>
          <w:p>
            <w:pPr>
              <w:pStyle w:val="3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由钻井公司委托有资质的单位处置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6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废弃防渗膜</w:t>
            </w:r>
          </w:p>
        </w:tc>
        <w:tc>
          <w:tcPr>
            <w:tcW w:w="664"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5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snapToGrid w:val="0"/>
                <w:color w:val="000000" w:themeColor="text1"/>
                <w:kern w:val="0"/>
                <w14:textFill>
                  <w14:solidFill>
                    <w14:schemeClr w14:val="tx1"/>
                  </w14:solidFill>
                </w14:textFill>
              </w:rPr>
              <w:t>地面防渗</w:t>
            </w:r>
          </w:p>
        </w:tc>
        <w:tc>
          <w:tcPr>
            <w:tcW w:w="6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snapToGrid w:val="0"/>
                <w:color w:val="000000" w:themeColor="text1"/>
                <w:kern w:val="0"/>
                <w14:textFill>
                  <w14:solidFill>
                    <w14:schemeClr w14:val="tx1"/>
                  </w14:solidFill>
                </w14:textFill>
              </w:rPr>
              <w:t>石油类</w:t>
            </w:r>
          </w:p>
        </w:tc>
        <w:tc>
          <w:tcPr>
            <w:tcW w:w="675" w:type="dxa"/>
            <w:vMerge w:val="continue"/>
            <w:tcBorders>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毒性T</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易燃性I</w:t>
            </w:r>
          </w:p>
        </w:tc>
        <w:tc>
          <w:tcPr>
            <w:tcW w:w="62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HW08</w:t>
            </w:r>
          </w:p>
        </w:tc>
        <w:tc>
          <w:tcPr>
            <w:tcW w:w="85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900-249-08</w:t>
            </w:r>
          </w:p>
        </w:tc>
        <w:tc>
          <w:tcPr>
            <w:tcW w:w="78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少量</w:t>
            </w:r>
          </w:p>
        </w:tc>
        <w:tc>
          <w:tcPr>
            <w:tcW w:w="1284" w:type="dxa"/>
            <w:tcBorders>
              <w:left w:val="single" w:color="auto" w:sz="4" w:space="0"/>
              <w:bottom w:val="single" w:color="auto" w:sz="4" w:space="0"/>
              <w:right w:val="single" w:color="auto" w:sz="4" w:space="0"/>
            </w:tcBorders>
            <w:vAlign w:val="center"/>
          </w:tcPr>
          <w:p>
            <w:pPr>
              <w:pStyle w:val="3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收集后委托有资质的单位进行处置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w:t>
            </w:r>
          </w:p>
        </w:tc>
        <w:tc>
          <w:tcPr>
            <w:tcW w:w="6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生活垃圾</w:t>
            </w:r>
          </w:p>
        </w:tc>
        <w:tc>
          <w:tcPr>
            <w:tcW w:w="66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生活垃圾</w:t>
            </w:r>
          </w:p>
        </w:tc>
        <w:tc>
          <w:tcPr>
            <w:tcW w:w="75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施工人员生活</w:t>
            </w:r>
          </w:p>
        </w:tc>
        <w:tc>
          <w:tcPr>
            <w:tcW w:w="6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废</w:t>
            </w:r>
            <w:r>
              <w:rPr>
                <w:rFonts w:cs="Times New Roman"/>
                <w:color w:val="000000" w:themeColor="text1"/>
                <w14:textFill>
                  <w14:solidFill>
                    <w14:schemeClr w14:val="tx1"/>
                  </w14:solidFill>
                </w14:textFill>
              </w:rPr>
              <w:t>塑料等</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2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85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900-002-S62</w:t>
            </w:r>
          </w:p>
        </w:tc>
        <w:tc>
          <w:tcPr>
            <w:tcW w:w="78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11.66</w:t>
            </w:r>
            <w:r>
              <w:rPr>
                <w:rFonts w:cs="Times New Roman"/>
                <w:color w:val="000000" w:themeColor="text1"/>
                <w14:textFill>
                  <w14:solidFill>
                    <w14:schemeClr w14:val="tx1"/>
                  </w14:solidFill>
                </w14:textFill>
              </w:rPr>
              <w:t>t</w:t>
            </w:r>
          </w:p>
        </w:tc>
        <w:tc>
          <w:tcPr>
            <w:tcW w:w="128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由陆梁公寓集中收集后，统一拉至</w:t>
            </w:r>
            <w:r>
              <w:rPr>
                <w:rFonts w:hint="eastAsia" w:cs="Times New Roman"/>
                <w:color w:val="000000" w:themeColor="text1"/>
                <w:lang w:val="en-GB" w:eastAsia="zh-CN"/>
                <w14:textFill>
                  <w14:solidFill>
                    <w14:schemeClr w14:val="tx1"/>
                  </w14:solidFill>
                </w14:textFill>
              </w:rPr>
              <w:t>乌尔禾</w:t>
            </w:r>
            <w:r>
              <w:rPr>
                <w:rFonts w:cs="Times New Roman"/>
                <w:color w:val="000000" w:themeColor="text1"/>
                <w:lang w:val="en-GB"/>
                <w14:textFill>
                  <w14:solidFill>
                    <w14:schemeClr w14:val="tx1"/>
                  </w14:solidFill>
                </w14:textFill>
              </w:rPr>
              <w:t>生活垃圾填埋场</w:t>
            </w:r>
            <w:r>
              <w:rPr>
                <w:rFonts w:cs="Times New Roman"/>
                <w:color w:val="000000" w:themeColor="text1"/>
                <w14:textFill>
                  <w14:solidFill>
                    <w14:schemeClr w14:val="tx1"/>
                  </w14:solidFill>
                </w14:textFill>
              </w:rPr>
              <w:t>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30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w:t>
            </w:r>
          </w:p>
        </w:tc>
        <w:tc>
          <w:tcPr>
            <w:tcW w:w="6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建筑垃圾</w:t>
            </w:r>
          </w:p>
        </w:tc>
        <w:tc>
          <w:tcPr>
            <w:tcW w:w="66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一般固废</w:t>
            </w:r>
          </w:p>
        </w:tc>
        <w:tc>
          <w:tcPr>
            <w:tcW w:w="75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安装设备</w:t>
            </w:r>
            <w:r>
              <w:rPr>
                <w:rFonts w:hint="eastAsia" w:cs="Times New Roman"/>
                <w:color w:val="000000" w:themeColor="text1"/>
                <w14:textFill>
                  <w14:solidFill>
                    <w14:schemeClr w14:val="tx1"/>
                  </w14:solidFill>
                </w14:textFill>
              </w:rPr>
              <w:t>、拆除</w:t>
            </w:r>
          </w:p>
        </w:tc>
        <w:tc>
          <w:tcPr>
            <w:tcW w:w="6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1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62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85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900-001-S72</w:t>
            </w:r>
          </w:p>
        </w:tc>
        <w:tc>
          <w:tcPr>
            <w:tcW w:w="78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少量</w:t>
            </w:r>
          </w:p>
        </w:tc>
        <w:tc>
          <w:tcPr>
            <w:tcW w:w="1284" w:type="dxa"/>
            <w:tcBorders>
              <w:top w:val="single" w:color="auto" w:sz="4" w:space="0"/>
              <w:left w:val="single" w:color="auto" w:sz="4" w:space="0"/>
              <w:bottom w:val="single" w:color="auto" w:sz="4" w:space="0"/>
              <w:right w:val="single" w:color="auto" w:sz="4" w:space="0"/>
            </w:tcBorders>
            <w:vAlign w:val="center"/>
          </w:tcPr>
          <w:p>
            <w:pPr>
              <w:pStyle w:val="35"/>
              <w:rPr>
                <w:rFonts w:hint="eastAsia" w:eastAsia="宋体" w:cs="Times New Roman"/>
                <w:color w:val="000000" w:themeColor="text1"/>
                <w:lang w:val="en-GB" w:eastAsia="zh-CN"/>
                <w14:textFill>
                  <w14:solidFill>
                    <w14:schemeClr w14:val="tx1"/>
                  </w14:solidFill>
                </w14:textFill>
              </w:rPr>
            </w:pPr>
            <w:r>
              <w:rPr>
                <w:rFonts w:cs="Times New Roman"/>
                <w:color w:val="000000" w:themeColor="text1"/>
                <w:lang w:val="en-GB"/>
                <w14:textFill>
                  <w14:solidFill>
                    <w14:schemeClr w14:val="tx1"/>
                  </w14:solidFill>
                </w14:textFill>
              </w:rPr>
              <w:t>施工废包装材料尽量回收利用，建筑垃圾由施工单位清运</w:t>
            </w:r>
          </w:p>
        </w:tc>
      </w:tr>
      <w:bookmarkEnd w:id="329"/>
    </w:tbl>
    <w:p>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（5）施工期污染物排放情况</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本工程施工期污染物排放情况见表3.7-</w:t>
      </w:r>
      <w:r>
        <w:rPr>
          <w:rFonts w:hint="eastAsia" w:ascii="Times New Roman" w:hAnsi="Times New Roman" w:cs="Times New Roman"/>
          <w:color w:val="000000" w:themeColor="text1"/>
          <w:sz w:val="24"/>
          <w14:textFill>
            <w14:solidFill>
              <w14:schemeClr w14:val="tx1"/>
            </w14:solidFill>
          </w14:textFill>
        </w:rPr>
        <w:t>9</w:t>
      </w:r>
      <w:r>
        <w:rPr>
          <w:rFonts w:ascii="Times New Roman" w:hAnsi="Times New Roman" w:cs="Times New Roman"/>
          <w:color w:val="000000" w:themeColor="text1"/>
          <w:sz w:val="24"/>
          <w14:textFill>
            <w14:solidFill>
              <w14:schemeClr w14:val="tx1"/>
            </w14:solidFill>
          </w14:textFill>
        </w:rPr>
        <w:t>。</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w:t>
      </w:r>
      <w:r>
        <w:rPr>
          <w:rFonts w:hint="eastAsia" w:ascii="Times New Roman" w:hAnsi="Times New Roman" w:eastAsia="宋体" w:cs="Times New Roman"/>
          <w:bCs/>
          <w:color w:val="000000" w:themeColor="text1"/>
          <w:sz w:val="21"/>
          <w:szCs w:val="21"/>
          <w14:textFill>
            <w14:solidFill>
              <w14:schemeClr w14:val="tx1"/>
            </w14:solidFill>
          </w14:textFill>
        </w:rPr>
        <w:t>9</w:t>
      </w:r>
      <w:r>
        <w:rPr>
          <w:rFonts w:ascii="Times New Roman" w:hAnsi="Times New Roman" w:eastAsia="宋体" w:cs="Times New Roman"/>
          <w:bCs/>
          <w:color w:val="000000" w:themeColor="text1"/>
          <w:sz w:val="21"/>
          <w:szCs w:val="21"/>
          <w14:textFill>
            <w14:solidFill>
              <w14:schemeClr w14:val="tx1"/>
            </w14:solidFill>
          </w14:textFill>
        </w:rPr>
        <w:t xml:space="preserve">  本工程施工期污染物排放情况表</w:t>
      </w:r>
    </w:p>
    <w:tbl>
      <w:tblPr>
        <w:tblStyle w:val="23"/>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261"/>
        <w:gridCol w:w="1247"/>
        <w:gridCol w:w="1080"/>
        <w:gridCol w:w="1661"/>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trPr>
        <w:tc>
          <w:tcPr>
            <w:tcW w:w="463"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项目</w:t>
            </w:r>
          </w:p>
        </w:tc>
        <w:tc>
          <w:tcPr>
            <w:tcW w:w="1261"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工程</w:t>
            </w:r>
          </w:p>
        </w:tc>
        <w:tc>
          <w:tcPr>
            <w:tcW w:w="1247"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污染源</w:t>
            </w:r>
          </w:p>
        </w:tc>
        <w:tc>
          <w:tcPr>
            <w:tcW w:w="1080"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w:t>
            </w:r>
          </w:p>
        </w:tc>
        <w:tc>
          <w:tcPr>
            <w:tcW w:w="1661"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产生量</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（完钻后）</w:t>
            </w:r>
          </w:p>
        </w:tc>
        <w:tc>
          <w:tcPr>
            <w:tcW w:w="2805"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主要处理措施及排放去向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trPr>
        <w:tc>
          <w:tcPr>
            <w:tcW w:w="463"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w:t>
            </w:r>
          </w:p>
        </w:tc>
        <w:tc>
          <w:tcPr>
            <w:tcW w:w="1261"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井场</w:t>
            </w:r>
          </w:p>
        </w:tc>
        <w:tc>
          <w:tcPr>
            <w:tcW w:w="1247"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施工期扬尘</w:t>
            </w: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扬尘</w:t>
            </w:r>
          </w:p>
        </w:tc>
        <w:tc>
          <w:tcPr>
            <w:tcW w:w="16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280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合理规划车辆运输路线，逸散性材料运输用苫布遮盖，同时采取场区洒水抑尘措施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钻井期柴油机组燃烧废气</w:t>
            </w: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NOx</w:t>
            </w:r>
          </w:p>
        </w:tc>
        <w:tc>
          <w:tcPr>
            <w:tcW w:w="166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27.91</w:t>
            </w:r>
            <w:r>
              <w:rPr>
                <w:rFonts w:cs="Times New Roman"/>
                <w:color w:val="000000" w:themeColor="text1"/>
                <w14:textFill>
                  <w14:solidFill>
                    <w14:schemeClr w14:val="tx1"/>
                  </w14:solidFill>
                </w14:textFill>
              </w:rPr>
              <w:t>t</w:t>
            </w:r>
          </w:p>
        </w:tc>
        <w:tc>
          <w:tcPr>
            <w:tcW w:w="280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采用高品质的柴油、添加柴油助燃剂等措施，钻井期间排放的大气污染物将随钻井工程的结束而消失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Merge w:val="continue"/>
            <w:vAlign w:val="center"/>
          </w:tcPr>
          <w:p>
            <w:pPr>
              <w:pStyle w:val="35"/>
              <w:rPr>
                <w:rFonts w:cs="Times New Roman"/>
                <w:color w:val="000000" w:themeColor="text1"/>
                <w14:textFill>
                  <w14:solidFill>
                    <w14:schemeClr w14:val="tx1"/>
                  </w14:solidFill>
                </w14:textFill>
              </w:rPr>
            </w:pP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2</w:t>
            </w:r>
          </w:p>
        </w:tc>
        <w:tc>
          <w:tcPr>
            <w:tcW w:w="16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0.01</w:t>
            </w:r>
            <w:r>
              <w:rPr>
                <w:rFonts w:hint="eastAsia" w:cs="Times New Roman"/>
                <w:color w:val="000000" w:themeColor="text1"/>
                <w14:textFill>
                  <w14:solidFill>
                    <w14:schemeClr w14:val="tx1"/>
                  </w14:solidFill>
                </w14:textFill>
              </w:rPr>
              <w:t>7</w:t>
            </w:r>
            <w:r>
              <w:rPr>
                <w:rFonts w:cs="Times New Roman"/>
                <w:color w:val="000000" w:themeColor="text1"/>
                <w14:textFill>
                  <w14:solidFill>
                    <w14:schemeClr w14:val="tx1"/>
                  </w14:solidFill>
                </w14:textFill>
              </w:rPr>
              <w:t>t</w:t>
            </w:r>
          </w:p>
        </w:tc>
        <w:tc>
          <w:tcPr>
            <w:tcW w:w="2805" w:type="dxa"/>
            <w:vMerge w:val="continue"/>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Merge w:val="continue"/>
            <w:vAlign w:val="center"/>
          </w:tcPr>
          <w:p>
            <w:pPr>
              <w:pStyle w:val="35"/>
              <w:rPr>
                <w:rFonts w:cs="Times New Roman"/>
                <w:color w:val="000000" w:themeColor="text1"/>
                <w14:textFill>
                  <w14:solidFill>
                    <w14:schemeClr w14:val="tx1"/>
                  </w14:solidFill>
                </w14:textFill>
              </w:rPr>
            </w:pP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w:t>
            </w:r>
          </w:p>
        </w:tc>
        <w:tc>
          <w:tcPr>
            <w:tcW w:w="166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9.12</w:t>
            </w:r>
            <w:r>
              <w:rPr>
                <w:rFonts w:cs="Times New Roman"/>
                <w:color w:val="000000" w:themeColor="text1"/>
                <w14:textFill>
                  <w14:solidFill>
                    <w14:schemeClr w14:val="tx1"/>
                  </w14:solidFill>
                </w14:textFill>
              </w:rPr>
              <w:t>t</w:t>
            </w:r>
          </w:p>
        </w:tc>
        <w:tc>
          <w:tcPr>
            <w:tcW w:w="2805" w:type="dxa"/>
            <w:vMerge w:val="continue"/>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Merge w:val="continue"/>
            <w:vAlign w:val="center"/>
          </w:tcPr>
          <w:p>
            <w:pPr>
              <w:pStyle w:val="35"/>
              <w:rPr>
                <w:rFonts w:cs="Times New Roman"/>
                <w:color w:val="000000" w:themeColor="text1"/>
                <w14:textFill>
                  <w14:solidFill>
                    <w14:schemeClr w14:val="tx1"/>
                  </w14:solidFill>
                </w14:textFill>
              </w:rPr>
            </w:pP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HC</w:t>
            </w:r>
          </w:p>
        </w:tc>
        <w:tc>
          <w:tcPr>
            <w:tcW w:w="166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2.88</w:t>
            </w:r>
            <w:r>
              <w:rPr>
                <w:rFonts w:cs="Times New Roman"/>
                <w:color w:val="000000" w:themeColor="text1"/>
                <w14:textFill>
                  <w14:solidFill>
                    <w14:schemeClr w14:val="tx1"/>
                  </w14:solidFill>
                </w14:textFill>
              </w:rPr>
              <w:t>t</w:t>
            </w:r>
          </w:p>
        </w:tc>
        <w:tc>
          <w:tcPr>
            <w:tcW w:w="2805" w:type="dxa"/>
            <w:vMerge w:val="continue"/>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Merge w:val="continue"/>
            <w:vAlign w:val="center"/>
          </w:tcPr>
          <w:p>
            <w:pPr>
              <w:pStyle w:val="35"/>
              <w:rPr>
                <w:rFonts w:cs="Times New Roman"/>
                <w:color w:val="000000" w:themeColor="text1"/>
                <w14:textFill>
                  <w14:solidFill>
                    <w14:schemeClr w14:val="tx1"/>
                  </w14:solidFill>
                </w14:textFill>
              </w:rPr>
            </w:pP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PM</w:t>
            </w:r>
            <w:r>
              <w:rPr>
                <w:rFonts w:cs="Times New Roman"/>
                <w:color w:val="000000" w:themeColor="text1"/>
                <w:vertAlign w:val="subscript"/>
                <w14:textFill>
                  <w14:solidFill>
                    <w14:schemeClr w14:val="tx1"/>
                  </w14:solidFill>
                </w14:textFill>
              </w:rPr>
              <w:t>10</w:t>
            </w:r>
          </w:p>
        </w:tc>
        <w:tc>
          <w:tcPr>
            <w:tcW w:w="16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78</w:t>
            </w:r>
            <w:r>
              <w:rPr>
                <w:rFonts w:cs="Times New Roman"/>
                <w:color w:val="000000" w:themeColor="text1"/>
                <w14:textFill>
                  <w14:solidFill>
                    <w14:schemeClr w14:val="tx1"/>
                  </w14:solidFill>
                </w14:textFill>
              </w:rPr>
              <w:t>t</w:t>
            </w:r>
          </w:p>
        </w:tc>
        <w:tc>
          <w:tcPr>
            <w:tcW w:w="2805" w:type="dxa"/>
            <w:vMerge w:val="continue"/>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Merge w:val="continue"/>
            <w:vAlign w:val="center"/>
          </w:tcPr>
          <w:p>
            <w:pPr>
              <w:pStyle w:val="35"/>
              <w:rPr>
                <w:rFonts w:cs="Times New Roman"/>
                <w:color w:val="000000" w:themeColor="text1"/>
                <w14:textFill>
                  <w14:solidFill>
                    <w14:schemeClr w14:val="tx1"/>
                  </w14:solidFill>
                </w14:textFill>
              </w:rPr>
            </w:pP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PM</w:t>
            </w:r>
            <w:r>
              <w:rPr>
                <w:rFonts w:cs="Times New Roman"/>
                <w:color w:val="000000" w:themeColor="text1"/>
                <w:vertAlign w:val="subscript"/>
                <w14:textFill>
                  <w14:solidFill>
                    <w14:schemeClr w14:val="tx1"/>
                  </w14:solidFill>
                </w14:textFill>
              </w:rPr>
              <w:t>2.5</w:t>
            </w:r>
          </w:p>
        </w:tc>
        <w:tc>
          <w:tcPr>
            <w:tcW w:w="16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78</w:t>
            </w:r>
            <w:r>
              <w:rPr>
                <w:rFonts w:cs="Times New Roman"/>
                <w:color w:val="000000" w:themeColor="text1"/>
                <w14:textFill>
                  <w14:solidFill>
                    <w14:schemeClr w14:val="tx1"/>
                  </w14:solidFill>
                </w14:textFill>
              </w:rPr>
              <w:t>t</w:t>
            </w:r>
          </w:p>
        </w:tc>
        <w:tc>
          <w:tcPr>
            <w:tcW w:w="2805" w:type="dxa"/>
            <w:vMerge w:val="continue"/>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施工期运输车辆尾气</w:t>
            </w: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烃类</w:t>
            </w:r>
          </w:p>
        </w:tc>
        <w:tc>
          <w:tcPr>
            <w:tcW w:w="166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2.51</w:t>
            </w:r>
            <w:r>
              <w:rPr>
                <w:rFonts w:cs="Times New Roman"/>
                <w:color w:val="000000" w:themeColor="text1"/>
                <w14:textFill>
                  <w14:solidFill>
                    <w14:schemeClr w14:val="tx1"/>
                  </w14:solidFill>
                </w14:textFill>
              </w:rPr>
              <w:t>t</w:t>
            </w:r>
          </w:p>
        </w:tc>
        <w:tc>
          <w:tcPr>
            <w:tcW w:w="280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使用符合国家标准的燃料，施工期废气排放时段较为集中，属于阶段性排放源，随着施工的结束而停止排放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Merge w:val="continue"/>
            <w:vAlign w:val="center"/>
          </w:tcPr>
          <w:p>
            <w:pPr>
              <w:pStyle w:val="35"/>
              <w:rPr>
                <w:rFonts w:cs="Times New Roman"/>
                <w:color w:val="000000" w:themeColor="text1"/>
                <w14:textFill>
                  <w14:solidFill>
                    <w14:schemeClr w14:val="tx1"/>
                  </w14:solidFill>
                </w14:textFill>
              </w:rPr>
            </w:pP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w:t>
            </w:r>
          </w:p>
        </w:tc>
        <w:tc>
          <w:tcPr>
            <w:tcW w:w="166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1.47</w:t>
            </w:r>
            <w:r>
              <w:rPr>
                <w:rFonts w:cs="Times New Roman"/>
                <w:color w:val="000000" w:themeColor="text1"/>
                <w14:textFill>
                  <w14:solidFill>
                    <w14:schemeClr w14:val="tx1"/>
                  </w14:solidFill>
                </w14:textFill>
              </w:rPr>
              <w:t>t</w:t>
            </w:r>
          </w:p>
        </w:tc>
        <w:tc>
          <w:tcPr>
            <w:tcW w:w="2805" w:type="dxa"/>
            <w:vMerge w:val="continue"/>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Merge w:val="continue"/>
            <w:vAlign w:val="center"/>
          </w:tcPr>
          <w:p>
            <w:pPr>
              <w:pStyle w:val="35"/>
              <w:rPr>
                <w:rFonts w:cs="Times New Roman"/>
                <w:color w:val="000000" w:themeColor="text1"/>
                <w14:textFill>
                  <w14:solidFill>
                    <w14:schemeClr w14:val="tx1"/>
                  </w14:solidFill>
                </w14:textFill>
              </w:rPr>
            </w:pP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NOx</w:t>
            </w:r>
          </w:p>
        </w:tc>
        <w:tc>
          <w:tcPr>
            <w:tcW w:w="166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6.74</w:t>
            </w:r>
            <w:r>
              <w:rPr>
                <w:rFonts w:cs="Times New Roman"/>
                <w:color w:val="000000" w:themeColor="text1"/>
                <w14:textFill>
                  <w14:solidFill>
                    <w14:schemeClr w14:val="tx1"/>
                  </w14:solidFill>
                </w14:textFill>
              </w:rPr>
              <w:t>t</w:t>
            </w:r>
          </w:p>
        </w:tc>
        <w:tc>
          <w:tcPr>
            <w:tcW w:w="2805" w:type="dxa"/>
            <w:vMerge w:val="continue"/>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Merge w:val="continue"/>
            <w:vAlign w:val="center"/>
          </w:tcPr>
          <w:p>
            <w:pPr>
              <w:pStyle w:val="35"/>
              <w:rPr>
                <w:rFonts w:cs="Times New Roman"/>
                <w:color w:val="000000" w:themeColor="text1"/>
                <w14:textFill>
                  <w14:solidFill>
                    <w14:schemeClr w14:val="tx1"/>
                  </w14:solidFill>
                </w14:textFill>
              </w:rPr>
            </w:pP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2</w:t>
            </w:r>
          </w:p>
        </w:tc>
        <w:tc>
          <w:tcPr>
            <w:tcW w:w="16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w:t>
            </w:r>
            <w:r>
              <w:rPr>
                <w:rFonts w:hint="eastAsia" w:cs="Times New Roman"/>
                <w:color w:val="000000" w:themeColor="text1"/>
                <w14:textFill>
                  <w14:solidFill>
                    <w14:schemeClr w14:val="tx1"/>
                  </w14:solidFill>
                </w14:textFill>
              </w:rPr>
              <w:t>75</w:t>
            </w:r>
            <w:r>
              <w:rPr>
                <w:rFonts w:cs="Times New Roman"/>
                <w:color w:val="000000" w:themeColor="text1"/>
                <w14:textFill>
                  <w14:solidFill>
                    <w14:schemeClr w14:val="tx1"/>
                  </w14:solidFill>
                </w14:textFill>
              </w:rPr>
              <w:t>t</w:t>
            </w:r>
          </w:p>
        </w:tc>
        <w:tc>
          <w:tcPr>
            <w:tcW w:w="2805" w:type="dxa"/>
            <w:vMerge w:val="continue"/>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w:t>
            </w:r>
          </w:p>
        </w:tc>
        <w:tc>
          <w:tcPr>
            <w:tcW w:w="1261"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集输管线</w:t>
            </w:r>
          </w:p>
        </w:tc>
        <w:tc>
          <w:tcPr>
            <w:tcW w:w="124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射孔液</w:t>
            </w: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6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2805"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由罐车送至陆梁集中处理站处理，处理达标后用于回注油藏，不外排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试压废水</w:t>
            </w: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废水量</w:t>
            </w:r>
          </w:p>
        </w:tc>
        <w:tc>
          <w:tcPr>
            <w:tcW w:w="166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31.25</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p>
        </w:tc>
        <w:tc>
          <w:tcPr>
            <w:tcW w:w="2805"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沉淀后洒水降尘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463"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固体废物</w:t>
            </w:r>
          </w:p>
        </w:tc>
        <w:tc>
          <w:tcPr>
            <w:tcW w:w="12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井场</w:t>
            </w:r>
          </w:p>
        </w:tc>
        <w:tc>
          <w:tcPr>
            <w:tcW w:w="124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水基岩屑</w:t>
            </w: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66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17263.12</w:t>
            </w:r>
            <w:r>
              <w:rPr>
                <w:rFonts w:cs="Times New Roman"/>
                <w:color w:val="000000" w:themeColor="text1"/>
                <w14:textFill>
                  <w14:solidFill>
                    <w14:schemeClr w14:val="tx1"/>
                  </w14:solidFill>
                </w14:textFill>
              </w:rPr>
              <w:t>t</w:t>
            </w:r>
          </w:p>
        </w:tc>
        <w:tc>
          <w:tcPr>
            <w:tcW w:w="2805"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钻井岩屑进入岩屑储罐内，委托有处置能力的</w:t>
            </w:r>
            <w:r>
              <w:rPr>
                <w:rFonts w:hint="eastAsia" w:cs="Times New Roman"/>
                <w:color w:val="000000" w:themeColor="text1"/>
                <w14:textFill>
                  <w14:solidFill>
                    <w14:schemeClr w14:val="tx1"/>
                  </w14:solidFill>
                </w14:textFill>
              </w:rPr>
              <w:t>岩屑处置</w:t>
            </w:r>
            <w:r>
              <w:rPr>
                <w:rFonts w:cs="Times New Roman"/>
                <w:color w:val="000000" w:themeColor="text1"/>
                <w14:textFill>
                  <w14:solidFill>
                    <w14:schemeClr w14:val="tx1"/>
                  </w14:solidFill>
                </w14:textFill>
              </w:rPr>
              <w:t>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管线工程</w:t>
            </w:r>
          </w:p>
        </w:tc>
        <w:tc>
          <w:tcPr>
            <w:tcW w:w="2327"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施工土方</w:t>
            </w:r>
          </w:p>
        </w:tc>
        <w:tc>
          <w:tcPr>
            <w:tcW w:w="16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0m</w:t>
            </w:r>
            <w:r>
              <w:rPr>
                <w:rFonts w:cs="Times New Roman"/>
                <w:color w:val="000000" w:themeColor="text1"/>
                <w:vertAlign w:val="superscript"/>
                <w14:textFill>
                  <w14:solidFill>
                    <w14:schemeClr w14:val="tx1"/>
                  </w14:solidFill>
                </w14:textFill>
              </w:rPr>
              <w:t>3</w:t>
            </w:r>
          </w:p>
        </w:tc>
        <w:tc>
          <w:tcPr>
            <w:tcW w:w="2805" w:type="dxa"/>
          </w:tcPr>
          <w:p>
            <w:pPr>
              <w:pStyle w:val="35"/>
              <w:rPr>
                <w:rFonts w:cs="Times New Roman"/>
                <w:color w:val="000000" w:themeColor="text1"/>
                <w14:textFill>
                  <w14:solidFill>
                    <w14:schemeClr w14:val="tx1"/>
                  </w14:solidFill>
                </w14:textFill>
              </w:rPr>
            </w:pPr>
            <w:r>
              <w:rPr>
                <w:rFonts w:cs="Times New Roman"/>
                <w:color w:val="000000" w:themeColor="text1"/>
                <w:lang w:val="en-GB"/>
                <w14:textFill>
                  <w14:solidFill>
                    <w14:schemeClr w14:val="tx1"/>
                  </w14:solidFill>
                </w14:textFill>
              </w:rPr>
              <w:t>回填管沟、管廊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机械设备维修、更换</w:t>
            </w:r>
          </w:p>
        </w:tc>
        <w:tc>
          <w:tcPr>
            <w:tcW w:w="2327"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机械设备废油</w:t>
            </w:r>
          </w:p>
        </w:tc>
        <w:tc>
          <w:tcPr>
            <w:tcW w:w="16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hint="eastAsia" w:cs="Times New Roman"/>
                <w:color w:val="000000" w:themeColor="text1"/>
                <w14:textFill>
                  <w14:solidFill>
                    <w14:schemeClr w14:val="tx1"/>
                  </w14:solidFill>
                </w14:textFill>
              </w:rPr>
              <w:t>8</w:t>
            </w:r>
            <w:r>
              <w:rPr>
                <w:rFonts w:cs="Times New Roman"/>
                <w:color w:val="000000" w:themeColor="text1"/>
                <w14:textFill>
                  <w14:solidFill>
                    <w14:schemeClr w14:val="tx1"/>
                  </w14:solidFill>
                </w14:textFill>
              </w:rPr>
              <w:t>.5t</w:t>
            </w:r>
          </w:p>
        </w:tc>
        <w:tc>
          <w:tcPr>
            <w:tcW w:w="2805"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由钻井公司委托有资质的单位处置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钻井施工区域铺垫防渗膜</w:t>
            </w:r>
          </w:p>
        </w:tc>
        <w:tc>
          <w:tcPr>
            <w:tcW w:w="2327"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废弃防渗膜</w:t>
            </w:r>
          </w:p>
        </w:tc>
        <w:tc>
          <w:tcPr>
            <w:tcW w:w="16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2805" w:type="dxa"/>
            <w:vAlign w:val="center"/>
          </w:tcPr>
          <w:p>
            <w:pPr>
              <w:pStyle w:val="3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收集后委托有资质的单位进行处置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生活垃圾</w:t>
            </w:r>
          </w:p>
        </w:tc>
        <w:tc>
          <w:tcPr>
            <w:tcW w:w="2327"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水瓶、纸屑等</w:t>
            </w:r>
          </w:p>
        </w:tc>
        <w:tc>
          <w:tcPr>
            <w:tcW w:w="166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11.66</w:t>
            </w:r>
            <w:r>
              <w:rPr>
                <w:rFonts w:cs="Times New Roman"/>
                <w:color w:val="000000" w:themeColor="text1"/>
                <w14:textFill>
                  <w14:solidFill>
                    <w14:schemeClr w14:val="tx1"/>
                  </w14:solidFill>
                </w14:textFill>
              </w:rPr>
              <w:t>t</w:t>
            </w:r>
          </w:p>
        </w:tc>
        <w:tc>
          <w:tcPr>
            <w:tcW w:w="2805" w:type="dxa"/>
            <w:vAlign w:val="center"/>
          </w:tcPr>
          <w:p>
            <w:pPr>
              <w:pStyle w:val="35"/>
              <w:rPr>
                <w:rFonts w:cs="Times New Roman"/>
                <w:color w:val="000000" w:themeColor="text1"/>
                <w:lang w:val="en-GB"/>
                <w14:textFill>
                  <w14:solidFill>
                    <w14:schemeClr w14:val="tx1"/>
                  </w14:solidFill>
                </w14:textFill>
              </w:rPr>
            </w:pPr>
            <w:r>
              <w:rPr>
                <w:rFonts w:cs="Times New Roman"/>
                <w:color w:val="000000" w:themeColor="text1"/>
                <w:lang w:val="en-GB"/>
                <w14:textFill>
                  <w14:solidFill>
                    <w14:schemeClr w14:val="tx1"/>
                  </w14:solidFill>
                </w14:textFill>
              </w:rPr>
              <w:t>由陆梁公寓集中收集后，统一拉至</w:t>
            </w:r>
            <w:r>
              <w:rPr>
                <w:rFonts w:hint="eastAsia" w:cs="Times New Roman"/>
                <w:color w:val="000000" w:themeColor="text1"/>
                <w:lang w:val="en-GB" w:eastAsia="zh-CN"/>
                <w14:textFill>
                  <w14:solidFill>
                    <w14:schemeClr w14:val="tx1"/>
                  </w14:solidFill>
                </w14:textFill>
              </w:rPr>
              <w:t>乌尔禾</w:t>
            </w:r>
            <w:r>
              <w:rPr>
                <w:rFonts w:cs="Times New Roman"/>
                <w:color w:val="000000" w:themeColor="text1"/>
                <w:lang w:val="en-GB"/>
                <w14:textFill>
                  <w14:solidFill>
                    <w14:schemeClr w14:val="tx1"/>
                  </w14:solidFill>
                </w14:textFill>
              </w:rPr>
              <w:t>生活垃圾填埋场</w:t>
            </w:r>
            <w:r>
              <w:rPr>
                <w:rFonts w:cs="Times New Roman"/>
                <w:color w:val="000000" w:themeColor="text1"/>
                <w14:textFill>
                  <w14:solidFill>
                    <w14:schemeClr w14:val="tx1"/>
                  </w14:solidFill>
                </w14:textFill>
              </w:rPr>
              <w:t>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Align w:val="center"/>
          </w:tcPr>
          <w:p>
            <w:pPr>
              <w:pStyle w:val="39"/>
              <w:jc w:val="center"/>
              <w:rPr>
                <w:rFonts w:ascii="Times New Roman" w:hAnsi="Times New Roman"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设备安装</w:t>
            </w:r>
            <w:r>
              <w:rPr>
                <w:rFonts w:hint="eastAsia" w:ascii="Times New Roman" w:hAnsi="Times New Roman" w:cs="Times New Roman"/>
                <w:b w:val="0"/>
                <w:bCs/>
                <w:color w:val="000000" w:themeColor="text1"/>
                <w:sz w:val="21"/>
                <w:szCs w:val="21"/>
                <w14:textFill>
                  <w14:solidFill>
                    <w14:schemeClr w14:val="tx1"/>
                  </w14:solidFill>
                </w14:textFill>
              </w:rPr>
              <w:t>、</w:t>
            </w:r>
            <w:r>
              <w:rPr>
                <w:rFonts w:hint="eastAsia" w:ascii="Times New Roman" w:hAnsi="Times New Roman" w:cs="Times New Roman"/>
                <w:b w:val="0"/>
                <w:bCs/>
                <w:color w:val="000000" w:themeColor="text1"/>
                <w:sz w:val="21"/>
                <w:szCs w:val="21"/>
                <w:lang w:val="en-US"/>
                <w14:textFill>
                  <w14:solidFill>
                    <w14:schemeClr w14:val="tx1"/>
                  </w14:solidFill>
                </w14:textFill>
              </w:rPr>
              <w:t>拆除</w:t>
            </w:r>
          </w:p>
        </w:tc>
        <w:tc>
          <w:tcPr>
            <w:tcW w:w="2327" w:type="dxa"/>
            <w:gridSpan w:val="2"/>
            <w:vAlign w:val="center"/>
          </w:tcPr>
          <w:p>
            <w:pPr>
              <w:pStyle w:val="39"/>
              <w:jc w:val="center"/>
              <w:rPr>
                <w:rFonts w:ascii="Times New Roman" w:hAnsi="Times New Roman"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建筑垃圾</w:t>
            </w:r>
          </w:p>
        </w:tc>
        <w:tc>
          <w:tcPr>
            <w:tcW w:w="1661" w:type="dxa"/>
            <w:vAlign w:val="center"/>
          </w:tcPr>
          <w:p>
            <w:pPr>
              <w:pStyle w:val="39"/>
              <w:jc w:val="center"/>
              <w:rPr>
                <w:rFonts w:ascii="Times New Roman" w:hAnsi="Times New Roman" w:cs="Times New Roman"/>
                <w:b w:val="0"/>
                <w:bCs/>
                <w:color w:val="000000" w:themeColor="text1"/>
                <w:sz w:val="21"/>
                <w:szCs w:val="21"/>
                <w:lang w:val="en-US"/>
                <w14:textFill>
                  <w14:solidFill>
                    <w14:schemeClr w14:val="tx1"/>
                  </w14:solidFill>
                </w14:textFill>
              </w:rPr>
            </w:pPr>
            <w:r>
              <w:rPr>
                <w:rFonts w:ascii="Times New Roman" w:hAnsi="Times New Roman" w:cs="Times New Roman"/>
                <w:b w:val="0"/>
                <w:bCs/>
                <w:color w:val="000000" w:themeColor="text1"/>
                <w:sz w:val="21"/>
                <w:szCs w:val="21"/>
                <w14:textFill>
                  <w14:solidFill>
                    <w14:schemeClr w14:val="tx1"/>
                  </w14:solidFill>
                </w14:textFill>
              </w:rPr>
              <w:t>少量</w:t>
            </w:r>
          </w:p>
        </w:tc>
        <w:tc>
          <w:tcPr>
            <w:tcW w:w="2805" w:type="dxa"/>
            <w:vAlign w:val="center"/>
          </w:tcPr>
          <w:p>
            <w:pPr>
              <w:pStyle w:val="39"/>
              <w:jc w:val="center"/>
              <w:rPr>
                <w:rFonts w:ascii="Times New Roman" w:hAnsi="Times New Roman" w:cs="Times New Roman"/>
                <w:b w:val="0"/>
                <w:bCs/>
                <w:color w:val="000000" w:themeColor="text1"/>
                <w:sz w:val="21"/>
                <w:szCs w:val="21"/>
                <w:lang w:val="en-GB"/>
                <w14:textFill>
                  <w14:solidFill>
                    <w14:schemeClr w14:val="tx1"/>
                  </w14:solidFill>
                </w14:textFill>
              </w:rPr>
            </w:pPr>
            <w:r>
              <w:rPr>
                <w:rFonts w:ascii="Times New Roman" w:hAnsi="Times New Roman" w:cs="Times New Roman"/>
                <w:b w:val="0"/>
                <w:bCs/>
                <w:color w:val="000000" w:themeColor="text1"/>
                <w:sz w:val="21"/>
                <w:szCs w:val="21"/>
                <w:lang w:val="en-GB"/>
                <w14:textFill>
                  <w14:solidFill>
                    <w14:schemeClr w14:val="tx1"/>
                  </w14:solidFill>
                </w14:textFill>
              </w:rPr>
              <w:t>施工废包装材料尽量回收利用，建筑垃圾由施工单位清运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tc>
        <w:tc>
          <w:tcPr>
            <w:tcW w:w="1261"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井场</w:t>
            </w:r>
          </w:p>
        </w:tc>
        <w:tc>
          <w:tcPr>
            <w:tcW w:w="124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钻井设备</w:t>
            </w: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tc>
        <w:tc>
          <w:tcPr>
            <w:tcW w:w="16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90dB(A)</w:t>
            </w:r>
          </w:p>
        </w:tc>
        <w:tc>
          <w:tcPr>
            <w:tcW w:w="280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对高噪声设备采取隔声措施，并加强机械设备的保养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63" w:type="dxa"/>
            <w:vMerge w:val="continue"/>
            <w:vAlign w:val="center"/>
          </w:tcPr>
          <w:p>
            <w:pPr>
              <w:pStyle w:val="35"/>
              <w:rPr>
                <w:rFonts w:cs="Times New Roman"/>
                <w:color w:val="000000" w:themeColor="text1"/>
                <w14:textFill>
                  <w14:solidFill>
                    <w14:schemeClr w14:val="tx1"/>
                  </w14:solidFill>
                </w14:textFill>
              </w:rPr>
            </w:pPr>
          </w:p>
        </w:tc>
        <w:tc>
          <w:tcPr>
            <w:tcW w:w="1261" w:type="dxa"/>
            <w:vMerge w:val="continue"/>
            <w:vAlign w:val="center"/>
          </w:tcPr>
          <w:p>
            <w:pPr>
              <w:pStyle w:val="35"/>
              <w:rPr>
                <w:rFonts w:cs="Times New Roman"/>
                <w:color w:val="000000" w:themeColor="text1"/>
                <w14:textFill>
                  <w14:solidFill>
                    <w14:schemeClr w14:val="tx1"/>
                  </w14:solidFill>
                </w14:textFill>
              </w:rPr>
            </w:pPr>
          </w:p>
        </w:tc>
        <w:tc>
          <w:tcPr>
            <w:tcW w:w="124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泥浆泵</w:t>
            </w:r>
          </w:p>
        </w:tc>
        <w:tc>
          <w:tcPr>
            <w:tcW w:w="10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tc>
        <w:tc>
          <w:tcPr>
            <w:tcW w:w="16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90dB(A)</w:t>
            </w:r>
          </w:p>
        </w:tc>
        <w:tc>
          <w:tcPr>
            <w:tcW w:w="2805" w:type="dxa"/>
            <w:vMerge w:val="continue"/>
            <w:vAlign w:val="center"/>
          </w:tcPr>
          <w:p>
            <w:pPr>
              <w:pStyle w:val="39"/>
              <w:rPr>
                <w:rFonts w:ascii="Times New Roman" w:hAnsi="Times New Roman" w:cs="Times New Roman"/>
                <w:color w:val="000000" w:themeColor="text1"/>
                <w:szCs w:val="21"/>
                <w14:textFill>
                  <w14:solidFill>
                    <w14:schemeClr w14:val="tx1"/>
                  </w14:solidFill>
                </w14:textFill>
              </w:rPr>
            </w:pPr>
          </w:p>
        </w:tc>
      </w:tr>
    </w:tbl>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3.7.6.5生态影响</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施工期生态影响主要体现在井场、管线、计量站等建设阶段，如占用土地、施工对地表植被的影响、土壤扰动等。输送管道开挖产生的弃土及时回填至管沟上方，基本可做到土石方挖填平衡。</w:t>
      </w:r>
    </w:p>
    <w:p>
      <w:pPr>
        <w:spacing w:line="360" w:lineRule="auto"/>
        <w:ind w:firstLine="48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占用土地包括临时占地和永久占地，将暂时或永久改变土地原有使用功能。临时占地包括管线施工便道的临时占地，施工结束后临时占地可恢复原有使用功能。永久占地主要为采油井场的永久占地。</w:t>
      </w:r>
    </w:p>
    <w:p>
      <w:pPr>
        <w:spacing w:line="360" w:lineRule="auto"/>
        <w:ind w:firstLine="48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地面工程施工作业包括地面设施的场地平整、管线敷设、计量站/配水撬施工</w:t>
      </w:r>
      <w:r>
        <w:rPr>
          <w:rFonts w:hint="eastAsia" w:ascii="Times New Roman" w:hAnsi="Times New Roman" w:cs="Times New Roman"/>
          <w:color w:val="000000" w:themeColor="text1"/>
          <w:kern w:val="0"/>
          <w:sz w:val="24"/>
          <w14:textFill>
            <w14:solidFill>
              <w14:schemeClr w14:val="tx1"/>
            </w14:solidFill>
          </w14:textFill>
        </w:rPr>
        <w:t>、</w:t>
      </w:r>
      <w:r>
        <w:rPr>
          <w:rFonts w:ascii="Times New Roman" w:hAnsi="Times New Roman" w:cs="Times New Roman"/>
          <w:color w:val="000000" w:themeColor="text1"/>
          <w:kern w:val="0"/>
          <w:sz w:val="24"/>
          <w14:textFill>
            <w14:solidFill>
              <w14:schemeClr w14:val="tx1"/>
            </w14:solidFill>
          </w14:textFill>
        </w:rPr>
        <w:t>井口、设备安装等，施工作业直接破坏了地面植被，造成了土壤扰动，容易导致水土流失。</w:t>
      </w:r>
    </w:p>
    <w:p>
      <w:pPr>
        <w:pStyle w:val="58"/>
        <w:spacing w:line="360" w:lineRule="auto"/>
        <w:ind w:firstLine="480" w:firstLineChars="200"/>
        <w:outlineLvl w:val="9"/>
        <w:rPr>
          <w:rFonts w:cs="Times New Roman"/>
          <w:color w:val="000000" w:themeColor="text1"/>
          <w:kern w:val="0"/>
          <w:sz w:val="24"/>
          <w:highlight w:val="yellow"/>
          <w14:textFill>
            <w14:solidFill>
              <w14:schemeClr w14:val="tx1"/>
            </w14:solidFill>
          </w14:textFill>
        </w:rPr>
      </w:pPr>
      <w:r>
        <w:rPr>
          <w:rFonts w:cs="Times New Roman"/>
          <w:color w:val="000000" w:themeColor="text1"/>
          <w:kern w:val="0"/>
          <w:sz w:val="24"/>
          <w14:textFill>
            <w14:solidFill>
              <w14:schemeClr w14:val="tx1"/>
            </w14:solidFill>
          </w14:textFill>
        </w:rPr>
        <w:t>根据估算，本工程总占地面积为</w:t>
      </w:r>
      <w:r>
        <w:rPr>
          <w:rFonts w:hint="eastAsia" w:cs="Times New Roman"/>
          <w:color w:val="000000" w:themeColor="text1"/>
          <w:kern w:val="0"/>
          <w:sz w:val="24"/>
          <w:lang w:val="en-US" w:eastAsia="zh-CN"/>
          <w14:textFill>
            <w14:solidFill>
              <w14:schemeClr w14:val="tx1"/>
            </w14:solidFill>
          </w14:textFill>
        </w:rPr>
        <w:t>449525.7</w:t>
      </w:r>
      <w:r>
        <w:rPr>
          <w:rFonts w:cs="Times New Roman"/>
          <w:color w:val="000000" w:themeColor="text1"/>
          <w:kern w:val="0"/>
          <w:sz w:val="24"/>
          <w14:textFill>
            <w14:solidFill>
              <w14:schemeClr w14:val="tx1"/>
            </w14:solidFill>
          </w14:textFill>
        </w:rPr>
        <w:t>m</w:t>
      </w:r>
      <w:r>
        <w:rPr>
          <w:rFonts w:cs="Times New Roman"/>
          <w:color w:val="000000" w:themeColor="text1"/>
          <w:kern w:val="0"/>
          <w:sz w:val="24"/>
          <w:vertAlign w:val="superscript"/>
          <w14:textFill>
            <w14:solidFill>
              <w14:schemeClr w14:val="tx1"/>
            </w14:solidFill>
          </w14:textFill>
        </w:rPr>
        <w:t>2</w:t>
      </w:r>
      <w:r>
        <w:rPr>
          <w:rFonts w:cs="Times New Roman"/>
          <w:color w:val="000000" w:themeColor="text1"/>
          <w:kern w:val="0"/>
          <w:sz w:val="24"/>
          <w14:textFill>
            <w14:solidFill>
              <w14:schemeClr w14:val="tx1"/>
            </w14:solidFill>
          </w14:textFill>
        </w:rPr>
        <w:t>，其中临时占地</w:t>
      </w:r>
      <w:r>
        <w:rPr>
          <w:rFonts w:hint="eastAsia" w:cs="Times New Roman"/>
          <w:color w:val="000000" w:themeColor="text1"/>
          <w:kern w:val="0"/>
          <w:sz w:val="24"/>
          <w:lang w:val="en-US" w:eastAsia="zh-CN"/>
          <w14:textFill>
            <w14:solidFill>
              <w14:schemeClr w14:val="tx1"/>
            </w14:solidFill>
          </w14:textFill>
        </w:rPr>
        <w:t>428180</w:t>
      </w:r>
      <w:r>
        <w:rPr>
          <w:rFonts w:cs="Times New Roman"/>
          <w:color w:val="000000" w:themeColor="text1"/>
          <w:kern w:val="0"/>
          <w:sz w:val="24"/>
          <w14:textFill>
            <w14:solidFill>
              <w14:schemeClr w14:val="tx1"/>
            </w14:solidFill>
          </w14:textFill>
        </w:rPr>
        <w:t>m</w:t>
      </w:r>
      <w:r>
        <w:rPr>
          <w:rFonts w:cs="Times New Roman"/>
          <w:color w:val="000000" w:themeColor="text1"/>
          <w:kern w:val="0"/>
          <w:sz w:val="24"/>
          <w:vertAlign w:val="superscript"/>
          <w14:textFill>
            <w14:solidFill>
              <w14:schemeClr w14:val="tx1"/>
            </w14:solidFill>
          </w14:textFill>
        </w:rPr>
        <w:t>2</w:t>
      </w:r>
      <w:r>
        <w:rPr>
          <w:rFonts w:cs="Times New Roman"/>
          <w:color w:val="000000" w:themeColor="text1"/>
          <w:kern w:val="0"/>
          <w:sz w:val="24"/>
          <w14:textFill>
            <w14:solidFill>
              <w14:schemeClr w14:val="tx1"/>
            </w14:solidFill>
          </w14:textFill>
        </w:rPr>
        <w:t>，永久占地</w:t>
      </w:r>
      <w:r>
        <w:rPr>
          <w:rFonts w:hint="eastAsia" w:cs="Times New Roman"/>
          <w:color w:val="000000" w:themeColor="text1"/>
          <w:kern w:val="0"/>
          <w:sz w:val="24"/>
          <w:lang w:val="en-US" w:eastAsia="zh-CN"/>
          <w14:textFill>
            <w14:solidFill>
              <w14:schemeClr w14:val="tx1"/>
            </w14:solidFill>
          </w14:textFill>
        </w:rPr>
        <w:t>21345.7</w:t>
      </w:r>
      <w:r>
        <w:rPr>
          <w:rFonts w:cs="Times New Roman"/>
          <w:color w:val="000000" w:themeColor="text1"/>
          <w:kern w:val="0"/>
          <w:sz w:val="24"/>
          <w14:textFill>
            <w14:solidFill>
              <w14:schemeClr w14:val="tx1"/>
            </w14:solidFill>
          </w14:textFill>
        </w:rPr>
        <w:t>m</w:t>
      </w:r>
      <w:r>
        <w:rPr>
          <w:rFonts w:cs="Times New Roman"/>
          <w:color w:val="000000" w:themeColor="text1"/>
          <w:kern w:val="0"/>
          <w:sz w:val="24"/>
          <w:vertAlign w:val="superscript"/>
          <w14:textFill>
            <w14:solidFill>
              <w14:schemeClr w14:val="tx1"/>
            </w14:solidFill>
          </w14:textFill>
        </w:rPr>
        <w:t>2</w:t>
      </w:r>
      <w:r>
        <w:rPr>
          <w:rFonts w:cs="Times New Roman"/>
          <w:color w:val="000000" w:themeColor="text1"/>
          <w:kern w:val="0"/>
          <w:sz w:val="24"/>
          <w14:textFill>
            <w14:solidFill>
              <w14:schemeClr w14:val="tx1"/>
            </w14:solidFill>
          </w14:textFill>
        </w:rPr>
        <w:t>。占地类型为采矿用地和</w:t>
      </w:r>
      <w:r>
        <w:rPr>
          <w:rFonts w:hint="eastAsia" w:cs="Times New Roman"/>
          <w:color w:val="000000" w:themeColor="text1"/>
          <w:kern w:val="0"/>
          <w:sz w:val="24"/>
          <w:lang w:bidi="ar"/>
          <w14:textFill>
            <w14:solidFill>
              <w14:schemeClr w14:val="tx1"/>
            </w14:solidFill>
          </w14:textFill>
        </w:rPr>
        <w:t>其他草地（低覆盖草地）</w:t>
      </w:r>
      <w:r>
        <w:rPr>
          <w:rFonts w:cs="Times New Roman"/>
          <w:color w:val="000000" w:themeColor="text1"/>
          <w:kern w:val="0"/>
          <w:sz w:val="24"/>
          <w14:textFill>
            <w14:solidFill>
              <w14:schemeClr w14:val="tx1"/>
            </w14:solidFill>
          </w14:textFill>
        </w:rPr>
        <w:t>。</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3.7.7运营期污染源分析及源强核算</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运营期环境影响因素主要体现在采油、集输过程中无组织排放的挥发性有机物；废水主要为井下作业废水、采出水、废洗井液等；固体废物主要为依托场站清罐底泥产生的含油污泥。噪声源主要为井场设备的运转噪声、井下作业噪声、巡检车辆的交通噪声等。</w:t>
      </w:r>
    </w:p>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3.7.7.1废气污染物</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w:t>
      </w:r>
      <w:bookmarkStart w:id="330" w:name="_Hlk92718729"/>
      <w:r>
        <w:rPr>
          <w:rFonts w:ascii="Times New Roman" w:hAnsi="Times New Roman" w:cs="Times New Roman"/>
          <w:color w:val="000000" w:themeColor="text1"/>
          <w:sz w:val="24"/>
          <w14:textFill>
            <w14:solidFill>
              <w14:schemeClr w14:val="tx1"/>
            </w14:solidFill>
          </w14:textFill>
        </w:rPr>
        <w:t>油气集输过程中无组织挥发有机废气</w:t>
      </w:r>
      <w:bookmarkEnd w:id="330"/>
    </w:p>
    <w:p>
      <w:pPr>
        <w:spacing w:line="360" w:lineRule="auto"/>
        <w:ind w:firstLine="48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生产运营期间单井加热采用电加热，无废气污染物排放，在油气集输过程中产生烃类尾气，包括采油井场和集输无组织挥发的烃类尾气。</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油气集输及处理过程中的阀门、法兰等部件产生的少量挥发性有机物，该过程中的无组织挥发废气尚无相应的污染源强核算技术指南，其产生量参考《污染源源强核算技术指南 石油炼制工业》（HJ982-2018）中设备动静密封点泄漏平均排放系数法进行核算，计算公式具体如下：</w:t>
      </w:r>
    </w:p>
    <w:p>
      <w:pPr>
        <w:spacing w:line="360" w:lineRule="auto"/>
        <w:ind w:firstLine="400"/>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drawing>
          <wp:inline distT="0" distB="0" distL="114300" distR="114300">
            <wp:extent cx="2256790" cy="469265"/>
            <wp:effectExtent l="0" t="0" r="10160" b="6985"/>
            <wp:docPr id="2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
                    <pic:cNvPicPr>
                      <a:picLocks noChangeAspect="1"/>
                    </pic:cNvPicPr>
                  </pic:nvPicPr>
                  <pic:blipFill>
                    <a:blip r:embed="rId36"/>
                    <a:stretch>
                      <a:fillRect/>
                    </a:stretch>
                  </pic:blipFill>
                  <pic:spPr>
                    <a:xfrm>
                      <a:off x="0" y="0"/>
                      <a:ext cx="2256790" cy="469265"/>
                    </a:xfrm>
                    <a:prstGeom prst="rect">
                      <a:avLst/>
                    </a:prstGeom>
                    <a:noFill/>
                    <a:ln>
                      <a:noFill/>
                    </a:ln>
                  </pic:spPr>
                </pic:pic>
              </a:graphicData>
            </a:graphic>
          </wp:inline>
        </w:drawing>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式中：</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i/>
          <w:iCs/>
          <w:color w:val="000000" w:themeColor="text1"/>
          <w:position w:val="2"/>
          <w:sz w:val="24"/>
          <w14:textFill>
            <w14:solidFill>
              <w14:schemeClr w14:val="tx1"/>
            </w14:solidFill>
          </w14:textFill>
        </w:rPr>
        <w:t>D</w:t>
      </w:r>
      <w:r>
        <w:rPr>
          <w:rFonts w:ascii="Times New Roman" w:hAnsi="Times New Roman" w:cs="Times New Roman"/>
          <w:i/>
          <w:iCs/>
          <w:color w:val="000000" w:themeColor="text1"/>
          <w:position w:val="2"/>
          <w:sz w:val="24"/>
          <w:vertAlign w:val="subscript"/>
          <w14:textFill>
            <w14:solidFill>
              <w14:schemeClr w14:val="tx1"/>
            </w14:solidFill>
          </w14:textFill>
        </w:rPr>
        <w:t>设备</w:t>
      </w:r>
      <w:r>
        <w:rPr>
          <w:rFonts w:ascii="Times New Roman" w:hAnsi="Times New Roman" w:cs="Times New Roman"/>
          <w:color w:val="000000" w:themeColor="text1"/>
          <w:position w:val="2"/>
          <w:sz w:val="24"/>
          <w14:textFill>
            <w14:solidFill>
              <w14:schemeClr w14:val="tx1"/>
            </w14:solidFill>
          </w14:textFill>
        </w:rPr>
        <w:t>—核算时段内设备与管线组件密封点泄漏的挥发性有机物的量，kg；</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i/>
          <w:iCs/>
          <w:color w:val="000000" w:themeColor="text1"/>
          <w:sz w:val="24"/>
          <w14:textFill>
            <w14:solidFill>
              <w14:schemeClr w14:val="tx1"/>
            </w14:solidFill>
          </w14:textFill>
        </w:rPr>
        <w:t>α</w:t>
      </w:r>
      <w:r>
        <w:rPr>
          <w:rFonts w:ascii="Times New Roman" w:hAnsi="Times New Roman" w:cs="Times New Roman"/>
          <w:color w:val="000000" w:themeColor="text1"/>
          <w:sz w:val="24"/>
          <w14:textFill>
            <w14:solidFill>
              <w14:schemeClr w14:val="tx1"/>
            </w14:solidFill>
          </w14:textFill>
        </w:rPr>
        <w:t>—设备与管线组件密封点的泄漏比例，本次取0.003；</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i/>
          <w:iCs/>
          <w:color w:val="000000" w:themeColor="text1"/>
          <w:sz w:val="24"/>
          <w14:textFill>
            <w14:solidFill>
              <w14:schemeClr w14:val="tx1"/>
            </w14:solidFill>
          </w14:textFill>
        </w:rPr>
        <w:t>WF</w:t>
      </w:r>
      <w:r>
        <w:rPr>
          <w:rFonts w:ascii="Times New Roman" w:hAnsi="Times New Roman" w:cs="Times New Roman"/>
          <w:i/>
          <w:iCs/>
          <w:color w:val="000000" w:themeColor="text1"/>
          <w:sz w:val="24"/>
          <w:vertAlign w:val="subscript"/>
          <w14:textFill>
            <w14:solidFill>
              <w14:schemeClr w14:val="tx1"/>
            </w14:solidFill>
          </w14:textFill>
        </w:rPr>
        <w:t>VOCS.i</w:t>
      </w:r>
      <w:r>
        <w:rPr>
          <w:rFonts w:ascii="Times New Roman" w:hAnsi="Times New Roman" w:cs="Times New Roman"/>
          <w:color w:val="000000" w:themeColor="text1"/>
          <w:sz w:val="24"/>
          <w14:textFill>
            <w14:solidFill>
              <w14:schemeClr w14:val="tx1"/>
            </w14:solidFill>
          </w14:textFill>
        </w:rPr>
        <w:t>—流经密封点i的物料中挥发性有机物平均质量分数（根据油田采出液组分数据取采出液最大含油率，取70%）；</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i/>
          <w:iCs/>
          <w:color w:val="000000" w:themeColor="text1"/>
          <w:sz w:val="24"/>
          <w14:textFill>
            <w14:solidFill>
              <w14:schemeClr w14:val="tx1"/>
            </w14:solidFill>
          </w14:textFill>
        </w:rPr>
        <w:t>WF</w:t>
      </w:r>
      <w:r>
        <w:rPr>
          <w:rFonts w:ascii="Times New Roman" w:hAnsi="Times New Roman" w:cs="Times New Roman"/>
          <w:i/>
          <w:iCs/>
          <w:color w:val="000000" w:themeColor="text1"/>
          <w:sz w:val="24"/>
          <w:vertAlign w:val="subscript"/>
          <w14:textFill>
            <w14:solidFill>
              <w14:schemeClr w14:val="tx1"/>
            </w14:solidFill>
          </w14:textFill>
        </w:rPr>
        <w:t>TOC.i</w:t>
      </w:r>
      <w:r>
        <w:rPr>
          <w:rFonts w:ascii="Times New Roman" w:hAnsi="Times New Roman" w:cs="Times New Roman"/>
          <w:color w:val="000000" w:themeColor="text1"/>
          <w:sz w:val="24"/>
          <w14:textFill>
            <w14:solidFill>
              <w14:schemeClr w14:val="tx1"/>
            </w14:solidFill>
          </w14:textFill>
        </w:rPr>
        <w:t>—流经密封点i的物料中总有机碳（TOC）平均质量分数（根据油田采出液组分数据取采出液最大含油率，取70%）；</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i/>
          <w:iCs/>
          <w:color w:val="000000" w:themeColor="text1"/>
          <w:sz w:val="24"/>
          <w14:textFill>
            <w14:solidFill>
              <w14:schemeClr w14:val="tx1"/>
            </w14:solidFill>
          </w14:textFill>
        </w:rPr>
        <w:t>e</w:t>
      </w:r>
      <w:r>
        <w:rPr>
          <w:rFonts w:ascii="Times New Roman" w:hAnsi="Times New Roman" w:cs="Times New Roman"/>
          <w:i/>
          <w:iCs/>
          <w:color w:val="000000" w:themeColor="text1"/>
          <w:sz w:val="24"/>
          <w:vertAlign w:val="subscript"/>
          <w14:textFill>
            <w14:solidFill>
              <w14:schemeClr w14:val="tx1"/>
            </w14:solidFill>
          </w14:textFill>
        </w:rPr>
        <w:t>TOC,i</w:t>
      </w:r>
      <w:r>
        <w:rPr>
          <w:rFonts w:ascii="Times New Roman" w:hAnsi="Times New Roman" w:cs="Times New Roman"/>
          <w:color w:val="000000" w:themeColor="text1"/>
          <w:sz w:val="24"/>
          <w14:textFill>
            <w14:solidFill>
              <w14:schemeClr w14:val="tx1"/>
            </w14:solidFill>
          </w14:textFill>
        </w:rPr>
        <w:t>一密封点i的总有机碳（TOC）排放速率（泄漏浓度大于10000</w:t>
      </w:r>
      <w:r>
        <w:rPr>
          <w:rFonts w:ascii="Times New Roman" w:hAnsi="Times New Roman" w:eastAsia="宋体" w:cs="Times New Roman"/>
          <w:color w:val="000000" w:themeColor="text1"/>
          <w:sz w:val="24"/>
          <w14:textFill>
            <w14:solidFill>
              <w14:schemeClr w14:val="tx1"/>
            </w14:solidFill>
          </w14:textFill>
        </w:rPr>
        <w:t>µ</w:t>
      </w:r>
      <w:r>
        <w:rPr>
          <w:rFonts w:ascii="Times New Roman" w:hAnsi="Times New Roman" w:cs="Times New Roman"/>
          <w:color w:val="000000" w:themeColor="text1"/>
          <w:sz w:val="24"/>
          <w14:textFill>
            <w14:solidFill>
              <w14:schemeClr w14:val="tx1"/>
            </w14:solidFill>
          </w14:textFill>
        </w:rPr>
        <w:t>mol/mol），kg/h；</w:t>
      </w:r>
    </w:p>
    <w:p>
      <w:pPr>
        <w:pStyle w:val="30"/>
        <w:spacing w:line="360" w:lineRule="auto"/>
        <w:rPr>
          <w:rFonts w:cs="Times New Roman"/>
          <w:color w:val="000000" w:themeColor="text1"/>
          <w:position w:val="2"/>
          <w:sz w:val="24"/>
          <w:szCs w:val="24"/>
          <w14:textFill>
            <w14:solidFill>
              <w14:schemeClr w14:val="tx1"/>
            </w14:solidFill>
          </w14:textFill>
        </w:rPr>
      </w:pPr>
      <w:r>
        <w:rPr>
          <w:rFonts w:cs="Times New Roman"/>
          <w:i/>
          <w:iCs/>
          <w:color w:val="000000" w:themeColor="text1"/>
          <w:position w:val="2"/>
          <w:sz w:val="24"/>
          <w:szCs w:val="24"/>
          <w14:textFill>
            <w14:solidFill>
              <w14:schemeClr w14:val="tx1"/>
            </w14:solidFill>
          </w14:textFill>
        </w:rPr>
        <w:t>n</w:t>
      </w:r>
      <w:r>
        <w:rPr>
          <w:rFonts w:cs="Times New Roman"/>
          <w:color w:val="000000" w:themeColor="text1"/>
          <w:position w:val="2"/>
          <w:sz w:val="24"/>
          <w:szCs w:val="24"/>
          <w14:textFill>
            <w14:solidFill>
              <w14:schemeClr w14:val="tx1"/>
            </w14:solidFill>
          </w14:textFill>
        </w:rPr>
        <w:t>—挥发性有机物流经的设备与管线组件密封点数；</w:t>
      </w:r>
    </w:p>
    <w:p>
      <w:pPr>
        <w:pStyle w:val="30"/>
        <w:spacing w:line="360" w:lineRule="auto"/>
        <w:rPr>
          <w:rFonts w:cs="Times New Roman"/>
          <w:color w:val="000000" w:themeColor="text1"/>
          <w:sz w:val="24"/>
          <w:szCs w:val="24"/>
          <w14:textFill>
            <w14:solidFill>
              <w14:schemeClr w14:val="tx1"/>
            </w14:solidFill>
          </w14:textFill>
        </w:rPr>
      </w:pPr>
      <w:r>
        <w:rPr>
          <w:rFonts w:cs="Times New Roman"/>
          <w:i/>
          <w:iCs/>
          <w:color w:val="000000" w:themeColor="text1"/>
          <w:position w:val="2"/>
          <w:sz w:val="24"/>
          <w:szCs w:val="24"/>
          <w14:textFill>
            <w14:solidFill>
              <w14:schemeClr w14:val="tx1"/>
            </w14:solidFill>
          </w14:textFill>
        </w:rPr>
        <w:t>t</w:t>
      </w:r>
      <w:r>
        <w:rPr>
          <w:rFonts w:cs="Times New Roman"/>
          <w:i/>
          <w:iCs/>
          <w:color w:val="000000" w:themeColor="text1"/>
          <w:position w:val="2"/>
          <w:sz w:val="24"/>
          <w:szCs w:val="24"/>
          <w:vertAlign w:val="subscript"/>
          <w14:textFill>
            <w14:solidFill>
              <w14:schemeClr w14:val="tx1"/>
            </w14:solidFill>
          </w14:textFill>
        </w:rPr>
        <w:t>i</w:t>
      </w:r>
      <w:r>
        <w:rPr>
          <w:rFonts w:cs="Times New Roman"/>
          <w:color w:val="000000" w:themeColor="text1"/>
          <w:position w:val="2"/>
          <w:sz w:val="24"/>
          <w:szCs w:val="24"/>
          <w14:textFill>
            <w14:solidFill>
              <w14:schemeClr w14:val="tx1"/>
            </w14:solidFill>
          </w14:textFill>
        </w:rPr>
        <w:t>—核算时段内密封点i的运行时间，h，本次取8760h。</w:t>
      </w:r>
      <w:r>
        <w:rPr>
          <w:rFonts w:cs="Times New Roman"/>
          <w:color w:val="000000" w:themeColor="text1"/>
          <w:sz w:val="24"/>
          <w:szCs w:val="24"/>
          <w14:textFill>
            <w14:solidFill>
              <w14:schemeClr w14:val="tx1"/>
            </w14:solidFill>
          </w14:textFill>
        </w:rPr>
        <w:t>取值详见表3.7-1</w:t>
      </w:r>
      <w:r>
        <w:rPr>
          <w:rFonts w:hint="eastAsia" w:cs="Times New Roman"/>
          <w:color w:val="000000" w:themeColor="text1"/>
          <w:sz w:val="24"/>
          <w:szCs w:val="24"/>
          <w14:textFill>
            <w14:solidFill>
              <w14:schemeClr w14:val="tx1"/>
            </w14:solidFill>
          </w14:textFill>
        </w:rPr>
        <w:t>0</w:t>
      </w:r>
      <w:r>
        <w:rPr>
          <w:rFonts w:cs="Times New Roman"/>
          <w:color w:val="000000" w:themeColor="text1"/>
          <w:sz w:val="24"/>
          <w:szCs w:val="24"/>
          <w14:textFill>
            <w14:solidFill>
              <w14:schemeClr w14:val="tx1"/>
            </w14:solidFill>
          </w14:textFill>
        </w:rPr>
        <w:t>。</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表3.7-1</w:t>
      </w:r>
      <w:r>
        <w:rPr>
          <w:rFonts w:hint="eastAsia" w:ascii="Times New Roman" w:hAnsi="Times New Roman" w:eastAsia="宋体" w:cs="Times New Roman"/>
          <w:bCs/>
          <w:color w:val="000000" w:themeColor="text1"/>
          <w:sz w:val="21"/>
          <w:szCs w:val="21"/>
          <w14:textFill>
            <w14:solidFill>
              <w14:schemeClr w14:val="tx1"/>
            </w14:solidFill>
          </w14:textFill>
        </w:rPr>
        <w:t>0</w:t>
      </w:r>
      <w:r>
        <w:rPr>
          <w:rFonts w:ascii="Times New Roman" w:hAnsi="Times New Roman" w:eastAsia="宋体" w:cs="Times New Roman"/>
          <w:bCs/>
          <w:color w:val="000000" w:themeColor="text1"/>
          <w:sz w:val="21"/>
          <w:szCs w:val="21"/>
          <w14:textFill>
            <w14:solidFill>
              <w14:schemeClr w14:val="tx1"/>
            </w14:solidFill>
          </w14:textFill>
        </w:rPr>
        <w:t xml:space="preserve">  密封点TOC泄漏排放速率eTOC取值</w:t>
      </w:r>
    </w:p>
    <w:tbl>
      <w:tblPr>
        <w:tblStyle w:val="23"/>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967"/>
        <w:gridCol w:w="4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810"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2967"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设备类型</w:t>
            </w:r>
          </w:p>
        </w:tc>
        <w:tc>
          <w:tcPr>
            <w:tcW w:w="4742"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排放系数/（kg/h/源）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1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296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连接件</w:t>
            </w:r>
          </w:p>
        </w:tc>
        <w:tc>
          <w:tcPr>
            <w:tcW w:w="474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1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296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阀门</w:t>
            </w:r>
          </w:p>
        </w:tc>
        <w:tc>
          <w:tcPr>
            <w:tcW w:w="474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1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296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法兰</w:t>
            </w:r>
          </w:p>
        </w:tc>
        <w:tc>
          <w:tcPr>
            <w:tcW w:w="474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0.085</w:t>
            </w:r>
          </w:p>
        </w:tc>
      </w:tr>
    </w:tbl>
    <w:p>
      <w:pPr>
        <w:pStyle w:val="30"/>
        <w:spacing w:line="360" w:lineRule="auto"/>
        <w:rPr>
          <w:rFonts w:cs="Times New Roman"/>
          <w:color w:val="000000" w:themeColor="text1"/>
          <w14:textFill>
            <w14:solidFill>
              <w14:schemeClr w14:val="tx1"/>
            </w14:solidFill>
          </w14:textFill>
        </w:rPr>
      </w:pPr>
      <w:r>
        <w:rPr>
          <w:rFonts w:cs="Times New Roman"/>
          <w:color w:val="000000" w:themeColor="text1"/>
          <w:sz w:val="24"/>
          <w:szCs w:val="24"/>
          <w14:textFill>
            <w14:solidFill>
              <w14:schemeClr w14:val="tx1"/>
            </w14:solidFill>
          </w14:textFill>
        </w:rPr>
        <w:t>根据上述公式计算油气集输处理过程中的无组织挥发性废气产生量见表3.7-1</w:t>
      </w:r>
      <w:r>
        <w:rPr>
          <w:rFonts w:hint="eastAsia" w:cs="Times New Roman"/>
          <w:color w:val="000000" w:themeColor="text1"/>
          <w:sz w:val="24"/>
          <w:szCs w:val="24"/>
          <w14:textFill>
            <w14:solidFill>
              <w14:schemeClr w14:val="tx1"/>
            </w14:solidFill>
          </w14:textFill>
        </w:rPr>
        <w:t>1</w:t>
      </w:r>
      <w:r>
        <w:rPr>
          <w:rFonts w:cs="Times New Roman"/>
          <w:color w:val="000000" w:themeColor="text1"/>
          <w:sz w:val="24"/>
          <w:szCs w:val="24"/>
          <w14:textFill>
            <w14:solidFill>
              <w14:schemeClr w14:val="tx1"/>
            </w14:solidFill>
          </w14:textFill>
        </w:rPr>
        <w:t>。</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表3.7-1</w:t>
      </w:r>
      <w:r>
        <w:rPr>
          <w:rFonts w:hint="eastAsia" w:ascii="Times New Roman" w:hAnsi="Times New Roman" w:eastAsia="宋体" w:cs="Times New Roman"/>
          <w:bCs/>
          <w:color w:val="000000" w:themeColor="text1"/>
          <w:sz w:val="21"/>
          <w:szCs w:val="21"/>
          <w14:textFill>
            <w14:solidFill>
              <w14:schemeClr w14:val="tx1"/>
            </w14:solidFill>
          </w14:textFill>
        </w:rPr>
        <w:t>1</w:t>
      </w:r>
      <w:r>
        <w:rPr>
          <w:rFonts w:ascii="Times New Roman" w:hAnsi="Times New Roman" w:eastAsia="宋体" w:cs="Times New Roman"/>
          <w:bCs/>
          <w:color w:val="000000" w:themeColor="text1"/>
          <w:sz w:val="21"/>
          <w:szCs w:val="21"/>
          <w14:textFill>
            <w14:solidFill>
              <w14:schemeClr w14:val="tx1"/>
            </w14:solidFill>
          </w14:textFill>
        </w:rPr>
        <w:t xml:space="preserve">  油气集输及处理过程中无组织挥发有机废气排放情况</w:t>
      </w:r>
    </w:p>
    <w:tbl>
      <w:tblPr>
        <w:tblStyle w:val="23"/>
        <w:tblW w:w="84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2"/>
        <w:gridCol w:w="1087"/>
        <w:gridCol w:w="2233"/>
        <w:gridCol w:w="2194"/>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1989" w:type="dxa"/>
            <w:gridSpan w:val="2"/>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设备类型</w:t>
            </w:r>
          </w:p>
        </w:tc>
        <w:tc>
          <w:tcPr>
            <w:tcW w:w="2233"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排放系数/（kg/h/源）</w:t>
            </w:r>
          </w:p>
        </w:tc>
        <w:tc>
          <w:tcPr>
            <w:tcW w:w="2194"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设备数量（个/套）</w:t>
            </w:r>
          </w:p>
        </w:tc>
        <w:tc>
          <w:tcPr>
            <w:tcW w:w="1996"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902"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单井井场</w:t>
            </w:r>
          </w:p>
        </w:tc>
        <w:tc>
          <w:tcPr>
            <w:tcW w:w="108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阀门</w:t>
            </w:r>
          </w:p>
        </w:tc>
        <w:tc>
          <w:tcPr>
            <w:tcW w:w="223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0.064</w:t>
            </w:r>
          </w:p>
        </w:tc>
        <w:tc>
          <w:tcPr>
            <w:tcW w:w="21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w:t>
            </w:r>
          </w:p>
        </w:tc>
        <w:tc>
          <w:tcPr>
            <w:tcW w:w="199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902" w:type="dxa"/>
            <w:vMerge w:val="continue"/>
            <w:vAlign w:val="center"/>
          </w:tcPr>
          <w:p>
            <w:pPr>
              <w:pStyle w:val="35"/>
              <w:rPr>
                <w:rFonts w:cs="Times New Roman"/>
                <w:color w:val="000000" w:themeColor="text1"/>
                <w14:textFill>
                  <w14:solidFill>
                    <w14:schemeClr w14:val="tx1"/>
                  </w14:solidFill>
                </w14:textFill>
              </w:rPr>
            </w:pPr>
          </w:p>
        </w:tc>
        <w:tc>
          <w:tcPr>
            <w:tcW w:w="108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法兰</w:t>
            </w:r>
          </w:p>
        </w:tc>
        <w:tc>
          <w:tcPr>
            <w:tcW w:w="223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0.085</w:t>
            </w:r>
          </w:p>
        </w:tc>
        <w:tc>
          <w:tcPr>
            <w:tcW w:w="21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p>
        </w:tc>
        <w:tc>
          <w:tcPr>
            <w:tcW w:w="199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902" w:type="dxa"/>
            <w:vMerge w:val="continue"/>
            <w:vAlign w:val="center"/>
          </w:tcPr>
          <w:p>
            <w:pPr>
              <w:pStyle w:val="35"/>
              <w:rPr>
                <w:rFonts w:cs="Times New Roman"/>
                <w:color w:val="000000" w:themeColor="text1"/>
                <w14:textFill>
                  <w14:solidFill>
                    <w14:schemeClr w14:val="tx1"/>
                  </w14:solidFill>
                </w14:textFill>
              </w:rPr>
            </w:pPr>
          </w:p>
        </w:tc>
        <w:tc>
          <w:tcPr>
            <w:tcW w:w="108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连接件</w:t>
            </w:r>
          </w:p>
        </w:tc>
        <w:tc>
          <w:tcPr>
            <w:tcW w:w="223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0.028</w:t>
            </w:r>
          </w:p>
        </w:tc>
        <w:tc>
          <w:tcPr>
            <w:tcW w:w="21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36</w:t>
            </w:r>
          </w:p>
        </w:tc>
        <w:tc>
          <w:tcPr>
            <w:tcW w:w="199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416" w:type="dxa"/>
            <w:gridSpan w:val="4"/>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单井井场小计</w:t>
            </w:r>
          </w:p>
        </w:tc>
        <w:tc>
          <w:tcPr>
            <w:tcW w:w="1996"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416" w:type="dxa"/>
            <w:gridSpan w:val="4"/>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28</w:t>
            </w:r>
            <w:r>
              <w:rPr>
                <w:rFonts w:cs="Times New Roman"/>
                <w:color w:val="000000" w:themeColor="text1"/>
                <w14:textFill>
                  <w14:solidFill>
                    <w14:schemeClr w14:val="tx1"/>
                  </w14:solidFill>
                </w14:textFill>
              </w:rPr>
              <w:t>口井合计</w:t>
            </w:r>
          </w:p>
        </w:tc>
        <w:tc>
          <w:tcPr>
            <w:tcW w:w="1996"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902"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计量站</w:t>
            </w:r>
          </w:p>
        </w:tc>
        <w:tc>
          <w:tcPr>
            <w:tcW w:w="108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阀门</w:t>
            </w:r>
          </w:p>
        </w:tc>
        <w:tc>
          <w:tcPr>
            <w:tcW w:w="223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0.064</w:t>
            </w:r>
          </w:p>
        </w:tc>
        <w:tc>
          <w:tcPr>
            <w:tcW w:w="21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199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902" w:type="dxa"/>
            <w:vMerge w:val="continue"/>
            <w:vAlign w:val="center"/>
          </w:tcPr>
          <w:p>
            <w:pPr>
              <w:pStyle w:val="35"/>
              <w:rPr>
                <w:rFonts w:cs="Times New Roman"/>
                <w:color w:val="000000" w:themeColor="text1"/>
                <w14:textFill>
                  <w14:solidFill>
                    <w14:schemeClr w14:val="tx1"/>
                  </w14:solidFill>
                </w14:textFill>
              </w:rPr>
            </w:pPr>
          </w:p>
        </w:tc>
        <w:tc>
          <w:tcPr>
            <w:tcW w:w="108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法兰</w:t>
            </w:r>
          </w:p>
        </w:tc>
        <w:tc>
          <w:tcPr>
            <w:tcW w:w="223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0.085</w:t>
            </w:r>
          </w:p>
        </w:tc>
        <w:tc>
          <w:tcPr>
            <w:tcW w:w="21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99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902" w:type="dxa"/>
            <w:vMerge w:val="continue"/>
            <w:vAlign w:val="center"/>
          </w:tcPr>
          <w:p>
            <w:pPr>
              <w:pStyle w:val="35"/>
              <w:rPr>
                <w:rFonts w:cs="Times New Roman"/>
                <w:color w:val="000000" w:themeColor="text1"/>
                <w14:textFill>
                  <w14:solidFill>
                    <w14:schemeClr w14:val="tx1"/>
                  </w14:solidFill>
                </w14:textFill>
              </w:rPr>
            </w:pPr>
          </w:p>
        </w:tc>
        <w:tc>
          <w:tcPr>
            <w:tcW w:w="108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连接件</w:t>
            </w:r>
          </w:p>
        </w:tc>
        <w:tc>
          <w:tcPr>
            <w:tcW w:w="223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0.028</w:t>
            </w:r>
          </w:p>
        </w:tc>
        <w:tc>
          <w:tcPr>
            <w:tcW w:w="21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199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416" w:type="dxa"/>
            <w:gridSpan w:val="4"/>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单座计量站小计</w:t>
            </w:r>
          </w:p>
        </w:tc>
        <w:tc>
          <w:tcPr>
            <w:tcW w:w="1996"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416" w:type="dxa"/>
            <w:gridSpan w:val="4"/>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座计量站</w:t>
            </w:r>
            <w:r>
              <w:rPr>
                <w:rFonts w:hint="eastAsia" w:cs="Times New Roman"/>
                <w:color w:val="000000" w:themeColor="text1"/>
                <w14:textFill>
                  <w14:solidFill>
                    <w14:schemeClr w14:val="tx1"/>
                  </w14:solidFill>
                </w14:textFill>
              </w:rPr>
              <w:t>合计</w:t>
            </w:r>
          </w:p>
        </w:tc>
        <w:tc>
          <w:tcPr>
            <w:tcW w:w="199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902"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阀池</w:t>
            </w:r>
          </w:p>
        </w:tc>
        <w:tc>
          <w:tcPr>
            <w:tcW w:w="108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阀门</w:t>
            </w:r>
          </w:p>
        </w:tc>
        <w:tc>
          <w:tcPr>
            <w:tcW w:w="223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0.064</w:t>
            </w:r>
          </w:p>
        </w:tc>
        <w:tc>
          <w:tcPr>
            <w:tcW w:w="21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199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902" w:type="dxa"/>
            <w:vMerge w:val="continue"/>
            <w:vAlign w:val="center"/>
          </w:tcPr>
          <w:p>
            <w:pPr>
              <w:pStyle w:val="35"/>
              <w:rPr>
                <w:rFonts w:cs="Times New Roman"/>
                <w:color w:val="000000" w:themeColor="text1"/>
                <w14:textFill>
                  <w14:solidFill>
                    <w14:schemeClr w14:val="tx1"/>
                  </w14:solidFill>
                </w14:textFill>
              </w:rPr>
            </w:pPr>
          </w:p>
        </w:tc>
        <w:tc>
          <w:tcPr>
            <w:tcW w:w="108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法兰</w:t>
            </w:r>
          </w:p>
        </w:tc>
        <w:tc>
          <w:tcPr>
            <w:tcW w:w="223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0.085</w:t>
            </w:r>
          </w:p>
        </w:tc>
        <w:tc>
          <w:tcPr>
            <w:tcW w:w="21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199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902" w:type="dxa"/>
            <w:vMerge w:val="continue"/>
            <w:vAlign w:val="center"/>
          </w:tcPr>
          <w:p>
            <w:pPr>
              <w:pStyle w:val="35"/>
              <w:rPr>
                <w:rFonts w:cs="Times New Roman"/>
                <w:color w:val="000000" w:themeColor="text1"/>
                <w14:textFill>
                  <w14:solidFill>
                    <w14:schemeClr w14:val="tx1"/>
                  </w14:solidFill>
                </w14:textFill>
              </w:rPr>
            </w:pPr>
          </w:p>
        </w:tc>
        <w:tc>
          <w:tcPr>
            <w:tcW w:w="108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连接件</w:t>
            </w:r>
          </w:p>
        </w:tc>
        <w:tc>
          <w:tcPr>
            <w:tcW w:w="223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0.028</w:t>
            </w:r>
          </w:p>
        </w:tc>
        <w:tc>
          <w:tcPr>
            <w:tcW w:w="219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99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416" w:type="dxa"/>
            <w:gridSpan w:val="4"/>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单座阀池小计</w:t>
            </w:r>
          </w:p>
        </w:tc>
        <w:tc>
          <w:tcPr>
            <w:tcW w:w="1996"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416" w:type="dxa"/>
            <w:gridSpan w:val="4"/>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座阀池</w:t>
            </w:r>
            <w:r>
              <w:rPr>
                <w:rFonts w:hint="eastAsia" w:cs="Times New Roman"/>
                <w:color w:val="000000" w:themeColor="text1"/>
                <w14:textFill>
                  <w14:solidFill>
                    <w14:schemeClr w14:val="tx1"/>
                  </w14:solidFill>
                </w14:textFill>
              </w:rPr>
              <w:t>合计</w:t>
            </w:r>
          </w:p>
        </w:tc>
        <w:tc>
          <w:tcPr>
            <w:tcW w:w="199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12" w:hRule="atLeast"/>
          <w:jc w:val="center"/>
        </w:trPr>
        <w:tc>
          <w:tcPr>
            <w:tcW w:w="6416" w:type="dxa"/>
            <w:gridSpan w:val="4"/>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总计</w:t>
            </w:r>
          </w:p>
        </w:tc>
        <w:tc>
          <w:tcPr>
            <w:tcW w:w="1996"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2.538</w:t>
            </w:r>
          </w:p>
        </w:tc>
      </w:tr>
    </w:tbl>
    <w:p>
      <w:pPr>
        <w:pStyle w:val="58"/>
        <w:spacing w:line="360" w:lineRule="auto"/>
        <w:ind w:firstLine="480" w:firstLineChars="2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（2）</w:t>
      </w:r>
      <w:r>
        <w:rPr>
          <w:rFonts w:hint="eastAsia" w:cs="Times New Roman" w:eastAsiaTheme="minorEastAsia"/>
          <w:color w:val="000000" w:themeColor="text1"/>
          <w:sz w:val="24"/>
          <w:szCs w:val="24"/>
          <w14:textFill>
            <w14:solidFill>
              <w14:schemeClr w14:val="tx1"/>
            </w14:solidFill>
          </w14:textFill>
        </w:rPr>
        <w:t>无组织</w:t>
      </w:r>
      <w:r>
        <w:rPr>
          <w:rFonts w:cs="Times New Roman" w:eastAsiaTheme="minorEastAsia"/>
          <w:color w:val="000000" w:themeColor="text1"/>
          <w:sz w:val="24"/>
          <w:szCs w:val="24"/>
          <w14:textFill>
            <w14:solidFill>
              <w14:schemeClr w14:val="tx1"/>
            </w14:solidFill>
          </w14:textFill>
        </w:rPr>
        <w:t>硫化氢</w:t>
      </w:r>
    </w:p>
    <w:p>
      <w:pPr>
        <w:pStyle w:val="46"/>
        <w:ind w:firstLine="480"/>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szCs w:val="24"/>
          <w14:textFill>
            <w14:solidFill>
              <w14:schemeClr w14:val="tx1"/>
            </w14:solidFill>
          </w14:textFill>
        </w:rPr>
        <w:t>根据地质方案，</w:t>
      </w:r>
      <w:r>
        <w:rPr>
          <w:rFonts w:ascii="Times New Roman" w:hAnsi="Times New Roman" w:eastAsia="宋体" w:cs="Times New Roman"/>
          <w:color w:val="000000" w:themeColor="text1"/>
          <w:spacing w:val="6"/>
          <w:szCs w:val="20"/>
          <w14:textFill>
            <w14:solidFill>
              <w14:schemeClr w14:val="tx1"/>
            </w14:solidFill>
          </w14:textFill>
        </w:rPr>
        <w:t>呼图壁河组油藏在钻井、投产时均未见</w:t>
      </w:r>
      <w:r>
        <w:rPr>
          <w:rFonts w:ascii="Times New Roman" w:hAnsi="Times New Roman" w:eastAsia="宋体" w:cs="Times New Roman"/>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S</w:t>
      </w:r>
      <w:r>
        <w:rPr>
          <w:rFonts w:ascii="Times New Roman" w:hAnsi="Times New Roman" w:eastAsia="宋体" w:cs="Times New Roman"/>
          <w:color w:val="000000" w:themeColor="text1"/>
          <w:spacing w:val="6"/>
          <w:szCs w:val="20"/>
          <w14:textFill>
            <w14:solidFill>
              <w14:schemeClr w14:val="tx1"/>
            </w14:solidFill>
          </w14:textFill>
        </w:rPr>
        <w:t>显示，但注水开发过程中，部分采油井生产时检测出</w:t>
      </w:r>
      <w:r>
        <w:rPr>
          <w:rFonts w:ascii="Times New Roman" w:hAnsi="Times New Roman" w:eastAsia="宋体" w:cs="Times New Roman"/>
          <w:color w:val="000000" w:themeColor="text1"/>
          <w14:textFill>
            <w14:solidFill>
              <w14:schemeClr w14:val="tx1"/>
            </w14:solidFill>
          </w14:textFill>
        </w:rPr>
        <w:t>H</w:t>
      </w:r>
      <w:r>
        <w:rPr>
          <w:rFonts w:ascii="Times New Roman" w:hAnsi="Times New Roman" w:eastAsia="宋体" w:cs="Times New Roman"/>
          <w:color w:val="000000" w:themeColor="text1"/>
          <w:vertAlign w:val="subscript"/>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S</w:t>
      </w:r>
      <w:r>
        <w:rPr>
          <w:rFonts w:ascii="Times New Roman" w:hAnsi="Times New Roman" w:eastAsia="宋体" w:cs="Times New Roman"/>
          <w:color w:val="000000" w:themeColor="text1"/>
          <w:spacing w:val="6"/>
          <w:szCs w:val="20"/>
          <w14:textFill>
            <w14:solidFill>
              <w14:schemeClr w14:val="tx1"/>
            </w14:solidFill>
          </w14:textFill>
        </w:rPr>
        <w:t>，含量在1ppm~5ppm之间。</w:t>
      </w:r>
      <w:r>
        <w:rPr>
          <w:rFonts w:ascii="Times New Roman" w:hAnsi="Times New Roman" w:cs="Times New Roman"/>
          <w:color w:val="000000" w:themeColor="text1"/>
          <w:spacing w:val="4"/>
          <w14:textFill>
            <w14:solidFill>
              <w14:schemeClr w14:val="tx1"/>
            </w14:solidFill>
          </w14:textFill>
        </w:rPr>
        <w:t>开发过程中要求定期监测，并做好硫化氢防护工作。</w:t>
      </w:r>
    </w:p>
    <w:p>
      <w:pPr>
        <w:pStyle w:val="46"/>
        <w:ind w:firstLine="48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无组织排放</w:t>
      </w:r>
      <w:r>
        <w:rPr>
          <w:rFonts w:ascii="Times New Roman" w:hAnsi="Times New Roman" w:cs="Times New Roman"/>
          <w:color w:val="000000" w:themeColor="text1"/>
          <w:szCs w:val="24"/>
          <w14:textFill>
            <w14:solidFill>
              <w14:schemeClr w14:val="tx1"/>
            </w14:solidFill>
          </w14:textFill>
        </w:rPr>
        <w:t>H</w:t>
      </w:r>
      <w:r>
        <w:rPr>
          <w:rFonts w:ascii="Times New Roman" w:hAnsi="Times New Roman" w:cs="Times New Roman"/>
          <w:color w:val="000000" w:themeColor="text1"/>
          <w:szCs w:val="24"/>
          <w:vertAlign w:val="subscript"/>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S</w:t>
      </w:r>
      <w:r>
        <w:rPr>
          <w:rFonts w:hint="eastAsia" w:ascii="Times New Roman" w:hAnsi="Times New Roman" w:cs="Times New Roman"/>
          <w:color w:val="000000" w:themeColor="text1"/>
          <w:szCs w:val="24"/>
          <w14:textFill>
            <w14:solidFill>
              <w14:schemeClr w14:val="tx1"/>
            </w14:solidFill>
          </w14:textFill>
        </w:rPr>
        <w:t>计算思路为：通过无组织排放的非甲烷总烃推算出无组织排放的天然气排放量，根据天然气中硫化氢的浓度，计算出硫化氢的排放量，计算过程如下：</w:t>
      </w:r>
    </w:p>
    <w:p>
      <w:pPr>
        <w:pStyle w:val="46"/>
        <w:ind w:firstLine="48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根据区块天然气样分析可知甲烷平均含量为96.3</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，故非甲烷总烃在天然气中的比例为3.7</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，由上文计算可知单座井场非甲烷总烃排放量为0.073</w:t>
      </w:r>
      <w:r>
        <w:rPr>
          <w:rFonts w:ascii="Times New Roman" w:hAnsi="Times New Roman" w:cs="Times New Roman"/>
          <w:color w:val="000000" w:themeColor="text1"/>
          <w:szCs w:val="24"/>
          <w14:textFill>
            <w14:solidFill>
              <w14:schemeClr w14:val="tx1"/>
            </w14:solidFill>
          </w14:textFill>
        </w:rPr>
        <w:t>t/a</w:t>
      </w:r>
      <w:r>
        <w:rPr>
          <w:rFonts w:hint="eastAsia" w:ascii="Times New Roman" w:hAnsi="Times New Roman" w:cs="Times New Roman"/>
          <w:color w:val="000000" w:themeColor="text1"/>
          <w:szCs w:val="24"/>
          <w14:textFill>
            <w14:solidFill>
              <w14:schemeClr w14:val="tx1"/>
            </w14:solidFill>
          </w14:textFill>
        </w:rPr>
        <w:t>，单座计量站非甲烷总烃排放量为0.078</w:t>
      </w:r>
      <w:r>
        <w:rPr>
          <w:rFonts w:ascii="Times New Roman" w:hAnsi="Times New Roman" w:cs="Times New Roman"/>
          <w:color w:val="000000" w:themeColor="text1"/>
          <w:szCs w:val="24"/>
          <w14:textFill>
            <w14:solidFill>
              <w14:schemeClr w14:val="tx1"/>
            </w14:solidFill>
          </w14:textFill>
        </w:rPr>
        <w:t>t/a</w:t>
      </w:r>
      <w:r>
        <w:rPr>
          <w:rFonts w:hint="eastAsia" w:ascii="Times New Roman" w:hAnsi="Times New Roman" w:cs="Times New Roman"/>
          <w:color w:val="000000" w:themeColor="text1"/>
          <w:szCs w:val="24"/>
          <w14:textFill>
            <w14:solidFill>
              <w14:schemeClr w14:val="tx1"/>
            </w14:solidFill>
          </w14:textFill>
        </w:rPr>
        <w:t>，单座阀池非甲烷总烃排放量为0.0208</w:t>
      </w:r>
      <w:r>
        <w:rPr>
          <w:rFonts w:ascii="Times New Roman" w:hAnsi="Times New Roman" w:cs="Times New Roman"/>
          <w:color w:val="000000" w:themeColor="text1"/>
          <w:szCs w:val="24"/>
          <w14:textFill>
            <w14:solidFill>
              <w14:schemeClr w14:val="tx1"/>
            </w14:solidFill>
          </w14:textFill>
        </w:rPr>
        <w:t>t/a</w:t>
      </w:r>
      <w:r>
        <w:rPr>
          <w:rFonts w:hint="eastAsia" w:ascii="Times New Roman" w:hAnsi="Times New Roman" w:cs="Times New Roman"/>
          <w:color w:val="000000" w:themeColor="text1"/>
          <w:szCs w:val="24"/>
          <w14:textFill>
            <w14:solidFill>
              <w14:schemeClr w14:val="tx1"/>
            </w14:solidFill>
          </w14:textFill>
        </w:rPr>
        <w:t>，那么无组织的天然气排放量分别为0.073</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3.7</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1.973</w:t>
      </w:r>
      <w:r>
        <w:rPr>
          <w:rFonts w:ascii="Times New Roman" w:hAnsi="Times New Roman" w:cs="Times New Roman"/>
          <w:color w:val="000000" w:themeColor="text1"/>
          <w:szCs w:val="24"/>
          <w14:textFill>
            <w14:solidFill>
              <w14:schemeClr w14:val="tx1"/>
            </w14:solidFill>
          </w14:textFill>
        </w:rPr>
        <w:t>t/a</w:t>
      </w:r>
      <w:r>
        <w:rPr>
          <w:rFonts w:hint="eastAsia" w:ascii="Times New Roman" w:hAnsi="Times New Roman" w:cs="Times New Roman"/>
          <w:color w:val="000000" w:themeColor="text1"/>
          <w:szCs w:val="24"/>
          <w14:textFill>
            <w14:solidFill>
              <w14:schemeClr w14:val="tx1"/>
            </w14:solidFill>
          </w14:textFill>
        </w:rPr>
        <w:t>；0.078</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3.7</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2.108</w:t>
      </w:r>
      <w:r>
        <w:rPr>
          <w:rFonts w:ascii="Times New Roman" w:hAnsi="Times New Roman" w:cs="Times New Roman"/>
          <w:color w:val="000000" w:themeColor="text1"/>
          <w:szCs w:val="24"/>
          <w14:textFill>
            <w14:solidFill>
              <w14:schemeClr w14:val="tx1"/>
            </w14:solidFill>
          </w14:textFill>
        </w:rPr>
        <w:t>t/a</w:t>
      </w:r>
      <w:r>
        <w:rPr>
          <w:rFonts w:hint="eastAsia" w:ascii="Times New Roman" w:hAnsi="Times New Roman" w:cs="Times New Roman"/>
          <w:color w:val="000000" w:themeColor="text1"/>
          <w:szCs w:val="24"/>
          <w14:textFill>
            <w14:solidFill>
              <w14:schemeClr w14:val="tx1"/>
            </w14:solidFill>
          </w14:textFill>
        </w:rPr>
        <w:t>；0.0208</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3.7</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0.562</w:t>
      </w:r>
      <w:r>
        <w:rPr>
          <w:rFonts w:ascii="Times New Roman" w:hAnsi="Times New Roman" w:cs="Times New Roman"/>
          <w:color w:val="000000" w:themeColor="text1"/>
          <w:szCs w:val="24"/>
          <w14:textFill>
            <w14:solidFill>
              <w14:schemeClr w14:val="tx1"/>
            </w14:solidFill>
          </w14:textFill>
        </w:rPr>
        <w:t>t/a</w:t>
      </w:r>
      <w:r>
        <w:rPr>
          <w:rFonts w:hint="eastAsia" w:ascii="Times New Roman" w:hAnsi="Times New Roman" w:cs="Times New Roman"/>
          <w:color w:val="000000" w:themeColor="text1"/>
          <w:szCs w:val="24"/>
          <w14:textFill>
            <w14:solidFill>
              <w14:schemeClr w14:val="tx1"/>
            </w14:solidFill>
          </w14:textFill>
        </w:rPr>
        <w:t>。</w:t>
      </w:r>
    </w:p>
    <w:p>
      <w:pPr>
        <w:pStyle w:val="46"/>
        <w:ind w:firstLine="48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折算成体积为：标况下，本区块油藏天然气平均密度为0.57225</w:t>
      </w:r>
      <w:r>
        <w:rPr>
          <w:rFonts w:ascii="Times New Roman" w:hAnsi="Times New Roman" w:cs="Times New Roman"/>
          <w:color w:val="000000" w:themeColor="text1"/>
          <w:szCs w:val="24"/>
          <w14:textFill>
            <w14:solidFill>
              <w14:schemeClr w14:val="tx1"/>
            </w14:solidFill>
          </w14:textFill>
        </w:rPr>
        <w:t>kg/m</w:t>
      </w:r>
      <w:r>
        <w:rPr>
          <w:rFonts w:ascii="Times New Roman" w:hAnsi="Times New Roman" w:cs="Times New Roman"/>
          <w:color w:val="000000" w:themeColor="text1"/>
          <w:szCs w:val="24"/>
          <w:vertAlign w:val="superscript"/>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计，故单座井场无组织排放的天然气体积为1.973</w:t>
      </w:r>
      <w:r>
        <w:rPr>
          <w:rFonts w:ascii="Times New Roman" w:hAnsi="Times New Roman" w:cs="Times New Roman"/>
          <w:color w:val="000000" w:themeColor="text1"/>
          <w:szCs w:val="24"/>
          <w14:textFill>
            <w14:solidFill>
              <w14:schemeClr w14:val="tx1"/>
            </w14:solidFill>
          </w14:textFill>
        </w:rPr>
        <w:t>×1000÷</w:t>
      </w:r>
      <w:r>
        <w:rPr>
          <w:rFonts w:hint="eastAsia" w:ascii="Times New Roman" w:hAnsi="Times New Roman" w:cs="Times New Roman"/>
          <w:color w:val="000000" w:themeColor="text1"/>
          <w:szCs w:val="24"/>
          <w14:textFill>
            <w14:solidFill>
              <w14:schemeClr w14:val="tx1"/>
            </w14:solidFill>
          </w14:textFill>
        </w:rPr>
        <w:t>0.57225</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3447.79（</w:t>
      </w:r>
      <w:r>
        <w:rPr>
          <w:rFonts w:ascii="Times New Roman" w:hAnsi="Times New Roman" w:cs="Times New Roman"/>
          <w:color w:val="000000" w:themeColor="text1"/>
          <w:szCs w:val="24"/>
          <w14:textFill>
            <w14:solidFill>
              <w14:schemeClr w14:val="tx1"/>
            </w14:solidFill>
          </w14:textFill>
        </w:rPr>
        <w:t>m</w:t>
      </w:r>
      <w:r>
        <w:rPr>
          <w:rFonts w:ascii="Times New Roman" w:hAnsi="Times New Roman" w:cs="Times New Roman"/>
          <w:color w:val="000000" w:themeColor="text1"/>
          <w:szCs w:val="24"/>
          <w:vertAlign w:val="superscript"/>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）；单座计量站无组织排放的天然气体积为2.108</w:t>
      </w:r>
      <w:r>
        <w:rPr>
          <w:rFonts w:ascii="Times New Roman" w:hAnsi="Times New Roman" w:cs="Times New Roman"/>
          <w:color w:val="000000" w:themeColor="text1"/>
          <w:szCs w:val="24"/>
          <w14:textFill>
            <w14:solidFill>
              <w14:schemeClr w14:val="tx1"/>
            </w14:solidFill>
          </w14:textFill>
        </w:rPr>
        <w:t>×1000÷</w:t>
      </w:r>
      <w:r>
        <w:rPr>
          <w:rFonts w:hint="eastAsia" w:ascii="Times New Roman" w:hAnsi="Times New Roman" w:cs="Times New Roman"/>
          <w:color w:val="000000" w:themeColor="text1"/>
          <w:szCs w:val="24"/>
          <w14:textFill>
            <w14:solidFill>
              <w14:schemeClr w14:val="tx1"/>
            </w14:solidFill>
          </w14:textFill>
        </w:rPr>
        <w:t>0.57225</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3683.70（</w:t>
      </w:r>
      <w:r>
        <w:rPr>
          <w:rFonts w:ascii="Times New Roman" w:hAnsi="Times New Roman" w:cs="Times New Roman"/>
          <w:color w:val="000000" w:themeColor="text1"/>
          <w:szCs w:val="24"/>
          <w14:textFill>
            <w14:solidFill>
              <w14:schemeClr w14:val="tx1"/>
            </w14:solidFill>
          </w14:textFill>
        </w:rPr>
        <w:t>m</w:t>
      </w:r>
      <w:r>
        <w:rPr>
          <w:rFonts w:ascii="Times New Roman" w:hAnsi="Times New Roman" w:cs="Times New Roman"/>
          <w:color w:val="000000" w:themeColor="text1"/>
          <w:szCs w:val="24"/>
          <w:vertAlign w:val="superscript"/>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）；单座阀池无组织排放的天然气体积为0.562</w:t>
      </w:r>
      <w:r>
        <w:rPr>
          <w:rFonts w:ascii="Times New Roman" w:hAnsi="Times New Roman" w:cs="Times New Roman"/>
          <w:color w:val="000000" w:themeColor="text1"/>
          <w:szCs w:val="24"/>
          <w14:textFill>
            <w14:solidFill>
              <w14:schemeClr w14:val="tx1"/>
            </w14:solidFill>
          </w14:textFill>
        </w:rPr>
        <w:t>×1000÷</w:t>
      </w:r>
      <w:r>
        <w:rPr>
          <w:rFonts w:hint="eastAsia" w:ascii="Times New Roman" w:hAnsi="Times New Roman" w:cs="Times New Roman"/>
          <w:color w:val="000000" w:themeColor="text1"/>
          <w:szCs w:val="24"/>
          <w14:textFill>
            <w14:solidFill>
              <w14:schemeClr w14:val="tx1"/>
            </w14:solidFill>
          </w14:textFill>
        </w:rPr>
        <w:t>0.57225</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982.09（</w:t>
      </w:r>
      <w:r>
        <w:rPr>
          <w:rFonts w:ascii="Times New Roman" w:hAnsi="Times New Roman" w:cs="Times New Roman"/>
          <w:color w:val="000000" w:themeColor="text1"/>
          <w:szCs w:val="24"/>
          <w14:textFill>
            <w14:solidFill>
              <w14:schemeClr w14:val="tx1"/>
            </w14:solidFill>
          </w14:textFill>
        </w:rPr>
        <w:t>m</w:t>
      </w:r>
      <w:r>
        <w:rPr>
          <w:rFonts w:ascii="Times New Roman" w:hAnsi="Times New Roman" w:cs="Times New Roman"/>
          <w:color w:val="000000" w:themeColor="text1"/>
          <w:szCs w:val="24"/>
          <w:vertAlign w:val="superscript"/>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w:t>
      </w:r>
    </w:p>
    <w:p>
      <w:pPr>
        <w:pStyle w:val="46"/>
        <w:ind w:firstLine="48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本区块油藏天然气中硫化氢密度按最大值5ppm（7.60625mg/m</w:t>
      </w:r>
      <w:r>
        <w:rPr>
          <w:rFonts w:hint="eastAsia" w:ascii="Times New Roman" w:hAnsi="Times New Roman" w:cs="Times New Roman"/>
          <w:color w:val="000000" w:themeColor="text1"/>
          <w:szCs w:val="24"/>
          <w:vertAlign w:val="superscript"/>
          <w14:textFill>
            <w14:solidFill>
              <w14:schemeClr w14:val="tx1"/>
            </w14:solidFill>
          </w14:textFill>
        </w:rPr>
        <w:t>3</w:t>
      </w:r>
      <w:r>
        <w:rPr>
          <w:rFonts w:hint="eastAsia" w:ascii="Times New Roman" w:hAnsi="Times New Roman" w:cs="Times New Roman"/>
          <w:color w:val="000000" w:themeColor="text1"/>
          <w:szCs w:val="24"/>
          <w14:textFill>
            <w14:solidFill>
              <w14:schemeClr w14:val="tx1"/>
            </w14:solidFill>
          </w14:textFill>
        </w:rPr>
        <w:t>）取值，计算可得本项目单座井场无组织硫化氢的排放量为3447.79</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7.60625</w:t>
      </w:r>
      <w:r>
        <w:rPr>
          <w:rFonts w:ascii="Times New Roman" w:hAnsi="Times New Roman" w:cs="Times New Roman"/>
          <w:color w:val="000000" w:themeColor="text1"/>
          <w:szCs w:val="24"/>
          <w14:textFill>
            <w14:solidFill>
              <w14:schemeClr w14:val="tx1"/>
            </w14:solidFill>
          </w14:textFill>
        </w:rPr>
        <w:t>÷10</w:t>
      </w:r>
      <w:r>
        <w:rPr>
          <w:rFonts w:ascii="Times New Roman" w:hAnsi="Times New Roman" w:cs="Times New Roman"/>
          <w:color w:val="000000" w:themeColor="text1"/>
          <w:szCs w:val="24"/>
          <w:vertAlign w:val="superscript"/>
          <w14:textFill>
            <w14:solidFill>
              <w14:schemeClr w14:val="tx1"/>
            </w14:solidFill>
          </w14:textFill>
        </w:rPr>
        <w:t>9</w:t>
      </w:r>
      <w:r>
        <w:rPr>
          <w:rFonts w:ascii="Times New Roman" w:hAnsi="Times New Roman" w:cs="Times New Roman"/>
          <w:color w:val="000000" w:themeColor="text1"/>
          <w:szCs w:val="24"/>
          <w14:textFill>
            <w14:solidFill>
              <w14:schemeClr w14:val="tx1"/>
            </w14:solidFill>
          </w14:textFill>
        </w:rPr>
        <w:t>=2.62×10</w:t>
      </w:r>
      <w:r>
        <w:rPr>
          <w:rFonts w:ascii="Times New Roman" w:hAnsi="Times New Roman" w:cs="Times New Roman"/>
          <w:color w:val="000000" w:themeColor="text1"/>
          <w:szCs w:val="24"/>
          <w:vertAlign w:val="superscript"/>
          <w14:textFill>
            <w14:solidFill>
              <w14:schemeClr w14:val="tx1"/>
            </w14:solidFill>
          </w14:textFill>
        </w:rPr>
        <w:t>-5</w:t>
      </w:r>
      <w:r>
        <w:rPr>
          <w:rFonts w:ascii="Times New Roman" w:hAnsi="Times New Roman" w:cs="Times New Roman"/>
          <w:color w:val="000000" w:themeColor="text1"/>
          <w:szCs w:val="24"/>
          <w14:textFill>
            <w14:solidFill>
              <w14:schemeClr w14:val="tx1"/>
            </w14:solidFill>
          </w14:textFill>
        </w:rPr>
        <w:t>t/a；单座计量站无组织硫化氢的排放量为3683.70×7.60625÷10</w:t>
      </w:r>
      <w:r>
        <w:rPr>
          <w:rFonts w:ascii="Times New Roman" w:hAnsi="Times New Roman" w:cs="Times New Roman"/>
          <w:color w:val="000000" w:themeColor="text1"/>
          <w:szCs w:val="24"/>
          <w:vertAlign w:val="superscript"/>
          <w14:textFill>
            <w14:solidFill>
              <w14:schemeClr w14:val="tx1"/>
            </w14:solidFill>
          </w14:textFill>
        </w:rPr>
        <w:t>9</w:t>
      </w:r>
      <w:r>
        <w:rPr>
          <w:rFonts w:ascii="Times New Roman" w:hAnsi="Times New Roman" w:cs="Times New Roman"/>
          <w:color w:val="000000" w:themeColor="text1"/>
          <w:szCs w:val="24"/>
          <w14:textFill>
            <w14:solidFill>
              <w14:schemeClr w14:val="tx1"/>
            </w14:solidFill>
          </w14:textFill>
        </w:rPr>
        <w:t>=2.80×10</w:t>
      </w:r>
      <w:r>
        <w:rPr>
          <w:rFonts w:ascii="Times New Roman" w:hAnsi="Times New Roman" w:cs="Times New Roman"/>
          <w:color w:val="000000" w:themeColor="text1"/>
          <w:szCs w:val="24"/>
          <w:vertAlign w:val="superscript"/>
          <w14:textFill>
            <w14:solidFill>
              <w14:schemeClr w14:val="tx1"/>
            </w14:solidFill>
          </w14:textFill>
        </w:rPr>
        <w:t>-5</w:t>
      </w:r>
      <w:r>
        <w:rPr>
          <w:rFonts w:ascii="Times New Roman" w:hAnsi="Times New Roman" w:cs="Times New Roman"/>
          <w:color w:val="000000" w:themeColor="text1"/>
          <w:szCs w:val="24"/>
          <w14:textFill>
            <w14:solidFill>
              <w14:schemeClr w14:val="tx1"/>
            </w14:solidFill>
          </w14:textFill>
        </w:rPr>
        <w:t>t/a；单座阀池无组织硫化氢的排放量为982.09×7.60625÷10</w:t>
      </w:r>
      <w:r>
        <w:rPr>
          <w:rFonts w:ascii="Times New Roman" w:hAnsi="Times New Roman" w:cs="Times New Roman"/>
          <w:color w:val="000000" w:themeColor="text1"/>
          <w:szCs w:val="24"/>
          <w:vertAlign w:val="superscript"/>
          <w14:textFill>
            <w14:solidFill>
              <w14:schemeClr w14:val="tx1"/>
            </w14:solidFill>
          </w14:textFill>
        </w:rPr>
        <w:t>9</w:t>
      </w:r>
      <w:r>
        <w:rPr>
          <w:rFonts w:ascii="Times New Roman" w:hAnsi="Times New Roman" w:cs="Times New Roman"/>
          <w:color w:val="000000" w:themeColor="text1"/>
          <w:szCs w:val="24"/>
          <w14:textFill>
            <w14:solidFill>
              <w14:schemeClr w14:val="tx1"/>
            </w14:solidFill>
          </w14:textFill>
        </w:rPr>
        <w:t>=7.47×10</w:t>
      </w:r>
      <w:r>
        <w:rPr>
          <w:rFonts w:ascii="Times New Roman" w:hAnsi="Times New Roman" w:cs="Times New Roman"/>
          <w:color w:val="000000" w:themeColor="text1"/>
          <w:szCs w:val="24"/>
          <w:vertAlign w:val="superscript"/>
          <w14:textFill>
            <w14:solidFill>
              <w14:schemeClr w14:val="tx1"/>
            </w14:solidFill>
          </w14:textFill>
        </w:rPr>
        <w:t>-6</w:t>
      </w:r>
      <w:r>
        <w:rPr>
          <w:rFonts w:ascii="Times New Roman" w:hAnsi="Times New Roman" w:cs="Times New Roman"/>
          <w:color w:val="000000" w:themeColor="text1"/>
          <w:szCs w:val="24"/>
          <w14:textFill>
            <w14:solidFill>
              <w14:schemeClr w14:val="tx1"/>
            </w14:solidFill>
          </w14:textFill>
        </w:rPr>
        <w:t>t/a。</w:t>
      </w:r>
    </w:p>
    <w:p>
      <w:pPr>
        <w:pStyle w:val="46"/>
        <w:ind w:firstLine="48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本项目总计28座采油单井井场、5座计量站、5座阀池，则项目运营期无组织硫化氢的排放总量为：9.11</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10</w:t>
      </w:r>
      <w:r>
        <w:rPr>
          <w:rFonts w:hint="eastAsia" w:ascii="Times New Roman" w:hAnsi="Times New Roman" w:cs="Times New Roman"/>
          <w:color w:val="000000" w:themeColor="text1"/>
          <w:szCs w:val="24"/>
          <w:vertAlign w:val="superscript"/>
          <w14:textFill>
            <w14:solidFill>
              <w14:schemeClr w14:val="tx1"/>
            </w14:solidFill>
          </w14:textFill>
        </w:rPr>
        <w:t>-4</w:t>
      </w:r>
      <w:r>
        <w:rPr>
          <w:rFonts w:ascii="Times New Roman" w:hAnsi="Times New Roman" w:cs="Times New Roman"/>
          <w:color w:val="000000" w:themeColor="text1"/>
          <w:szCs w:val="24"/>
          <w14:textFill>
            <w14:solidFill>
              <w14:schemeClr w14:val="tx1"/>
            </w14:solidFill>
          </w14:textFill>
        </w:rPr>
        <w:t>t/a</w:t>
      </w:r>
      <w:r>
        <w:rPr>
          <w:rFonts w:hint="eastAsia" w:ascii="Times New Roman" w:hAnsi="Times New Roman" w:cs="Times New Roman"/>
          <w:color w:val="000000" w:themeColor="text1"/>
          <w:szCs w:val="24"/>
          <w14:textFill>
            <w14:solidFill>
              <w14:schemeClr w14:val="tx1"/>
            </w14:solidFill>
          </w14:textFill>
        </w:rPr>
        <w:t>（1.04</w:t>
      </w:r>
      <w:r>
        <w:rPr>
          <w:rFonts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10</w:t>
      </w:r>
      <w:r>
        <w:rPr>
          <w:rFonts w:hint="eastAsia" w:ascii="Times New Roman" w:hAnsi="Times New Roman" w:cs="Times New Roman"/>
          <w:color w:val="000000" w:themeColor="text1"/>
          <w:szCs w:val="24"/>
          <w:vertAlign w:val="superscript"/>
          <w14:textFill>
            <w14:solidFill>
              <w14:schemeClr w14:val="tx1"/>
            </w14:solidFill>
          </w14:textFill>
        </w:rPr>
        <w:t>-5</w:t>
      </w:r>
      <w:r>
        <w:rPr>
          <w:rFonts w:ascii="Times New Roman" w:hAnsi="Times New Roman" w:cs="Times New Roman"/>
          <w:color w:val="000000" w:themeColor="text1"/>
          <w:szCs w:val="24"/>
          <w14:textFill>
            <w14:solidFill>
              <w14:schemeClr w14:val="tx1"/>
            </w14:solidFill>
          </w14:textFill>
        </w:rPr>
        <w:t>kg/h</w:t>
      </w:r>
      <w:r>
        <w:rPr>
          <w:rFonts w:hint="eastAsia" w:ascii="Times New Roman" w:hAnsi="Times New Roman" w:cs="Times New Roman"/>
          <w:color w:val="000000" w:themeColor="text1"/>
          <w:szCs w:val="24"/>
          <w14:textFill>
            <w14:solidFill>
              <w14:schemeClr w14:val="tx1"/>
            </w14:solidFill>
          </w14:textFill>
        </w:rPr>
        <w:t>），可采用密闭集输，并设置腐蚀检测装置，防止</w:t>
      </w:r>
      <w:r>
        <w:rPr>
          <w:rFonts w:ascii="Times New Roman" w:hAnsi="Times New Roman" w:cs="Times New Roman"/>
          <w:color w:val="000000" w:themeColor="text1"/>
          <w:szCs w:val="24"/>
          <w14:textFill>
            <w14:solidFill>
              <w14:schemeClr w14:val="tx1"/>
            </w14:solidFill>
          </w14:textFill>
        </w:rPr>
        <w:t>H</w:t>
      </w:r>
      <w:r>
        <w:rPr>
          <w:rFonts w:ascii="Times New Roman" w:hAnsi="Times New Roman" w:cs="Times New Roman"/>
          <w:color w:val="000000" w:themeColor="text1"/>
          <w:szCs w:val="24"/>
          <w:vertAlign w:val="subscript"/>
          <w14:textFill>
            <w14:solidFill>
              <w14:schemeClr w14:val="tx1"/>
            </w14:solidFill>
          </w14:textFill>
        </w:rPr>
        <w:t>2</w:t>
      </w:r>
      <w:r>
        <w:rPr>
          <w:rFonts w:ascii="Times New Roman" w:hAnsi="Times New Roman" w:cs="Times New Roman"/>
          <w:color w:val="000000" w:themeColor="text1"/>
          <w:szCs w:val="24"/>
          <w14:textFill>
            <w14:solidFill>
              <w14:schemeClr w14:val="tx1"/>
            </w14:solidFill>
          </w14:textFill>
        </w:rPr>
        <w:t>S</w:t>
      </w:r>
      <w:r>
        <w:rPr>
          <w:rFonts w:hint="eastAsia" w:ascii="Times New Roman" w:hAnsi="Times New Roman" w:cs="Times New Roman"/>
          <w:color w:val="000000" w:themeColor="text1"/>
          <w:szCs w:val="24"/>
          <w14:textFill>
            <w14:solidFill>
              <w14:schemeClr w14:val="tx1"/>
            </w14:solidFill>
          </w14:textFill>
        </w:rPr>
        <w:t>的泄漏。</w:t>
      </w:r>
    </w:p>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3.7.7.2废水污染物</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运营期工作人员对油井定期进行巡检，不新增劳动定员，工作人员由</w:t>
      </w:r>
      <w:r>
        <w:rPr>
          <w:rFonts w:hint="eastAsia" w:ascii="Times New Roman" w:hAnsi="Times New Roman" w:cs="Times New Roman"/>
          <w:color w:val="000000" w:themeColor="text1"/>
          <w:sz w:val="24"/>
          <w14:textFill>
            <w14:solidFill>
              <w14:schemeClr w14:val="tx1"/>
            </w14:solidFill>
          </w14:textFill>
        </w:rPr>
        <w:t>陆梁油田作业区</w:t>
      </w:r>
      <w:r>
        <w:rPr>
          <w:rFonts w:ascii="Times New Roman" w:hAnsi="Times New Roman" w:cs="Times New Roman"/>
          <w:color w:val="000000" w:themeColor="text1"/>
          <w:sz w:val="24"/>
          <w14:textFill>
            <w14:solidFill>
              <w14:schemeClr w14:val="tx1"/>
            </w14:solidFill>
          </w14:textFill>
        </w:rPr>
        <w:t>调剂解决，故不新增生活污水。运营期产生污水主要为油气开采井下作业废水（废洗井液）和采出水</w:t>
      </w:r>
      <w:r>
        <w:rPr>
          <w:rFonts w:ascii="Times New Roman" w:hAnsi="Times New Roman" w:cs="Times New Roman"/>
          <w:bCs/>
          <w:color w:val="000000" w:themeColor="text1"/>
          <w:sz w:val="24"/>
          <w14:textFill>
            <w14:solidFill>
              <w14:schemeClr w14:val="tx1"/>
            </w14:solidFill>
          </w14:textFill>
        </w:rPr>
        <w:t>。</w:t>
      </w:r>
    </w:p>
    <w:p>
      <w:pPr>
        <w:pStyle w:val="60"/>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（1）井下作业废水</w:t>
      </w:r>
    </w:p>
    <w:p>
      <w:pPr>
        <w:adjustRightInd w:val="0"/>
        <w:snapToGrid w:val="0"/>
        <w:spacing w:line="360" w:lineRule="auto"/>
        <w:ind w:firstLine="480"/>
        <w:jc w:val="left"/>
        <w:rPr>
          <w:rFonts w:ascii="Times New Roman" w:hAnsi="Times New Roman" w:cs="Times New Roman"/>
          <w:color w:val="000000" w:themeColor="text1"/>
          <w:sz w:val="24"/>
          <w:lang w:bidi="ar"/>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本工程运营期注水井井场不产生废水。</w:t>
      </w:r>
      <w:r>
        <w:rPr>
          <w:rFonts w:hint="eastAsia" w:ascii="Times New Roman" w:hAnsi="Times New Roman" w:cs="Times New Roman"/>
          <w:color w:val="000000" w:themeColor="text1"/>
          <w:sz w:val="24"/>
          <w:lang w:val="en-US" w:eastAsia="zh-CN"/>
          <w14:textFill>
            <w14:solidFill>
              <w14:schemeClr w14:val="tx1"/>
            </w14:solidFill>
          </w14:textFill>
        </w:rPr>
        <w:t>本项目</w:t>
      </w:r>
      <w:r>
        <w:rPr>
          <w:rFonts w:ascii="Times New Roman" w:hAnsi="Times New Roman" w:cs="Times New Roman"/>
          <w:color w:val="000000" w:themeColor="text1"/>
          <w:sz w:val="24"/>
          <w14:textFill>
            <w14:solidFill>
              <w14:schemeClr w14:val="tx1"/>
            </w14:solidFill>
          </w14:textFill>
        </w:rPr>
        <w:t>采油井</w:t>
      </w:r>
      <w:r>
        <w:rPr>
          <w:rFonts w:hint="eastAsia" w:ascii="Times New Roman" w:hAnsi="Times New Roman" w:cs="Times New Roman"/>
          <w:color w:val="000000" w:themeColor="text1"/>
          <w:sz w:val="24"/>
          <w:lang w:val="en-US" w:eastAsia="zh-CN"/>
          <w14:textFill>
            <w14:solidFill>
              <w14:schemeClr w14:val="tx1"/>
            </w14:solidFill>
          </w14:textFill>
        </w:rPr>
        <w:t>属于高渗油井，</w:t>
      </w:r>
      <w:r>
        <w:rPr>
          <w:rFonts w:ascii="Times New Roman" w:hAnsi="Times New Roman" w:cs="Times New Roman"/>
          <w:color w:val="000000" w:themeColor="text1"/>
          <w:sz w:val="24"/>
          <w14:textFill>
            <w14:solidFill>
              <w14:schemeClr w14:val="tx1"/>
            </w14:solidFill>
          </w14:textFill>
        </w:rPr>
        <w:t>运营期井下作业主要包括大小修井、洗井</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不压裂</w:t>
      </w:r>
      <w:r>
        <w:rPr>
          <w:rFonts w:ascii="Times New Roman" w:hAnsi="Times New Roman" w:cs="Times New Roman"/>
          <w:color w:val="000000" w:themeColor="text1"/>
          <w:sz w:val="24"/>
          <w14:textFill>
            <w14:solidFill>
              <w14:schemeClr w14:val="tx1"/>
            </w14:solidFill>
          </w14:textFill>
        </w:rPr>
        <w:t>。根据《排放源统计调查产排污核算方法和系数手册》（2021.6.11）中</w:t>
      </w:r>
      <w:r>
        <w:rPr>
          <w:rFonts w:hint="eastAsia" w:ascii="宋体" w:hAnsi="宋体" w:eastAsia="宋体" w:cs="宋体"/>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1120石油和天然气开采专业及辅助性活动行业系数手</w:t>
      </w:r>
      <w:r>
        <w:rPr>
          <w:rFonts w:hint="eastAsia" w:ascii="宋体" w:hAnsi="宋体" w:eastAsia="宋体" w:cs="宋体"/>
          <w:color w:val="000000" w:themeColor="text1"/>
          <w:sz w:val="24"/>
          <w14:textFill>
            <w14:solidFill>
              <w14:schemeClr w14:val="tx1"/>
            </w14:solidFill>
          </w14:textFill>
        </w:rPr>
        <w:t>册”（</w:t>
      </w:r>
      <w:r>
        <w:rPr>
          <w:rFonts w:ascii="Times New Roman" w:hAnsi="Times New Roman" w:cs="Times New Roman"/>
          <w:color w:val="000000" w:themeColor="text1"/>
          <w:sz w:val="24"/>
          <w14:textFill>
            <w14:solidFill>
              <w14:schemeClr w14:val="tx1"/>
            </w14:solidFill>
          </w14:textFill>
        </w:rPr>
        <w:t>续表1）计算井下作业废水的产生量</w:t>
      </w:r>
      <w:r>
        <w:rPr>
          <w:rFonts w:ascii="Times New Roman" w:hAnsi="Times New Roman" w:cs="Times New Roman"/>
          <w:color w:val="000000" w:themeColor="text1"/>
          <w:sz w:val="24"/>
          <w:lang w:bidi="ar"/>
          <w14:textFill>
            <w14:solidFill>
              <w14:schemeClr w14:val="tx1"/>
            </w14:solidFill>
          </w14:textFill>
        </w:rPr>
        <w:t>。</w:t>
      </w:r>
      <w:bookmarkStart w:id="331" w:name="_Hlk5211222"/>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表3.7-1</w:t>
      </w:r>
      <w:r>
        <w:rPr>
          <w:rFonts w:hint="eastAsia" w:ascii="Times New Roman" w:hAnsi="Times New Roman" w:eastAsia="宋体" w:cs="Times New Roman"/>
          <w:bCs/>
          <w:color w:val="000000" w:themeColor="text1"/>
          <w:sz w:val="21"/>
          <w:szCs w:val="21"/>
          <w14:textFill>
            <w14:solidFill>
              <w14:schemeClr w14:val="tx1"/>
            </w14:solidFill>
          </w14:textFill>
        </w:rPr>
        <w:t>2</w:t>
      </w:r>
      <w:r>
        <w:rPr>
          <w:rFonts w:ascii="Times New Roman" w:hAnsi="Times New Roman" w:eastAsia="宋体" w:cs="Times New Roman"/>
          <w:bCs/>
          <w:color w:val="000000" w:themeColor="text1"/>
          <w:sz w:val="21"/>
          <w:szCs w:val="21"/>
          <w14:textFill>
            <w14:solidFill>
              <w14:schemeClr w14:val="tx1"/>
            </w14:solidFill>
          </w14:textFill>
        </w:rPr>
        <w:t xml:space="preserve">  与石油和天然气开采有关的服务活动产排污系数一览表</w:t>
      </w:r>
    </w:p>
    <w:tbl>
      <w:tblPr>
        <w:tblStyle w:val="23"/>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846"/>
        <w:gridCol w:w="921"/>
        <w:gridCol w:w="692"/>
        <w:gridCol w:w="1318"/>
        <w:gridCol w:w="1366"/>
        <w:gridCol w:w="910"/>
        <w:gridCol w:w="1123"/>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39"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产品</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名称</w:t>
            </w:r>
          </w:p>
        </w:tc>
        <w:tc>
          <w:tcPr>
            <w:tcW w:w="846"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原料</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名称</w:t>
            </w:r>
          </w:p>
        </w:tc>
        <w:tc>
          <w:tcPr>
            <w:tcW w:w="921"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工艺名称</w:t>
            </w:r>
          </w:p>
        </w:tc>
        <w:tc>
          <w:tcPr>
            <w:tcW w:w="692"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规模等级</w:t>
            </w:r>
          </w:p>
        </w:tc>
        <w:tc>
          <w:tcPr>
            <w:tcW w:w="1318"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污染物指标</w:t>
            </w:r>
          </w:p>
        </w:tc>
        <w:tc>
          <w:tcPr>
            <w:tcW w:w="1366"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单位</w:t>
            </w:r>
          </w:p>
        </w:tc>
        <w:tc>
          <w:tcPr>
            <w:tcW w:w="910"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产污</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系数</w:t>
            </w:r>
          </w:p>
        </w:tc>
        <w:tc>
          <w:tcPr>
            <w:tcW w:w="1123"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末端治理技术名称</w:t>
            </w:r>
          </w:p>
        </w:tc>
        <w:tc>
          <w:tcPr>
            <w:tcW w:w="702"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排污系数</w:t>
            </w:r>
          </w:p>
        </w:tc>
      </w:tr>
      <w:bookmarkEnd w:id="33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39"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井下作业</w:t>
            </w:r>
          </w:p>
        </w:tc>
        <w:tc>
          <w:tcPr>
            <w:tcW w:w="846"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洗井液（水）</w:t>
            </w:r>
          </w:p>
        </w:tc>
        <w:tc>
          <w:tcPr>
            <w:tcW w:w="921" w:type="dxa"/>
            <w:vMerge w:val="restart"/>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w:t>
            </w:r>
            <w:r>
              <w:rPr>
                <w:rFonts w:cs="Times New Roman"/>
                <w:color w:val="000000" w:themeColor="text1"/>
                <w14:textFill>
                  <w14:solidFill>
                    <w14:schemeClr w14:val="tx1"/>
                  </w14:solidFill>
                </w14:textFill>
              </w:rPr>
              <w:t>低渗透油井洗井作业</w:t>
            </w:r>
          </w:p>
        </w:tc>
        <w:tc>
          <w:tcPr>
            <w:tcW w:w="692"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所有规模</w:t>
            </w:r>
          </w:p>
        </w:tc>
        <w:tc>
          <w:tcPr>
            <w:tcW w:w="13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工业废水量</w:t>
            </w:r>
          </w:p>
        </w:tc>
        <w:tc>
          <w:tcPr>
            <w:tcW w:w="136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t/井次-产品</w:t>
            </w:r>
          </w:p>
        </w:tc>
        <w:tc>
          <w:tcPr>
            <w:tcW w:w="910" w:type="dxa"/>
            <w:vAlign w:val="center"/>
          </w:tcPr>
          <w:p>
            <w:pPr>
              <w:pStyle w:val="3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76.0</w:t>
            </w:r>
          </w:p>
        </w:tc>
        <w:tc>
          <w:tcPr>
            <w:tcW w:w="1123"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回注油藏</w:t>
            </w:r>
          </w:p>
        </w:tc>
        <w:tc>
          <w:tcPr>
            <w:tcW w:w="70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39" w:type="dxa"/>
            <w:vMerge w:val="continue"/>
            <w:vAlign w:val="center"/>
          </w:tcPr>
          <w:p>
            <w:pPr>
              <w:pStyle w:val="35"/>
              <w:rPr>
                <w:rFonts w:cs="Times New Roman"/>
                <w:color w:val="000000" w:themeColor="text1"/>
                <w14:textFill>
                  <w14:solidFill>
                    <w14:schemeClr w14:val="tx1"/>
                  </w14:solidFill>
                </w14:textFill>
              </w:rPr>
            </w:pPr>
          </w:p>
        </w:tc>
        <w:tc>
          <w:tcPr>
            <w:tcW w:w="846" w:type="dxa"/>
            <w:vMerge w:val="continue"/>
            <w:vAlign w:val="center"/>
          </w:tcPr>
          <w:p>
            <w:pPr>
              <w:pStyle w:val="35"/>
              <w:rPr>
                <w:rFonts w:cs="Times New Roman"/>
                <w:color w:val="000000" w:themeColor="text1"/>
                <w14:textFill>
                  <w14:solidFill>
                    <w14:schemeClr w14:val="tx1"/>
                  </w14:solidFill>
                </w14:textFill>
              </w:rPr>
            </w:pPr>
          </w:p>
        </w:tc>
        <w:tc>
          <w:tcPr>
            <w:tcW w:w="921" w:type="dxa"/>
            <w:vMerge w:val="continue"/>
            <w:vAlign w:val="center"/>
          </w:tcPr>
          <w:p>
            <w:pPr>
              <w:pStyle w:val="35"/>
              <w:rPr>
                <w:rFonts w:cs="Times New Roman"/>
                <w:color w:val="000000" w:themeColor="text1"/>
                <w14:textFill>
                  <w14:solidFill>
                    <w14:schemeClr w14:val="tx1"/>
                  </w14:solidFill>
                </w14:textFill>
              </w:rPr>
            </w:pPr>
          </w:p>
        </w:tc>
        <w:tc>
          <w:tcPr>
            <w:tcW w:w="692" w:type="dxa"/>
            <w:vMerge w:val="continue"/>
            <w:vAlign w:val="center"/>
          </w:tcPr>
          <w:p>
            <w:pPr>
              <w:pStyle w:val="35"/>
              <w:rPr>
                <w:rFonts w:cs="Times New Roman"/>
                <w:color w:val="000000" w:themeColor="text1"/>
                <w14:textFill>
                  <w14:solidFill>
                    <w14:schemeClr w14:val="tx1"/>
                  </w14:solidFill>
                </w14:textFill>
              </w:rPr>
            </w:pPr>
          </w:p>
        </w:tc>
        <w:tc>
          <w:tcPr>
            <w:tcW w:w="13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化学需氧量</w:t>
            </w:r>
          </w:p>
        </w:tc>
        <w:tc>
          <w:tcPr>
            <w:tcW w:w="136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g/井次-产品</w:t>
            </w:r>
          </w:p>
        </w:tc>
        <w:tc>
          <w:tcPr>
            <w:tcW w:w="910" w:type="dxa"/>
            <w:vAlign w:val="center"/>
          </w:tcPr>
          <w:p>
            <w:pPr>
              <w:pStyle w:val="3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104525</w:t>
            </w:r>
          </w:p>
        </w:tc>
        <w:tc>
          <w:tcPr>
            <w:tcW w:w="1123" w:type="dxa"/>
            <w:vMerge w:val="continue"/>
            <w:vAlign w:val="center"/>
          </w:tcPr>
          <w:p>
            <w:pPr>
              <w:pStyle w:val="35"/>
              <w:rPr>
                <w:rFonts w:cs="Times New Roman"/>
                <w:color w:val="000000" w:themeColor="text1"/>
                <w14:textFill>
                  <w14:solidFill>
                    <w14:schemeClr w14:val="tx1"/>
                  </w14:solidFill>
                </w14:textFill>
              </w:rPr>
            </w:pPr>
          </w:p>
        </w:tc>
        <w:tc>
          <w:tcPr>
            <w:tcW w:w="70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39" w:type="dxa"/>
            <w:vMerge w:val="continue"/>
            <w:vAlign w:val="center"/>
          </w:tcPr>
          <w:p>
            <w:pPr>
              <w:pStyle w:val="35"/>
              <w:rPr>
                <w:rFonts w:cs="Times New Roman"/>
                <w:color w:val="000000" w:themeColor="text1"/>
                <w14:textFill>
                  <w14:solidFill>
                    <w14:schemeClr w14:val="tx1"/>
                  </w14:solidFill>
                </w14:textFill>
              </w:rPr>
            </w:pPr>
          </w:p>
        </w:tc>
        <w:tc>
          <w:tcPr>
            <w:tcW w:w="846" w:type="dxa"/>
            <w:vMerge w:val="continue"/>
            <w:vAlign w:val="center"/>
          </w:tcPr>
          <w:p>
            <w:pPr>
              <w:pStyle w:val="35"/>
              <w:rPr>
                <w:rFonts w:cs="Times New Roman"/>
                <w:color w:val="000000" w:themeColor="text1"/>
                <w14:textFill>
                  <w14:solidFill>
                    <w14:schemeClr w14:val="tx1"/>
                  </w14:solidFill>
                </w14:textFill>
              </w:rPr>
            </w:pPr>
          </w:p>
        </w:tc>
        <w:tc>
          <w:tcPr>
            <w:tcW w:w="921" w:type="dxa"/>
            <w:vMerge w:val="continue"/>
            <w:vAlign w:val="center"/>
          </w:tcPr>
          <w:p>
            <w:pPr>
              <w:pStyle w:val="35"/>
              <w:rPr>
                <w:rFonts w:cs="Times New Roman"/>
                <w:color w:val="000000" w:themeColor="text1"/>
                <w14:textFill>
                  <w14:solidFill>
                    <w14:schemeClr w14:val="tx1"/>
                  </w14:solidFill>
                </w14:textFill>
              </w:rPr>
            </w:pPr>
          </w:p>
        </w:tc>
        <w:tc>
          <w:tcPr>
            <w:tcW w:w="692" w:type="dxa"/>
            <w:vMerge w:val="continue"/>
            <w:vAlign w:val="center"/>
          </w:tcPr>
          <w:p>
            <w:pPr>
              <w:pStyle w:val="35"/>
              <w:rPr>
                <w:rFonts w:cs="Times New Roman"/>
                <w:color w:val="000000" w:themeColor="text1"/>
                <w14:textFill>
                  <w14:solidFill>
                    <w14:schemeClr w14:val="tx1"/>
                  </w14:solidFill>
                </w14:textFill>
              </w:rPr>
            </w:pPr>
          </w:p>
        </w:tc>
        <w:tc>
          <w:tcPr>
            <w:tcW w:w="131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w:t>
            </w:r>
          </w:p>
        </w:tc>
        <w:tc>
          <w:tcPr>
            <w:tcW w:w="136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g/井次-产品</w:t>
            </w:r>
          </w:p>
        </w:tc>
        <w:tc>
          <w:tcPr>
            <w:tcW w:w="910" w:type="dxa"/>
            <w:vAlign w:val="center"/>
          </w:tcPr>
          <w:p>
            <w:pPr>
              <w:pStyle w:val="3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17645</w:t>
            </w:r>
          </w:p>
        </w:tc>
        <w:tc>
          <w:tcPr>
            <w:tcW w:w="1123" w:type="dxa"/>
            <w:vMerge w:val="continue"/>
            <w:vAlign w:val="center"/>
          </w:tcPr>
          <w:p>
            <w:pPr>
              <w:pStyle w:val="35"/>
              <w:rPr>
                <w:rFonts w:cs="Times New Roman"/>
                <w:color w:val="000000" w:themeColor="text1"/>
                <w14:textFill>
                  <w14:solidFill>
                    <w14:schemeClr w14:val="tx1"/>
                  </w14:solidFill>
                </w14:textFill>
              </w:rPr>
            </w:pPr>
          </w:p>
        </w:tc>
        <w:tc>
          <w:tcPr>
            <w:tcW w:w="702"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r>
    </w:tbl>
    <w:p>
      <w:pPr>
        <w:adjustRightInd w:val="0"/>
        <w:snapToGrid w:val="0"/>
        <w:spacing w:line="360" w:lineRule="auto"/>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注：洗井废水全部用于回注油藏，不外排，故排污系数为0。</w:t>
      </w:r>
    </w:p>
    <w:p>
      <w:pPr>
        <w:adjustRightInd w:val="0"/>
        <w:snapToGrid w:val="0"/>
        <w:spacing w:line="360" w:lineRule="auto"/>
        <w:ind w:firstLine="482"/>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本项目为</w:t>
      </w:r>
      <w:r>
        <w:rPr>
          <w:rFonts w:hint="eastAsia" w:ascii="Times New Roman" w:hAnsi="Times New Roman" w:cs="Times New Roman"/>
          <w:color w:val="000000" w:themeColor="text1"/>
          <w:sz w:val="24"/>
          <w:lang w:val="en-US" w:eastAsia="zh-CN"/>
          <w14:textFill>
            <w14:solidFill>
              <w14:schemeClr w14:val="tx1"/>
            </w14:solidFill>
          </w14:textFill>
        </w:rPr>
        <w:t>非</w:t>
      </w:r>
      <w:r>
        <w:rPr>
          <w:rFonts w:ascii="Times New Roman" w:hAnsi="Times New Roman" w:cs="Times New Roman"/>
          <w:color w:val="000000" w:themeColor="text1"/>
          <w:sz w:val="24"/>
          <w14:textFill>
            <w14:solidFill>
              <w14:schemeClr w14:val="tx1"/>
            </w14:solidFill>
          </w14:textFill>
        </w:rPr>
        <w:t>低渗透油藏，井下作业每2年1次。计算结果详见表3.7-1</w:t>
      </w: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bookmarkStart w:id="332" w:name="_Hlk20135089"/>
    </w:p>
    <w:bookmarkEnd w:id="332"/>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表3.7-1</w:t>
      </w:r>
      <w:r>
        <w:rPr>
          <w:rFonts w:hint="eastAsia" w:ascii="Times New Roman" w:hAnsi="Times New Roman" w:eastAsia="宋体" w:cs="Times New Roman"/>
          <w:bCs/>
          <w:color w:val="000000" w:themeColor="text1"/>
          <w:sz w:val="21"/>
          <w:szCs w:val="21"/>
          <w14:textFill>
            <w14:solidFill>
              <w14:schemeClr w14:val="tx1"/>
            </w14:solidFill>
          </w14:textFill>
        </w:rPr>
        <w:t>3</w:t>
      </w:r>
      <w:r>
        <w:rPr>
          <w:rFonts w:ascii="Times New Roman" w:hAnsi="Times New Roman" w:eastAsia="宋体" w:cs="Times New Roman"/>
          <w:bCs/>
          <w:color w:val="000000" w:themeColor="text1"/>
          <w:sz w:val="21"/>
          <w:szCs w:val="21"/>
          <w14:textFill>
            <w14:solidFill>
              <w14:schemeClr w14:val="tx1"/>
            </w14:solidFill>
          </w14:textFill>
        </w:rPr>
        <w:t xml:space="preserve">  井下作业废水产生量一览表</w:t>
      </w:r>
    </w:p>
    <w:tbl>
      <w:tblPr>
        <w:tblStyle w:val="23"/>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2451"/>
        <w:gridCol w:w="1952"/>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46"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污染物指标</w:t>
            </w:r>
          </w:p>
        </w:tc>
        <w:tc>
          <w:tcPr>
            <w:tcW w:w="2451"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产污系数</w:t>
            </w:r>
          </w:p>
        </w:tc>
        <w:tc>
          <w:tcPr>
            <w:tcW w:w="1952"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产生量（t/次）</w:t>
            </w:r>
          </w:p>
        </w:tc>
        <w:tc>
          <w:tcPr>
            <w:tcW w:w="2071"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4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工业废水量</w:t>
            </w:r>
          </w:p>
        </w:tc>
        <w:tc>
          <w:tcPr>
            <w:tcW w:w="245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76.0</w:t>
            </w:r>
            <w:r>
              <w:rPr>
                <w:rFonts w:cs="Times New Roman"/>
                <w:color w:val="000000" w:themeColor="text1"/>
                <w14:textFill>
                  <w14:solidFill>
                    <w14:schemeClr w14:val="tx1"/>
                  </w14:solidFill>
                </w14:textFill>
              </w:rPr>
              <w:t>t/井次－产品</w:t>
            </w:r>
          </w:p>
        </w:tc>
        <w:tc>
          <w:tcPr>
            <w:tcW w:w="1952" w:type="dxa"/>
            <w:vAlign w:val="center"/>
          </w:tcPr>
          <w:p>
            <w:pPr>
              <w:pStyle w:val="3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2128</w:t>
            </w:r>
          </w:p>
        </w:tc>
        <w:tc>
          <w:tcPr>
            <w:tcW w:w="207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4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化学需氧量</w:t>
            </w:r>
          </w:p>
        </w:tc>
        <w:tc>
          <w:tcPr>
            <w:tcW w:w="245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104525</w:t>
            </w:r>
            <w:r>
              <w:rPr>
                <w:rFonts w:cs="Times New Roman"/>
                <w:color w:val="000000" w:themeColor="text1"/>
                <w14:textFill>
                  <w14:solidFill>
                    <w14:schemeClr w14:val="tx1"/>
                  </w14:solidFill>
                </w14:textFill>
              </w:rPr>
              <w:t>g/井次－产品</w:t>
            </w:r>
          </w:p>
        </w:tc>
        <w:tc>
          <w:tcPr>
            <w:tcW w:w="1952" w:type="dxa"/>
            <w:vAlign w:val="center"/>
          </w:tcPr>
          <w:p>
            <w:pPr>
              <w:pStyle w:val="3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2.93</w:t>
            </w:r>
          </w:p>
        </w:tc>
        <w:tc>
          <w:tcPr>
            <w:tcW w:w="2071" w:type="dxa"/>
            <w:vAlign w:val="center"/>
          </w:tcPr>
          <w:p>
            <w:pPr>
              <w:pStyle w:val="3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376.88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04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w:t>
            </w:r>
          </w:p>
        </w:tc>
        <w:tc>
          <w:tcPr>
            <w:tcW w:w="2451"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17645</w:t>
            </w:r>
            <w:r>
              <w:rPr>
                <w:rFonts w:cs="Times New Roman"/>
                <w:color w:val="000000" w:themeColor="text1"/>
                <w14:textFill>
                  <w14:solidFill>
                    <w14:schemeClr w14:val="tx1"/>
                  </w14:solidFill>
                </w14:textFill>
              </w:rPr>
              <w:t>g/井次-产品</w:t>
            </w:r>
          </w:p>
        </w:tc>
        <w:tc>
          <w:tcPr>
            <w:tcW w:w="1952" w:type="dxa"/>
            <w:vAlign w:val="center"/>
          </w:tcPr>
          <w:p>
            <w:pPr>
              <w:pStyle w:val="3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0.49</w:t>
            </w:r>
          </w:p>
        </w:tc>
        <w:tc>
          <w:tcPr>
            <w:tcW w:w="2071" w:type="dxa"/>
            <w:vAlign w:val="center"/>
          </w:tcPr>
          <w:p>
            <w:pPr>
              <w:pStyle w:val="3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230.26</w:t>
            </w:r>
          </w:p>
        </w:tc>
      </w:tr>
    </w:tbl>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本项目井下作业废水产生量为</w:t>
      </w:r>
      <w:r>
        <w:rPr>
          <w:rFonts w:hint="eastAsia" w:ascii="Times New Roman" w:hAnsi="Times New Roman" w:cs="Times New Roman"/>
          <w:color w:val="000000" w:themeColor="text1"/>
          <w:lang w:val="en-US" w:eastAsia="zh-CN"/>
          <w14:textFill>
            <w14:solidFill>
              <w14:schemeClr w14:val="tx1"/>
            </w14:solidFill>
          </w14:textFill>
        </w:rPr>
        <w:t>2128</w:t>
      </w:r>
      <w:r>
        <w:rPr>
          <w:rFonts w:ascii="Times New Roman" w:hAnsi="Times New Roman" w:cs="Times New Roman"/>
          <w:color w:val="000000" w:themeColor="text1"/>
          <w14:textFill>
            <w14:solidFill>
              <w14:schemeClr w14:val="tx1"/>
            </w14:solidFill>
          </w14:textFill>
        </w:rPr>
        <w:t>t/次（</w:t>
      </w:r>
      <w:r>
        <w:rPr>
          <w:rFonts w:hint="eastAsia" w:ascii="Times New Roman" w:hAnsi="Times New Roman" w:cs="Times New Roman"/>
          <w:color w:val="000000" w:themeColor="text1"/>
          <w14:textFill>
            <w14:solidFill>
              <w14:schemeClr w14:val="tx1"/>
            </w14:solidFill>
          </w14:textFill>
        </w:rPr>
        <w:t>28</w:t>
      </w:r>
      <w:r>
        <w:rPr>
          <w:rFonts w:ascii="Times New Roman" w:hAnsi="Times New Roman" w:cs="Times New Roman"/>
          <w:color w:val="000000" w:themeColor="text1"/>
          <w14:textFill>
            <w14:solidFill>
              <w14:schemeClr w14:val="tx1"/>
            </w14:solidFill>
          </w14:textFill>
        </w:rPr>
        <w:t>口井，</w:t>
      </w:r>
      <w:r>
        <w:rPr>
          <w:rFonts w:hint="eastAsia" w:ascii="Times New Roman" w:hAnsi="Times New Roman" w:cs="Times New Roman"/>
          <w:color w:val="000000" w:themeColor="text1"/>
          <w:lang w:val="en-US" w:eastAsia="zh-CN"/>
          <w14:textFill>
            <w14:solidFill>
              <w14:schemeClr w14:val="tx1"/>
            </w14:solidFill>
          </w14:textFill>
        </w:rPr>
        <w:t>1064</w:t>
      </w:r>
      <w:r>
        <w:rPr>
          <w:rFonts w:ascii="Times New Roman" w:hAnsi="Times New Roman" w:cs="Times New Roman"/>
          <w:color w:val="000000" w:themeColor="text1"/>
          <w14:textFill>
            <w14:solidFill>
              <w14:schemeClr w14:val="tx1"/>
            </w14:solidFill>
          </w14:textFill>
        </w:rPr>
        <w:t>t/a）。化学需氧量产生量为</w:t>
      </w:r>
      <w:r>
        <w:rPr>
          <w:rFonts w:hint="eastAsia" w:ascii="Times New Roman" w:hAnsi="Times New Roman" w:cs="Times New Roman"/>
          <w:color w:val="000000" w:themeColor="text1"/>
          <w:lang w:val="en-US" w:eastAsia="zh-CN"/>
          <w14:textFill>
            <w14:solidFill>
              <w14:schemeClr w14:val="tx1"/>
            </w14:solidFill>
          </w14:textFill>
        </w:rPr>
        <w:t>2.93</w:t>
      </w:r>
      <w:r>
        <w:rPr>
          <w:rFonts w:ascii="Times New Roman" w:hAnsi="Times New Roman" w:cs="Times New Roman"/>
          <w:color w:val="000000" w:themeColor="text1"/>
          <w14:textFill>
            <w14:solidFill>
              <w14:schemeClr w14:val="tx1"/>
            </w14:solidFill>
          </w14:textFill>
        </w:rPr>
        <w:t>t/次，产生浓度</w:t>
      </w:r>
      <w:r>
        <w:rPr>
          <w:rFonts w:hint="eastAsia" w:ascii="Times New Roman" w:hAnsi="Times New Roman" w:cs="Times New Roman"/>
          <w:color w:val="000000" w:themeColor="text1"/>
          <w:lang w:val="en-US" w:eastAsia="zh-CN"/>
          <w14:textFill>
            <w14:solidFill>
              <w14:schemeClr w14:val="tx1"/>
            </w14:solidFill>
          </w14:textFill>
        </w:rPr>
        <w:t>1376.88</w:t>
      </w:r>
      <w:r>
        <w:rPr>
          <w:rFonts w:ascii="Times New Roman" w:hAnsi="Times New Roman" w:cs="Times New Roman"/>
          <w:color w:val="000000" w:themeColor="text1"/>
          <w14:textFill>
            <w14:solidFill>
              <w14:schemeClr w14:val="tx1"/>
            </w14:solidFill>
          </w14:textFill>
        </w:rPr>
        <w:t>mg/L；石油类产生量为0.</w:t>
      </w:r>
      <w:r>
        <w:rPr>
          <w:rFonts w:hint="eastAsia" w:ascii="Times New Roman" w:hAnsi="Times New Roman" w:cs="Times New Roman"/>
          <w:color w:val="000000" w:themeColor="text1"/>
          <w:lang w:val="en-US" w:eastAsia="zh-CN"/>
          <w14:textFill>
            <w14:solidFill>
              <w14:schemeClr w14:val="tx1"/>
            </w14:solidFill>
          </w14:textFill>
        </w:rPr>
        <w:t>49</w:t>
      </w:r>
      <w:r>
        <w:rPr>
          <w:rFonts w:ascii="Times New Roman" w:hAnsi="Times New Roman" w:cs="Times New Roman"/>
          <w:color w:val="000000" w:themeColor="text1"/>
          <w14:textFill>
            <w14:solidFill>
              <w14:schemeClr w14:val="tx1"/>
            </w14:solidFill>
          </w14:textFill>
        </w:rPr>
        <w:t>t/次，产生浓度</w:t>
      </w:r>
      <w:r>
        <w:rPr>
          <w:rFonts w:hint="eastAsia" w:ascii="Times New Roman" w:hAnsi="Times New Roman" w:cs="Times New Roman"/>
          <w:color w:val="000000" w:themeColor="text1"/>
          <w:lang w:val="en-US" w:eastAsia="zh-CN"/>
          <w14:textFill>
            <w14:solidFill>
              <w14:schemeClr w14:val="tx1"/>
            </w14:solidFill>
          </w14:textFill>
        </w:rPr>
        <w:t>230.26</w:t>
      </w:r>
      <w:r>
        <w:rPr>
          <w:rFonts w:ascii="Times New Roman" w:hAnsi="Times New Roman" w:cs="Times New Roman"/>
          <w:color w:val="000000" w:themeColor="text1"/>
          <w14:textFill>
            <w14:solidFill>
              <w14:schemeClr w14:val="tx1"/>
            </w14:solidFill>
          </w14:textFill>
        </w:rPr>
        <w:t>mg/L。</w:t>
      </w:r>
    </w:p>
    <w:p>
      <w:pPr>
        <w:pStyle w:val="37"/>
        <w:spacing w:line="360" w:lineRule="auto"/>
        <w:ind w:firstLine="480" w:firstLineChars="200"/>
        <w:jc w:val="left"/>
        <w:rPr>
          <w:rFonts w:ascii="Times New Roman" w:hAnsi="Times New Roman" w:cs="Times New Roman"/>
          <w:b w:val="0"/>
          <w:color w:val="000000" w:themeColor="text1"/>
          <w:sz w:val="24"/>
          <w14:textFill>
            <w14:solidFill>
              <w14:schemeClr w14:val="tx1"/>
            </w14:solidFill>
          </w14:textFill>
        </w:rPr>
      </w:pPr>
      <w:r>
        <w:rPr>
          <w:rFonts w:ascii="Times New Roman" w:hAnsi="Times New Roman" w:cs="Times New Roman"/>
          <w:b w:val="0"/>
          <w:color w:val="000000" w:themeColor="text1"/>
          <w:sz w:val="24"/>
          <w14:textFill>
            <w14:solidFill>
              <w14:schemeClr w14:val="tx1"/>
            </w14:solidFill>
          </w14:textFill>
        </w:rPr>
        <w:t>在根据《排放源统计调查产排污核算方法和系数手册》（2021.6.11）</w:t>
      </w:r>
      <w:r>
        <w:rPr>
          <w:rFonts w:hint="eastAsia" w:ascii="宋体" w:hAnsi="宋体" w:eastAsia="宋体" w:cs="宋体"/>
          <w:b w:val="0"/>
          <w:color w:val="000000" w:themeColor="text1"/>
          <w:sz w:val="24"/>
          <w14:textFill>
            <w14:solidFill>
              <w14:schemeClr w14:val="tx1"/>
            </w14:solidFill>
          </w14:textFill>
        </w:rPr>
        <w:t>“</w:t>
      </w:r>
      <w:r>
        <w:rPr>
          <w:rFonts w:ascii="Times New Roman" w:hAnsi="Times New Roman" w:cs="Times New Roman"/>
          <w:b w:val="0"/>
          <w:color w:val="000000" w:themeColor="text1"/>
          <w:sz w:val="24"/>
          <w14:textFill>
            <w14:solidFill>
              <w14:schemeClr w14:val="tx1"/>
            </w14:solidFill>
          </w14:textFill>
        </w:rPr>
        <w:t>1120石油和天然气开采专业及辅助性活动行业系数手册</w:t>
      </w:r>
      <w:r>
        <w:rPr>
          <w:rFonts w:hint="eastAsia" w:ascii="宋体" w:hAnsi="宋体" w:eastAsia="宋体" w:cs="宋体"/>
          <w:b w:val="0"/>
          <w:color w:val="000000" w:themeColor="text1"/>
          <w:sz w:val="24"/>
          <w14:textFill>
            <w14:solidFill>
              <w14:schemeClr w14:val="tx1"/>
            </w14:solidFill>
          </w14:textFill>
        </w:rPr>
        <w:t>”</w:t>
      </w:r>
      <w:r>
        <w:rPr>
          <w:rFonts w:ascii="Times New Roman" w:hAnsi="Times New Roman" w:cs="Times New Roman"/>
          <w:b w:val="0"/>
          <w:color w:val="000000" w:themeColor="text1"/>
          <w:sz w:val="24"/>
          <w14:textFill>
            <w14:solidFill>
              <w14:schemeClr w14:val="tx1"/>
            </w14:solidFill>
          </w14:textFill>
        </w:rPr>
        <w:t>产污系数核算详见表3.7-1</w:t>
      </w:r>
      <w:r>
        <w:rPr>
          <w:rFonts w:hint="eastAsia" w:ascii="Times New Roman" w:hAnsi="Times New Roman" w:cs="Times New Roman"/>
          <w:b w:val="0"/>
          <w:color w:val="000000" w:themeColor="text1"/>
          <w:sz w:val="24"/>
          <w14:textFill>
            <w14:solidFill>
              <w14:schemeClr w14:val="tx1"/>
            </w14:solidFill>
          </w14:textFill>
        </w:rPr>
        <w:t>4</w:t>
      </w:r>
      <w:r>
        <w:rPr>
          <w:rFonts w:ascii="Times New Roman" w:hAnsi="Times New Roman" w:cs="Times New Roman"/>
          <w:b w:val="0"/>
          <w:color w:val="000000" w:themeColor="text1"/>
          <w:sz w:val="24"/>
          <w14:textFill>
            <w14:solidFill>
              <w14:schemeClr w14:val="tx1"/>
            </w14:solidFill>
          </w14:textFill>
        </w:rPr>
        <w:t>。</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表3.7-1</w:t>
      </w:r>
      <w:r>
        <w:rPr>
          <w:rFonts w:hint="eastAsia" w:ascii="Times New Roman" w:hAnsi="Times New Roman" w:eastAsia="宋体" w:cs="Times New Roman"/>
          <w:bCs/>
          <w:color w:val="000000" w:themeColor="text1"/>
          <w:sz w:val="21"/>
          <w:szCs w:val="21"/>
          <w14:textFill>
            <w14:solidFill>
              <w14:schemeClr w14:val="tx1"/>
            </w14:solidFill>
          </w14:textFill>
        </w:rPr>
        <w:t>4</w:t>
      </w:r>
      <w:r>
        <w:rPr>
          <w:rFonts w:ascii="Times New Roman" w:hAnsi="Times New Roman" w:eastAsia="宋体" w:cs="Times New Roman"/>
          <w:bCs/>
          <w:color w:val="000000" w:themeColor="text1"/>
          <w:sz w:val="21"/>
          <w:szCs w:val="21"/>
          <w14:textFill>
            <w14:solidFill>
              <w14:schemeClr w14:val="tx1"/>
            </w14:solidFill>
          </w14:textFill>
        </w:rPr>
        <w:t xml:space="preserve">  井下作业废液产生量一览表</w:t>
      </w:r>
    </w:p>
    <w:tbl>
      <w:tblPr>
        <w:tblStyle w:val="23"/>
        <w:tblW w:w="8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3"/>
        <w:gridCol w:w="977"/>
        <w:gridCol w:w="1290"/>
        <w:gridCol w:w="1480"/>
        <w:gridCol w:w="1061"/>
        <w:gridCol w:w="1245"/>
        <w:gridCol w:w="804"/>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3"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产品名称</w:t>
            </w:r>
          </w:p>
        </w:tc>
        <w:tc>
          <w:tcPr>
            <w:tcW w:w="977"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原料名称</w:t>
            </w:r>
          </w:p>
        </w:tc>
        <w:tc>
          <w:tcPr>
            <w:tcW w:w="1290"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工艺名称</w:t>
            </w:r>
          </w:p>
        </w:tc>
        <w:tc>
          <w:tcPr>
            <w:tcW w:w="1480"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污染物指标项</w:t>
            </w:r>
          </w:p>
        </w:tc>
        <w:tc>
          <w:tcPr>
            <w:tcW w:w="1061"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产物系数</w:t>
            </w:r>
          </w:p>
        </w:tc>
        <w:tc>
          <w:tcPr>
            <w:tcW w:w="1245"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末端治理技术</w:t>
            </w:r>
          </w:p>
        </w:tc>
        <w:tc>
          <w:tcPr>
            <w:tcW w:w="804"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产生量t</w:t>
            </w:r>
          </w:p>
        </w:tc>
        <w:tc>
          <w:tcPr>
            <w:tcW w:w="814"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68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井下作业</w:t>
            </w:r>
          </w:p>
        </w:tc>
        <w:tc>
          <w:tcPr>
            <w:tcW w:w="97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洗井液</w:t>
            </w:r>
          </w:p>
        </w:tc>
        <w:tc>
          <w:tcPr>
            <w:tcW w:w="129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修井</w:t>
            </w:r>
          </w:p>
        </w:tc>
        <w:tc>
          <w:tcPr>
            <w:tcW w:w="1480"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废洗井液</w:t>
            </w:r>
          </w:p>
        </w:tc>
        <w:tc>
          <w:tcPr>
            <w:tcW w:w="1061"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25.29t/井</w:t>
            </w:r>
          </w:p>
        </w:tc>
        <w:tc>
          <w:tcPr>
            <w:tcW w:w="1245"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无害化处理/处置/利用</w:t>
            </w:r>
          </w:p>
        </w:tc>
        <w:tc>
          <w:tcPr>
            <w:tcW w:w="804"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708.12</w:t>
            </w:r>
          </w:p>
        </w:tc>
        <w:tc>
          <w:tcPr>
            <w:tcW w:w="81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r>
    </w:tbl>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作业区井下作业每2年1次，经计算</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口油井井下作业过程中产生的废洗井液</w:t>
      </w:r>
      <w:r>
        <w:rPr>
          <w:rFonts w:hint="eastAsia" w:ascii="Times New Roman" w:hAnsi="Times New Roman" w:cs="Times New Roman"/>
          <w:color w:val="000000" w:themeColor="text1"/>
          <w:sz w:val="24"/>
          <w14:textFill>
            <w14:solidFill>
              <w14:schemeClr w14:val="tx1"/>
            </w14:solidFill>
          </w14:textFill>
        </w:rPr>
        <w:t>708.12</w:t>
      </w:r>
      <w:r>
        <w:rPr>
          <w:rFonts w:ascii="Times New Roman" w:hAnsi="Times New Roman" w:cs="Times New Roman"/>
          <w:color w:val="000000" w:themeColor="text1"/>
          <w:sz w:val="24"/>
          <w14:textFill>
            <w14:solidFill>
              <w14:schemeClr w14:val="tx1"/>
            </w14:solidFill>
          </w14:textFill>
        </w:rPr>
        <w:t>t/次（</w:t>
      </w:r>
      <w:r>
        <w:rPr>
          <w:rFonts w:hint="eastAsia" w:ascii="Times New Roman" w:hAnsi="Times New Roman" w:cs="Times New Roman"/>
          <w:color w:val="000000" w:themeColor="text1"/>
          <w:sz w:val="24"/>
          <w14:textFill>
            <w14:solidFill>
              <w14:schemeClr w14:val="tx1"/>
            </w14:solidFill>
          </w14:textFill>
        </w:rPr>
        <w:t>354.06</w:t>
      </w:r>
      <w:r>
        <w:rPr>
          <w:rFonts w:ascii="Times New Roman" w:hAnsi="Times New Roman" w:cs="Times New Roman"/>
          <w:color w:val="000000" w:themeColor="text1"/>
          <w:sz w:val="24"/>
          <w14:textFill>
            <w14:solidFill>
              <w14:schemeClr w14:val="tx1"/>
            </w14:solidFill>
          </w14:textFill>
        </w:rPr>
        <w:t>t/a）。</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井下作业（洗井）废水严禁直接外排，井下作业必须采取带罐作业，井下作业废水全部回收，采用专用废水收集罐收集后运至陆梁集中处理站处理，处理达标后用于回注油藏，废水不外排</w:t>
      </w:r>
      <w:r>
        <w:rPr>
          <w:rFonts w:ascii="Times New Roman" w:hAnsi="Times New Roman" w:cs="Times New Roman"/>
          <w:color w:val="000000" w:themeColor="text1"/>
          <w:kern w:val="0"/>
          <w:sz w:val="24"/>
          <w14:textFill>
            <w14:solidFill>
              <w14:schemeClr w14:val="tx1"/>
            </w14:solidFill>
          </w14:textFill>
        </w:rPr>
        <w:t>。正常情况下井下作业废水</w:t>
      </w:r>
      <w:r>
        <w:rPr>
          <w:rFonts w:ascii="Times New Roman" w:hAnsi="Times New Roman" w:cs="Times New Roman"/>
          <w:color w:val="000000" w:themeColor="text1"/>
          <w:sz w:val="24"/>
          <w14:textFill>
            <w14:solidFill>
              <w14:schemeClr w14:val="tx1"/>
            </w14:solidFill>
          </w14:textFill>
        </w:rPr>
        <w:t>不会对地下水产生不利影响。</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）采出水</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根据开发方案，本项目</w:t>
      </w:r>
      <w:r>
        <w:rPr>
          <w:rFonts w:hint="eastAsia" w:ascii="Times New Roman" w:hAnsi="Times New Roman" w:cs="Times New Roman"/>
          <w:color w:val="000000" w:themeColor="text1"/>
          <w14:textFill>
            <w14:solidFill>
              <w14:schemeClr w14:val="tx1"/>
            </w14:solidFill>
          </w14:textFill>
        </w:rPr>
        <w:t>28</w:t>
      </w:r>
      <w:r>
        <w:rPr>
          <w:rFonts w:ascii="Times New Roman" w:hAnsi="Times New Roman" w:cs="Times New Roman"/>
          <w:color w:val="000000" w:themeColor="text1"/>
          <w14:textFill>
            <w14:solidFill>
              <w14:schemeClr w14:val="tx1"/>
            </w14:solidFill>
          </w14:textFill>
        </w:rPr>
        <w:t>口</w:t>
      </w:r>
      <w:r>
        <w:rPr>
          <w:rFonts w:hint="eastAsia" w:ascii="Times New Roman" w:hAnsi="Times New Roman" w:cs="Times New Roman"/>
          <w:color w:val="000000" w:themeColor="text1"/>
          <w14:textFill>
            <w14:solidFill>
              <w14:schemeClr w14:val="tx1"/>
            </w14:solidFill>
          </w14:textFill>
        </w:rPr>
        <w:t>油</w:t>
      </w:r>
      <w:r>
        <w:rPr>
          <w:rFonts w:ascii="Times New Roman" w:hAnsi="Times New Roman" w:cs="Times New Roman"/>
          <w:color w:val="000000" w:themeColor="text1"/>
          <w14:textFill>
            <w14:solidFill>
              <w14:schemeClr w14:val="tx1"/>
            </w14:solidFill>
          </w14:textFill>
        </w:rPr>
        <w:t>井采出液进入陆梁集中处理站处理，</w:t>
      </w:r>
      <w:r>
        <w:rPr>
          <w:rFonts w:hint="eastAsia" w:ascii="Times New Roman" w:hAnsi="Times New Roman" w:cs="Times New Roman"/>
          <w:color w:val="000000" w:themeColor="text1"/>
          <w14:textFill>
            <w14:solidFill>
              <w14:schemeClr w14:val="tx1"/>
            </w14:solidFill>
          </w14:textFill>
        </w:rPr>
        <w:t>28</w:t>
      </w:r>
      <w:r>
        <w:rPr>
          <w:rFonts w:ascii="Times New Roman" w:hAnsi="Times New Roman" w:cs="Times New Roman"/>
          <w:color w:val="000000" w:themeColor="text1"/>
          <w14:textFill>
            <w14:solidFill>
              <w14:schemeClr w14:val="tx1"/>
            </w14:solidFill>
          </w14:textFill>
        </w:rPr>
        <w:t>口井采出水最大产生量为</w:t>
      </w:r>
      <w:r>
        <w:rPr>
          <w:rFonts w:hint="eastAsia" w:ascii="Times New Roman" w:hAnsi="Times New Roman" w:cs="Times New Roman"/>
          <w:color w:val="000000" w:themeColor="text1"/>
          <w14:textFill>
            <w14:solidFill>
              <w14:schemeClr w14:val="tx1"/>
            </w14:solidFill>
          </w14:textFill>
        </w:rPr>
        <w:t>408142.8</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/a（</w:t>
      </w:r>
      <w:r>
        <w:rPr>
          <w:rFonts w:hint="eastAsia" w:ascii="Times New Roman" w:hAnsi="Times New Roman" w:cs="Times New Roman"/>
          <w:color w:val="000000" w:themeColor="text1"/>
          <w14:textFill>
            <w14:solidFill>
              <w14:schemeClr w14:val="tx1"/>
            </w14:solidFill>
          </w14:textFill>
        </w:rPr>
        <w:t>1118.2</w:t>
      </w:r>
      <w:r>
        <w:rPr>
          <w:rFonts w:ascii="Times New Roman" w:hAnsi="Times New Roman" w:cs="Times New Roman"/>
          <w:color w:val="000000" w:themeColor="text1"/>
          <w14:textFill>
            <w14:solidFill>
              <w14:schemeClr w14:val="tx1"/>
            </w14:solidFill>
          </w14:textFill>
        </w:rPr>
        <w:t>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/d），本项目采出液全部进入陆梁集中处理站污水处理系统进行处理，达到《碎屑岩油藏注水水质指标技术要求及分析方法》（SY/T5329-2022）标准后回注油藏，不外排。</w:t>
      </w:r>
    </w:p>
    <w:p>
      <w:pPr>
        <w:pStyle w:val="58"/>
        <w:rPr>
          <w:rFonts w:cs="Times New Roman"/>
          <w:color w:val="000000" w:themeColor="text1"/>
          <w:kern w:val="0"/>
          <w14:textFill>
            <w14:solidFill>
              <w14:schemeClr w14:val="tx1"/>
            </w14:solidFill>
          </w14:textFill>
        </w:rPr>
      </w:pPr>
      <w:bookmarkStart w:id="333" w:name="_Hlk94093023"/>
      <w:r>
        <w:rPr>
          <w:rFonts w:cs="Times New Roman"/>
          <w:color w:val="000000" w:themeColor="text1"/>
          <w:kern w:val="0"/>
          <w14:textFill>
            <w14:solidFill>
              <w14:schemeClr w14:val="tx1"/>
            </w14:solidFill>
          </w14:textFill>
        </w:rPr>
        <w:t>3.7.7.3噪声污染源</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运营期噪声污染源主要包括：场站设备运转噪声、井下作业机械和巡检车辆等。噪声排放情况见表3.7-1</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w:t>
      </w:r>
    </w:p>
    <w:bookmarkEnd w:id="333"/>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bookmarkStart w:id="334" w:name="_Ref478381584"/>
      <w:r>
        <w:rPr>
          <w:rFonts w:ascii="Times New Roman" w:hAnsi="Times New Roman" w:eastAsia="宋体" w:cs="Times New Roman"/>
          <w:bCs/>
          <w:color w:val="000000" w:themeColor="text1"/>
          <w:sz w:val="21"/>
          <w:szCs w:val="21"/>
          <w14:textFill>
            <w14:solidFill>
              <w14:schemeClr w14:val="tx1"/>
            </w14:solidFill>
          </w14:textFill>
        </w:rPr>
        <w:t>表</w:t>
      </w:r>
      <w:bookmarkEnd w:id="334"/>
      <w:r>
        <w:rPr>
          <w:rFonts w:ascii="Times New Roman" w:hAnsi="Times New Roman" w:eastAsia="宋体" w:cs="Times New Roman"/>
          <w:bCs/>
          <w:color w:val="000000" w:themeColor="text1"/>
          <w:sz w:val="21"/>
          <w:szCs w:val="21"/>
          <w14:textFill>
            <w14:solidFill>
              <w14:schemeClr w14:val="tx1"/>
            </w14:solidFill>
          </w14:textFill>
        </w:rPr>
        <w:t>3.7-1</w:t>
      </w:r>
      <w:r>
        <w:rPr>
          <w:rFonts w:hint="eastAsia" w:ascii="Times New Roman" w:hAnsi="Times New Roman" w:eastAsia="宋体" w:cs="Times New Roman"/>
          <w:bCs/>
          <w:color w:val="000000" w:themeColor="text1"/>
          <w:sz w:val="21"/>
          <w:szCs w:val="21"/>
          <w14:textFill>
            <w14:solidFill>
              <w14:schemeClr w14:val="tx1"/>
            </w14:solidFill>
          </w14:textFill>
        </w:rPr>
        <w:t>5</w:t>
      </w:r>
      <w:r>
        <w:rPr>
          <w:rFonts w:ascii="Times New Roman" w:hAnsi="Times New Roman" w:eastAsia="宋体" w:cs="Times New Roman"/>
          <w:bCs/>
          <w:color w:val="000000" w:themeColor="text1"/>
          <w:sz w:val="21"/>
          <w:szCs w:val="21"/>
          <w14:textFill>
            <w14:solidFill>
              <w14:schemeClr w14:val="tx1"/>
            </w14:solidFill>
          </w14:textFill>
        </w:rPr>
        <w:t xml:space="preserve">  运营期噪声排放情况（单位：dB</w:t>
      </w:r>
      <w:r>
        <w:rPr>
          <w:rFonts w:hint="eastAsia"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color w:val="000000" w:themeColor="text1"/>
          <w:sz w:val="21"/>
          <w:szCs w:val="21"/>
          <w14:textFill>
            <w14:solidFill>
              <w14:schemeClr w14:val="tx1"/>
            </w14:solidFill>
          </w14:textFill>
        </w:rPr>
        <w:t>A</w:t>
      </w:r>
      <w:r>
        <w:rPr>
          <w:rFonts w:hint="eastAsia" w:ascii="Times New Roman" w:hAnsi="Times New Roman" w:eastAsia="宋体" w:cs="Times New Roman"/>
          <w:bCs/>
          <w:color w:val="000000" w:themeColor="text1"/>
          <w:sz w:val="21"/>
          <w:szCs w:val="21"/>
          <w14:textFill>
            <w14:solidFill>
              <w14:schemeClr w14:val="tx1"/>
            </w14:solidFill>
          </w14:textFill>
        </w:rPr>
        <w:t>）</w:t>
      </w:r>
      <w:r>
        <w:rPr>
          <w:rFonts w:ascii="Times New Roman" w:hAnsi="Times New Roman" w:eastAsia="宋体" w:cs="Times New Roman"/>
          <w:bCs/>
          <w:color w:val="000000" w:themeColor="text1"/>
          <w:sz w:val="21"/>
          <w:szCs w:val="21"/>
          <w14:textFill>
            <w14:solidFill>
              <w14:schemeClr w14:val="tx1"/>
            </w14:solidFill>
          </w14:textFill>
        </w:rPr>
        <w:t>）</w:t>
      </w:r>
    </w:p>
    <w:tbl>
      <w:tblPr>
        <w:tblStyle w:val="23"/>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61"/>
        <w:gridCol w:w="704"/>
        <w:gridCol w:w="999"/>
        <w:gridCol w:w="675"/>
        <w:gridCol w:w="610"/>
        <w:gridCol w:w="702"/>
        <w:gridCol w:w="856"/>
        <w:gridCol w:w="1966"/>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7" w:type="dxa"/>
            <w:vMerge w:val="restart"/>
            <w:vAlign w:val="center"/>
          </w:tcPr>
          <w:p>
            <w:pPr>
              <w:autoSpaceDE w:val="0"/>
              <w:autoSpaceDN w:val="0"/>
              <w:adjustRightInd w:val="0"/>
              <w:snapToGrid w:val="0"/>
              <w:jc w:val="center"/>
              <w:textAlignment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序号</w:t>
            </w:r>
          </w:p>
        </w:tc>
        <w:tc>
          <w:tcPr>
            <w:tcW w:w="761" w:type="dxa"/>
            <w:vMerge w:val="restart"/>
            <w:vAlign w:val="center"/>
          </w:tcPr>
          <w:p>
            <w:pPr>
              <w:autoSpaceDE w:val="0"/>
              <w:autoSpaceDN w:val="0"/>
              <w:adjustRightInd w:val="0"/>
              <w:snapToGrid w:val="0"/>
              <w:jc w:val="center"/>
              <w:textAlignment w:val="center"/>
              <w:rPr>
                <w:rFonts w:ascii="Times New Roman" w:hAnsi="Times New Roman" w:eastAsia="宋体" w:cs="Times New Roman"/>
                <w:b/>
                <w:bCs/>
                <w:color w:val="000000" w:themeColor="text1"/>
                <w:kern w:val="0"/>
                <w:sz w:val="20"/>
                <w:szCs w:val="21"/>
                <w14:textFill>
                  <w14:solidFill>
                    <w14:schemeClr w14:val="tx1"/>
                  </w14:solidFill>
                </w14:textFill>
              </w:rPr>
            </w:pPr>
            <w:r>
              <w:rPr>
                <w:rFonts w:hint="eastAsia" w:ascii="Times New Roman" w:hAnsi="Times New Roman" w:eastAsia="宋体" w:cs="Times New Roman"/>
                <w:b/>
                <w:bCs/>
                <w:color w:val="000000" w:themeColor="text1"/>
                <w:kern w:val="0"/>
                <w:sz w:val="20"/>
                <w:szCs w:val="21"/>
                <w14:textFill>
                  <w14:solidFill>
                    <w14:schemeClr w14:val="tx1"/>
                  </w14:solidFill>
                </w14:textFill>
              </w:rPr>
              <w:t>正常/非正常状况</w:t>
            </w:r>
          </w:p>
        </w:tc>
        <w:tc>
          <w:tcPr>
            <w:tcW w:w="704" w:type="dxa"/>
            <w:vMerge w:val="restart"/>
            <w:vAlign w:val="center"/>
          </w:tcPr>
          <w:p>
            <w:pPr>
              <w:autoSpaceDE w:val="0"/>
              <w:autoSpaceDN w:val="0"/>
              <w:adjustRightInd w:val="0"/>
              <w:snapToGrid w:val="0"/>
              <w:jc w:val="center"/>
              <w:textAlignment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位置</w:t>
            </w:r>
          </w:p>
        </w:tc>
        <w:tc>
          <w:tcPr>
            <w:tcW w:w="999" w:type="dxa"/>
            <w:vMerge w:val="restart"/>
            <w:vAlign w:val="center"/>
          </w:tcPr>
          <w:p>
            <w:pPr>
              <w:autoSpaceDE w:val="0"/>
              <w:autoSpaceDN w:val="0"/>
              <w:adjustRightInd w:val="0"/>
              <w:snapToGrid w:val="0"/>
              <w:jc w:val="center"/>
              <w:textAlignment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声源源强</w:t>
            </w:r>
          </w:p>
        </w:tc>
        <w:tc>
          <w:tcPr>
            <w:tcW w:w="1987" w:type="dxa"/>
            <w:gridSpan w:val="3"/>
            <w:vAlign w:val="center"/>
          </w:tcPr>
          <w:p>
            <w:pPr>
              <w:autoSpaceDE w:val="0"/>
              <w:autoSpaceDN w:val="0"/>
              <w:adjustRightInd w:val="0"/>
              <w:snapToGrid w:val="0"/>
              <w:jc w:val="center"/>
              <w:textAlignment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空间相对位置（m）</w:t>
            </w:r>
          </w:p>
        </w:tc>
        <w:tc>
          <w:tcPr>
            <w:tcW w:w="856" w:type="dxa"/>
            <w:vMerge w:val="restart"/>
            <w:vAlign w:val="center"/>
          </w:tcPr>
          <w:p>
            <w:pPr>
              <w:autoSpaceDE w:val="0"/>
              <w:autoSpaceDN w:val="0"/>
              <w:adjustRightInd w:val="0"/>
              <w:snapToGrid w:val="0"/>
              <w:jc w:val="center"/>
              <w:textAlignment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声源</w:t>
            </w:r>
          </w:p>
          <w:p>
            <w:pPr>
              <w:autoSpaceDE w:val="0"/>
              <w:autoSpaceDN w:val="0"/>
              <w:adjustRightInd w:val="0"/>
              <w:snapToGrid w:val="0"/>
              <w:jc w:val="center"/>
              <w:textAlignment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源强dB(A)</w:t>
            </w:r>
          </w:p>
        </w:tc>
        <w:tc>
          <w:tcPr>
            <w:tcW w:w="1966" w:type="dxa"/>
            <w:vMerge w:val="restart"/>
            <w:vAlign w:val="center"/>
          </w:tcPr>
          <w:p>
            <w:pPr>
              <w:autoSpaceDE w:val="0"/>
              <w:autoSpaceDN w:val="0"/>
              <w:adjustRightInd w:val="0"/>
              <w:snapToGrid w:val="0"/>
              <w:jc w:val="center"/>
              <w:textAlignment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声源控制措施</w:t>
            </w:r>
          </w:p>
        </w:tc>
        <w:tc>
          <w:tcPr>
            <w:tcW w:w="817" w:type="dxa"/>
            <w:vMerge w:val="restart"/>
            <w:vAlign w:val="center"/>
          </w:tcPr>
          <w:p>
            <w:pPr>
              <w:autoSpaceDE w:val="0"/>
              <w:autoSpaceDN w:val="0"/>
              <w:adjustRightInd w:val="0"/>
              <w:snapToGrid w:val="0"/>
              <w:jc w:val="center"/>
              <w:textAlignment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7" w:type="dxa"/>
            <w:vMerge w:val="continue"/>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 w:val="20"/>
                <w:szCs w:val="21"/>
                <w14:textFill>
                  <w14:solidFill>
                    <w14:schemeClr w14:val="tx1"/>
                  </w14:solidFill>
                </w14:textFill>
              </w:rPr>
            </w:pPr>
          </w:p>
        </w:tc>
        <w:tc>
          <w:tcPr>
            <w:tcW w:w="761" w:type="dxa"/>
            <w:vMerge w:val="continue"/>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 w:val="20"/>
                <w:szCs w:val="21"/>
                <w14:textFill>
                  <w14:solidFill>
                    <w14:schemeClr w14:val="tx1"/>
                  </w14:solidFill>
                </w14:textFill>
              </w:rPr>
            </w:pPr>
          </w:p>
        </w:tc>
        <w:tc>
          <w:tcPr>
            <w:tcW w:w="704" w:type="dxa"/>
            <w:vMerge w:val="continue"/>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 w:val="20"/>
                <w:szCs w:val="21"/>
                <w14:textFill>
                  <w14:solidFill>
                    <w14:schemeClr w14:val="tx1"/>
                  </w14:solidFill>
                </w14:textFill>
              </w:rPr>
            </w:pPr>
          </w:p>
        </w:tc>
        <w:tc>
          <w:tcPr>
            <w:tcW w:w="999" w:type="dxa"/>
            <w:vMerge w:val="continue"/>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 w:val="20"/>
                <w:szCs w:val="21"/>
                <w14:textFill>
                  <w14:solidFill>
                    <w14:schemeClr w14:val="tx1"/>
                  </w14:solidFill>
                </w14:textFill>
              </w:rPr>
            </w:pPr>
          </w:p>
        </w:tc>
        <w:tc>
          <w:tcPr>
            <w:tcW w:w="675" w:type="dxa"/>
            <w:vAlign w:val="center"/>
          </w:tcPr>
          <w:p>
            <w:pPr>
              <w:jc w:val="center"/>
              <w:rPr>
                <w:rFonts w:ascii="Times New Roman" w:hAnsi="Times New Roman" w:eastAsia="宋体" w:cs="Times New Roman"/>
                <w:b/>
                <w:bCs/>
                <w:color w:val="000000" w:themeColor="text1"/>
                <w:szCs w:val="21"/>
                <w:lang w:bidi="zh-CN"/>
                <w14:textFill>
                  <w14:solidFill>
                    <w14:schemeClr w14:val="tx1"/>
                  </w14:solidFill>
                </w14:textFill>
              </w:rPr>
            </w:pPr>
            <w:r>
              <w:rPr>
                <w:rFonts w:ascii="Times New Roman" w:hAnsi="Times New Roman" w:eastAsia="宋体" w:cs="Times New Roman"/>
                <w:i/>
                <w:color w:val="000000" w:themeColor="text1"/>
                <w:szCs w:val="21"/>
                <w:lang w:val="zh-CN" w:bidi="zh-CN"/>
                <w14:textFill>
                  <w14:solidFill>
                    <w14:schemeClr w14:val="tx1"/>
                  </w14:solidFill>
                </w14:textFill>
              </w:rPr>
              <w:t>X</w:t>
            </w:r>
          </w:p>
        </w:tc>
        <w:tc>
          <w:tcPr>
            <w:tcW w:w="610" w:type="dxa"/>
            <w:vAlign w:val="center"/>
          </w:tcPr>
          <w:p>
            <w:pPr>
              <w:jc w:val="center"/>
              <w:rPr>
                <w:rFonts w:ascii="Times New Roman" w:hAnsi="Times New Roman" w:eastAsia="宋体" w:cs="Times New Roman"/>
                <w:b/>
                <w:bCs/>
                <w:color w:val="000000" w:themeColor="text1"/>
                <w:szCs w:val="21"/>
                <w:lang w:bidi="zh-CN"/>
                <w14:textFill>
                  <w14:solidFill>
                    <w14:schemeClr w14:val="tx1"/>
                  </w14:solidFill>
                </w14:textFill>
              </w:rPr>
            </w:pPr>
            <w:r>
              <w:rPr>
                <w:rFonts w:ascii="Times New Roman" w:hAnsi="Times New Roman" w:eastAsia="宋体" w:cs="Times New Roman"/>
                <w:i/>
                <w:color w:val="000000" w:themeColor="text1"/>
                <w:szCs w:val="21"/>
                <w:lang w:val="zh-CN" w:bidi="zh-CN"/>
                <w14:textFill>
                  <w14:solidFill>
                    <w14:schemeClr w14:val="tx1"/>
                  </w14:solidFill>
                </w14:textFill>
              </w:rPr>
              <w:t>Y</w:t>
            </w:r>
          </w:p>
        </w:tc>
        <w:tc>
          <w:tcPr>
            <w:tcW w:w="702" w:type="dxa"/>
            <w:vAlign w:val="center"/>
          </w:tcPr>
          <w:p>
            <w:pPr>
              <w:jc w:val="center"/>
              <w:rPr>
                <w:rFonts w:ascii="Times New Roman" w:hAnsi="Times New Roman" w:eastAsia="宋体" w:cs="Times New Roman"/>
                <w:b/>
                <w:bCs/>
                <w:color w:val="000000" w:themeColor="text1"/>
                <w:szCs w:val="21"/>
                <w:lang w:bidi="zh-CN"/>
                <w14:textFill>
                  <w14:solidFill>
                    <w14:schemeClr w14:val="tx1"/>
                  </w14:solidFill>
                </w14:textFill>
              </w:rPr>
            </w:pPr>
            <w:r>
              <w:rPr>
                <w:rFonts w:ascii="Times New Roman" w:hAnsi="Times New Roman" w:eastAsia="宋体" w:cs="Times New Roman"/>
                <w:i/>
                <w:color w:val="000000" w:themeColor="text1"/>
                <w:szCs w:val="21"/>
                <w:lang w:val="zh-CN" w:bidi="zh-CN"/>
                <w14:textFill>
                  <w14:solidFill>
                    <w14:schemeClr w14:val="tx1"/>
                  </w14:solidFill>
                </w14:textFill>
              </w:rPr>
              <w:t>Z</w:t>
            </w:r>
          </w:p>
        </w:tc>
        <w:tc>
          <w:tcPr>
            <w:tcW w:w="856" w:type="dxa"/>
            <w:vMerge w:val="continue"/>
            <w:vAlign w:val="center"/>
          </w:tcPr>
          <w:p>
            <w:pPr>
              <w:autoSpaceDE w:val="0"/>
              <w:autoSpaceDN w:val="0"/>
              <w:adjustRightInd w:val="0"/>
              <w:snapToGrid w:val="0"/>
              <w:jc w:val="center"/>
              <w:textAlignment w:val="center"/>
              <w:rPr>
                <w:rFonts w:ascii="Times New Roman" w:hAnsi="Times New Roman" w:eastAsia="宋体" w:cs="Times New Roman"/>
                <w:b/>
                <w:bCs/>
                <w:color w:val="000000" w:themeColor="text1"/>
                <w:kern w:val="0"/>
                <w:szCs w:val="21"/>
                <w14:textFill>
                  <w14:solidFill>
                    <w14:schemeClr w14:val="tx1"/>
                  </w14:solidFill>
                </w14:textFill>
              </w:rPr>
            </w:pPr>
          </w:p>
        </w:tc>
        <w:tc>
          <w:tcPr>
            <w:tcW w:w="1966" w:type="dxa"/>
            <w:vMerge w:val="continue"/>
            <w:vAlign w:val="center"/>
          </w:tcPr>
          <w:p>
            <w:pPr>
              <w:autoSpaceDE w:val="0"/>
              <w:autoSpaceDN w:val="0"/>
              <w:adjustRightInd w:val="0"/>
              <w:snapToGrid w:val="0"/>
              <w:jc w:val="center"/>
              <w:textAlignment w:val="center"/>
              <w:rPr>
                <w:rFonts w:ascii="Times New Roman" w:hAnsi="Times New Roman" w:eastAsia="宋体" w:cs="Times New Roman"/>
                <w:b/>
                <w:bCs/>
                <w:color w:val="000000" w:themeColor="text1"/>
                <w:kern w:val="0"/>
                <w:szCs w:val="21"/>
                <w14:textFill>
                  <w14:solidFill>
                    <w14:schemeClr w14:val="tx1"/>
                  </w14:solidFill>
                </w14:textFill>
              </w:rPr>
            </w:pPr>
          </w:p>
        </w:tc>
        <w:tc>
          <w:tcPr>
            <w:tcW w:w="817" w:type="dxa"/>
            <w:vMerge w:val="continue"/>
            <w:vAlign w:val="center"/>
          </w:tcPr>
          <w:p>
            <w:pPr>
              <w:autoSpaceDE w:val="0"/>
              <w:autoSpaceDN w:val="0"/>
              <w:adjustRightInd w:val="0"/>
              <w:snapToGrid w:val="0"/>
              <w:jc w:val="center"/>
              <w:textAlignment w:val="center"/>
              <w:rPr>
                <w:rFonts w:ascii="Times New Roman" w:hAnsi="Times New Roman" w:eastAsia="宋体" w:cs="Times New Roman"/>
                <w:b/>
                <w:bCs/>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7"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761" w:type="dxa"/>
            <w:vMerge w:val="restart"/>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正常状况</w:t>
            </w:r>
          </w:p>
        </w:tc>
        <w:tc>
          <w:tcPr>
            <w:tcW w:w="704" w:type="dxa"/>
            <w:vAlign w:val="center"/>
          </w:tcPr>
          <w:p>
            <w:pPr>
              <w:pStyle w:val="35"/>
              <w:rPr>
                <w:rFonts w:cs="Times New Roman"/>
                <w:color w:val="000000" w:themeColor="text1"/>
                <w:kern w:val="0"/>
                <w14:textFill>
                  <w14:solidFill>
                    <w14:schemeClr w14:val="tx1"/>
                  </w14:solidFill>
                </w14:textFill>
              </w:rPr>
            </w:pPr>
            <w:r>
              <w:rPr>
                <w:rFonts w:cs="Times New Roman"/>
                <w:color w:val="000000" w:themeColor="text1"/>
                <w14:textFill>
                  <w14:solidFill>
                    <w14:schemeClr w14:val="tx1"/>
                  </w14:solidFill>
                </w14:textFill>
              </w:rPr>
              <w:t>井场</w:t>
            </w:r>
          </w:p>
        </w:tc>
        <w:tc>
          <w:tcPr>
            <w:tcW w:w="999"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抽油机</w:t>
            </w:r>
          </w:p>
        </w:tc>
        <w:tc>
          <w:tcPr>
            <w:tcW w:w="675"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60</w:t>
            </w:r>
          </w:p>
        </w:tc>
        <w:tc>
          <w:tcPr>
            <w:tcW w:w="610"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45</w:t>
            </w:r>
          </w:p>
        </w:tc>
        <w:tc>
          <w:tcPr>
            <w:tcW w:w="702"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10</w:t>
            </w:r>
          </w:p>
        </w:tc>
        <w:tc>
          <w:tcPr>
            <w:tcW w:w="856" w:type="dxa"/>
            <w:vAlign w:val="center"/>
          </w:tcPr>
          <w:p>
            <w:pPr>
              <w:pStyle w:val="35"/>
              <w:rPr>
                <w:rFonts w:cs="Times New Roman"/>
                <w:color w:val="000000" w:themeColor="text1"/>
                <w:kern w:val="0"/>
                <w14:textFill>
                  <w14:solidFill>
                    <w14:schemeClr w14:val="tx1"/>
                  </w14:solidFill>
                </w14:textFill>
              </w:rPr>
            </w:pPr>
            <w:r>
              <w:rPr>
                <w:rFonts w:cs="Times New Roman"/>
                <w:color w:val="000000" w:themeColor="text1"/>
                <w14:textFill>
                  <w14:solidFill>
                    <w14:schemeClr w14:val="tx1"/>
                  </w14:solidFill>
                </w14:textFill>
              </w:rPr>
              <w:t>75~80</w:t>
            </w:r>
          </w:p>
        </w:tc>
        <w:tc>
          <w:tcPr>
            <w:tcW w:w="1966" w:type="dxa"/>
            <w:vAlign w:val="center"/>
          </w:tcPr>
          <w:p>
            <w:pPr>
              <w:pStyle w:val="35"/>
              <w:rPr>
                <w:rFonts w:cs="Times New Roman"/>
                <w:color w:val="000000" w:themeColor="text1"/>
                <w:kern w:val="0"/>
                <w14:textFill>
                  <w14:solidFill>
                    <w14:schemeClr w14:val="tx1"/>
                  </w14:solidFill>
                </w14:textFill>
              </w:rPr>
            </w:pPr>
            <w:r>
              <w:rPr>
                <w:rFonts w:cs="Times New Roman"/>
                <w:color w:val="000000" w:themeColor="text1"/>
                <w14:textFill>
                  <w14:solidFill>
                    <w14:schemeClr w14:val="tx1"/>
                  </w14:solidFill>
                </w14:textFill>
              </w:rPr>
              <w:t>采用低噪声设备，局部加装隔声罩</w:t>
            </w:r>
          </w:p>
        </w:tc>
        <w:tc>
          <w:tcPr>
            <w:tcW w:w="817"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7" w:type="dxa"/>
            <w:vAlign w:val="center"/>
          </w:tcPr>
          <w:p>
            <w:pPr>
              <w:autoSpaceDE w:val="0"/>
              <w:autoSpaceDN w:val="0"/>
              <w:adjustRightInd w:val="0"/>
              <w:snapToGrid w:val="0"/>
              <w:jc w:val="center"/>
              <w:textAlignment w:val="center"/>
              <w:rPr>
                <w:rFonts w:ascii="Times New Roman" w:hAnsi="Times New Roman" w:eastAsia="宋体" w:cs="Times New Roman"/>
                <w:bCs/>
                <w:color w:val="000000" w:themeColor="text1"/>
                <w:kern w:val="0"/>
                <w:sz w:val="20"/>
                <w:szCs w:val="21"/>
                <w14:textFill>
                  <w14:solidFill>
                    <w14:schemeClr w14:val="tx1"/>
                  </w14:solidFill>
                </w14:textFill>
              </w:rPr>
            </w:pPr>
            <w:r>
              <w:rPr>
                <w:rFonts w:hint="eastAsia" w:ascii="Times New Roman" w:hAnsi="Times New Roman" w:eastAsia="宋体" w:cs="Times New Roman"/>
                <w:bCs/>
                <w:color w:val="000000" w:themeColor="text1"/>
                <w:kern w:val="0"/>
                <w:sz w:val="20"/>
                <w:szCs w:val="21"/>
                <w14:textFill>
                  <w14:solidFill>
                    <w14:schemeClr w14:val="tx1"/>
                  </w14:solidFill>
                </w14:textFill>
              </w:rPr>
              <w:t>2</w:t>
            </w:r>
          </w:p>
        </w:tc>
        <w:tc>
          <w:tcPr>
            <w:tcW w:w="761" w:type="dxa"/>
            <w:vMerge w:val="continue"/>
            <w:vAlign w:val="center"/>
          </w:tcPr>
          <w:p>
            <w:pPr>
              <w:autoSpaceDE w:val="0"/>
              <w:autoSpaceDN w:val="0"/>
              <w:adjustRightInd w:val="0"/>
              <w:snapToGrid w:val="0"/>
              <w:jc w:val="center"/>
              <w:textAlignment w:val="center"/>
              <w:rPr>
                <w:rFonts w:ascii="Times New Roman" w:hAnsi="Times New Roman" w:eastAsia="宋体" w:cs="Times New Roman"/>
                <w:bCs/>
                <w:color w:val="000000" w:themeColor="text1"/>
                <w:kern w:val="0"/>
                <w:sz w:val="20"/>
                <w:szCs w:val="21"/>
                <w14:textFill>
                  <w14:solidFill>
                    <w14:schemeClr w14:val="tx1"/>
                  </w14:solidFill>
                </w14:textFill>
              </w:rPr>
            </w:pPr>
          </w:p>
        </w:tc>
        <w:tc>
          <w:tcPr>
            <w:tcW w:w="70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配水撬</w:t>
            </w:r>
          </w:p>
        </w:tc>
        <w:tc>
          <w:tcPr>
            <w:tcW w:w="999"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机泵</w:t>
            </w:r>
          </w:p>
        </w:tc>
        <w:tc>
          <w:tcPr>
            <w:tcW w:w="675"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20</w:t>
            </w:r>
          </w:p>
        </w:tc>
        <w:tc>
          <w:tcPr>
            <w:tcW w:w="610"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20</w:t>
            </w:r>
          </w:p>
        </w:tc>
        <w:tc>
          <w:tcPr>
            <w:tcW w:w="702"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0</w:t>
            </w:r>
          </w:p>
        </w:tc>
        <w:tc>
          <w:tcPr>
            <w:tcW w:w="85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80~90</w:t>
            </w:r>
          </w:p>
        </w:tc>
        <w:tc>
          <w:tcPr>
            <w:tcW w:w="196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采用低噪声设备，局部加装隔声罩</w:t>
            </w:r>
          </w:p>
        </w:tc>
        <w:tc>
          <w:tcPr>
            <w:tcW w:w="817"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7" w:type="dxa"/>
            <w:vAlign w:val="center"/>
          </w:tcPr>
          <w:p>
            <w:pPr>
              <w:autoSpaceDE w:val="0"/>
              <w:autoSpaceDN w:val="0"/>
              <w:adjustRightInd w:val="0"/>
              <w:snapToGrid w:val="0"/>
              <w:jc w:val="center"/>
              <w:textAlignment w:val="center"/>
              <w:rPr>
                <w:rFonts w:ascii="Times New Roman" w:hAnsi="Times New Roman" w:eastAsia="宋体" w:cs="Times New Roman"/>
                <w:bCs/>
                <w:color w:val="000000" w:themeColor="text1"/>
                <w:kern w:val="0"/>
                <w:sz w:val="20"/>
                <w:szCs w:val="21"/>
                <w14:textFill>
                  <w14:solidFill>
                    <w14:schemeClr w14:val="tx1"/>
                  </w14:solidFill>
                </w14:textFill>
              </w:rPr>
            </w:pPr>
            <w:r>
              <w:rPr>
                <w:rFonts w:hint="eastAsia" w:ascii="Times New Roman" w:hAnsi="Times New Roman" w:eastAsia="宋体" w:cs="Times New Roman"/>
                <w:bCs/>
                <w:color w:val="000000" w:themeColor="text1"/>
                <w:kern w:val="0"/>
                <w:sz w:val="20"/>
                <w:szCs w:val="21"/>
                <w14:textFill>
                  <w14:solidFill>
                    <w14:schemeClr w14:val="tx1"/>
                  </w14:solidFill>
                </w14:textFill>
              </w:rPr>
              <w:t>3</w:t>
            </w:r>
          </w:p>
        </w:tc>
        <w:tc>
          <w:tcPr>
            <w:tcW w:w="761" w:type="dxa"/>
            <w:vMerge w:val="continue"/>
            <w:vAlign w:val="center"/>
          </w:tcPr>
          <w:p>
            <w:pPr>
              <w:autoSpaceDE w:val="0"/>
              <w:autoSpaceDN w:val="0"/>
              <w:adjustRightInd w:val="0"/>
              <w:snapToGrid w:val="0"/>
              <w:jc w:val="center"/>
              <w:textAlignment w:val="center"/>
              <w:rPr>
                <w:rFonts w:ascii="Times New Roman" w:hAnsi="Times New Roman" w:eastAsia="宋体" w:cs="Times New Roman"/>
                <w:bCs/>
                <w:color w:val="000000" w:themeColor="text1"/>
                <w:kern w:val="0"/>
                <w:sz w:val="20"/>
                <w:szCs w:val="21"/>
                <w14:textFill>
                  <w14:solidFill>
                    <w14:schemeClr w14:val="tx1"/>
                  </w14:solidFill>
                </w14:textFill>
              </w:rPr>
            </w:pPr>
          </w:p>
        </w:tc>
        <w:tc>
          <w:tcPr>
            <w:tcW w:w="704" w:type="dxa"/>
            <w:vAlign w:val="center"/>
          </w:tcPr>
          <w:p>
            <w:pPr>
              <w:pStyle w:val="35"/>
              <w:rPr>
                <w:rFonts w:cs="Times New Roman"/>
                <w:color w:val="000000" w:themeColor="text1"/>
                <w:kern w:val="0"/>
                <w14:textFill>
                  <w14:solidFill>
                    <w14:schemeClr w14:val="tx1"/>
                  </w14:solidFill>
                </w14:textFill>
              </w:rPr>
            </w:pPr>
            <w:r>
              <w:rPr>
                <w:rFonts w:cs="Times New Roman"/>
                <w:color w:val="000000" w:themeColor="text1"/>
                <w14:textFill>
                  <w14:solidFill>
                    <w14:schemeClr w14:val="tx1"/>
                  </w14:solidFill>
                </w14:textFill>
              </w:rPr>
              <w:t>交通噪声</w:t>
            </w:r>
          </w:p>
        </w:tc>
        <w:tc>
          <w:tcPr>
            <w:tcW w:w="999"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巡检车辆</w:t>
            </w:r>
          </w:p>
        </w:tc>
        <w:tc>
          <w:tcPr>
            <w:tcW w:w="675"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t>
            </w:r>
          </w:p>
        </w:tc>
        <w:tc>
          <w:tcPr>
            <w:tcW w:w="610"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t>
            </w:r>
          </w:p>
        </w:tc>
        <w:tc>
          <w:tcPr>
            <w:tcW w:w="702"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t>
            </w:r>
          </w:p>
        </w:tc>
        <w:tc>
          <w:tcPr>
            <w:tcW w:w="856"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60~90</w:t>
            </w:r>
          </w:p>
        </w:tc>
        <w:tc>
          <w:tcPr>
            <w:tcW w:w="1966" w:type="dxa"/>
            <w:vAlign w:val="center"/>
          </w:tcPr>
          <w:p>
            <w:pPr>
              <w:pStyle w:val="35"/>
              <w:rPr>
                <w:rFonts w:cs="Times New Roman"/>
                <w:color w:val="000000" w:themeColor="text1"/>
                <w14:textFill>
                  <w14:solidFill>
                    <w14:schemeClr w14:val="tx1"/>
                  </w14:solidFill>
                </w14:textFill>
              </w:rPr>
            </w:pPr>
            <w:r>
              <w:rPr>
                <w:rFonts w:cs="Times New Roman"/>
                <w:bCs/>
                <w:color w:val="000000" w:themeColor="text1"/>
                <w:szCs w:val="32"/>
                <w14:textFill>
                  <w14:solidFill>
                    <w14:schemeClr w14:val="tx1"/>
                  </w14:solidFill>
                </w14:textFill>
              </w:rPr>
              <w:t>限制车速、定期维护保养和禁止鸣笛等</w:t>
            </w:r>
          </w:p>
        </w:tc>
        <w:tc>
          <w:tcPr>
            <w:tcW w:w="817"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27" w:type="dxa"/>
            <w:vAlign w:val="center"/>
          </w:tcPr>
          <w:p>
            <w:pPr>
              <w:autoSpaceDE w:val="0"/>
              <w:autoSpaceDN w:val="0"/>
              <w:adjustRightInd w:val="0"/>
              <w:snapToGrid w:val="0"/>
              <w:jc w:val="center"/>
              <w:textAlignment w:val="center"/>
              <w:rPr>
                <w:rFonts w:ascii="Times New Roman" w:hAnsi="Times New Roman" w:eastAsia="宋体" w:cs="Times New Roman"/>
                <w:bCs/>
                <w:color w:val="000000" w:themeColor="text1"/>
                <w:kern w:val="0"/>
                <w:sz w:val="20"/>
                <w:szCs w:val="21"/>
                <w14:textFill>
                  <w14:solidFill>
                    <w14:schemeClr w14:val="tx1"/>
                  </w14:solidFill>
                </w14:textFill>
              </w:rPr>
            </w:pPr>
            <w:r>
              <w:rPr>
                <w:rFonts w:hint="eastAsia" w:ascii="Times New Roman" w:hAnsi="Times New Roman" w:eastAsia="宋体" w:cs="Times New Roman"/>
                <w:bCs/>
                <w:color w:val="000000" w:themeColor="text1"/>
                <w:kern w:val="0"/>
                <w:sz w:val="20"/>
                <w:szCs w:val="21"/>
                <w14:textFill>
                  <w14:solidFill>
                    <w14:schemeClr w14:val="tx1"/>
                  </w14:solidFill>
                </w14:textFill>
              </w:rPr>
              <w:t>4</w:t>
            </w:r>
          </w:p>
        </w:tc>
        <w:tc>
          <w:tcPr>
            <w:tcW w:w="761" w:type="dxa"/>
            <w:vAlign w:val="center"/>
          </w:tcPr>
          <w:p>
            <w:pPr>
              <w:autoSpaceDE w:val="0"/>
              <w:autoSpaceDN w:val="0"/>
              <w:adjustRightInd w:val="0"/>
              <w:snapToGrid w:val="0"/>
              <w:jc w:val="center"/>
              <w:textAlignment w:val="center"/>
              <w:rPr>
                <w:rFonts w:ascii="Times New Roman" w:hAnsi="Times New Roman" w:eastAsia="宋体" w:cs="Times New Roman"/>
                <w:bCs/>
                <w:color w:val="000000" w:themeColor="text1"/>
                <w:kern w:val="0"/>
                <w:sz w:val="20"/>
                <w:szCs w:val="21"/>
                <w14:textFill>
                  <w14:solidFill>
                    <w14:schemeClr w14:val="tx1"/>
                  </w14:solidFill>
                </w14:textFill>
              </w:rPr>
            </w:pPr>
            <w:r>
              <w:rPr>
                <w:rFonts w:hint="eastAsia" w:ascii="Times New Roman" w:hAnsi="Times New Roman" w:eastAsia="宋体" w:cs="Times New Roman"/>
                <w:bCs/>
                <w:color w:val="000000" w:themeColor="text1"/>
                <w:kern w:val="0"/>
                <w:sz w:val="20"/>
                <w:szCs w:val="21"/>
                <w14:textFill>
                  <w14:solidFill>
                    <w14:schemeClr w14:val="tx1"/>
                  </w14:solidFill>
                </w14:textFill>
              </w:rPr>
              <w:t>非正常状况</w:t>
            </w:r>
          </w:p>
        </w:tc>
        <w:tc>
          <w:tcPr>
            <w:tcW w:w="704" w:type="dxa"/>
            <w:vAlign w:val="center"/>
          </w:tcPr>
          <w:p>
            <w:pPr>
              <w:pStyle w:val="35"/>
              <w:rPr>
                <w:rFonts w:cs="Times New Roman"/>
                <w:color w:val="000000" w:themeColor="text1"/>
                <w:kern w:val="0"/>
                <w14:textFill>
                  <w14:solidFill>
                    <w14:schemeClr w14:val="tx1"/>
                  </w14:solidFill>
                </w14:textFill>
              </w:rPr>
            </w:pPr>
            <w:r>
              <w:rPr>
                <w:rFonts w:cs="Times New Roman"/>
                <w:color w:val="000000" w:themeColor="text1"/>
                <w14:textFill>
                  <w14:solidFill>
                    <w14:schemeClr w14:val="tx1"/>
                  </w14:solidFill>
                </w14:textFill>
              </w:rPr>
              <w:t>井场</w:t>
            </w:r>
          </w:p>
        </w:tc>
        <w:tc>
          <w:tcPr>
            <w:tcW w:w="999"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井下作业（修井等）</w:t>
            </w:r>
          </w:p>
        </w:tc>
        <w:tc>
          <w:tcPr>
            <w:tcW w:w="675"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60</w:t>
            </w:r>
          </w:p>
        </w:tc>
        <w:tc>
          <w:tcPr>
            <w:tcW w:w="610"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45</w:t>
            </w:r>
          </w:p>
        </w:tc>
        <w:tc>
          <w:tcPr>
            <w:tcW w:w="702"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0</w:t>
            </w:r>
          </w:p>
        </w:tc>
        <w:tc>
          <w:tcPr>
            <w:tcW w:w="856" w:type="dxa"/>
            <w:vAlign w:val="center"/>
          </w:tcPr>
          <w:p>
            <w:pPr>
              <w:pStyle w:val="35"/>
              <w:rPr>
                <w:rFonts w:cs="Times New Roman"/>
                <w:color w:val="000000" w:themeColor="text1"/>
                <w:kern w:val="0"/>
                <w14:textFill>
                  <w14:solidFill>
                    <w14:schemeClr w14:val="tx1"/>
                  </w14:solidFill>
                </w14:textFill>
              </w:rPr>
            </w:pPr>
            <w:r>
              <w:rPr>
                <w:rFonts w:cs="Times New Roman"/>
                <w:color w:val="000000" w:themeColor="text1"/>
                <w14:textFill>
                  <w14:solidFill>
                    <w14:schemeClr w14:val="tx1"/>
                  </w14:solidFill>
                </w14:textFill>
              </w:rPr>
              <w:t>80~</w:t>
            </w:r>
            <w:r>
              <w:rPr>
                <w:rFonts w:hint="eastAsia" w:cs="Times New Roman"/>
                <w:color w:val="000000" w:themeColor="text1"/>
                <w14:textFill>
                  <w14:solidFill>
                    <w14:schemeClr w14:val="tx1"/>
                  </w14:solidFill>
                </w14:textFill>
              </w:rPr>
              <w:t>120</w:t>
            </w:r>
          </w:p>
        </w:tc>
        <w:tc>
          <w:tcPr>
            <w:tcW w:w="1966" w:type="dxa"/>
            <w:vAlign w:val="center"/>
          </w:tcPr>
          <w:p>
            <w:pPr>
              <w:pStyle w:val="35"/>
              <w:rPr>
                <w:rFonts w:cs="Times New Roman"/>
                <w:color w:val="000000" w:themeColor="text1"/>
                <w:kern w:val="0"/>
                <w14:textFill>
                  <w14:solidFill>
                    <w14:schemeClr w14:val="tx1"/>
                  </w14:solidFill>
                </w14:textFill>
              </w:rPr>
            </w:pPr>
            <w:r>
              <w:rPr>
                <w:rFonts w:cs="Times New Roman"/>
                <w:color w:val="000000" w:themeColor="text1"/>
                <w14:textFill>
                  <w14:solidFill>
                    <w14:schemeClr w14:val="tx1"/>
                  </w14:solidFill>
                </w14:textFill>
              </w:rPr>
              <w:t>独立基础，加减振垫，采用软连接</w:t>
            </w:r>
          </w:p>
        </w:tc>
        <w:tc>
          <w:tcPr>
            <w:tcW w:w="817" w:type="dxa"/>
            <w:vAlign w:val="center"/>
          </w:tcPr>
          <w:p>
            <w:pPr>
              <w:autoSpaceDE w:val="0"/>
              <w:autoSpaceDN w:val="0"/>
              <w:adjustRightInd w:val="0"/>
              <w:snapToGrid w:val="0"/>
              <w:jc w:val="center"/>
              <w:textAlignment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连续</w:t>
            </w:r>
          </w:p>
        </w:tc>
      </w:tr>
    </w:tbl>
    <w:p>
      <w:pPr>
        <w:pStyle w:val="58"/>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3.7.7.4固体废物</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（1）含油污泥</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根据《排放源统计调查产排污核算方法和系数手册》</w:t>
      </w:r>
      <w:r>
        <w:rPr>
          <w:rFonts w:hint="eastAsia" w:ascii="宋体" w:hAnsi="宋体" w:eastAsia="宋体" w:cs="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07石油和天然气开采业行业系数手册</w:t>
      </w:r>
      <w:r>
        <w:rPr>
          <w:rFonts w:hint="eastAsia" w:ascii="宋体" w:hAnsi="宋体" w:eastAsia="宋体" w:cs="宋体"/>
          <w:color w:val="000000" w:themeColor="text1"/>
          <w14:textFill>
            <w14:solidFill>
              <w14:schemeClr w14:val="tx1"/>
            </w14:solidFill>
          </w14:textFill>
        </w:rPr>
        <w:t>”续</w:t>
      </w:r>
      <w:r>
        <w:rPr>
          <w:rFonts w:ascii="Times New Roman" w:hAnsi="Times New Roman" w:cs="Times New Roman"/>
          <w:color w:val="000000" w:themeColor="text1"/>
          <w14:textFill>
            <w14:solidFill>
              <w14:schemeClr w14:val="tx1"/>
            </w14:solidFill>
          </w14:textFill>
        </w:rPr>
        <w:t>表35中产污系数核算含油污泥产生量。见表3.7-1</w:t>
      </w:r>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表3.7-1</w:t>
      </w:r>
      <w:r>
        <w:rPr>
          <w:rFonts w:hint="eastAsia" w:ascii="Times New Roman" w:hAnsi="Times New Roman" w:eastAsia="宋体" w:cs="Times New Roman"/>
          <w:bCs/>
          <w:color w:val="000000" w:themeColor="text1"/>
          <w:sz w:val="21"/>
          <w:szCs w:val="21"/>
          <w14:textFill>
            <w14:solidFill>
              <w14:schemeClr w14:val="tx1"/>
            </w14:solidFill>
          </w14:textFill>
        </w:rPr>
        <w:t>6</w:t>
      </w:r>
      <w:r>
        <w:rPr>
          <w:rFonts w:ascii="Times New Roman" w:hAnsi="Times New Roman" w:eastAsia="宋体" w:cs="Times New Roman"/>
          <w:bCs/>
          <w:color w:val="000000" w:themeColor="text1"/>
          <w:sz w:val="21"/>
          <w:szCs w:val="21"/>
          <w14:textFill>
            <w14:solidFill>
              <w14:schemeClr w14:val="tx1"/>
            </w14:solidFill>
          </w14:textFill>
        </w:rPr>
        <w:t xml:space="preserve">  石油与天然气开采行业专业及复制性活动行业系数表</w:t>
      </w:r>
    </w:p>
    <w:tbl>
      <w:tblPr>
        <w:tblStyle w:val="2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01"/>
        <w:gridCol w:w="873"/>
        <w:gridCol w:w="832"/>
        <w:gridCol w:w="853"/>
        <w:gridCol w:w="769"/>
        <w:gridCol w:w="955"/>
        <w:gridCol w:w="929"/>
        <w:gridCol w:w="1030"/>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4" w:type="dxa"/>
            <w:vAlign w:val="center"/>
          </w:tcPr>
          <w:p>
            <w:pPr>
              <w:pStyle w:val="6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产品名称</w:t>
            </w:r>
          </w:p>
        </w:tc>
        <w:tc>
          <w:tcPr>
            <w:tcW w:w="801" w:type="dxa"/>
            <w:vAlign w:val="center"/>
          </w:tcPr>
          <w:p>
            <w:pPr>
              <w:pStyle w:val="6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原料名称</w:t>
            </w:r>
          </w:p>
        </w:tc>
        <w:tc>
          <w:tcPr>
            <w:tcW w:w="873" w:type="dxa"/>
            <w:vAlign w:val="center"/>
          </w:tcPr>
          <w:p>
            <w:pPr>
              <w:pStyle w:val="6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工艺名称</w:t>
            </w:r>
          </w:p>
        </w:tc>
        <w:tc>
          <w:tcPr>
            <w:tcW w:w="832" w:type="dxa"/>
            <w:vAlign w:val="center"/>
          </w:tcPr>
          <w:p>
            <w:pPr>
              <w:pStyle w:val="6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规模等级</w:t>
            </w:r>
          </w:p>
        </w:tc>
        <w:tc>
          <w:tcPr>
            <w:tcW w:w="853" w:type="dxa"/>
            <w:vAlign w:val="center"/>
          </w:tcPr>
          <w:p>
            <w:pPr>
              <w:pStyle w:val="6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污染物类别</w:t>
            </w:r>
          </w:p>
        </w:tc>
        <w:tc>
          <w:tcPr>
            <w:tcW w:w="769" w:type="dxa"/>
            <w:vAlign w:val="center"/>
          </w:tcPr>
          <w:p>
            <w:pPr>
              <w:pStyle w:val="6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污染物指标项</w:t>
            </w:r>
          </w:p>
        </w:tc>
        <w:tc>
          <w:tcPr>
            <w:tcW w:w="955" w:type="dxa"/>
            <w:vAlign w:val="center"/>
          </w:tcPr>
          <w:p>
            <w:pPr>
              <w:pStyle w:val="6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单位</w:t>
            </w:r>
          </w:p>
        </w:tc>
        <w:tc>
          <w:tcPr>
            <w:tcW w:w="929" w:type="dxa"/>
            <w:vAlign w:val="center"/>
          </w:tcPr>
          <w:p>
            <w:pPr>
              <w:pStyle w:val="6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产污系数</w:t>
            </w:r>
          </w:p>
        </w:tc>
        <w:tc>
          <w:tcPr>
            <w:tcW w:w="1030" w:type="dxa"/>
            <w:vAlign w:val="center"/>
          </w:tcPr>
          <w:p>
            <w:pPr>
              <w:pStyle w:val="6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末端治理技术名称</w:t>
            </w:r>
          </w:p>
        </w:tc>
        <w:tc>
          <w:tcPr>
            <w:tcW w:w="801" w:type="dxa"/>
            <w:vAlign w:val="center"/>
          </w:tcPr>
          <w:p>
            <w:pPr>
              <w:pStyle w:val="60"/>
              <w:spacing w:line="240" w:lineRule="auto"/>
              <w:ind w:firstLine="0" w:firstLineChars="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4" w:type="dxa"/>
            <w:vAlign w:val="center"/>
          </w:tcPr>
          <w:p>
            <w:pPr>
              <w:pStyle w:val="6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非稠油</w:t>
            </w:r>
          </w:p>
        </w:tc>
        <w:tc>
          <w:tcPr>
            <w:tcW w:w="801" w:type="dxa"/>
            <w:vAlign w:val="center"/>
          </w:tcPr>
          <w:p>
            <w:pPr>
              <w:pStyle w:val="6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非稠油</w:t>
            </w:r>
          </w:p>
        </w:tc>
        <w:tc>
          <w:tcPr>
            <w:tcW w:w="873" w:type="dxa"/>
            <w:vAlign w:val="center"/>
          </w:tcPr>
          <w:p>
            <w:pPr>
              <w:pStyle w:val="6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检修清罐</w:t>
            </w:r>
          </w:p>
        </w:tc>
        <w:tc>
          <w:tcPr>
            <w:tcW w:w="832" w:type="dxa"/>
            <w:vAlign w:val="center"/>
          </w:tcPr>
          <w:p>
            <w:pPr>
              <w:pStyle w:val="6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所有规模</w:t>
            </w:r>
          </w:p>
        </w:tc>
        <w:tc>
          <w:tcPr>
            <w:tcW w:w="853" w:type="dxa"/>
            <w:vAlign w:val="center"/>
          </w:tcPr>
          <w:p>
            <w:pPr>
              <w:pStyle w:val="6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固体废物</w:t>
            </w:r>
          </w:p>
        </w:tc>
        <w:tc>
          <w:tcPr>
            <w:tcW w:w="769" w:type="dxa"/>
            <w:vAlign w:val="center"/>
          </w:tcPr>
          <w:p>
            <w:pPr>
              <w:pStyle w:val="6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含油污泥</w:t>
            </w:r>
          </w:p>
        </w:tc>
        <w:tc>
          <w:tcPr>
            <w:tcW w:w="955" w:type="dxa"/>
            <w:vAlign w:val="center"/>
          </w:tcPr>
          <w:p>
            <w:pPr>
              <w:pStyle w:val="6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吨－万吨产品</w:t>
            </w:r>
          </w:p>
        </w:tc>
        <w:tc>
          <w:tcPr>
            <w:tcW w:w="929" w:type="dxa"/>
            <w:vAlign w:val="center"/>
          </w:tcPr>
          <w:p>
            <w:pPr>
              <w:pStyle w:val="6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90.76</w:t>
            </w:r>
          </w:p>
        </w:tc>
        <w:tc>
          <w:tcPr>
            <w:tcW w:w="1030" w:type="dxa"/>
            <w:vAlign w:val="center"/>
          </w:tcPr>
          <w:p>
            <w:pPr>
              <w:pStyle w:val="6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无害化处理/处置/利用</w:t>
            </w:r>
          </w:p>
        </w:tc>
        <w:tc>
          <w:tcPr>
            <w:tcW w:w="801" w:type="dxa"/>
            <w:vAlign w:val="center"/>
          </w:tcPr>
          <w:p>
            <w:pPr>
              <w:pStyle w:val="6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w:t>
            </w:r>
          </w:p>
        </w:tc>
      </w:tr>
    </w:tbl>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本项目最大产油量</w:t>
      </w:r>
      <w:r>
        <w:rPr>
          <w:rFonts w:hint="eastAsia" w:ascii="Times New Roman" w:hAnsi="Times New Roman" w:cs="Times New Roman"/>
          <w:color w:val="000000" w:themeColor="text1"/>
          <w14:textFill>
            <w14:solidFill>
              <w14:schemeClr w14:val="tx1"/>
            </w14:solidFill>
          </w14:textFill>
        </w:rPr>
        <w:t>2.52</w:t>
      </w:r>
      <w:r>
        <w:rPr>
          <w:rFonts w:ascii="Times New Roman" w:hAnsi="Times New Roman" w:cs="Times New Roman"/>
          <w:color w:val="000000" w:themeColor="text1"/>
          <w14:textFill>
            <w14:solidFill>
              <w14:schemeClr w14:val="tx1"/>
            </w14:solidFill>
          </w14:textFill>
        </w:rPr>
        <w:t>×10</w:t>
      </w:r>
      <w:r>
        <w:rPr>
          <w:rFonts w:ascii="Times New Roman" w:hAnsi="Times New Roman" w:cs="Times New Roman"/>
          <w:color w:val="000000" w:themeColor="text1"/>
          <w:vertAlign w:val="super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t/a，含油污泥最大产生量为</w:t>
      </w:r>
      <w:r>
        <w:rPr>
          <w:rFonts w:hint="eastAsia" w:ascii="Times New Roman" w:hAnsi="Times New Roman" w:cs="Times New Roman"/>
          <w:color w:val="000000" w:themeColor="text1"/>
          <w14:textFill>
            <w14:solidFill>
              <w14:schemeClr w14:val="tx1"/>
            </w14:solidFill>
          </w14:textFill>
        </w:rPr>
        <w:t>228.72</w:t>
      </w:r>
      <w:r>
        <w:rPr>
          <w:rFonts w:ascii="Times New Roman" w:hAnsi="Times New Roman" w:cs="Times New Roman"/>
          <w:color w:val="000000" w:themeColor="text1"/>
          <w14:textFill>
            <w14:solidFill>
              <w14:schemeClr w14:val="tx1"/>
            </w14:solidFill>
          </w14:textFill>
        </w:rPr>
        <w:t>t/a。根据《国家危险废物名录（202</w:t>
      </w:r>
      <w:r>
        <w:rPr>
          <w:rFonts w:hint="eastAsia"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年版）》，本工程产生的含油污泥属危险废物，废物类别为HW08废矿物油与含矿物油废物，危废代码为071-001-08，含油污泥采用专用收集罐收集，</w:t>
      </w:r>
      <w:r>
        <w:rPr>
          <w:rFonts w:ascii="Times New Roman" w:hAnsi="Times New Roman" w:cs="Times New Roman"/>
          <w:snapToGrid w:val="0"/>
          <w:color w:val="000000" w:themeColor="text1"/>
          <w:kern w:val="0"/>
          <w14:textFill>
            <w14:solidFill>
              <w14:schemeClr w14:val="tx1"/>
            </w14:solidFill>
          </w14:textFill>
        </w:rPr>
        <w:t>收集后暂存至陆梁油田作业区污泥暂存池，定期委托克拉玛依博达生态环保科技有限责任公司处置。</w:t>
      </w:r>
    </w:p>
    <w:p>
      <w:pPr>
        <w:pStyle w:val="6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（2）落地油</w:t>
      </w:r>
    </w:p>
    <w:p>
      <w:pPr>
        <w:pStyle w:val="60"/>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14:textFill>
            <w14:solidFill>
              <w14:schemeClr w14:val="tx1"/>
            </w14:solidFill>
          </w14:textFill>
        </w:rPr>
        <w:t>运行期在修井等井下作业过程中可能产生少量落地油。油井修井周期通常为两年一次，估算每口井每次产生落地油约0.</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t，因此检修作业产生的落地油为</w:t>
      </w:r>
      <w:r>
        <w:rPr>
          <w:rFonts w:hint="eastAsia" w:ascii="Times New Roman" w:hAnsi="Times New Roman" w:cs="Times New Roman"/>
          <w:color w:val="000000" w:themeColor="text1"/>
          <w14:textFill>
            <w14:solidFill>
              <w14:schemeClr w14:val="tx1"/>
            </w14:solidFill>
          </w14:textFill>
        </w:rPr>
        <w:t>2.8</w:t>
      </w:r>
      <w:r>
        <w:rPr>
          <w:rFonts w:ascii="Times New Roman" w:hAnsi="Times New Roman" w:cs="Times New Roman"/>
          <w:color w:val="000000" w:themeColor="text1"/>
          <w14:textFill>
            <w14:solidFill>
              <w14:schemeClr w14:val="tx1"/>
            </w14:solidFill>
          </w14:textFill>
        </w:rPr>
        <w:t>t/a，为危险废物，危废代码为HW08/071-001-08，通过铺设防渗材料进行收集，回收率可达100%。根据新疆油田分公司环境保护管理制度规定，不允许产生落地油。因此，本项目井下作业时要求带罐作业，落地油100%回收，回收后的落地油运至陆梁集中处理站原油处理系统进行处理。</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（3）清管废渣</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集输管线每2～4</w:t>
      </w:r>
      <w:r>
        <w:rPr>
          <w:rFonts w:hint="eastAsia" w:ascii="Times New Roman" w:hAnsi="Times New Roman" w:eastAsia="宋体" w:cs="Times New Roman"/>
          <w:color w:val="000000" w:themeColor="text1"/>
          <w:sz w:val="24"/>
          <w14:textFill>
            <w14:solidFill>
              <w14:schemeClr w14:val="tx1"/>
            </w14:solidFill>
          </w14:textFill>
        </w:rPr>
        <w:t>a</w:t>
      </w:r>
      <w:r>
        <w:rPr>
          <w:rFonts w:ascii="Times New Roman" w:hAnsi="Times New Roman" w:eastAsia="宋体" w:cs="Times New Roman"/>
          <w:color w:val="000000" w:themeColor="text1"/>
          <w:sz w:val="24"/>
          <w14:textFill>
            <w14:solidFill>
              <w14:schemeClr w14:val="tx1"/>
            </w14:solidFill>
          </w14:textFill>
        </w:rPr>
        <w:t>清管1次，根据建设单位提供，一般每公里管线产生的清管废渣量平均约为1.15kg，本工程新建管线</w:t>
      </w:r>
      <w:r>
        <w:rPr>
          <w:rFonts w:hint="eastAsia" w:ascii="Times New Roman" w:hAnsi="Times New Roman" w:eastAsia="宋体" w:cs="Times New Roman"/>
          <w:color w:val="000000" w:themeColor="text1"/>
          <w:sz w:val="24"/>
          <w14:textFill>
            <w14:solidFill>
              <w14:schemeClr w14:val="tx1"/>
            </w14:solidFill>
          </w14:textFill>
        </w:rPr>
        <w:t>24.44</w:t>
      </w:r>
      <w:r>
        <w:rPr>
          <w:rFonts w:ascii="Times New Roman" w:hAnsi="Times New Roman" w:eastAsia="宋体" w:cs="Times New Roman"/>
          <w:color w:val="000000" w:themeColor="text1"/>
          <w:sz w:val="24"/>
          <w14:textFill>
            <w14:solidFill>
              <w14:schemeClr w14:val="tx1"/>
            </w14:solidFill>
          </w14:textFill>
        </w:rPr>
        <w:t>km，每次废渣量约0.0</w:t>
      </w:r>
      <w:r>
        <w:rPr>
          <w:rFonts w:hint="eastAsia" w:ascii="Times New Roman" w:hAnsi="Times New Roman" w:eastAsia="宋体" w:cs="Times New Roman"/>
          <w:color w:val="000000" w:themeColor="text1"/>
          <w:sz w:val="24"/>
          <w14:textFill>
            <w14:solidFill>
              <w14:schemeClr w14:val="tx1"/>
            </w14:solidFill>
          </w14:textFill>
        </w:rPr>
        <w:t>28</w:t>
      </w:r>
      <w:r>
        <w:rPr>
          <w:rFonts w:ascii="Times New Roman" w:hAnsi="Times New Roman" w:eastAsia="宋体" w:cs="Times New Roman"/>
          <w:color w:val="000000" w:themeColor="text1"/>
          <w:sz w:val="24"/>
          <w14:textFill>
            <w14:solidFill>
              <w14:schemeClr w14:val="tx1"/>
            </w14:solidFill>
          </w14:textFill>
        </w:rPr>
        <w:t>t。清管废渣中含有少量管道中的油，其危险废物类别为</w:t>
      </w:r>
      <w:r>
        <w:rPr>
          <w:rFonts w:ascii="Times New Roman" w:hAnsi="Times New Roman" w:cs="Times New Roman"/>
          <w:color w:val="000000" w:themeColor="text1"/>
          <w:sz w:val="24"/>
          <w14:textFill>
            <w14:solidFill>
              <w14:schemeClr w14:val="tx1"/>
            </w14:solidFill>
          </w14:textFill>
        </w:rPr>
        <w:t>HW08废矿物油和含矿物油废物，</w:t>
      </w:r>
      <w:r>
        <w:rPr>
          <w:rFonts w:ascii="Times New Roman" w:hAnsi="Times New Roman" w:eastAsia="宋体" w:cs="Times New Roman"/>
          <w:color w:val="000000" w:themeColor="text1"/>
          <w:sz w:val="24"/>
          <w14:textFill>
            <w14:solidFill>
              <w14:schemeClr w14:val="tx1"/>
            </w14:solidFill>
          </w14:textFill>
        </w:rPr>
        <w:t>危废代码为071-001-08，委托持有危险废物经营许可证的单位处置。</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（4）废润滑油</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运营期井架及井下作业时各类机械设备需要定期保养和维护，会产生一定量的废润滑油，根据建设单位提供数据，单井井场产生的废润滑油量约0.05t/a，本项目</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口采油井废润滑油产生量为</w:t>
      </w:r>
      <w:r>
        <w:rPr>
          <w:rFonts w:hint="eastAsia" w:ascii="Times New Roman" w:hAnsi="Times New Roman" w:cs="Times New Roman"/>
          <w:color w:val="000000" w:themeColor="text1"/>
          <w:sz w:val="24"/>
          <w14:textFill>
            <w14:solidFill>
              <w14:schemeClr w14:val="tx1"/>
            </w14:solidFill>
          </w14:textFill>
        </w:rPr>
        <w:t>1.4</w:t>
      </w:r>
      <w:r>
        <w:rPr>
          <w:rFonts w:ascii="Times New Roman" w:hAnsi="Times New Roman" w:cs="Times New Roman"/>
          <w:color w:val="000000" w:themeColor="text1"/>
          <w:sz w:val="24"/>
          <w14:textFill>
            <w14:solidFill>
              <w14:schemeClr w14:val="tx1"/>
            </w14:solidFill>
          </w14:textFill>
        </w:rPr>
        <w:t>t/a。废润滑油属于《国家危险废物名录》（202</w:t>
      </w:r>
      <w:r>
        <w:rPr>
          <w:rFonts w:hint="eastAsia" w:ascii="Times New Roman" w:hAnsi="Times New Roman" w:cs="Times New Roman"/>
          <w:color w:val="000000" w:themeColor="text1"/>
          <w:sz w:val="24"/>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版）HW08废矿物油和含矿物油废物，危废代码为900-214-08，回收后运至陆梁集中处理站原油处理系统进行处理。根据《危险废物环境管理指南陆上石油天然气开采》中3.7设备检修与维护过程中产生的危险废物为废矿物油、废弃的含油抹布和劳保用品等，属于间歇产生，委托持有危险废物经营许可证的单位处置。</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（5）废弃防渗膜</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项目运行期油井作业时，作业场地下方铺设防渗膜，产生的落地油直接落在防渗膜上，目前油田使用的防渗膜均可重复利用，平均重复利用1-2</w:t>
      </w:r>
      <w:r>
        <w:rPr>
          <w:rFonts w:hint="eastAsia" w:ascii="Times New Roman" w:hAnsi="Times New Roman" w:cs="Times New Roman"/>
          <w:color w:val="000000" w:themeColor="text1"/>
          <w:sz w:val="24"/>
          <w14:textFill>
            <w14:solidFill>
              <w14:schemeClr w14:val="tx1"/>
            </w14:solidFill>
          </w14:textFill>
        </w:rPr>
        <w:t>a</w:t>
      </w:r>
      <w:r>
        <w:rPr>
          <w:rFonts w:ascii="Times New Roman" w:hAnsi="Times New Roman" w:cs="Times New Roman"/>
          <w:color w:val="000000" w:themeColor="text1"/>
          <w:sz w:val="24"/>
          <w14:textFill>
            <w14:solidFill>
              <w14:schemeClr w14:val="tx1"/>
            </w14:solidFill>
          </w14:textFill>
        </w:rPr>
        <w:t>。单块防渗膜重约250kg（12m×12m），每口井作业用2块，则本工程</w:t>
      </w:r>
      <w:r>
        <w:rPr>
          <w:rFonts w:hint="eastAsia" w:ascii="Times New Roman" w:hAnsi="Times New Roman" w:cs="Times New Roman"/>
          <w:color w:val="000000" w:themeColor="text1"/>
          <w:sz w:val="24"/>
          <w14:textFill>
            <w14:solidFill>
              <w14:schemeClr w14:val="tx1"/>
            </w14:solidFill>
          </w14:textFill>
        </w:rPr>
        <w:t>28</w:t>
      </w:r>
      <w:r>
        <w:rPr>
          <w:rFonts w:ascii="Times New Roman" w:hAnsi="Times New Roman" w:cs="Times New Roman"/>
          <w:color w:val="000000" w:themeColor="text1"/>
          <w:sz w:val="24"/>
          <w14:textFill>
            <w14:solidFill>
              <w14:schemeClr w14:val="tx1"/>
            </w14:solidFill>
          </w14:textFill>
        </w:rPr>
        <w:t>口油井作业1次共产生废弃防渗膜约</w:t>
      </w:r>
      <w:r>
        <w:rPr>
          <w:rFonts w:hint="eastAsia" w:ascii="Times New Roman" w:hAnsi="Times New Roman" w:cs="Times New Roman"/>
          <w:color w:val="000000" w:themeColor="text1"/>
          <w:sz w:val="24"/>
          <w14:textFill>
            <w14:solidFill>
              <w14:schemeClr w14:val="tx1"/>
            </w14:solidFill>
          </w14:textFill>
        </w:rPr>
        <w:t>14</w:t>
      </w:r>
      <w:r>
        <w:rPr>
          <w:rFonts w:ascii="Times New Roman" w:hAnsi="Times New Roman" w:cs="Times New Roman"/>
          <w:color w:val="000000" w:themeColor="text1"/>
          <w:sz w:val="24"/>
          <w14:textFill>
            <w14:solidFill>
              <w14:schemeClr w14:val="tx1"/>
            </w14:solidFill>
          </w14:textFill>
        </w:rPr>
        <w:t>t，油井作业频次为2年/次，则项目产生废弃防渗膜最大量约</w:t>
      </w:r>
      <w:r>
        <w:rPr>
          <w:rFonts w:hint="eastAsia" w:ascii="Times New Roman" w:hAnsi="Times New Roman" w:cs="Times New Roman"/>
          <w:color w:val="000000" w:themeColor="text1"/>
          <w:sz w:val="24"/>
          <w14:textFill>
            <w14:solidFill>
              <w14:schemeClr w14:val="tx1"/>
            </w14:solidFill>
          </w14:textFill>
        </w:rPr>
        <w:t>7</w:t>
      </w:r>
      <w:r>
        <w:rPr>
          <w:rFonts w:ascii="Times New Roman" w:hAnsi="Times New Roman" w:cs="Times New Roman"/>
          <w:color w:val="000000" w:themeColor="text1"/>
          <w:sz w:val="24"/>
          <w14:textFill>
            <w14:solidFill>
              <w14:schemeClr w14:val="tx1"/>
            </w14:solidFill>
          </w14:textFill>
        </w:rPr>
        <w:t>t/a。</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作业过程中产生的含油废弃防膜布属于危险废物，危废代码为HW08中900-249-08其他生产、销售、使用过程中产生的废矿物油及沾染矿物油的废弃包装物。作业施工结束后，由施工单位将废弃的含油防渗膜集中收集，不在井场贮存，委托具有危险废物运输及处理资质的单位拉运处理，拉运过程中资质单位应使用专车、按照指定的拉运路线。</w:t>
      </w:r>
    </w:p>
    <w:p>
      <w:pPr>
        <w:spacing w:line="360" w:lineRule="auto"/>
        <w:ind w:right="-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根据《固体废物鉴别标准 通则》（GB34330-2017）的规定，判断各类物质是否属于固体废物，根据《国家危险废物名录》（202</w:t>
      </w:r>
      <w:r>
        <w:rPr>
          <w:rFonts w:hint="eastAsia" w:ascii="Times New Roman" w:hAnsi="Times New Roman" w:cs="Times New Roman"/>
          <w:color w:val="000000" w:themeColor="text1"/>
          <w:sz w:val="24"/>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年版）以及危险废物鉴别标准，判定上述固体废物是否属于危险废物，判定结果见表3.7-</w:t>
      </w:r>
      <w:r>
        <w:rPr>
          <w:rFonts w:hint="eastAsia" w:ascii="Times New Roman" w:hAnsi="Times New Roman" w:cs="Times New Roman"/>
          <w:color w:val="000000" w:themeColor="text1"/>
          <w:sz w:val="24"/>
          <w14:textFill>
            <w14:solidFill>
              <w14:schemeClr w14:val="tx1"/>
            </w14:solidFill>
          </w14:textFill>
        </w:rPr>
        <w:t>17</w:t>
      </w:r>
      <w:r>
        <w:rPr>
          <w:rFonts w:ascii="Times New Roman" w:hAnsi="Times New Roman" w:cs="Times New Roman"/>
          <w:color w:val="000000" w:themeColor="text1"/>
          <w:sz w:val="24"/>
          <w14:textFill>
            <w14:solidFill>
              <w14:schemeClr w14:val="tx1"/>
            </w14:solidFill>
          </w14:textFill>
        </w:rPr>
        <w:t>。</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w:t>
      </w:r>
      <w:r>
        <w:rPr>
          <w:rFonts w:hint="eastAsia" w:ascii="Times New Roman" w:hAnsi="Times New Roman" w:eastAsia="宋体" w:cs="Times New Roman"/>
          <w:bCs/>
          <w:color w:val="000000" w:themeColor="text1"/>
          <w:sz w:val="21"/>
          <w:szCs w:val="21"/>
          <w14:textFill>
            <w14:solidFill>
              <w14:schemeClr w14:val="tx1"/>
            </w14:solidFill>
          </w14:textFill>
        </w:rPr>
        <w:t>17</w:t>
      </w:r>
      <w:r>
        <w:rPr>
          <w:rFonts w:ascii="Times New Roman" w:hAnsi="Times New Roman" w:eastAsia="宋体" w:cs="Times New Roman"/>
          <w:bCs/>
          <w:color w:val="000000" w:themeColor="text1"/>
          <w:sz w:val="21"/>
          <w:szCs w:val="21"/>
          <w14:textFill>
            <w14:solidFill>
              <w14:schemeClr w14:val="tx1"/>
            </w14:solidFill>
          </w14:textFill>
        </w:rPr>
        <w:t xml:space="preserve">  固废属性判定</w:t>
      </w:r>
    </w:p>
    <w:tbl>
      <w:tblPr>
        <w:tblStyle w:val="23"/>
        <w:tblW w:w="8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5"/>
        <w:gridCol w:w="627"/>
        <w:gridCol w:w="1163"/>
        <w:gridCol w:w="577"/>
        <w:gridCol w:w="577"/>
        <w:gridCol w:w="872"/>
        <w:gridCol w:w="880"/>
        <w:gridCol w:w="908"/>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75"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627"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固废名称</w:t>
            </w:r>
          </w:p>
        </w:tc>
        <w:tc>
          <w:tcPr>
            <w:tcW w:w="1163"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产生工序</w:t>
            </w:r>
          </w:p>
        </w:tc>
        <w:tc>
          <w:tcPr>
            <w:tcW w:w="577"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形态</w:t>
            </w:r>
          </w:p>
        </w:tc>
        <w:tc>
          <w:tcPr>
            <w:tcW w:w="577"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主要成分</w:t>
            </w:r>
          </w:p>
        </w:tc>
        <w:tc>
          <w:tcPr>
            <w:tcW w:w="872"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预测产生量</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（t/a）</w:t>
            </w:r>
          </w:p>
        </w:tc>
        <w:tc>
          <w:tcPr>
            <w:tcW w:w="3966"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627"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163"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577"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577"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87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固废</w:t>
            </w:r>
          </w:p>
        </w:tc>
        <w:tc>
          <w:tcPr>
            <w:tcW w:w="9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副产品</w:t>
            </w:r>
          </w:p>
        </w:tc>
        <w:tc>
          <w:tcPr>
            <w:tcW w:w="217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49" w:hRule="atLeast"/>
          <w:jc w:val="center"/>
        </w:trPr>
        <w:tc>
          <w:tcPr>
            <w:tcW w:w="575"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627"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含油污泥</w:t>
            </w:r>
          </w:p>
        </w:tc>
        <w:tc>
          <w:tcPr>
            <w:tcW w:w="1163" w:type="dxa"/>
            <w:tcBorders>
              <w:top w:val="single" w:color="auto" w:sz="4" w:space="0"/>
              <w:left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清罐</w:t>
            </w:r>
          </w:p>
        </w:tc>
        <w:tc>
          <w:tcPr>
            <w:tcW w:w="577"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半固态</w:t>
            </w:r>
          </w:p>
        </w:tc>
        <w:tc>
          <w:tcPr>
            <w:tcW w:w="577"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油砂混合物</w:t>
            </w:r>
          </w:p>
        </w:tc>
        <w:tc>
          <w:tcPr>
            <w:tcW w:w="872"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228.72</w:t>
            </w:r>
          </w:p>
        </w:tc>
        <w:tc>
          <w:tcPr>
            <w:tcW w:w="880"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9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2178" w:type="dxa"/>
            <w:vMerge w:val="restart"/>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《国家危险废物名录》（202</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年版）、《危险废物环境管理指南 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62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落地油</w:t>
            </w:r>
          </w:p>
        </w:tc>
        <w:tc>
          <w:tcPr>
            <w:tcW w:w="116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井下作业、阀门泄漏、管线破损等</w:t>
            </w:r>
          </w:p>
        </w:tc>
        <w:tc>
          <w:tcPr>
            <w:tcW w:w="57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液态</w:t>
            </w:r>
          </w:p>
        </w:tc>
        <w:tc>
          <w:tcPr>
            <w:tcW w:w="57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原油</w:t>
            </w:r>
          </w:p>
        </w:tc>
        <w:tc>
          <w:tcPr>
            <w:tcW w:w="8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2.8</w:t>
            </w:r>
          </w:p>
        </w:tc>
        <w:tc>
          <w:tcPr>
            <w:tcW w:w="88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9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2178"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bookmarkStart w:id="335" w:name="_Hlk92732768"/>
            <w:r>
              <w:rPr>
                <w:rFonts w:cs="Times New Roman"/>
                <w:color w:val="000000" w:themeColor="text1"/>
                <w14:textFill>
                  <w14:solidFill>
                    <w14:schemeClr w14:val="tx1"/>
                  </w14:solidFill>
                </w14:textFill>
              </w:rPr>
              <w:t>3</w:t>
            </w:r>
          </w:p>
        </w:tc>
        <w:tc>
          <w:tcPr>
            <w:tcW w:w="62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废润滑油</w:t>
            </w:r>
          </w:p>
        </w:tc>
        <w:tc>
          <w:tcPr>
            <w:tcW w:w="116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机械设备检修</w:t>
            </w:r>
          </w:p>
        </w:tc>
        <w:tc>
          <w:tcPr>
            <w:tcW w:w="57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液态</w:t>
            </w:r>
          </w:p>
        </w:tc>
        <w:tc>
          <w:tcPr>
            <w:tcW w:w="57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w:t>
            </w:r>
          </w:p>
        </w:tc>
        <w:tc>
          <w:tcPr>
            <w:tcW w:w="8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1.4</w:t>
            </w:r>
          </w:p>
        </w:tc>
        <w:tc>
          <w:tcPr>
            <w:tcW w:w="88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9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2178"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62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清管废渣</w:t>
            </w:r>
          </w:p>
        </w:tc>
        <w:tc>
          <w:tcPr>
            <w:tcW w:w="116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定期清管</w:t>
            </w:r>
          </w:p>
        </w:tc>
        <w:tc>
          <w:tcPr>
            <w:tcW w:w="57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57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油类物质</w:t>
            </w:r>
          </w:p>
        </w:tc>
        <w:tc>
          <w:tcPr>
            <w:tcW w:w="8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0.028</w:t>
            </w:r>
            <w:r>
              <w:rPr>
                <w:rFonts w:cs="Times New Roman"/>
                <w:color w:val="000000" w:themeColor="text1"/>
                <w14:textFill>
                  <w14:solidFill>
                    <w14:schemeClr w14:val="tx1"/>
                  </w14:solidFill>
                </w14:textFill>
              </w:rPr>
              <w:t>t/次</w:t>
            </w:r>
          </w:p>
        </w:tc>
        <w:tc>
          <w:tcPr>
            <w:tcW w:w="88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9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2178"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62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废防渗膜</w:t>
            </w:r>
          </w:p>
        </w:tc>
        <w:tc>
          <w:tcPr>
            <w:tcW w:w="116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油井作业场地</w:t>
            </w:r>
          </w:p>
        </w:tc>
        <w:tc>
          <w:tcPr>
            <w:tcW w:w="57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57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w:t>
            </w:r>
          </w:p>
        </w:tc>
        <w:tc>
          <w:tcPr>
            <w:tcW w:w="8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7</w:t>
            </w:r>
          </w:p>
        </w:tc>
        <w:tc>
          <w:tcPr>
            <w:tcW w:w="88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90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2178"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r>
    </w:tbl>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综上，固体废物的产生和排放汇总见表3.7-</w:t>
      </w:r>
      <w:r>
        <w:rPr>
          <w:rFonts w:hint="eastAsia" w:ascii="Times New Roman" w:hAnsi="Times New Roman" w:cs="Times New Roman"/>
          <w:color w:val="000000" w:themeColor="text1"/>
          <w:sz w:val="24"/>
          <w14:textFill>
            <w14:solidFill>
              <w14:schemeClr w14:val="tx1"/>
            </w14:solidFill>
          </w14:textFill>
        </w:rPr>
        <w:t>18</w:t>
      </w:r>
      <w:r>
        <w:rPr>
          <w:rFonts w:ascii="Times New Roman" w:hAnsi="Times New Roman" w:cs="Times New Roman"/>
          <w:color w:val="000000" w:themeColor="text1"/>
          <w:sz w:val="24"/>
          <w14:textFill>
            <w14:solidFill>
              <w14:schemeClr w14:val="tx1"/>
            </w14:solidFill>
          </w14:textFill>
        </w:rPr>
        <w:t>。</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w:t>
      </w:r>
      <w:r>
        <w:rPr>
          <w:rFonts w:hint="eastAsia" w:ascii="Times New Roman" w:hAnsi="Times New Roman" w:eastAsia="宋体" w:cs="Times New Roman"/>
          <w:bCs/>
          <w:color w:val="000000" w:themeColor="text1"/>
          <w:sz w:val="21"/>
          <w:szCs w:val="21"/>
          <w14:textFill>
            <w14:solidFill>
              <w14:schemeClr w14:val="tx1"/>
            </w14:solidFill>
          </w14:textFill>
        </w:rPr>
        <w:t>18</w:t>
      </w:r>
      <w:r>
        <w:rPr>
          <w:rFonts w:ascii="Times New Roman" w:hAnsi="Times New Roman" w:eastAsia="宋体" w:cs="Times New Roman"/>
          <w:bCs/>
          <w:color w:val="000000" w:themeColor="text1"/>
          <w:sz w:val="21"/>
          <w:szCs w:val="21"/>
          <w14:textFill>
            <w14:solidFill>
              <w14:schemeClr w14:val="tx1"/>
            </w14:solidFill>
          </w14:textFill>
        </w:rPr>
        <w:t xml:space="preserve">  项目运营期固体废物分析结果汇总表</w:t>
      </w:r>
    </w:p>
    <w:tbl>
      <w:tblPr>
        <w:tblStyle w:val="23"/>
        <w:tblW w:w="83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0"/>
        <w:gridCol w:w="686"/>
        <w:gridCol w:w="525"/>
        <w:gridCol w:w="791"/>
        <w:gridCol w:w="500"/>
        <w:gridCol w:w="500"/>
        <w:gridCol w:w="791"/>
        <w:gridCol w:w="500"/>
        <w:gridCol w:w="616"/>
        <w:gridCol w:w="1036"/>
        <w:gridCol w:w="739"/>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2" w:hRule="atLeast"/>
          <w:tblHeader/>
          <w:jc w:val="center"/>
        </w:trPr>
        <w:tc>
          <w:tcPr>
            <w:tcW w:w="3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序号</w:t>
            </w:r>
          </w:p>
        </w:tc>
        <w:tc>
          <w:tcPr>
            <w:tcW w:w="68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固废名称</w:t>
            </w:r>
          </w:p>
        </w:tc>
        <w:tc>
          <w:tcPr>
            <w:tcW w:w="5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属性</w:t>
            </w:r>
          </w:p>
        </w:tc>
        <w:tc>
          <w:tcPr>
            <w:tcW w:w="79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产生工序</w:t>
            </w: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形态</w:t>
            </w: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主要成分</w:t>
            </w:r>
          </w:p>
        </w:tc>
        <w:tc>
          <w:tcPr>
            <w:tcW w:w="79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危险特性鉴别方法</w:t>
            </w: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危险</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特性</w:t>
            </w:r>
          </w:p>
        </w:tc>
        <w:tc>
          <w:tcPr>
            <w:tcW w:w="61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废物</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类别</w:t>
            </w:r>
          </w:p>
        </w:tc>
        <w:tc>
          <w:tcPr>
            <w:tcW w:w="10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废物代码</w:t>
            </w:r>
          </w:p>
        </w:tc>
        <w:tc>
          <w:tcPr>
            <w:tcW w:w="73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估算产生量（t/a）</w:t>
            </w:r>
          </w:p>
        </w:tc>
        <w:tc>
          <w:tcPr>
            <w:tcW w:w="135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拟采取的处理处置方式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20"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686"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含油污泥</w:t>
            </w:r>
          </w:p>
        </w:tc>
        <w:tc>
          <w:tcPr>
            <w:tcW w:w="525" w:type="dxa"/>
            <w:vMerge w:val="restart"/>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危险废物</w:t>
            </w:r>
          </w:p>
        </w:tc>
        <w:tc>
          <w:tcPr>
            <w:tcW w:w="791" w:type="dxa"/>
            <w:tcBorders>
              <w:top w:val="single" w:color="auto" w:sz="4" w:space="0"/>
              <w:left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清罐</w:t>
            </w:r>
          </w:p>
        </w:tc>
        <w:tc>
          <w:tcPr>
            <w:tcW w:w="500"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半固态</w:t>
            </w:r>
          </w:p>
        </w:tc>
        <w:tc>
          <w:tcPr>
            <w:tcW w:w="500"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油砂混合物</w:t>
            </w:r>
          </w:p>
        </w:tc>
        <w:tc>
          <w:tcPr>
            <w:tcW w:w="791" w:type="dxa"/>
            <w:vMerge w:val="restart"/>
            <w:tcBorders>
              <w:left w:val="single" w:color="auto" w:sz="4" w:space="0"/>
              <w:right w:val="single" w:color="auto" w:sz="4" w:space="0"/>
            </w:tcBorders>
            <w:vAlign w:val="center"/>
          </w:tcPr>
          <w:p>
            <w:pPr>
              <w:pStyle w:val="3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危险废物鉴别标准</w:t>
            </w:r>
          </w:p>
        </w:tc>
        <w:tc>
          <w:tcPr>
            <w:tcW w:w="500"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毒性T</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易燃性I</w:t>
            </w:r>
          </w:p>
        </w:tc>
        <w:tc>
          <w:tcPr>
            <w:tcW w:w="616" w:type="dxa"/>
            <w:tcBorders>
              <w:top w:val="single" w:color="auto" w:sz="4" w:space="0"/>
              <w:left w:val="single" w:color="auto" w:sz="4" w:space="0"/>
              <w:right w:val="single" w:color="auto" w:sz="4" w:space="0"/>
            </w:tcBorders>
            <w:vAlign w:val="center"/>
          </w:tcPr>
          <w:p>
            <w:pPr>
              <w:pStyle w:val="3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HW08</w:t>
            </w:r>
          </w:p>
        </w:tc>
        <w:tc>
          <w:tcPr>
            <w:tcW w:w="1036"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071-001-08</w:t>
            </w:r>
          </w:p>
        </w:tc>
        <w:tc>
          <w:tcPr>
            <w:tcW w:w="739" w:type="dxa"/>
            <w:tcBorders>
              <w:top w:val="single" w:color="auto" w:sz="4" w:space="0"/>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228.72</w:t>
            </w:r>
          </w:p>
        </w:tc>
        <w:tc>
          <w:tcPr>
            <w:tcW w:w="135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收集后暂存至陆梁油田作业区污泥暂存池，委托克拉玛依博达生态环保科技有限责任公司处置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68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落地油</w:t>
            </w:r>
          </w:p>
        </w:tc>
        <w:tc>
          <w:tcPr>
            <w:tcW w:w="525"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9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井下作业、阀门泄漏、管线破损等</w:t>
            </w: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液态</w:t>
            </w: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原油</w:t>
            </w:r>
          </w:p>
        </w:tc>
        <w:tc>
          <w:tcPr>
            <w:tcW w:w="791"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毒性T</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易燃性I</w:t>
            </w:r>
          </w:p>
        </w:tc>
        <w:tc>
          <w:tcPr>
            <w:tcW w:w="61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HW08</w:t>
            </w:r>
          </w:p>
        </w:tc>
        <w:tc>
          <w:tcPr>
            <w:tcW w:w="10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071-001-08</w:t>
            </w:r>
          </w:p>
        </w:tc>
        <w:tc>
          <w:tcPr>
            <w:tcW w:w="73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2.8</w:t>
            </w:r>
          </w:p>
        </w:tc>
        <w:tc>
          <w:tcPr>
            <w:tcW w:w="135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bCs/>
                <w:color w:val="000000" w:themeColor="text1"/>
                <w14:textFill>
                  <w14:solidFill>
                    <w14:schemeClr w14:val="tx1"/>
                  </w14:solidFill>
                </w14:textFill>
              </w:rPr>
              <w:t>作业单位100%回收，回收的落地油送至陆梁集中处理站处理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68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废润滑油</w:t>
            </w:r>
          </w:p>
        </w:tc>
        <w:tc>
          <w:tcPr>
            <w:tcW w:w="525"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9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机械设备检修</w:t>
            </w: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液态</w:t>
            </w: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w:t>
            </w:r>
          </w:p>
        </w:tc>
        <w:tc>
          <w:tcPr>
            <w:tcW w:w="791"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毒性T</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易燃性I</w:t>
            </w:r>
          </w:p>
        </w:tc>
        <w:tc>
          <w:tcPr>
            <w:tcW w:w="61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HW08</w:t>
            </w:r>
          </w:p>
        </w:tc>
        <w:tc>
          <w:tcPr>
            <w:tcW w:w="10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900-214-08</w:t>
            </w:r>
          </w:p>
        </w:tc>
        <w:tc>
          <w:tcPr>
            <w:tcW w:w="73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1.4</w:t>
            </w:r>
          </w:p>
        </w:tc>
        <w:tc>
          <w:tcPr>
            <w:tcW w:w="135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回收后运至陆梁集中处理站原油处理系统进行处理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68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清管废渣</w:t>
            </w:r>
          </w:p>
        </w:tc>
        <w:tc>
          <w:tcPr>
            <w:tcW w:w="525"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9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snapToGrid w:val="0"/>
                <w:color w:val="000000" w:themeColor="text1"/>
                <w:kern w:val="0"/>
                <w14:textFill>
                  <w14:solidFill>
                    <w14:schemeClr w14:val="tx1"/>
                  </w14:solidFill>
                </w14:textFill>
              </w:rPr>
            </w:pPr>
            <w:r>
              <w:rPr>
                <w:rFonts w:cs="Times New Roman"/>
                <w:snapToGrid w:val="0"/>
                <w:color w:val="000000" w:themeColor="text1"/>
                <w:kern w:val="0"/>
                <w14:textFill>
                  <w14:solidFill>
                    <w14:schemeClr w14:val="tx1"/>
                  </w14:solidFill>
                </w14:textFill>
              </w:rPr>
              <w:t>定期清管</w:t>
            </w: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油类物质</w:t>
            </w:r>
          </w:p>
        </w:tc>
        <w:tc>
          <w:tcPr>
            <w:tcW w:w="791"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毒性T</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易燃性I</w:t>
            </w:r>
          </w:p>
        </w:tc>
        <w:tc>
          <w:tcPr>
            <w:tcW w:w="61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HW08</w:t>
            </w:r>
          </w:p>
        </w:tc>
        <w:tc>
          <w:tcPr>
            <w:tcW w:w="10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071-001-08</w:t>
            </w:r>
          </w:p>
        </w:tc>
        <w:tc>
          <w:tcPr>
            <w:tcW w:w="73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w:t>
            </w:r>
            <w:r>
              <w:rPr>
                <w:rFonts w:hint="eastAsia" w:cs="Times New Roman"/>
                <w:color w:val="000000" w:themeColor="text1"/>
                <w14:textFill>
                  <w14:solidFill>
                    <w14:schemeClr w14:val="tx1"/>
                  </w14:solidFill>
                </w14:textFill>
              </w:rPr>
              <w:t>28</w:t>
            </w:r>
            <w:r>
              <w:rPr>
                <w:rFonts w:cs="Times New Roman"/>
                <w:color w:val="000000" w:themeColor="text1"/>
                <w14:textFill>
                  <w14:solidFill>
                    <w14:schemeClr w14:val="tx1"/>
                  </w14:solidFill>
                </w14:textFill>
              </w:rPr>
              <w:t>t/次</w:t>
            </w:r>
          </w:p>
        </w:tc>
        <w:tc>
          <w:tcPr>
            <w:tcW w:w="135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3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68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废弃防渗膜</w:t>
            </w:r>
          </w:p>
        </w:tc>
        <w:tc>
          <w:tcPr>
            <w:tcW w:w="525"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91"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油井作业场地</w:t>
            </w: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固态</w:t>
            </w: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w:t>
            </w:r>
          </w:p>
        </w:tc>
        <w:tc>
          <w:tcPr>
            <w:tcW w:w="791" w:type="dxa"/>
            <w:vMerge w:val="continue"/>
            <w:tcBorders>
              <w:left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5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毒性T</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易燃性I</w:t>
            </w:r>
          </w:p>
        </w:tc>
        <w:tc>
          <w:tcPr>
            <w:tcW w:w="61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HW08</w:t>
            </w:r>
          </w:p>
        </w:tc>
        <w:tc>
          <w:tcPr>
            <w:tcW w:w="10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900-249-08</w:t>
            </w:r>
          </w:p>
        </w:tc>
        <w:tc>
          <w:tcPr>
            <w:tcW w:w="739"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7</w:t>
            </w:r>
          </w:p>
        </w:tc>
        <w:tc>
          <w:tcPr>
            <w:tcW w:w="135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委托有资质的单位处置</w:t>
            </w:r>
          </w:p>
        </w:tc>
      </w:tr>
      <w:bookmarkEnd w:id="335"/>
    </w:tbl>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本项目运营期污染物产排情况汇总见表3.7-</w:t>
      </w:r>
      <w:r>
        <w:rPr>
          <w:rFonts w:hint="eastAsia" w:ascii="Times New Roman" w:hAnsi="Times New Roman" w:cs="Times New Roman"/>
          <w:color w:val="000000" w:themeColor="text1"/>
          <w:sz w:val="24"/>
          <w14:textFill>
            <w14:solidFill>
              <w14:schemeClr w14:val="tx1"/>
            </w14:solidFill>
          </w14:textFill>
        </w:rPr>
        <w:t>19</w:t>
      </w:r>
      <w:r>
        <w:rPr>
          <w:rFonts w:ascii="Times New Roman" w:hAnsi="Times New Roman" w:cs="Times New Roman"/>
          <w:color w:val="000000" w:themeColor="text1"/>
          <w:sz w:val="24"/>
          <w14:textFill>
            <w14:solidFill>
              <w14:schemeClr w14:val="tx1"/>
            </w14:solidFill>
          </w14:textFill>
        </w:rPr>
        <w:t>。</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w:t>
      </w:r>
      <w:r>
        <w:rPr>
          <w:rFonts w:hint="eastAsia" w:ascii="Times New Roman" w:hAnsi="Times New Roman" w:eastAsia="宋体" w:cs="Times New Roman"/>
          <w:bCs/>
          <w:color w:val="000000" w:themeColor="text1"/>
          <w:sz w:val="21"/>
          <w:szCs w:val="21"/>
          <w14:textFill>
            <w14:solidFill>
              <w14:schemeClr w14:val="tx1"/>
            </w14:solidFill>
          </w14:textFill>
        </w:rPr>
        <w:t>19</w:t>
      </w:r>
      <w:r>
        <w:rPr>
          <w:rFonts w:ascii="Times New Roman" w:hAnsi="Times New Roman" w:eastAsia="宋体" w:cs="Times New Roman"/>
          <w:bCs/>
          <w:color w:val="000000" w:themeColor="text1"/>
          <w:sz w:val="21"/>
          <w:szCs w:val="21"/>
          <w14:textFill>
            <w14:solidFill>
              <w14:schemeClr w14:val="tx1"/>
            </w14:solidFill>
          </w14:textFill>
        </w:rPr>
        <w:t xml:space="preserve">  运营期产排污情况汇总</w:t>
      </w:r>
    </w:p>
    <w:tbl>
      <w:tblPr>
        <w:tblStyle w:val="23"/>
        <w:tblW w:w="8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945"/>
        <w:gridCol w:w="807"/>
        <w:gridCol w:w="1427"/>
        <w:gridCol w:w="1134"/>
        <w:gridCol w:w="1183"/>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trPr>
        <w:tc>
          <w:tcPr>
            <w:tcW w:w="508"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项目</w:t>
            </w:r>
          </w:p>
        </w:tc>
        <w:tc>
          <w:tcPr>
            <w:tcW w:w="945"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工程</w:t>
            </w:r>
          </w:p>
        </w:tc>
        <w:tc>
          <w:tcPr>
            <w:tcW w:w="807"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污染源</w:t>
            </w:r>
          </w:p>
        </w:tc>
        <w:tc>
          <w:tcPr>
            <w:tcW w:w="1427"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污染物</w:t>
            </w:r>
          </w:p>
        </w:tc>
        <w:tc>
          <w:tcPr>
            <w:tcW w:w="1134"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本次新增产生量</w:t>
            </w:r>
          </w:p>
        </w:tc>
        <w:tc>
          <w:tcPr>
            <w:tcW w:w="1183"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本项目</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排放量</w:t>
            </w:r>
          </w:p>
        </w:tc>
        <w:tc>
          <w:tcPr>
            <w:tcW w:w="2508"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主要处理措施</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w:t>
            </w:r>
          </w:p>
        </w:tc>
        <w:tc>
          <w:tcPr>
            <w:tcW w:w="94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采油及集输</w:t>
            </w:r>
          </w:p>
        </w:tc>
        <w:tc>
          <w:tcPr>
            <w:tcW w:w="807"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无组织挥发</w:t>
            </w:r>
          </w:p>
        </w:tc>
        <w:tc>
          <w:tcPr>
            <w:tcW w:w="142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非甲烷总烃</w:t>
            </w:r>
          </w:p>
        </w:tc>
        <w:tc>
          <w:tcPr>
            <w:tcW w:w="1134"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2.538</w:t>
            </w:r>
            <w:r>
              <w:rPr>
                <w:rFonts w:cs="Times New Roman"/>
                <w:color w:val="000000" w:themeColor="text1"/>
                <w14:textFill>
                  <w14:solidFill>
                    <w14:schemeClr w14:val="tx1"/>
                  </w14:solidFill>
                </w14:textFill>
              </w:rPr>
              <w:t>t/a</w:t>
            </w:r>
          </w:p>
        </w:tc>
        <w:tc>
          <w:tcPr>
            <w:tcW w:w="1183"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2.538</w:t>
            </w:r>
            <w:r>
              <w:rPr>
                <w:rFonts w:cs="Times New Roman"/>
                <w:color w:val="000000" w:themeColor="text1"/>
                <w14:textFill>
                  <w14:solidFill>
                    <w14:schemeClr w14:val="tx1"/>
                  </w14:solidFill>
                </w14:textFill>
              </w:rPr>
              <w:t>t/a</w:t>
            </w:r>
          </w:p>
        </w:tc>
        <w:tc>
          <w:tcPr>
            <w:tcW w:w="250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无组织排放至大气环境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35"/>
              <w:rPr>
                <w:rFonts w:cs="Times New Roman"/>
                <w:color w:val="000000" w:themeColor="text1"/>
                <w14:textFill>
                  <w14:solidFill>
                    <w14:schemeClr w14:val="tx1"/>
                  </w14:solidFill>
                </w14:textFill>
              </w:rPr>
            </w:pPr>
          </w:p>
        </w:tc>
        <w:tc>
          <w:tcPr>
            <w:tcW w:w="945" w:type="dxa"/>
            <w:vMerge w:val="continue"/>
            <w:vAlign w:val="center"/>
          </w:tcPr>
          <w:p>
            <w:pPr>
              <w:pStyle w:val="35"/>
              <w:rPr>
                <w:rFonts w:cs="Times New Roman"/>
                <w:color w:val="000000" w:themeColor="text1"/>
                <w14:textFill>
                  <w14:solidFill>
                    <w14:schemeClr w14:val="tx1"/>
                  </w14:solidFill>
                </w14:textFill>
              </w:rPr>
            </w:pPr>
          </w:p>
        </w:tc>
        <w:tc>
          <w:tcPr>
            <w:tcW w:w="807" w:type="dxa"/>
            <w:vMerge w:val="continue"/>
            <w:vAlign w:val="center"/>
          </w:tcPr>
          <w:p>
            <w:pPr>
              <w:pStyle w:val="35"/>
              <w:rPr>
                <w:rFonts w:cs="Times New Roman"/>
                <w:color w:val="000000" w:themeColor="text1"/>
                <w14:textFill>
                  <w14:solidFill>
                    <w14:schemeClr w14:val="tx1"/>
                  </w14:solidFill>
                </w14:textFill>
              </w:rPr>
            </w:pPr>
          </w:p>
        </w:tc>
        <w:tc>
          <w:tcPr>
            <w:tcW w:w="1427"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硫化氢</w:t>
            </w:r>
          </w:p>
        </w:tc>
        <w:tc>
          <w:tcPr>
            <w:tcW w:w="1134" w:type="dxa"/>
            <w:vAlign w:val="center"/>
          </w:tcPr>
          <w:p>
            <w:pPr>
              <w:jc w:val="center"/>
              <w:rPr>
                <w:rFonts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9.11</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10</w:t>
            </w:r>
            <w:r>
              <w:rPr>
                <w:rFonts w:hint="eastAsia" w:ascii="Times New Roman" w:hAnsi="Times New Roman" w:cs="Times New Roman"/>
                <w:color w:val="000000" w:themeColor="text1"/>
                <w:szCs w:val="21"/>
                <w:vertAlign w:val="superscript"/>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t/a</w:t>
            </w:r>
          </w:p>
        </w:tc>
        <w:tc>
          <w:tcPr>
            <w:tcW w:w="1183" w:type="dxa"/>
            <w:vAlign w:val="center"/>
          </w:tcPr>
          <w:p>
            <w:pPr>
              <w:jc w:val="center"/>
              <w:rPr>
                <w:rFonts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9.11</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10</w:t>
            </w:r>
            <w:r>
              <w:rPr>
                <w:rFonts w:hint="eastAsia" w:ascii="Times New Roman" w:hAnsi="Times New Roman" w:cs="Times New Roman"/>
                <w:color w:val="000000" w:themeColor="text1"/>
                <w:szCs w:val="21"/>
                <w:vertAlign w:val="superscript"/>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t/a</w:t>
            </w:r>
          </w:p>
        </w:tc>
        <w:tc>
          <w:tcPr>
            <w:tcW w:w="250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无组织排放至大气环境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08"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w:t>
            </w:r>
          </w:p>
        </w:tc>
        <w:tc>
          <w:tcPr>
            <w:tcW w:w="94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井场</w:t>
            </w:r>
          </w:p>
        </w:tc>
        <w:tc>
          <w:tcPr>
            <w:tcW w:w="807"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井下作业废水</w:t>
            </w:r>
          </w:p>
        </w:tc>
        <w:tc>
          <w:tcPr>
            <w:tcW w:w="142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工业废水量</w:t>
            </w:r>
          </w:p>
        </w:tc>
        <w:tc>
          <w:tcPr>
            <w:tcW w:w="1134"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1418.06</w:t>
            </w:r>
            <w:r>
              <w:rPr>
                <w:rFonts w:cs="Times New Roman"/>
                <w:color w:val="000000" w:themeColor="text1"/>
                <w14:textFill>
                  <w14:solidFill>
                    <w14:schemeClr w14:val="tx1"/>
                  </w14:solidFill>
                </w14:textFill>
              </w:rPr>
              <w:t>t/a</w:t>
            </w:r>
          </w:p>
        </w:tc>
        <w:tc>
          <w:tcPr>
            <w:tcW w:w="118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2508"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采用专用废水收集罐收集后运至陆梁集中处理站处理，处理达标后用于回注油藏，废水不外排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08" w:type="dxa"/>
            <w:vMerge w:val="continue"/>
            <w:vAlign w:val="center"/>
          </w:tcPr>
          <w:p>
            <w:pPr>
              <w:pStyle w:val="35"/>
              <w:rPr>
                <w:rFonts w:cs="Times New Roman"/>
                <w:color w:val="000000" w:themeColor="text1"/>
                <w14:textFill>
                  <w14:solidFill>
                    <w14:schemeClr w14:val="tx1"/>
                  </w14:solidFill>
                </w14:textFill>
              </w:rPr>
            </w:pPr>
          </w:p>
        </w:tc>
        <w:tc>
          <w:tcPr>
            <w:tcW w:w="945" w:type="dxa"/>
            <w:vMerge w:val="continue"/>
            <w:vAlign w:val="center"/>
          </w:tcPr>
          <w:p>
            <w:pPr>
              <w:pStyle w:val="35"/>
              <w:rPr>
                <w:rFonts w:cs="Times New Roman"/>
                <w:color w:val="000000" w:themeColor="text1"/>
                <w14:textFill>
                  <w14:solidFill>
                    <w14:schemeClr w14:val="tx1"/>
                  </w14:solidFill>
                </w14:textFill>
              </w:rPr>
            </w:pPr>
          </w:p>
        </w:tc>
        <w:tc>
          <w:tcPr>
            <w:tcW w:w="807" w:type="dxa"/>
            <w:vMerge w:val="continue"/>
            <w:vAlign w:val="center"/>
          </w:tcPr>
          <w:p>
            <w:pPr>
              <w:pStyle w:val="35"/>
              <w:rPr>
                <w:rFonts w:cs="Times New Roman"/>
                <w:color w:val="000000" w:themeColor="text1"/>
                <w14:textFill>
                  <w14:solidFill>
                    <w14:schemeClr w14:val="tx1"/>
                  </w14:solidFill>
                </w14:textFill>
              </w:rPr>
            </w:pPr>
          </w:p>
        </w:tc>
        <w:tc>
          <w:tcPr>
            <w:tcW w:w="142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w:t>
            </w:r>
          </w:p>
        </w:tc>
        <w:tc>
          <w:tcPr>
            <w:tcW w:w="1134" w:type="dxa"/>
            <w:vAlign w:val="center"/>
          </w:tcPr>
          <w:p>
            <w:pPr>
              <w:pStyle w:val="35"/>
              <w:rPr>
                <w:rFonts w:hint="eastAsia"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2.93</w:t>
            </w:r>
            <w:r>
              <w:rPr>
                <w:rFonts w:ascii="Times New Roman" w:hAnsi="Times New Roman" w:cs="Times New Roman"/>
                <w:color w:val="000000" w:themeColor="text1"/>
                <w14:textFill>
                  <w14:solidFill>
                    <w14:schemeClr w14:val="tx1"/>
                  </w14:solidFill>
                </w14:textFill>
              </w:rPr>
              <w:t>t/次</w:t>
            </w:r>
          </w:p>
        </w:tc>
        <w:tc>
          <w:tcPr>
            <w:tcW w:w="1183" w:type="dxa"/>
            <w:vAlign w:val="center"/>
          </w:tcPr>
          <w:p>
            <w:pPr>
              <w:pStyle w:val="35"/>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w:t>
            </w:r>
          </w:p>
        </w:tc>
        <w:tc>
          <w:tcPr>
            <w:tcW w:w="2508" w:type="dxa"/>
            <w:vMerge w:val="continue"/>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08" w:type="dxa"/>
            <w:vMerge w:val="continue"/>
            <w:vAlign w:val="center"/>
          </w:tcPr>
          <w:p>
            <w:pPr>
              <w:pStyle w:val="35"/>
              <w:rPr>
                <w:rFonts w:cs="Times New Roman"/>
                <w:color w:val="000000" w:themeColor="text1"/>
                <w14:textFill>
                  <w14:solidFill>
                    <w14:schemeClr w14:val="tx1"/>
                  </w14:solidFill>
                </w14:textFill>
              </w:rPr>
            </w:pPr>
          </w:p>
        </w:tc>
        <w:tc>
          <w:tcPr>
            <w:tcW w:w="945" w:type="dxa"/>
            <w:vMerge w:val="continue"/>
            <w:vAlign w:val="center"/>
          </w:tcPr>
          <w:p>
            <w:pPr>
              <w:pStyle w:val="35"/>
              <w:rPr>
                <w:rFonts w:cs="Times New Roman"/>
                <w:color w:val="000000" w:themeColor="text1"/>
                <w14:textFill>
                  <w14:solidFill>
                    <w14:schemeClr w14:val="tx1"/>
                  </w14:solidFill>
                </w14:textFill>
              </w:rPr>
            </w:pPr>
          </w:p>
        </w:tc>
        <w:tc>
          <w:tcPr>
            <w:tcW w:w="807" w:type="dxa"/>
            <w:vMerge w:val="continue"/>
            <w:vAlign w:val="center"/>
          </w:tcPr>
          <w:p>
            <w:pPr>
              <w:pStyle w:val="35"/>
              <w:rPr>
                <w:rFonts w:cs="Times New Roman"/>
                <w:color w:val="000000" w:themeColor="text1"/>
                <w14:textFill>
                  <w14:solidFill>
                    <w14:schemeClr w14:val="tx1"/>
                  </w14:solidFill>
                </w14:textFill>
              </w:rPr>
            </w:pPr>
          </w:p>
        </w:tc>
        <w:tc>
          <w:tcPr>
            <w:tcW w:w="1427"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w:t>
            </w:r>
          </w:p>
        </w:tc>
        <w:tc>
          <w:tcPr>
            <w:tcW w:w="1134" w:type="dxa"/>
            <w:vAlign w:val="center"/>
          </w:tcPr>
          <w:p>
            <w:pPr>
              <w:pStyle w:val="35"/>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0.49</w:t>
            </w:r>
            <w:r>
              <w:rPr>
                <w:rFonts w:ascii="Times New Roman" w:hAnsi="Times New Roman" w:cs="Times New Roman"/>
                <w:color w:val="000000" w:themeColor="text1"/>
                <w14:textFill>
                  <w14:solidFill>
                    <w14:schemeClr w14:val="tx1"/>
                  </w14:solidFill>
                </w14:textFill>
              </w:rPr>
              <w:t>t/次</w:t>
            </w:r>
          </w:p>
        </w:tc>
        <w:tc>
          <w:tcPr>
            <w:tcW w:w="1183" w:type="dxa"/>
            <w:vAlign w:val="center"/>
          </w:tcPr>
          <w:p>
            <w:pPr>
              <w:pStyle w:val="35"/>
              <w:rPr>
                <w:rFonts w:hint="eastAsia"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w:t>
            </w:r>
          </w:p>
        </w:tc>
        <w:tc>
          <w:tcPr>
            <w:tcW w:w="2508" w:type="dxa"/>
            <w:vMerge w:val="continue"/>
            <w:vAlign w:val="center"/>
          </w:tcPr>
          <w:p>
            <w:pPr>
              <w:pStyle w:val="35"/>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35"/>
              <w:rPr>
                <w:rFonts w:cs="Times New Roman"/>
                <w:color w:val="000000" w:themeColor="text1"/>
                <w14:textFill>
                  <w14:solidFill>
                    <w14:schemeClr w14:val="tx1"/>
                  </w14:solidFill>
                </w14:textFill>
              </w:rPr>
            </w:pPr>
          </w:p>
        </w:tc>
        <w:tc>
          <w:tcPr>
            <w:tcW w:w="945" w:type="dxa"/>
            <w:vMerge w:val="continue"/>
            <w:vAlign w:val="center"/>
          </w:tcPr>
          <w:p>
            <w:pPr>
              <w:pStyle w:val="35"/>
              <w:rPr>
                <w:rFonts w:cs="Times New Roman"/>
                <w:color w:val="000000" w:themeColor="text1"/>
                <w14:textFill>
                  <w14:solidFill>
                    <w14:schemeClr w14:val="tx1"/>
                  </w14:solidFill>
                </w14:textFill>
              </w:rPr>
            </w:pPr>
          </w:p>
        </w:tc>
        <w:tc>
          <w:tcPr>
            <w:tcW w:w="2234"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采出水</w:t>
            </w:r>
          </w:p>
        </w:tc>
        <w:tc>
          <w:tcPr>
            <w:tcW w:w="1134"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408142.8</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p>
        </w:tc>
        <w:tc>
          <w:tcPr>
            <w:tcW w:w="118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250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采出液进入陆梁集中处理站处理，处理达标后回注油藏，不外排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固体废物</w:t>
            </w:r>
          </w:p>
        </w:tc>
        <w:tc>
          <w:tcPr>
            <w:tcW w:w="945"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集中处理站</w:t>
            </w:r>
          </w:p>
        </w:tc>
        <w:tc>
          <w:tcPr>
            <w:tcW w:w="2234"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含油污泥</w:t>
            </w:r>
          </w:p>
        </w:tc>
        <w:tc>
          <w:tcPr>
            <w:tcW w:w="1134"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228.72</w:t>
            </w:r>
            <w:r>
              <w:rPr>
                <w:rFonts w:cs="Times New Roman"/>
                <w:color w:val="000000" w:themeColor="text1"/>
                <w14:textFill>
                  <w14:solidFill>
                    <w14:schemeClr w14:val="tx1"/>
                  </w14:solidFill>
                </w14:textFill>
              </w:rPr>
              <w:t>t/a</w:t>
            </w:r>
          </w:p>
        </w:tc>
        <w:tc>
          <w:tcPr>
            <w:tcW w:w="118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2508" w:type="dxa"/>
            <w:vAlign w:val="center"/>
          </w:tcPr>
          <w:p>
            <w:pPr>
              <w:pStyle w:val="35"/>
              <w:rPr>
                <w:rFonts w:cs="Times New Roman"/>
                <w:color w:val="000000" w:themeColor="text1"/>
                <w14:textFill>
                  <w14:solidFill>
                    <w14:schemeClr w14:val="tx1"/>
                  </w14:solidFill>
                </w14:textFill>
              </w:rPr>
            </w:pPr>
            <w:r>
              <w:rPr>
                <w:rFonts w:cs="Times New Roman"/>
                <w:snapToGrid w:val="0"/>
                <w:color w:val="000000" w:themeColor="text1"/>
                <w:kern w:val="0"/>
                <w14:textFill>
                  <w14:solidFill>
                    <w14:schemeClr w14:val="tx1"/>
                  </w14:solidFill>
                </w14:textFill>
              </w:rPr>
              <w:t>收集后暂存至陆梁油田作业区污泥暂存池，委托克拉玛依博达生态环保科技有限责任公司处置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35"/>
              <w:rPr>
                <w:rFonts w:cs="Times New Roman"/>
                <w:color w:val="000000" w:themeColor="text1"/>
                <w14:textFill>
                  <w14:solidFill>
                    <w14:schemeClr w14:val="tx1"/>
                  </w14:solidFill>
                </w14:textFill>
              </w:rPr>
            </w:pPr>
          </w:p>
        </w:tc>
        <w:tc>
          <w:tcPr>
            <w:tcW w:w="945"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井场</w:t>
            </w:r>
          </w:p>
        </w:tc>
        <w:tc>
          <w:tcPr>
            <w:tcW w:w="2234"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落地油</w:t>
            </w:r>
          </w:p>
        </w:tc>
        <w:tc>
          <w:tcPr>
            <w:tcW w:w="1134"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2.8</w:t>
            </w:r>
            <w:r>
              <w:rPr>
                <w:rFonts w:cs="Times New Roman"/>
                <w:color w:val="000000" w:themeColor="text1"/>
                <w14:textFill>
                  <w14:solidFill>
                    <w14:schemeClr w14:val="tx1"/>
                  </w14:solidFill>
                </w14:textFill>
              </w:rPr>
              <w:t>t/a</w:t>
            </w:r>
          </w:p>
        </w:tc>
        <w:tc>
          <w:tcPr>
            <w:tcW w:w="118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250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井下作业时要求带罐作业，落地油100%回收，回收后的落地油运至陆梁集中处理站处理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35"/>
              <w:rPr>
                <w:rFonts w:cs="Times New Roman"/>
                <w:color w:val="000000" w:themeColor="text1"/>
                <w14:textFill>
                  <w14:solidFill>
                    <w14:schemeClr w14:val="tx1"/>
                  </w14:solidFill>
                </w14:textFill>
              </w:rPr>
            </w:pPr>
          </w:p>
        </w:tc>
        <w:tc>
          <w:tcPr>
            <w:tcW w:w="945"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集输管线</w:t>
            </w:r>
          </w:p>
        </w:tc>
        <w:tc>
          <w:tcPr>
            <w:tcW w:w="2234"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清管废渣</w:t>
            </w:r>
          </w:p>
        </w:tc>
        <w:tc>
          <w:tcPr>
            <w:tcW w:w="1134"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0.0</w:t>
            </w:r>
            <w:r>
              <w:rPr>
                <w:rFonts w:hint="eastAsia" w:cs="Times New Roman"/>
                <w:color w:val="000000" w:themeColor="text1"/>
                <w14:textFill>
                  <w14:solidFill>
                    <w14:schemeClr w14:val="tx1"/>
                  </w14:solidFill>
                </w14:textFill>
              </w:rPr>
              <w:t>28</w:t>
            </w:r>
            <w:r>
              <w:rPr>
                <w:rFonts w:cs="Times New Roman"/>
                <w:color w:val="000000" w:themeColor="text1"/>
                <w14:textFill>
                  <w14:solidFill>
                    <w14:schemeClr w14:val="tx1"/>
                  </w14:solidFill>
                </w14:textFill>
              </w:rPr>
              <w:t>t/次</w:t>
            </w:r>
          </w:p>
        </w:tc>
        <w:tc>
          <w:tcPr>
            <w:tcW w:w="118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250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委托有危废处置资质单位进行处置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35"/>
              <w:rPr>
                <w:rFonts w:cs="Times New Roman"/>
                <w:color w:val="000000" w:themeColor="text1"/>
                <w14:textFill>
                  <w14:solidFill>
                    <w14:schemeClr w14:val="tx1"/>
                  </w14:solidFill>
                </w14:textFill>
              </w:rPr>
            </w:pPr>
          </w:p>
        </w:tc>
        <w:tc>
          <w:tcPr>
            <w:tcW w:w="945"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机械设备检修</w:t>
            </w:r>
          </w:p>
        </w:tc>
        <w:tc>
          <w:tcPr>
            <w:tcW w:w="2234"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废润滑油</w:t>
            </w:r>
          </w:p>
        </w:tc>
        <w:tc>
          <w:tcPr>
            <w:tcW w:w="1134"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1.4</w:t>
            </w:r>
            <w:r>
              <w:rPr>
                <w:rFonts w:cs="Times New Roman"/>
                <w:color w:val="000000" w:themeColor="text1"/>
                <w14:textFill>
                  <w14:solidFill>
                    <w14:schemeClr w14:val="tx1"/>
                  </w14:solidFill>
                </w14:textFill>
              </w:rPr>
              <w:t>t/a</w:t>
            </w:r>
          </w:p>
        </w:tc>
        <w:tc>
          <w:tcPr>
            <w:tcW w:w="118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250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回收后运至陆梁集中处理站原油处理系统进行处理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35"/>
              <w:rPr>
                <w:rFonts w:cs="Times New Roman"/>
                <w:color w:val="000000" w:themeColor="text1"/>
                <w14:textFill>
                  <w14:solidFill>
                    <w14:schemeClr w14:val="tx1"/>
                  </w14:solidFill>
                </w14:textFill>
              </w:rPr>
            </w:pPr>
          </w:p>
        </w:tc>
        <w:tc>
          <w:tcPr>
            <w:tcW w:w="945"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油井作业场地</w:t>
            </w:r>
          </w:p>
        </w:tc>
        <w:tc>
          <w:tcPr>
            <w:tcW w:w="2234"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废弃防渗膜</w:t>
            </w:r>
          </w:p>
        </w:tc>
        <w:tc>
          <w:tcPr>
            <w:tcW w:w="1134" w:type="dxa"/>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7.0</w:t>
            </w:r>
            <w:r>
              <w:rPr>
                <w:rFonts w:cs="Times New Roman"/>
                <w:color w:val="000000" w:themeColor="text1"/>
                <w14:textFill>
                  <w14:solidFill>
                    <w14:schemeClr w14:val="tx1"/>
                  </w14:solidFill>
                </w14:textFill>
              </w:rPr>
              <w:t>t/a</w:t>
            </w:r>
          </w:p>
        </w:tc>
        <w:tc>
          <w:tcPr>
            <w:tcW w:w="1183"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250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委托有危废处置资质单位进行处置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w:t>
            </w:r>
          </w:p>
        </w:tc>
        <w:tc>
          <w:tcPr>
            <w:tcW w:w="945" w:type="dxa"/>
            <w:vMerge w:val="restart"/>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井场</w:t>
            </w:r>
          </w:p>
        </w:tc>
        <w:tc>
          <w:tcPr>
            <w:tcW w:w="2234"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抽油机</w:t>
            </w:r>
          </w:p>
        </w:tc>
        <w:tc>
          <w:tcPr>
            <w:tcW w:w="2317"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80dB（A）</w:t>
            </w:r>
          </w:p>
        </w:tc>
        <w:tc>
          <w:tcPr>
            <w:tcW w:w="250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选用低噪声设备，减振垫、定期维护保养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35"/>
              <w:rPr>
                <w:rFonts w:cs="Times New Roman"/>
                <w:color w:val="000000" w:themeColor="text1"/>
                <w14:textFill>
                  <w14:solidFill>
                    <w14:schemeClr w14:val="tx1"/>
                  </w14:solidFill>
                </w14:textFill>
              </w:rPr>
            </w:pPr>
          </w:p>
        </w:tc>
        <w:tc>
          <w:tcPr>
            <w:tcW w:w="945" w:type="dxa"/>
            <w:vMerge w:val="continue"/>
            <w:vAlign w:val="center"/>
          </w:tcPr>
          <w:p>
            <w:pPr>
              <w:pStyle w:val="35"/>
              <w:rPr>
                <w:rFonts w:cs="Times New Roman"/>
                <w:color w:val="000000" w:themeColor="text1"/>
                <w14:textFill>
                  <w14:solidFill>
                    <w14:schemeClr w14:val="tx1"/>
                  </w14:solidFill>
                </w14:textFill>
              </w:rPr>
            </w:pPr>
          </w:p>
        </w:tc>
        <w:tc>
          <w:tcPr>
            <w:tcW w:w="2234"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井下作业（修井等）</w:t>
            </w:r>
          </w:p>
        </w:tc>
        <w:tc>
          <w:tcPr>
            <w:tcW w:w="2317"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80~95dB（A）</w:t>
            </w:r>
          </w:p>
        </w:tc>
        <w:tc>
          <w:tcPr>
            <w:tcW w:w="250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选用低噪声设备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08" w:type="dxa"/>
            <w:vMerge w:val="continue"/>
            <w:vAlign w:val="center"/>
          </w:tcPr>
          <w:p>
            <w:pPr>
              <w:pStyle w:val="35"/>
              <w:rPr>
                <w:rFonts w:cs="Times New Roman"/>
                <w:color w:val="000000" w:themeColor="text1"/>
                <w14:textFill>
                  <w14:solidFill>
                    <w14:schemeClr w14:val="tx1"/>
                  </w14:solidFill>
                </w14:textFill>
              </w:rPr>
            </w:pPr>
          </w:p>
        </w:tc>
        <w:tc>
          <w:tcPr>
            <w:tcW w:w="945" w:type="dxa"/>
            <w:vMerge w:val="continue"/>
            <w:vAlign w:val="center"/>
          </w:tcPr>
          <w:p>
            <w:pPr>
              <w:pStyle w:val="35"/>
              <w:rPr>
                <w:rFonts w:cs="Times New Roman"/>
                <w:color w:val="000000" w:themeColor="text1"/>
                <w14:textFill>
                  <w14:solidFill>
                    <w14:schemeClr w14:val="tx1"/>
                  </w14:solidFill>
                </w14:textFill>
              </w:rPr>
            </w:pPr>
          </w:p>
        </w:tc>
        <w:tc>
          <w:tcPr>
            <w:tcW w:w="2234"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巡检车辆</w:t>
            </w:r>
          </w:p>
        </w:tc>
        <w:tc>
          <w:tcPr>
            <w:tcW w:w="2317" w:type="dxa"/>
            <w:gridSpan w:val="2"/>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60~90dB（A）</w:t>
            </w:r>
          </w:p>
        </w:tc>
        <w:tc>
          <w:tcPr>
            <w:tcW w:w="2508" w:type="dxa"/>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限制车速、定期维护保养和禁止鸣笛等</w:t>
            </w:r>
          </w:p>
        </w:tc>
      </w:tr>
    </w:tbl>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（5）污染物排放三本账</w:t>
      </w:r>
    </w:p>
    <w:p>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污染物排</w:t>
      </w:r>
      <w:r>
        <w:rPr>
          <w:rFonts w:hint="eastAsia" w:ascii="宋体" w:hAnsi="宋体" w:eastAsia="宋体" w:cs="宋体"/>
          <w:color w:val="000000" w:themeColor="text1"/>
          <w:sz w:val="24"/>
          <w14:textFill>
            <w14:solidFill>
              <w14:schemeClr w14:val="tx1"/>
            </w14:solidFill>
          </w14:textFill>
        </w:rPr>
        <w:t>放“三本账”</w:t>
      </w:r>
      <w:r>
        <w:rPr>
          <w:rFonts w:ascii="Times New Roman" w:hAnsi="Times New Roman" w:cs="Times New Roman"/>
          <w:color w:val="000000" w:themeColor="text1"/>
          <w:sz w:val="24"/>
          <w14:textFill>
            <w14:solidFill>
              <w14:schemeClr w14:val="tx1"/>
            </w14:solidFill>
          </w14:textFill>
        </w:rPr>
        <w:t>详见表3.7-2</w:t>
      </w:r>
      <w:r>
        <w:rPr>
          <w:rFonts w:hint="eastAsia" w:ascii="Times New Roman" w:hAnsi="Times New Roman" w:cs="Times New Roman"/>
          <w:color w:val="000000" w:themeColor="text1"/>
          <w:sz w:val="24"/>
          <w14:textFill>
            <w14:solidFill>
              <w14:schemeClr w14:val="tx1"/>
            </w14:solidFill>
          </w14:textFill>
        </w:rPr>
        <w:t>0</w:t>
      </w:r>
      <w:r>
        <w:rPr>
          <w:rFonts w:ascii="Times New Roman" w:hAnsi="Times New Roman" w:cs="Times New Roman"/>
          <w:color w:val="000000" w:themeColor="text1"/>
          <w:sz w:val="24"/>
          <w14:textFill>
            <w14:solidFill>
              <w14:schemeClr w14:val="tx1"/>
            </w14:solidFill>
          </w14:textFill>
        </w:rPr>
        <w:t>。</w:t>
      </w:r>
    </w:p>
    <w:p>
      <w:pPr>
        <w:pStyle w:val="26"/>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表3.7-2</w:t>
      </w:r>
      <w:r>
        <w:rPr>
          <w:rFonts w:hint="eastAsia" w:cs="Times New Roman"/>
          <w:color w:val="000000" w:themeColor="text1"/>
          <w:sz w:val="21"/>
          <w:szCs w:val="21"/>
          <w14:textFill>
            <w14:solidFill>
              <w14:schemeClr w14:val="tx1"/>
            </w14:solidFill>
          </w14:textFill>
        </w:rPr>
        <w:t>0</w:t>
      </w:r>
      <w:r>
        <w:rPr>
          <w:rFonts w:cs="Times New Roman"/>
          <w:color w:val="000000" w:themeColor="text1"/>
          <w:sz w:val="21"/>
          <w:szCs w:val="21"/>
          <w14:textFill>
            <w14:solidFill>
              <w14:schemeClr w14:val="tx1"/>
            </w14:solidFill>
          </w14:textFill>
        </w:rPr>
        <w:t xml:space="preserve">  污染物排放</w:t>
      </w:r>
      <w:r>
        <w:rPr>
          <w:rFonts w:hint="eastAsia" w:ascii="宋体" w:hAnsi="宋体" w:cs="宋体"/>
          <w:color w:val="000000" w:themeColor="text1"/>
          <w:sz w:val="21"/>
          <w:szCs w:val="21"/>
          <w14:textFill>
            <w14:solidFill>
              <w14:schemeClr w14:val="tx1"/>
            </w14:solidFill>
          </w14:textFill>
        </w:rPr>
        <w:t>“三本账”</w:t>
      </w:r>
      <w:r>
        <w:rPr>
          <w:rFonts w:cs="Times New Roman"/>
          <w:color w:val="000000" w:themeColor="text1"/>
          <w:sz w:val="21"/>
          <w:szCs w:val="21"/>
          <w14:textFill>
            <w14:solidFill>
              <w14:schemeClr w14:val="tx1"/>
            </w14:solidFill>
          </w14:textFill>
        </w:rPr>
        <w:t>（单位：t/a）</w:t>
      </w:r>
    </w:p>
    <w:tbl>
      <w:tblPr>
        <w:tblStyle w:val="23"/>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712"/>
        <w:gridCol w:w="2027"/>
        <w:gridCol w:w="1271"/>
        <w:gridCol w:w="1271"/>
        <w:gridCol w:w="7"/>
        <w:gridCol w:w="1265"/>
        <w:gridCol w:w="7"/>
        <w:gridCol w:w="1265"/>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524" w:hRule="atLeast"/>
        </w:trPr>
        <w:tc>
          <w:tcPr>
            <w:tcW w:w="1397" w:type="dxa"/>
            <w:gridSpan w:val="2"/>
            <w:vAlign w:val="center"/>
          </w:tcPr>
          <w:p>
            <w:pPr>
              <w:pStyle w:val="17"/>
              <w:rPr>
                <w:rFonts w:ascii="Times New Roman" w:hAnsi="Times New Roman" w:cs="Times New Roman"/>
                <w:b/>
                <w:bCs w:val="0"/>
                <w:color w:val="000000" w:themeColor="text1"/>
                <w:szCs w:val="21"/>
                <w14:textFill>
                  <w14:solidFill>
                    <w14:schemeClr w14:val="tx1"/>
                  </w14:solidFill>
                </w14:textFill>
              </w:rPr>
            </w:pPr>
            <w:r>
              <w:rPr>
                <w:rFonts w:ascii="Times New Roman" w:hAnsi="Times New Roman" w:cs="Times New Roman"/>
                <w:b/>
                <w:bCs w:val="0"/>
                <w:color w:val="000000" w:themeColor="text1"/>
                <w:szCs w:val="21"/>
                <w14:textFill>
                  <w14:solidFill>
                    <w14:schemeClr w14:val="tx1"/>
                  </w14:solidFill>
                </w14:textFill>
              </w:rPr>
              <w:t>类型</w:t>
            </w:r>
          </w:p>
        </w:tc>
        <w:tc>
          <w:tcPr>
            <w:tcW w:w="2027" w:type="dxa"/>
            <w:vAlign w:val="center"/>
          </w:tcPr>
          <w:p>
            <w:pPr>
              <w:pStyle w:val="17"/>
              <w:rPr>
                <w:rFonts w:ascii="Times New Roman" w:hAnsi="Times New Roman" w:cs="Times New Roman"/>
                <w:b/>
                <w:bCs w:val="0"/>
                <w:color w:val="000000" w:themeColor="text1"/>
                <w:szCs w:val="21"/>
                <w14:textFill>
                  <w14:solidFill>
                    <w14:schemeClr w14:val="tx1"/>
                  </w14:solidFill>
                </w14:textFill>
              </w:rPr>
            </w:pPr>
            <w:r>
              <w:rPr>
                <w:rFonts w:ascii="Times New Roman" w:hAnsi="Times New Roman" w:cs="Times New Roman"/>
                <w:b/>
                <w:bCs w:val="0"/>
                <w:color w:val="000000" w:themeColor="text1"/>
                <w:szCs w:val="21"/>
                <w14:textFill>
                  <w14:solidFill>
                    <w14:schemeClr w14:val="tx1"/>
                  </w14:solidFill>
                </w14:textFill>
              </w:rPr>
              <w:t>类别</w:t>
            </w:r>
          </w:p>
        </w:tc>
        <w:tc>
          <w:tcPr>
            <w:tcW w:w="1271" w:type="dxa"/>
            <w:vAlign w:val="center"/>
          </w:tcPr>
          <w:p>
            <w:pPr>
              <w:pStyle w:val="17"/>
              <w:rPr>
                <w:rFonts w:ascii="Times New Roman" w:hAnsi="Times New Roman" w:cs="Times New Roman"/>
                <w:b/>
                <w:bCs w:val="0"/>
                <w:color w:val="000000" w:themeColor="text1"/>
                <w:szCs w:val="21"/>
                <w14:textFill>
                  <w14:solidFill>
                    <w14:schemeClr w14:val="tx1"/>
                  </w14:solidFill>
                </w14:textFill>
              </w:rPr>
            </w:pPr>
            <w:r>
              <w:rPr>
                <w:rFonts w:hint="eastAsia" w:ascii="Times New Roman" w:hAnsi="Times New Roman" w:cs="Times New Roman"/>
                <w:b/>
                <w:bCs w:val="0"/>
                <w:color w:val="000000" w:themeColor="text1"/>
                <w:szCs w:val="21"/>
                <w14:textFill>
                  <w14:solidFill>
                    <w14:schemeClr w14:val="tx1"/>
                  </w14:solidFill>
                </w14:textFill>
              </w:rPr>
              <w:t>单位</w:t>
            </w:r>
          </w:p>
        </w:tc>
        <w:tc>
          <w:tcPr>
            <w:tcW w:w="1271" w:type="dxa"/>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实施前污染物排放量</w:t>
            </w:r>
          </w:p>
        </w:tc>
        <w:tc>
          <w:tcPr>
            <w:tcW w:w="1272" w:type="dxa"/>
            <w:gridSpan w:val="2"/>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实施后污染物产生量</w:t>
            </w:r>
          </w:p>
        </w:tc>
        <w:tc>
          <w:tcPr>
            <w:tcW w:w="1272" w:type="dxa"/>
            <w:gridSpan w:val="2"/>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实施前后污染物增减量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5"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废气</w:t>
            </w:r>
          </w:p>
        </w:tc>
        <w:tc>
          <w:tcPr>
            <w:tcW w:w="712" w:type="dxa"/>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无组织</w:t>
            </w:r>
          </w:p>
        </w:tc>
        <w:tc>
          <w:tcPr>
            <w:tcW w:w="2027"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SO</w:t>
            </w:r>
            <w:r>
              <w:rPr>
                <w:rFonts w:ascii="Times New Roman" w:hAnsi="Times New Roman" w:cs="Times New Roman"/>
                <w:color w:val="000000" w:themeColor="text1"/>
                <w:szCs w:val="21"/>
                <w:vertAlign w:val="subscript"/>
                <w14:textFill>
                  <w14:solidFill>
                    <w14:schemeClr w14:val="tx1"/>
                  </w14:solidFill>
                </w14:textFill>
              </w:rPr>
              <w:t>2</w:t>
            </w:r>
          </w:p>
        </w:tc>
        <w:tc>
          <w:tcPr>
            <w:tcW w:w="127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278"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1.5629</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5"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712"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027"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NOx</w:t>
            </w:r>
          </w:p>
        </w:tc>
        <w:tc>
          <w:tcPr>
            <w:tcW w:w="127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278"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20.01</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5"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712"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027"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VOCs</w:t>
            </w:r>
          </w:p>
        </w:tc>
        <w:tc>
          <w:tcPr>
            <w:tcW w:w="127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278"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340.72</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2.538</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2.538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5"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712" w:type="dxa"/>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027"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硫化氢</w:t>
            </w:r>
          </w:p>
        </w:tc>
        <w:tc>
          <w:tcPr>
            <w:tcW w:w="127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278"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0.000911</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+0.000911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397" w:type="dxa"/>
            <w:gridSpan w:val="2"/>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废水</w:t>
            </w:r>
          </w:p>
        </w:tc>
        <w:tc>
          <w:tcPr>
            <w:tcW w:w="2027"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采出水</w:t>
            </w:r>
          </w:p>
        </w:tc>
        <w:tc>
          <w:tcPr>
            <w:tcW w:w="127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/a</w:t>
            </w:r>
          </w:p>
        </w:tc>
        <w:tc>
          <w:tcPr>
            <w:tcW w:w="1278"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10900</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408142.8</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+408142.8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397" w:type="dxa"/>
            <w:gridSpan w:val="2"/>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027"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井下作业废水</w:t>
            </w:r>
          </w:p>
        </w:tc>
        <w:tc>
          <w:tcPr>
            <w:tcW w:w="127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/a</w:t>
            </w:r>
          </w:p>
        </w:tc>
        <w:tc>
          <w:tcPr>
            <w:tcW w:w="1278"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67.8</w:t>
            </w:r>
          </w:p>
        </w:tc>
        <w:tc>
          <w:tcPr>
            <w:tcW w:w="1272" w:type="dxa"/>
            <w:gridSpan w:val="2"/>
            <w:vAlign w:val="center"/>
          </w:tcPr>
          <w:p>
            <w:pPr>
              <w:pStyle w:val="17"/>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1418.06</w:t>
            </w:r>
          </w:p>
        </w:tc>
        <w:tc>
          <w:tcPr>
            <w:tcW w:w="1272" w:type="dxa"/>
            <w:gridSpan w:val="2"/>
            <w:vAlign w:val="center"/>
          </w:tcPr>
          <w:p>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1418.06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trPr>
        <w:tc>
          <w:tcPr>
            <w:tcW w:w="1397" w:type="dxa"/>
            <w:gridSpan w:val="2"/>
            <w:vMerge w:val="restart"/>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固废</w:t>
            </w:r>
          </w:p>
        </w:tc>
        <w:tc>
          <w:tcPr>
            <w:tcW w:w="2027"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含油污泥</w:t>
            </w:r>
          </w:p>
        </w:tc>
        <w:tc>
          <w:tcPr>
            <w:tcW w:w="127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278"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228.72</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+228.72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397" w:type="dxa"/>
            <w:gridSpan w:val="2"/>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027"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井场事故状态下落地油</w:t>
            </w:r>
          </w:p>
        </w:tc>
        <w:tc>
          <w:tcPr>
            <w:tcW w:w="127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278"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2.8</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397" w:type="dxa"/>
            <w:gridSpan w:val="2"/>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027"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废机油</w:t>
            </w:r>
          </w:p>
        </w:tc>
        <w:tc>
          <w:tcPr>
            <w:tcW w:w="127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278"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1.4</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397" w:type="dxa"/>
            <w:gridSpan w:val="2"/>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027"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清管废渣</w:t>
            </w:r>
          </w:p>
        </w:tc>
        <w:tc>
          <w:tcPr>
            <w:tcW w:w="127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278"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14:textFill>
                  <w14:solidFill>
                    <w14:schemeClr w14:val="tx1"/>
                  </w14:solidFill>
                </w14:textFill>
              </w:rPr>
              <w:t>28</w:t>
            </w:r>
            <w:r>
              <w:rPr>
                <w:rFonts w:ascii="Times New Roman" w:hAnsi="Times New Roman" w:cs="Times New Roman"/>
                <w:color w:val="000000" w:themeColor="text1"/>
                <w:szCs w:val="21"/>
                <w14:textFill>
                  <w14:solidFill>
                    <w14:schemeClr w14:val="tx1"/>
                  </w14:solidFill>
                </w14:textFill>
              </w:rPr>
              <w:t>t/次</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0.0</w:t>
            </w:r>
            <w:r>
              <w:rPr>
                <w:rFonts w:hint="eastAsia" w:ascii="Times New Roman" w:hAnsi="Times New Roman" w:cs="Times New Roman"/>
                <w:color w:val="000000" w:themeColor="text1"/>
                <w:szCs w:val="21"/>
                <w14:textFill>
                  <w14:solidFill>
                    <w14:schemeClr w14:val="tx1"/>
                  </w14:solidFill>
                </w14:textFill>
              </w:rPr>
              <w:t>28</w:t>
            </w:r>
            <w:r>
              <w:rPr>
                <w:rFonts w:ascii="Times New Roman" w:hAnsi="Times New Roman" w:cs="Times New Roman"/>
                <w:color w:val="000000" w:themeColor="text1"/>
                <w:szCs w:val="21"/>
                <w14:textFill>
                  <w14:solidFill>
                    <w14:schemeClr w14:val="tx1"/>
                  </w14:solidFill>
                </w14:textFill>
              </w:rPr>
              <w:t>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397" w:type="dxa"/>
            <w:gridSpan w:val="2"/>
            <w:vMerge w:val="continue"/>
            <w:vAlign w:val="center"/>
          </w:tcPr>
          <w:p>
            <w:pPr>
              <w:pStyle w:val="17"/>
              <w:rPr>
                <w:rFonts w:ascii="Times New Roman" w:hAnsi="Times New Roman" w:cs="Times New Roman"/>
                <w:color w:val="000000" w:themeColor="text1"/>
                <w:szCs w:val="21"/>
                <w14:textFill>
                  <w14:solidFill>
                    <w14:schemeClr w14:val="tx1"/>
                  </w14:solidFill>
                </w14:textFill>
              </w:rPr>
            </w:pPr>
          </w:p>
        </w:tc>
        <w:tc>
          <w:tcPr>
            <w:tcW w:w="2027"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废弃防渗膜</w:t>
            </w:r>
          </w:p>
        </w:tc>
        <w:tc>
          <w:tcPr>
            <w:tcW w:w="1271" w:type="dxa"/>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t/a</w:t>
            </w:r>
          </w:p>
        </w:tc>
        <w:tc>
          <w:tcPr>
            <w:tcW w:w="1278"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7.0</w:t>
            </w:r>
          </w:p>
        </w:tc>
        <w:tc>
          <w:tcPr>
            <w:tcW w:w="1272" w:type="dxa"/>
            <w:gridSpan w:val="2"/>
            <w:vAlign w:val="center"/>
          </w:tcPr>
          <w:p>
            <w:pPr>
              <w:pStyle w:val="17"/>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+7.0</w:t>
            </w:r>
          </w:p>
        </w:tc>
      </w:tr>
    </w:tbl>
    <w:p>
      <w:pPr>
        <w:pStyle w:val="31"/>
        <w:widowControl w:val="0"/>
        <w:ind w:firstLine="360" w:firstLineChars="200"/>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注：实施前污染物排放量数据来源于《陆9井区呼图壁河组油藏2022年水平井开发工程建设项目环境影响报告书》。</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3.7.7.5服役期满环境影响分析</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油田退役期并非所有油井都同时关闭，而是一个陆续和渐进的过程。在退役期需将那些产能低或者无续采价值的油井陆续关闭，直到将所有井关闭，油田运行结束。</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（1）大气污染物</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退役期井场设备的拆除、井口封堵、井场清理等过程中，将有少量的施工机械废气产生，主要污染物为SO</w:t>
      </w:r>
      <w:r>
        <w:rPr>
          <w:rFonts w:ascii="Times New Roman" w:hAnsi="Times New Roman" w:eastAsia="宋体" w:cs="Times New Roman"/>
          <w:color w:val="000000" w:themeColor="text1"/>
          <w:kern w:val="0"/>
          <w:sz w:val="24"/>
          <w:vertAlign w:val="sub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、NOx、C</w:t>
      </w:r>
      <w:r>
        <w:rPr>
          <w:rFonts w:ascii="Times New Roman" w:hAnsi="Times New Roman" w:eastAsia="宋体" w:cs="Times New Roman"/>
          <w:color w:val="000000" w:themeColor="text1"/>
          <w:kern w:val="0"/>
          <w:sz w:val="24"/>
          <w:vertAlign w:val="subscript"/>
          <w:lang w:bidi="ar"/>
          <w14:textFill>
            <w14:solidFill>
              <w14:schemeClr w14:val="tx1"/>
            </w14:solidFill>
          </w14:textFill>
        </w:rPr>
        <w:t>m</w:t>
      </w:r>
      <w:r>
        <w:rPr>
          <w:rFonts w:ascii="Times New Roman" w:hAnsi="Times New Roman" w:eastAsia="宋体" w:cs="Times New Roman"/>
          <w:color w:val="000000" w:themeColor="text1"/>
          <w:kern w:val="0"/>
          <w:sz w:val="24"/>
          <w:lang w:bidi="ar"/>
          <w14:textFill>
            <w14:solidFill>
              <w14:schemeClr w14:val="tx1"/>
            </w14:solidFill>
          </w14:textFill>
        </w:rPr>
        <w:t>H</w:t>
      </w:r>
      <w:r>
        <w:rPr>
          <w:rFonts w:ascii="Times New Roman" w:hAnsi="Times New Roman" w:eastAsia="宋体" w:cs="Times New Roman"/>
          <w:color w:val="000000" w:themeColor="text1"/>
          <w:kern w:val="0"/>
          <w:sz w:val="24"/>
          <w:vertAlign w:val="subscript"/>
          <w:lang w:bidi="ar"/>
          <w14:textFill>
            <w14:solidFill>
              <w14:schemeClr w14:val="tx1"/>
            </w14:solidFill>
          </w14:textFill>
        </w:rPr>
        <w:t>n</w:t>
      </w:r>
      <w:r>
        <w:rPr>
          <w:rFonts w:ascii="Times New Roman" w:hAnsi="Times New Roman" w:eastAsia="宋体" w:cs="Times New Roman"/>
          <w:color w:val="000000" w:themeColor="text1"/>
          <w:kern w:val="0"/>
          <w:sz w:val="24"/>
          <w:lang w:bidi="ar"/>
          <w14:textFill>
            <w14:solidFill>
              <w14:schemeClr w14:val="tx1"/>
            </w14:solidFill>
          </w14:textFill>
        </w:rPr>
        <w:t>等。由于废气量较小，且施工现场均在野外，有利于空气的扩散，同时废气污染源具有间歇性和流动性，因此对局部地区的环境影响较小。</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（2）水污染物</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闭井期管线清理过程中会产生清管废水，主要污染物是悬浮物、石油类，清管废水收集后由罐车拉运至陆梁集中处理站处理，处理合格后用于回注油藏，不外排。</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（3）固体废物</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①地面设施拆除、井场清理等工作中会产生建筑垃圾，应集中清理收集。不能回收的外运至指定填埋场填埋处理；</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②地面设施拆除、井场清理等工作过程中被原油污染的土壤或油渣等危险固废，集中收集后交有资质单位转运及处置。</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（4）噪声</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油井进入退役期时，噪声主要源自井场设备拆卸和车辆运输，影响范围在声源周围200m范围内。</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3.7.8碳排放分析</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3.7.8.1碳排放源强核算</w:t>
      </w:r>
    </w:p>
    <w:p>
      <w:pPr>
        <w:pStyle w:val="58"/>
        <w:spacing w:line="360" w:lineRule="auto"/>
        <w:ind w:firstLine="480" w:firstLineChars="2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根据《中国石油天然气生产企业温室气体排放核算方法与报告指南（试行）》，石油天然气生产作业温室气体包括燃料燃烧二氧化碳（CO</w:t>
      </w:r>
      <w:r>
        <w:rPr>
          <w:rFonts w:cs="Times New Roman" w:eastAsiaTheme="minorEastAsia"/>
          <w:color w:val="000000" w:themeColor="text1"/>
          <w:sz w:val="24"/>
          <w:szCs w:val="24"/>
          <w:vertAlign w:val="subscript"/>
          <w14:textFill>
            <w14:solidFill>
              <w14:schemeClr w14:val="tx1"/>
            </w14:solidFill>
          </w14:textFill>
        </w:rPr>
        <w:t>2</w:t>
      </w:r>
      <w:r>
        <w:rPr>
          <w:rFonts w:cs="Times New Roman" w:eastAsiaTheme="minorEastAsia"/>
          <w:color w:val="000000" w:themeColor="text1"/>
          <w:sz w:val="24"/>
          <w:szCs w:val="24"/>
          <w14:textFill>
            <w14:solidFill>
              <w14:schemeClr w14:val="tx1"/>
            </w14:solidFill>
          </w14:textFill>
        </w:rPr>
        <w:t>）排放、火炬燃烧CO</w:t>
      </w:r>
      <w:r>
        <w:rPr>
          <w:rFonts w:cs="Times New Roman" w:eastAsiaTheme="minorEastAsia"/>
          <w:color w:val="000000" w:themeColor="text1"/>
          <w:sz w:val="24"/>
          <w:szCs w:val="24"/>
          <w:vertAlign w:val="subscript"/>
          <w14:textFill>
            <w14:solidFill>
              <w14:schemeClr w14:val="tx1"/>
            </w14:solidFill>
          </w14:textFill>
        </w:rPr>
        <w:t>2</w:t>
      </w:r>
      <w:r>
        <w:rPr>
          <w:rFonts w:cs="Times New Roman" w:eastAsiaTheme="minorEastAsia"/>
          <w:color w:val="000000" w:themeColor="text1"/>
          <w:sz w:val="24"/>
          <w:szCs w:val="24"/>
          <w14:textFill>
            <w14:solidFill>
              <w14:schemeClr w14:val="tx1"/>
            </w14:solidFill>
          </w14:textFill>
        </w:rPr>
        <w:t>和甲烷（CH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）排放、工艺放空CO</w:t>
      </w:r>
      <w:r>
        <w:rPr>
          <w:rFonts w:cs="Times New Roman" w:eastAsiaTheme="minorEastAsia"/>
          <w:color w:val="000000" w:themeColor="text1"/>
          <w:sz w:val="24"/>
          <w:szCs w:val="24"/>
          <w:vertAlign w:val="subscript"/>
          <w14:textFill>
            <w14:solidFill>
              <w14:schemeClr w14:val="tx1"/>
            </w14:solidFill>
          </w14:textFill>
        </w:rPr>
        <w:t>2</w:t>
      </w:r>
      <w:r>
        <w:rPr>
          <w:rFonts w:cs="Times New Roman" w:eastAsiaTheme="minorEastAsia"/>
          <w:color w:val="000000" w:themeColor="text1"/>
          <w:sz w:val="24"/>
          <w:szCs w:val="24"/>
          <w14:textFill>
            <w14:solidFill>
              <w14:schemeClr w14:val="tx1"/>
            </w14:solidFill>
          </w14:textFill>
        </w:rPr>
        <w:t>和CH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排放、设备泄露CH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逃逸排放、CH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回收利用量、CO</w:t>
      </w:r>
      <w:r>
        <w:rPr>
          <w:rFonts w:cs="Times New Roman" w:eastAsiaTheme="minorEastAsia"/>
          <w:color w:val="000000" w:themeColor="text1"/>
          <w:sz w:val="24"/>
          <w:szCs w:val="24"/>
          <w:vertAlign w:val="subscript"/>
          <w14:textFill>
            <w14:solidFill>
              <w14:schemeClr w14:val="tx1"/>
            </w14:solidFill>
          </w14:textFill>
        </w:rPr>
        <w:t>2</w:t>
      </w:r>
      <w:r>
        <w:rPr>
          <w:rFonts w:cs="Times New Roman" w:eastAsiaTheme="minorEastAsia"/>
          <w:color w:val="000000" w:themeColor="text1"/>
          <w:sz w:val="24"/>
          <w:szCs w:val="24"/>
          <w14:textFill>
            <w14:solidFill>
              <w14:schemeClr w14:val="tx1"/>
            </w14:solidFill>
          </w14:textFill>
        </w:rPr>
        <w:t>回收利用量以及净购入电力和热力隐含的CO</w:t>
      </w:r>
      <w:r>
        <w:rPr>
          <w:rFonts w:cs="Times New Roman" w:eastAsiaTheme="minorEastAsia"/>
          <w:color w:val="000000" w:themeColor="text1"/>
          <w:sz w:val="24"/>
          <w:szCs w:val="24"/>
          <w:vertAlign w:val="subscript"/>
          <w14:textFill>
            <w14:solidFill>
              <w14:schemeClr w14:val="tx1"/>
            </w14:solidFill>
          </w14:textFill>
        </w:rPr>
        <w:t>2</w:t>
      </w:r>
      <w:r>
        <w:rPr>
          <w:rFonts w:cs="Times New Roman" w:eastAsiaTheme="minorEastAsia"/>
          <w:color w:val="000000" w:themeColor="text1"/>
          <w:sz w:val="24"/>
          <w:szCs w:val="24"/>
          <w14:textFill>
            <w14:solidFill>
              <w14:schemeClr w14:val="tx1"/>
            </w14:solidFill>
          </w14:textFill>
        </w:rPr>
        <w:t>排放。</w:t>
      </w:r>
    </w:p>
    <w:p>
      <w:pPr>
        <w:pStyle w:val="58"/>
        <w:spacing w:line="360" w:lineRule="auto"/>
        <w:ind w:firstLine="480" w:firstLineChars="2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本项目为石油开采项目，按其指南</w:t>
      </w:r>
      <w:r>
        <w:rPr>
          <w:rFonts w:hint="eastAsia" w:ascii="宋体" w:hAnsi="宋体" w:cs="宋体"/>
          <w:color w:val="000000" w:themeColor="text1"/>
          <w:sz w:val="24"/>
          <w:szCs w:val="24"/>
          <w14:textFill>
            <w14:solidFill>
              <w14:schemeClr w14:val="tx1"/>
            </w14:solidFill>
          </w14:textFill>
        </w:rPr>
        <w:t>中“油气开采业务温室气体排放”“油气储运业务温室气体排放”计算</w:t>
      </w:r>
      <w:r>
        <w:rPr>
          <w:rFonts w:cs="Times New Roman" w:eastAsiaTheme="minorEastAsia"/>
          <w:color w:val="000000" w:themeColor="text1"/>
          <w:sz w:val="24"/>
          <w:szCs w:val="24"/>
          <w14:textFill>
            <w14:solidFill>
              <w14:schemeClr w14:val="tx1"/>
            </w14:solidFill>
          </w14:textFill>
        </w:rPr>
        <w:t>方法进行核算。</w:t>
      </w:r>
    </w:p>
    <w:p>
      <w:pPr>
        <w:pStyle w:val="58"/>
        <w:spacing w:line="360" w:lineRule="auto"/>
        <w:ind w:firstLine="480" w:firstLineChars="2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（1）油气开采业务工艺放空排放</w:t>
      </w:r>
    </w:p>
    <w:p>
      <w:pPr>
        <w:pStyle w:val="58"/>
        <w:spacing w:line="360" w:lineRule="auto"/>
        <w:ind w:firstLine="480" w:firstLineChars="2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油气开采工艺放空CH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排放可根据油气开采环节各类设施的数量及不同设施的工艺放空排放因子进行计算：</w:t>
      </w:r>
    </w:p>
    <w:p>
      <w:pPr>
        <w:pStyle w:val="58"/>
        <w:spacing w:line="360" w:lineRule="auto"/>
        <w:ind w:firstLine="480" w:firstLineChars="200"/>
        <w:outlineLvl w:val="9"/>
        <w:rPr>
          <w:rFonts w:cs="Times New Roman"/>
          <w:color w:val="000000" w:themeColor="text1"/>
          <w:sz w:val="24"/>
          <w:szCs w:val="24"/>
          <w14:textFill>
            <w14:solidFill>
              <w14:schemeClr w14:val="tx1"/>
            </w14:solidFill>
          </w14:textFill>
        </w:rPr>
      </w:pPr>
      <m:oMathPara>
        <m:oMath>
          <m:sSub>
            <m:sSubPr>
              <m:ctrlPr>
                <w:rPr>
                  <w:rFonts w:ascii="Cambria Math" w:hAnsi="Cambria Math" w:cs="Times New Roman"/>
                  <w:i/>
                  <w:color w:val="000000" w:themeColor="text1"/>
                  <w:sz w:val="24"/>
                  <w:szCs w:val="24"/>
                  <w14:textFill>
                    <w14:solidFill>
                      <w14:schemeClr w14:val="tx1"/>
                    </w14:solidFill>
                  </w14:textFill>
                </w:rPr>
              </m:ctrlPr>
            </m:sSubPr>
            <m:e>
              <m:r>
                <w:rPr>
                  <w:rFonts w:ascii="Cambria Math" w:hAnsi="Cambria Math" w:cs="Times New Roman"/>
                  <w:color w:val="000000" w:themeColor="text1"/>
                  <w:sz w:val="24"/>
                  <w:szCs w:val="24"/>
                  <w14:textFill>
                    <w14:solidFill>
                      <w14:schemeClr w14:val="tx1"/>
                    </w14:solidFill>
                  </w14:textFill>
                </w:rPr>
                <m:t>E</m:t>
              </m:r>
              <m:ctrlPr>
                <w:rPr>
                  <w:rFonts w:ascii="Cambria Math" w:hAnsi="Cambria Math" w:cs="Times New Roman"/>
                  <w:i/>
                  <w:color w:val="000000" w:themeColor="text1"/>
                  <w:sz w:val="24"/>
                  <w:szCs w:val="24"/>
                  <w14:textFill>
                    <w14:solidFill>
                      <w14:schemeClr w14:val="tx1"/>
                    </w14:solidFill>
                  </w14:textFill>
                </w:rPr>
              </m:ctrlPr>
            </m:e>
            <m:sub>
              <m:r>
                <w:rPr>
                  <w:rFonts w:ascii="Cambria Math" w:hAnsi="Cambria Math" w:cs="Times New Roman"/>
                  <w:color w:val="000000" w:themeColor="text1"/>
                  <w:sz w:val="24"/>
                  <w:szCs w:val="24"/>
                  <w14:textFill>
                    <w14:solidFill>
                      <w14:schemeClr w14:val="tx1"/>
                    </w14:solidFill>
                  </w14:textFill>
                </w:rPr>
                <m:t>CH</m:t>
              </m:r>
              <m:r>
                <w:rPr>
                  <w:rFonts w:ascii="Cambria Math" w:hAnsi="Cambria Math" w:cs="Times New Roman"/>
                  <w:color w:val="000000" w:themeColor="text1"/>
                  <w:sz w:val="24"/>
                  <w:szCs w:val="24"/>
                  <w:vertAlign w:val="subscript"/>
                  <w14:textFill>
                    <w14:solidFill>
                      <w14:schemeClr w14:val="tx1"/>
                    </w14:solidFill>
                  </w14:textFill>
                </w:rPr>
                <m:t>4</m:t>
              </m:r>
              <m:r>
                <w:rPr>
                  <w:rFonts w:ascii="Cambria Math" w:hAnsi="Cambria Math" w:cs="Times New Roman"/>
                  <w:color w:val="000000" w:themeColor="text1"/>
                  <w:sz w:val="24"/>
                  <w:szCs w:val="24"/>
                  <w14:textFill>
                    <w14:solidFill>
                      <w14:schemeClr w14:val="tx1"/>
                    </w14:solidFill>
                  </w14:textFill>
                </w:rPr>
                <m:t xml:space="preserve">_开采放空 </m:t>
              </m:r>
              <m:ctrlPr>
                <w:rPr>
                  <w:rFonts w:ascii="Cambria Math" w:hAnsi="Cambria Math" w:cs="Times New Roman"/>
                  <w:i/>
                  <w:color w:val="000000" w:themeColor="text1"/>
                  <w:sz w:val="24"/>
                  <w:szCs w:val="24"/>
                  <w14:textFill>
                    <w14:solidFill>
                      <w14:schemeClr w14:val="tx1"/>
                    </w14:solidFill>
                  </w14:textFill>
                </w:rPr>
              </m:ctrlPr>
            </m:sub>
          </m:sSub>
          <m:r>
            <w:rPr>
              <w:rFonts w:ascii="Cambria Math" w:hAnsi="Cambria Math" w:cs="Times New Roman"/>
              <w:color w:val="000000" w:themeColor="text1"/>
              <w:sz w:val="24"/>
              <w:szCs w:val="24"/>
              <w14:textFill>
                <w14:solidFill>
                  <w14:schemeClr w14:val="tx1"/>
                </w14:solidFill>
              </w14:textFill>
            </w:rPr>
            <m:t>=</m:t>
          </m:r>
          <m:nary>
            <m:naryPr>
              <m:chr m:val="∑"/>
              <m:limLoc m:val="undOvr"/>
              <m:supHide m:val="1"/>
              <m:ctrlPr>
                <w:rPr>
                  <w:rFonts w:ascii="Cambria Math" w:hAnsi="Cambria Math" w:cs="Times New Roman"/>
                  <w:i/>
                  <w:color w:val="000000" w:themeColor="text1"/>
                  <w:sz w:val="24"/>
                  <w:szCs w:val="24"/>
                  <w14:textFill>
                    <w14:solidFill>
                      <w14:schemeClr w14:val="tx1"/>
                    </w14:solidFill>
                  </w14:textFill>
                </w:rPr>
              </m:ctrlPr>
            </m:naryPr>
            <m:sub>
              <m:r>
                <w:rPr>
                  <w:rFonts w:ascii="Cambria Math" w:hAnsi="Cambria Math" w:cs="Times New Roman"/>
                  <w:color w:val="000000" w:themeColor="text1"/>
                  <w:sz w:val="24"/>
                  <w:szCs w:val="24"/>
                  <w14:textFill>
                    <w14:solidFill>
                      <w14:schemeClr w14:val="tx1"/>
                    </w14:solidFill>
                  </w14:textFill>
                </w:rPr>
                <m:t>j</m:t>
              </m:r>
              <m:ctrlPr>
                <w:rPr>
                  <w:rFonts w:ascii="Cambria Math" w:hAnsi="Cambria Math" w:cs="Times New Roman"/>
                  <w:i/>
                  <w:color w:val="000000" w:themeColor="text1"/>
                  <w:sz w:val="24"/>
                  <w:szCs w:val="24"/>
                  <w14:textFill>
                    <w14:solidFill>
                      <w14:schemeClr w14:val="tx1"/>
                    </w14:solidFill>
                  </w14:textFill>
                </w:rPr>
              </m:ctrlPr>
            </m:sub>
            <m:sup>
              <m:ctrlPr>
                <w:rPr>
                  <w:rFonts w:ascii="Cambria Math" w:hAnsi="Cambria Math" w:cs="Times New Roman"/>
                  <w:i/>
                  <w:color w:val="000000" w:themeColor="text1"/>
                  <w:sz w:val="24"/>
                  <w:szCs w:val="24"/>
                  <w14:textFill>
                    <w14:solidFill>
                      <w14:schemeClr w14:val="tx1"/>
                    </w14:solidFill>
                  </w14:textFill>
                </w:rPr>
              </m:ctrlPr>
            </m:sup>
            <m:e>
              <m:r>
                <w:rPr>
                  <w:rFonts w:ascii="Cambria Math" w:hAnsi="Cambria Math" w:cs="Times New Roman"/>
                  <w:color w:val="000000" w:themeColor="text1"/>
                  <w:sz w:val="24"/>
                  <w:szCs w:val="24"/>
                  <w14:textFill>
                    <w14:solidFill>
                      <w14:schemeClr w14:val="tx1"/>
                    </w14:solidFill>
                  </w14:textFill>
                </w:rPr>
                <m:t>（</m:t>
              </m:r>
              <m:sSub>
                <m:sSubPr>
                  <m:ctrlPr>
                    <w:rPr>
                      <w:rFonts w:ascii="Cambria Math" w:hAnsi="Cambria Math" w:cs="Times New Roman"/>
                      <w:i/>
                      <w:color w:val="000000" w:themeColor="text1"/>
                      <w:sz w:val="24"/>
                      <w:szCs w:val="24"/>
                      <w14:textFill>
                        <w14:solidFill>
                          <w14:schemeClr w14:val="tx1"/>
                        </w14:solidFill>
                      </w14:textFill>
                    </w:rPr>
                  </m:ctrlPr>
                </m:sSubPr>
                <m:e>
                  <m:r>
                    <w:rPr>
                      <w:rFonts w:ascii="Cambria Math" w:hAnsi="Cambria Math" w:cs="Times New Roman"/>
                      <w:color w:val="000000" w:themeColor="text1"/>
                      <w:sz w:val="24"/>
                      <w:szCs w:val="24"/>
                      <w14:textFill>
                        <w14:solidFill>
                          <w14:schemeClr w14:val="tx1"/>
                        </w14:solidFill>
                      </w14:textFill>
                    </w:rPr>
                    <m:t>Num</m:t>
                  </m:r>
                  <m:ctrlPr>
                    <w:rPr>
                      <w:rFonts w:ascii="Cambria Math" w:hAnsi="Cambria Math" w:cs="Times New Roman"/>
                      <w:i/>
                      <w:color w:val="000000" w:themeColor="text1"/>
                      <w:sz w:val="24"/>
                      <w:szCs w:val="24"/>
                      <w14:textFill>
                        <w14:solidFill>
                          <w14:schemeClr w14:val="tx1"/>
                        </w14:solidFill>
                      </w14:textFill>
                    </w:rPr>
                  </m:ctrlPr>
                </m:e>
                <m:sub>
                  <m:r>
                    <w:rPr>
                      <w:rFonts w:ascii="Cambria Math" w:hAnsi="Cambria Math" w:cs="Times New Roman"/>
                      <w:color w:val="000000" w:themeColor="text1"/>
                      <w:sz w:val="24"/>
                      <w:szCs w:val="24"/>
                      <w14:textFill>
                        <w14:solidFill>
                          <w14:schemeClr w14:val="tx1"/>
                        </w14:solidFill>
                      </w14:textFill>
                    </w:rPr>
                    <m:t>j</m:t>
                  </m:r>
                  <m:ctrlPr>
                    <w:rPr>
                      <w:rFonts w:ascii="Cambria Math" w:hAnsi="Cambria Math" w:cs="Times New Roman"/>
                      <w:i/>
                      <w:color w:val="000000" w:themeColor="text1"/>
                      <w:sz w:val="24"/>
                      <w:szCs w:val="24"/>
                      <w14:textFill>
                        <w14:solidFill>
                          <w14:schemeClr w14:val="tx1"/>
                        </w14:solidFill>
                      </w14:textFill>
                    </w:rPr>
                  </m:ctrlPr>
                </m:sub>
              </m:sSub>
              <m:r>
                <w:rPr>
                  <w:rFonts w:ascii="Cambria Math" w:hAnsi="Cambria Math" w:cs="Times New Roman"/>
                  <w:color w:val="000000" w:themeColor="text1"/>
                  <w:sz w:val="24"/>
                  <w:szCs w:val="24"/>
                  <w14:textFill>
                    <w14:solidFill>
                      <w14:schemeClr w14:val="tx1"/>
                    </w14:solidFill>
                  </w14:textFill>
                </w:rPr>
                <m:t>×</m:t>
              </m:r>
              <m:sSub>
                <m:sSubPr>
                  <m:ctrlPr>
                    <w:rPr>
                      <w:rFonts w:ascii="Cambria Math" w:hAnsi="Cambria Math" w:cs="Times New Roman"/>
                      <w:i/>
                      <w:color w:val="000000" w:themeColor="text1"/>
                      <w:sz w:val="24"/>
                      <w:szCs w:val="24"/>
                      <w14:textFill>
                        <w14:solidFill>
                          <w14:schemeClr w14:val="tx1"/>
                        </w14:solidFill>
                      </w14:textFill>
                    </w:rPr>
                  </m:ctrlPr>
                </m:sSubPr>
                <m:e>
                  <m:r>
                    <w:rPr>
                      <w:rFonts w:ascii="Cambria Math" w:hAnsi="Cambria Math" w:cs="Times New Roman"/>
                      <w:color w:val="000000" w:themeColor="text1"/>
                      <w:sz w:val="24"/>
                      <w:szCs w:val="24"/>
                      <w14:textFill>
                        <w14:solidFill>
                          <w14:schemeClr w14:val="tx1"/>
                        </w14:solidFill>
                      </w14:textFill>
                    </w:rPr>
                    <m:t>EF</m:t>
                  </m:r>
                  <m:ctrlPr>
                    <w:rPr>
                      <w:rFonts w:ascii="Cambria Math" w:hAnsi="Cambria Math" w:cs="Times New Roman"/>
                      <w:i/>
                      <w:color w:val="000000" w:themeColor="text1"/>
                      <w:sz w:val="24"/>
                      <w:szCs w:val="24"/>
                      <w14:textFill>
                        <w14:solidFill>
                          <w14:schemeClr w14:val="tx1"/>
                        </w14:solidFill>
                      </w14:textFill>
                    </w:rPr>
                  </m:ctrlPr>
                </m:e>
                <m:sub>
                  <m:r>
                    <w:rPr>
                      <w:rFonts w:ascii="Cambria Math" w:hAnsi="Cambria Math" w:cs="Times New Roman"/>
                      <w:color w:val="000000" w:themeColor="text1"/>
                      <w:sz w:val="24"/>
                      <w:szCs w:val="24"/>
                      <w14:textFill>
                        <w14:solidFill>
                          <w14:schemeClr w14:val="tx1"/>
                        </w14:solidFill>
                      </w14:textFill>
                    </w:rPr>
                    <m:t>j</m:t>
                  </m:r>
                  <m:ctrlPr>
                    <w:rPr>
                      <w:rFonts w:ascii="Cambria Math" w:hAnsi="Cambria Math" w:cs="Times New Roman"/>
                      <w:i/>
                      <w:color w:val="000000" w:themeColor="text1"/>
                      <w:sz w:val="24"/>
                      <w:szCs w:val="24"/>
                      <w14:textFill>
                        <w14:solidFill>
                          <w14:schemeClr w14:val="tx1"/>
                        </w14:solidFill>
                      </w14:textFill>
                    </w:rPr>
                  </m:ctrlPr>
                </m:sub>
              </m:sSub>
              <m:r>
                <w:rPr>
                  <w:rFonts w:ascii="Cambria Math" w:hAnsi="Cambria Math" w:cs="Times New Roman"/>
                  <w:color w:val="000000" w:themeColor="text1"/>
                  <w:sz w:val="24"/>
                  <w:szCs w:val="24"/>
                  <w14:textFill>
                    <w14:solidFill>
                      <w14:schemeClr w14:val="tx1"/>
                    </w14:solidFill>
                  </w14:textFill>
                </w:rPr>
                <m:t>）</m:t>
              </m:r>
              <m:ctrlPr>
                <w:rPr>
                  <w:rFonts w:ascii="Cambria Math" w:hAnsi="Cambria Math" w:cs="Times New Roman"/>
                  <w:i/>
                  <w:color w:val="000000" w:themeColor="text1"/>
                  <w:sz w:val="24"/>
                  <w:szCs w:val="24"/>
                  <w14:textFill>
                    <w14:solidFill>
                      <w14:schemeClr w14:val="tx1"/>
                    </w14:solidFill>
                  </w14:textFill>
                </w:rPr>
              </m:ctrlPr>
            </m:e>
          </m:nary>
        </m:oMath>
      </m:oMathPara>
    </w:p>
    <w:p>
      <w:pPr>
        <w:pStyle w:val="58"/>
        <w:spacing w:line="360" w:lineRule="auto"/>
        <w:ind w:firstLine="480" w:firstLineChars="2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式中：</w:t>
      </w:r>
    </w:p>
    <w:p>
      <w:pPr>
        <w:pStyle w:val="58"/>
        <w:spacing w:line="360" w:lineRule="auto"/>
        <w:ind w:firstLine="960" w:firstLineChars="4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i/>
          <w:iCs/>
          <w:color w:val="000000" w:themeColor="text1"/>
          <w:sz w:val="24"/>
          <w:szCs w:val="24"/>
          <w14:textFill>
            <w14:solidFill>
              <w14:schemeClr w14:val="tx1"/>
            </w14:solidFill>
          </w14:textFill>
        </w:rPr>
        <w:t>E</w:t>
      </w:r>
      <w:r>
        <w:rPr>
          <w:rFonts w:cs="Times New Roman" w:eastAsiaTheme="minorEastAsia"/>
          <w:i/>
          <w:iCs/>
          <w:color w:val="000000" w:themeColor="text1"/>
          <w:sz w:val="24"/>
          <w:szCs w:val="24"/>
          <w:vertAlign w:val="subscript"/>
          <w14:textFill>
            <w14:solidFill>
              <w14:schemeClr w14:val="tx1"/>
            </w14:solidFill>
          </w14:textFill>
        </w:rPr>
        <w:t>CH4</w:t>
      </w:r>
      <w:r>
        <w:rPr>
          <w:rFonts w:cs="Times New Roman" w:eastAsiaTheme="minorEastAsia"/>
          <w:color w:val="000000" w:themeColor="text1"/>
          <w:sz w:val="24"/>
          <w:szCs w:val="24"/>
          <w:vertAlign w:val="subscript"/>
          <w14:textFill>
            <w14:solidFill>
              <w14:schemeClr w14:val="tx1"/>
            </w14:solidFill>
          </w14:textFill>
        </w:rPr>
        <w:t>_开采放空</w:t>
      </w:r>
      <w:r>
        <w:rPr>
          <w:rFonts w:cs="Times New Roman" w:eastAsiaTheme="minorEastAsia"/>
          <w:color w:val="000000" w:themeColor="text1"/>
          <w:sz w:val="24"/>
          <w:szCs w:val="24"/>
          <w14:textFill>
            <w14:solidFill>
              <w14:schemeClr w14:val="tx1"/>
            </w14:solidFill>
          </w14:textFill>
        </w:rPr>
        <w:t>为油气开采环节产生的工艺放空CH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排放量，单位为吨CH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w:t>
      </w:r>
    </w:p>
    <w:p>
      <w:pPr>
        <w:pStyle w:val="58"/>
        <w:spacing w:line="360" w:lineRule="auto"/>
        <w:ind w:firstLine="960" w:firstLineChars="4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j为油气开采系统中的装置类型，包括原油开采的井口装置、单井储油装置、接转站、联合站及天然气开采中的井口装置、集气站、计量/配气站、储气站等；</w:t>
      </w:r>
    </w:p>
    <w:p>
      <w:pPr>
        <w:pStyle w:val="58"/>
        <w:spacing w:line="360" w:lineRule="auto"/>
        <w:ind w:firstLine="960" w:firstLineChars="4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i/>
          <w:iCs/>
          <w:color w:val="000000" w:themeColor="text1"/>
          <w:sz w:val="24"/>
          <w:szCs w:val="24"/>
          <w14:textFill>
            <w14:solidFill>
              <w14:schemeClr w14:val="tx1"/>
            </w14:solidFill>
          </w14:textFill>
        </w:rPr>
        <w:t>Num</w:t>
      </w:r>
      <w:r>
        <w:rPr>
          <w:rFonts w:cs="Times New Roman" w:eastAsiaTheme="minorEastAsia"/>
          <w:color w:val="000000" w:themeColor="text1"/>
          <w:sz w:val="24"/>
          <w:szCs w:val="24"/>
          <w:vertAlign w:val="subscript"/>
          <w14:textFill>
            <w14:solidFill>
              <w14:schemeClr w14:val="tx1"/>
            </w14:solidFill>
          </w14:textFill>
        </w:rPr>
        <w:t>j</w:t>
      </w:r>
      <w:r>
        <w:rPr>
          <w:rFonts w:cs="Times New Roman" w:eastAsiaTheme="minorEastAsia"/>
          <w:color w:val="000000" w:themeColor="text1"/>
          <w:sz w:val="24"/>
          <w:szCs w:val="24"/>
          <w14:textFill>
            <w14:solidFill>
              <w14:schemeClr w14:val="tx1"/>
            </w14:solidFill>
          </w14:textFill>
        </w:rPr>
        <w:t>为第j个装置的数量，单位为个；</w:t>
      </w:r>
    </w:p>
    <w:p>
      <w:pPr>
        <w:pStyle w:val="58"/>
        <w:spacing w:line="360" w:lineRule="auto"/>
        <w:ind w:firstLine="960" w:firstLineChars="4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i/>
          <w:iCs/>
          <w:color w:val="000000" w:themeColor="text1"/>
          <w:sz w:val="24"/>
          <w:szCs w:val="24"/>
          <w14:textFill>
            <w14:solidFill>
              <w14:schemeClr w14:val="tx1"/>
            </w14:solidFill>
          </w14:textFill>
        </w:rPr>
        <w:t>EF</w:t>
      </w:r>
      <w:r>
        <w:rPr>
          <w:rFonts w:cs="Times New Roman" w:eastAsiaTheme="minorEastAsia"/>
          <w:color w:val="000000" w:themeColor="text1"/>
          <w:sz w:val="24"/>
          <w:szCs w:val="24"/>
          <w:vertAlign w:val="subscript"/>
          <w14:textFill>
            <w14:solidFill>
              <w14:schemeClr w14:val="tx1"/>
            </w14:solidFill>
          </w14:textFill>
        </w:rPr>
        <w:t>j</w:t>
      </w:r>
      <w:r>
        <w:rPr>
          <w:rFonts w:cs="Times New Roman" w:eastAsiaTheme="minorEastAsia"/>
          <w:color w:val="000000" w:themeColor="text1"/>
          <w:sz w:val="24"/>
          <w:szCs w:val="24"/>
          <w14:textFill>
            <w14:solidFill>
              <w14:schemeClr w14:val="tx1"/>
            </w14:solidFill>
          </w14:textFill>
        </w:rPr>
        <w:t>为第j个装置的工艺放空CH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排放因子，单位为吨CH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/（年·个）。</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（2）油气开采业务CH</w:t>
      </w:r>
      <w:r>
        <w:rPr>
          <w:rFonts w:ascii="Times New Roman" w:hAnsi="Times New Roman" w:cs="Times New Roman"/>
          <w:color w:val="000000" w:themeColor="text1"/>
          <w:sz w:val="24"/>
          <w:vertAlign w:val="sub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逃逸排放</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油气开采业务CH</w:t>
      </w:r>
      <w:r>
        <w:rPr>
          <w:rFonts w:ascii="Times New Roman" w:hAnsi="Times New Roman" w:cs="Times New Roman"/>
          <w:color w:val="000000" w:themeColor="text1"/>
          <w:sz w:val="24"/>
          <w:vertAlign w:val="sub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逃逸排放可根据油气开采环节各类设施的数量及不同设施的CH</w:t>
      </w:r>
      <w:r>
        <w:rPr>
          <w:rFonts w:ascii="Times New Roman" w:hAnsi="Times New Roman" w:cs="Times New Roman"/>
          <w:color w:val="000000" w:themeColor="text1"/>
          <w:sz w:val="24"/>
          <w:vertAlign w:val="subscript"/>
          <w14:textFill>
            <w14:solidFill>
              <w14:schemeClr w14:val="tx1"/>
            </w14:solidFill>
          </w14:textFill>
        </w:rPr>
        <w:t>4</w:t>
      </w:r>
      <w:r>
        <w:rPr>
          <w:rFonts w:ascii="Times New Roman" w:hAnsi="Times New Roman" w:cs="Times New Roman"/>
          <w:color w:val="000000" w:themeColor="text1"/>
          <w:sz w:val="24"/>
          <w14:textFill>
            <w14:solidFill>
              <w14:schemeClr w14:val="tx1"/>
            </w14:solidFill>
          </w14:textFill>
        </w:rPr>
        <w:t>逃逸排放因子进行计算：</w:t>
      </w:r>
    </w:p>
    <w:p>
      <w:pPr>
        <w:pStyle w:val="58"/>
        <w:spacing w:line="360" w:lineRule="auto"/>
        <w:ind w:firstLine="480" w:firstLineChars="200"/>
        <w:outlineLvl w:val="9"/>
        <w:rPr>
          <w:rFonts w:cs="Times New Roman"/>
          <w:color w:val="000000" w:themeColor="text1"/>
          <w:sz w:val="24"/>
          <w:szCs w:val="24"/>
          <w14:textFill>
            <w14:solidFill>
              <w14:schemeClr w14:val="tx1"/>
            </w14:solidFill>
          </w14:textFill>
        </w:rPr>
      </w:pPr>
      <m:oMathPara>
        <m:oMath>
          <m:sSub>
            <m:sSubPr>
              <m:ctrlPr>
                <w:rPr>
                  <w:rFonts w:ascii="Cambria Math" w:hAnsi="Cambria Math" w:cs="Times New Roman"/>
                  <w:i/>
                  <w:color w:val="000000" w:themeColor="text1"/>
                  <w:sz w:val="24"/>
                  <w:szCs w:val="24"/>
                  <w14:textFill>
                    <w14:solidFill>
                      <w14:schemeClr w14:val="tx1"/>
                    </w14:solidFill>
                  </w14:textFill>
                </w:rPr>
              </m:ctrlPr>
            </m:sSubPr>
            <m:e>
              <m:r>
                <w:rPr>
                  <w:rFonts w:ascii="Cambria Math" w:hAnsi="Cambria Math" w:cs="Times New Roman"/>
                  <w:color w:val="000000" w:themeColor="text1"/>
                  <w:sz w:val="24"/>
                  <w:szCs w:val="24"/>
                  <w14:textFill>
                    <w14:solidFill>
                      <w14:schemeClr w14:val="tx1"/>
                    </w14:solidFill>
                  </w14:textFill>
                </w:rPr>
                <m:t>E</m:t>
              </m:r>
              <m:ctrlPr>
                <w:rPr>
                  <w:rFonts w:ascii="Cambria Math" w:hAnsi="Cambria Math" w:cs="Times New Roman"/>
                  <w:i/>
                  <w:color w:val="000000" w:themeColor="text1"/>
                  <w:sz w:val="24"/>
                  <w:szCs w:val="24"/>
                  <w14:textFill>
                    <w14:solidFill>
                      <w14:schemeClr w14:val="tx1"/>
                    </w14:solidFill>
                  </w14:textFill>
                </w:rPr>
              </m:ctrlPr>
            </m:e>
            <m:sub>
              <m:r>
                <w:rPr>
                  <w:rFonts w:ascii="Cambria Math" w:hAnsi="Cambria Math" w:cs="Times New Roman"/>
                  <w:color w:val="000000" w:themeColor="text1"/>
                  <w:sz w:val="24"/>
                  <w:szCs w:val="24"/>
                  <w14:textFill>
                    <w14:solidFill>
                      <w14:schemeClr w14:val="tx1"/>
                    </w14:solidFill>
                  </w14:textFill>
                </w:rPr>
                <m:t>CH4_开采逃逸</m:t>
              </m:r>
              <m:ctrlPr>
                <w:rPr>
                  <w:rFonts w:ascii="Cambria Math" w:hAnsi="Cambria Math" w:cs="Times New Roman"/>
                  <w:i/>
                  <w:color w:val="000000" w:themeColor="text1"/>
                  <w:sz w:val="24"/>
                  <w:szCs w:val="24"/>
                  <w14:textFill>
                    <w14:solidFill>
                      <w14:schemeClr w14:val="tx1"/>
                    </w14:solidFill>
                  </w14:textFill>
                </w:rPr>
              </m:ctrlPr>
            </m:sub>
          </m:sSub>
          <m:r>
            <w:rPr>
              <w:rFonts w:ascii="Cambria Math" w:hAnsi="Cambria Math" w:cs="Times New Roman"/>
              <w:color w:val="000000" w:themeColor="text1"/>
              <w:sz w:val="24"/>
              <w:szCs w:val="24"/>
              <w14:textFill>
                <w14:solidFill>
                  <w14:schemeClr w14:val="tx1"/>
                </w14:solidFill>
              </w14:textFill>
            </w:rPr>
            <m:t>=</m:t>
          </m:r>
          <m:nary>
            <m:naryPr>
              <m:chr m:val="∑"/>
              <m:limLoc m:val="undOvr"/>
              <m:supHide m:val="1"/>
              <m:ctrlPr>
                <w:rPr>
                  <w:rFonts w:ascii="Cambria Math" w:hAnsi="Cambria Math" w:cs="Times New Roman"/>
                  <w:i/>
                  <w:color w:val="000000" w:themeColor="text1"/>
                  <w:sz w:val="24"/>
                  <w:szCs w:val="24"/>
                  <w14:textFill>
                    <w14:solidFill>
                      <w14:schemeClr w14:val="tx1"/>
                    </w14:solidFill>
                  </w14:textFill>
                </w:rPr>
              </m:ctrlPr>
            </m:naryPr>
            <m:sub>
              <m:r>
                <w:rPr>
                  <w:rFonts w:ascii="Cambria Math" w:hAnsi="Cambria Math" w:cs="Times New Roman"/>
                  <w:color w:val="000000" w:themeColor="text1"/>
                  <w:sz w:val="24"/>
                  <w:szCs w:val="24"/>
                  <w14:textFill>
                    <w14:solidFill>
                      <w14:schemeClr w14:val="tx1"/>
                    </w14:solidFill>
                  </w14:textFill>
                </w:rPr>
                <m:t>j</m:t>
              </m:r>
              <m:ctrlPr>
                <w:rPr>
                  <w:rFonts w:ascii="Cambria Math" w:hAnsi="Cambria Math" w:cs="Times New Roman"/>
                  <w:i/>
                  <w:color w:val="000000" w:themeColor="text1"/>
                  <w:sz w:val="24"/>
                  <w:szCs w:val="24"/>
                  <w14:textFill>
                    <w14:solidFill>
                      <w14:schemeClr w14:val="tx1"/>
                    </w14:solidFill>
                  </w14:textFill>
                </w:rPr>
              </m:ctrlPr>
            </m:sub>
            <m:sup>
              <m:ctrlPr>
                <w:rPr>
                  <w:rFonts w:ascii="Cambria Math" w:hAnsi="Cambria Math" w:cs="Times New Roman"/>
                  <w:i/>
                  <w:color w:val="000000" w:themeColor="text1"/>
                  <w:sz w:val="24"/>
                  <w:szCs w:val="24"/>
                  <w14:textFill>
                    <w14:solidFill>
                      <w14:schemeClr w14:val="tx1"/>
                    </w14:solidFill>
                  </w14:textFill>
                </w:rPr>
              </m:ctrlPr>
            </m:sup>
            <m:e>
              <m:r>
                <w:rPr>
                  <w:rFonts w:ascii="Cambria Math" w:hAnsi="Cambria Math" w:cs="Times New Roman"/>
                  <w:color w:val="000000" w:themeColor="text1"/>
                  <w:sz w:val="24"/>
                  <w:szCs w:val="24"/>
                  <w14:textFill>
                    <w14:solidFill>
                      <w14:schemeClr w14:val="tx1"/>
                    </w14:solidFill>
                  </w14:textFill>
                </w:rPr>
                <m:t>(</m:t>
              </m:r>
              <m:sSub>
                <m:sSubPr>
                  <m:ctrlPr>
                    <w:rPr>
                      <w:rFonts w:ascii="Cambria Math" w:hAnsi="Cambria Math" w:cs="Times New Roman"/>
                      <w:i/>
                      <w:color w:val="000000" w:themeColor="text1"/>
                      <w:sz w:val="24"/>
                      <w:szCs w:val="24"/>
                      <w14:textFill>
                        <w14:solidFill>
                          <w14:schemeClr w14:val="tx1"/>
                        </w14:solidFill>
                      </w14:textFill>
                    </w:rPr>
                  </m:ctrlPr>
                </m:sSubPr>
                <m:e>
                  <m:r>
                    <w:rPr>
                      <w:rFonts w:ascii="Cambria Math" w:hAnsi="Cambria Math" w:cs="Times New Roman"/>
                      <w:color w:val="000000" w:themeColor="text1"/>
                      <w:sz w:val="24"/>
                      <w:szCs w:val="24"/>
                      <w14:textFill>
                        <w14:solidFill>
                          <w14:schemeClr w14:val="tx1"/>
                        </w14:solidFill>
                      </w14:textFill>
                    </w:rPr>
                    <m:t>Num</m:t>
                  </m:r>
                  <m:ctrlPr>
                    <w:rPr>
                      <w:rFonts w:ascii="Cambria Math" w:hAnsi="Cambria Math" w:cs="Times New Roman"/>
                      <w:i/>
                      <w:color w:val="000000" w:themeColor="text1"/>
                      <w:sz w:val="24"/>
                      <w:szCs w:val="24"/>
                      <w14:textFill>
                        <w14:solidFill>
                          <w14:schemeClr w14:val="tx1"/>
                        </w14:solidFill>
                      </w14:textFill>
                    </w:rPr>
                  </m:ctrlPr>
                </m:e>
                <m:sub>
                  <m:r>
                    <w:rPr>
                      <w:rFonts w:ascii="Cambria Math" w:hAnsi="Cambria Math" w:cs="Times New Roman"/>
                      <w:color w:val="000000" w:themeColor="text1"/>
                      <w:sz w:val="24"/>
                      <w:szCs w:val="24"/>
                      <w14:textFill>
                        <w14:solidFill>
                          <w14:schemeClr w14:val="tx1"/>
                        </w14:solidFill>
                      </w14:textFill>
                    </w:rPr>
                    <m:t>oil,j</m:t>
                  </m:r>
                  <m:ctrlPr>
                    <w:rPr>
                      <w:rFonts w:ascii="Cambria Math" w:hAnsi="Cambria Math" w:cs="Times New Roman"/>
                      <w:i/>
                      <w:color w:val="000000" w:themeColor="text1"/>
                      <w:sz w:val="24"/>
                      <w:szCs w:val="24"/>
                      <w14:textFill>
                        <w14:solidFill>
                          <w14:schemeClr w14:val="tx1"/>
                        </w14:solidFill>
                      </w14:textFill>
                    </w:rPr>
                  </m:ctrlPr>
                </m:sub>
              </m:sSub>
              <m:r>
                <w:rPr>
                  <w:rFonts w:ascii="Cambria Math" w:hAnsi="Cambria Math" w:cs="Times New Roman"/>
                  <w:color w:val="000000" w:themeColor="text1"/>
                  <w:sz w:val="24"/>
                  <w:szCs w:val="24"/>
                  <w14:textFill>
                    <w14:solidFill>
                      <w14:schemeClr w14:val="tx1"/>
                    </w14:solidFill>
                  </w14:textFill>
                </w:rPr>
                <m:t>×</m:t>
              </m:r>
              <m:sSub>
                <m:sSubPr>
                  <m:ctrlPr>
                    <w:rPr>
                      <w:rFonts w:ascii="Cambria Math" w:hAnsi="Cambria Math" w:cs="Times New Roman"/>
                      <w:i/>
                      <w:color w:val="000000" w:themeColor="text1"/>
                      <w:sz w:val="24"/>
                      <w:szCs w:val="24"/>
                      <w14:textFill>
                        <w14:solidFill>
                          <w14:schemeClr w14:val="tx1"/>
                        </w14:solidFill>
                      </w14:textFill>
                    </w:rPr>
                  </m:ctrlPr>
                </m:sSubPr>
                <m:e>
                  <m:r>
                    <w:rPr>
                      <w:rFonts w:ascii="Cambria Math" w:hAnsi="Cambria Math" w:cs="Times New Roman"/>
                      <w:color w:val="000000" w:themeColor="text1"/>
                      <w:sz w:val="24"/>
                      <w:szCs w:val="24"/>
                      <w14:textFill>
                        <w14:solidFill>
                          <w14:schemeClr w14:val="tx1"/>
                        </w14:solidFill>
                      </w14:textFill>
                    </w:rPr>
                    <m:t>EF</m:t>
                  </m:r>
                  <m:ctrlPr>
                    <w:rPr>
                      <w:rFonts w:ascii="Cambria Math" w:hAnsi="Cambria Math" w:cs="Times New Roman"/>
                      <w:i/>
                      <w:color w:val="000000" w:themeColor="text1"/>
                      <w:sz w:val="24"/>
                      <w:szCs w:val="24"/>
                      <w14:textFill>
                        <w14:solidFill>
                          <w14:schemeClr w14:val="tx1"/>
                        </w14:solidFill>
                      </w14:textFill>
                    </w:rPr>
                  </m:ctrlPr>
                </m:e>
                <m:sub>
                  <m:r>
                    <w:rPr>
                      <w:rFonts w:ascii="Cambria Math" w:hAnsi="Cambria Math" w:cs="Times New Roman"/>
                      <w:color w:val="000000" w:themeColor="text1"/>
                      <w:sz w:val="24"/>
                      <w:szCs w:val="24"/>
                      <w14:textFill>
                        <w14:solidFill>
                          <w14:schemeClr w14:val="tx1"/>
                        </w14:solidFill>
                      </w14:textFill>
                    </w:rPr>
                    <m:t>oil,j</m:t>
                  </m:r>
                  <m:ctrlPr>
                    <w:rPr>
                      <w:rFonts w:ascii="Cambria Math" w:hAnsi="Cambria Math" w:cs="Times New Roman"/>
                      <w:i/>
                      <w:color w:val="000000" w:themeColor="text1"/>
                      <w:sz w:val="24"/>
                      <w:szCs w:val="24"/>
                      <w14:textFill>
                        <w14:solidFill>
                          <w14:schemeClr w14:val="tx1"/>
                        </w14:solidFill>
                      </w14:textFill>
                    </w:rPr>
                  </m:ctrlPr>
                </m:sub>
              </m:sSub>
              <m:r>
                <w:rPr>
                  <w:rFonts w:ascii="Cambria Math" w:hAnsi="Cambria Math" w:cs="Times New Roman"/>
                  <w:color w:val="000000" w:themeColor="text1"/>
                  <w:sz w:val="24"/>
                  <w:szCs w:val="24"/>
                  <w14:textFill>
                    <w14:solidFill>
                      <w14:schemeClr w14:val="tx1"/>
                    </w14:solidFill>
                  </w14:textFill>
                </w:rPr>
                <m:t>)+</m:t>
              </m:r>
              <m:nary>
                <m:naryPr>
                  <m:chr m:val="∑"/>
                  <m:limLoc m:val="undOvr"/>
                  <m:supHide m:val="1"/>
                  <m:ctrlPr>
                    <w:rPr>
                      <w:rFonts w:ascii="Cambria Math" w:hAnsi="Cambria Math" w:cs="Times New Roman"/>
                      <w:i/>
                      <w:color w:val="000000" w:themeColor="text1"/>
                      <w:sz w:val="24"/>
                      <w:szCs w:val="24"/>
                      <w14:textFill>
                        <w14:solidFill>
                          <w14:schemeClr w14:val="tx1"/>
                        </w14:solidFill>
                      </w14:textFill>
                    </w:rPr>
                  </m:ctrlPr>
                </m:naryPr>
                <m:sub>
                  <m:r>
                    <w:rPr>
                      <w:rFonts w:ascii="Cambria Math" w:hAnsi="Cambria Math" w:cs="Times New Roman"/>
                      <w:color w:val="000000" w:themeColor="text1"/>
                      <w:sz w:val="24"/>
                      <w:szCs w:val="24"/>
                      <w14:textFill>
                        <w14:solidFill>
                          <w14:schemeClr w14:val="tx1"/>
                        </w14:solidFill>
                      </w14:textFill>
                    </w:rPr>
                    <m:t>j</m:t>
                  </m:r>
                  <m:ctrlPr>
                    <w:rPr>
                      <w:rFonts w:ascii="Cambria Math" w:hAnsi="Cambria Math" w:cs="Times New Roman"/>
                      <w:i/>
                      <w:color w:val="000000" w:themeColor="text1"/>
                      <w:sz w:val="24"/>
                      <w:szCs w:val="24"/>
                      <w14:textFill>
                        <w14:solidFill>
                          <w14:schemeClr w14:val="tx1"/>
                        </w14:solidFill>
                      </w14:textFill>
                    </w:rPr>
                  </m:ctrlPr>
                </m:sub>
                <m:sup>
                  <m:ctrlPr>
                    <w:rPr>
                      <w:rFonts w:ascii="Cambria Math" w:hAnsi="Cambria Math" w:cs="Times New Roman"/>
                      <w:i/>
                      <w:color w:val="000000" w:themeColor="text1"/>
                      <w:sz w:val="24"/>
                      <w:szCs w:val="24"/>
                      <w14:textFill>
                        <w14:solidFill>
                          <w14:schemeClr w14:val="tx1"/>
                        </w14:solidFill>
                      </w14:textFill>
                    </w:rPr>
                  </m:ctrlPr>
                </m:sup>
                <m:e>
                  <m:r>
                    <w:rPr>
                      <w:rFonts w:ascii="Cambria Math" w:hAnsi="Cambria Math" w:cs="Times New Roman"/>
                      <w:color w:val="000000" w:themeColor="text1"/>
                      <w:sz w:val="24"/>
                      <w:szCs w:val="24"/>
                      <w14:textFill>
                        <w14:solidFill>
                          <w14:schemeClr w14:val="tx1"/>
                        </w14:solidFill>
                      </w14:textFill>
                    </w:rPr>
                    <m:t>(</m:t>
                  </m:r>
                  <m:sSub>
                    <m:sSubPr>
                      <m:ctrlPr>
                        <w:rPr>
                          <w:rFonts w:ascii="Cambria Math" w:hAnsi="Cambria Math" w:cs="Times New Roman"/>
                          <w:i/>
                          <w:color w:val="000000" w:themeColor="text1"/>
                          <w:sz w:val="24"/>
                          <w:szCs w:val="24"/>
                          <w14:textFill>
                            <w14:solidFill>
                              <w14:schemeClr w14:val="tx1"/>
                            </w14:solidFill>
                          </w14:textFill>
                        </w:rPr>
                      </m:ctrlPr>
                    </m:sSubPr>
                    <m:e>
                      <m:r>
                        <w:rPr>
                          <w:rFonts w:ascii="Cambria Math" w:hAnsi="Cambria Math" w:cs="Times New Roman"/>
                          <w:color w:val="000000" w:themeColor="text1"/>
                          <w:sz w:val="24"/>
                          <w:szCs w:val="24"/>
                          <w14:textFill>
                            <w14:solidFill>
                              <w14:schemeClr w14:val="tx1"/>
                            </w14:solidFill>
                          </w14:textFill>
                        </w:rPr>
                        <m:t>Num</m:t>
                      </m:r>
                      <m:ctrlPr>
                        <w:rPr>
                          <w:rFonts w:ascii="Cambria Math" w:hAnsi="Cambria Math" w:cs="Times New Roman"/>
                          <w:i/>
                          <w:color w:val="000000" w:themeColor="text1"/>
                          <w:sz w:val="24"/>
                          <w:szCs w:val="24"/>
                          <w14:textFill>
                            <w14:solidFill>
                              <w14:schemeClr w14:val="tx1"/>
                            </w14:solidFill>
                          </w14:textFill>
                        </w:rPr>
                      </m:ctrlPr>
                    </m:e>
                    <m:sub>
                      <m:r>
                        <w:rPr>
                          <w:rFonts w:ascii="Cambria Math" w:hAnsi="Cambria Math" w:cs="Times New Roman"/>
                          <w:color w:val="000000" w:themeColor="text1"/>
                          <w:sz w:val="24"/>
                          <w:szCs w:val="24"/>
                          <w14:textFill>
                            <w14:solidFill>
                              <w14:schemeClr w14:val="tx1"/>
                            </w14:solidFill>
                          </w14:textFill>
                        </w:rPr>
                        <m:t>gas,j</m:t>
                      </m:r>
                      <m:ctrlPr>
                        <w:rPr>
                          <w:rFonts w:ascii="Cambria Math" w:hAnsi="Cambria Math" w:cs="Times New Roman"/>
                          <w:i/>
                          <w:color w:val="000000" w:themeColor="text1"/>
                          <w:sz w:val="24"/>
                          <w:szCs w:val="24"/>
                          <w14:textFill>
                            <w14:solidFill>
                              <w14:schemeClr w14:val="tx1"/>
                            </w14:solidFill>
                          </w14:textFill>
                        </w:rPr>
                      </m:ctrlPr>
                    </m:sub>
                  </m:sSub>
                  <m:r>
                    <w:rPr>
                      <w:rFonts w:ascii="Cambria Math" w:hAnsi="Cambria Math" w:cs="Times New Roman"/>
                      <w:color w:val="000000" w:themeColor="text1"/>
                      <w:sz w:val="24"/>
                      <w:szCs w:val="24"/>
                      <w14:textFill>
                        <w14:solidFill>
                          <w14:schemeClr w14:val="tx1"/>
                        </w14:solidFill>
                      </w14:textFill>
                    </w:rPr>
                    <m:t>×</m:t>
                  </m:r>
                  <m:sSub>
                    <m:sSubPr>
                      <m:ctrlPr>
                        <w:rPr>
                          <w:rFonts w:ascii="Cambria Math" w:hAnsi="Cambria Math" w:cs="Times New Roman"/>
                          <w:i/>
                          <w:color w:val="000000" w:themeColor="text1"/>
                          <w:sz w:val="24"/>
                          <w:szCs w:val="24"/>
                          <w14:textFill>
                            <w14:solidFill>
                              <w14:schemeClr w14:val="tx1"/>
                            </w14:solidFill>
                          </w14:textFill>
                        </w:rPr>
                      </m:ctrlPr>
                    </m:sSubPr>
                    <m:e>
                      <m:r>
                        <w:rPr>
                          <w:rFonts w:ascii="Cambria Math" w:hAnsi="Cambria Math" w:cs="Times New Roman"/>
                          <w:color w:val="000000" w:themeColor="text1"/>
                          <w:sz w:val="24"/>
                          <w:szCs w:val="24"/>
                          <w14:textFill>
                            <w14:solidFill>
                              <w14:schemeClr w14:val="tx1"/>
                            </w14:solidFill>
                          </w14:textFill>
                        </w:rPr>
                        <m:t>EF</m:t>
                      </m:r>
                      <m:ctrlPr>
                        <w:rPr>
                          <w:rFonts w:ascii="Cambria Math" w:hAnsi="Cambria Math" w:cs="Times New Roman"/>
                          <w:i/>
                          <w:color w:val="000000" w:themeColor="text1"/>
                          <w:sz w:val="24"/>
                          <w:szCs w:val="24"/>
                          <w14:textFill>
                            <w14:solidFill>
                              <w14:schemeClr w14:val="tx1"/>
                            </w14:solidFill>
                          </w14:textFill>
                        </w:rPr>
                      </m:ctrlPr>
                    </m:e>
                    <m:sub>
                      <m:r>
                        <w:rPr>
                          <w:rFonts w:ascii="Cambria Math" w:hAnsi="Cambria Math" w:cs="Times New Roman"/>
                          <w:color w:val="000000" w:themeColor="text1"/>
                          <w:sz w:val="24"/>
                          <w:szCs w:val="24"/>
                          <w14:textFill>
                            <w14:solidFill>
                              <w14:schemeClr w14:val="tx1"/>
                            </w14:solidFill>
                          </w14:textFill>
                        </w:rPr>
                        <m:t>gas,j</m:t>
                      </m:r>
                      <m:ctrlPr>
                        <w:rPr>
                          <w:rFonts w:ascii="Cambria Math" w:hAnsi="Cambria Math" w:cs="Times New Roman"/>
                          <w:i/>
                          <w:color w:val="000000" w:themeColor="text1"/>
                          <w:sz w:val="24"/>
                          <w:szCs w:val="24"/>
                          <w14:textFill>
                            <w14:solidFill>
                              <w14:schemeClr w14:val="tx1"/>
                            </w14:solidFill>
                          </w14:textFill>
                        </w:rPr>
                      </m:ctrlPr>
                    </m:sub>
                  </m:sSub>
                  <m:r>
                    <w:rPr>
                      <w:rFonts w:ascii="Cambria Math" w:hAnsi="Cambria Math" w:cs="Times New Roman"/>
                      <w:color w:val="000000" w:themeColor="text1"/>
                      <w:sz w:val="24"/>
                      <w:szCs w:val="24"/>
                      <w14:textFill>
                        <w14:solidFill>
                          <w14:schemeClr w14:val="tx1"/>
                        </w14:solidFill>
                      </w14:textFill>
                    </w:rPr>
                    <m:t>)</m:t>
                  </m:r>
                  <m:ctrlPr>
                    <w:rPr>
                      <w:rFonts w:ascii="Cambria Math" w:hAnsi="Cambria Math" w:cs="Times New Roman"/>
                      <w:i/>
                      <w:color w:val="000000" w:themeColor="text1"/>
                      <w:sz w:val="24"/>
                      <w:szCs w:val="24"/>
                      <w14:textFill>
                        <w14:solidFill>
                          <w14:schemeClr w14:val="tx1"/>
                        </w14:solidFill>
                      </w14:textFill>
                    </w:rPr>
                  </m:ctrlPr>
                </m:e>
              </m:nary>
              <m:ctrlPr>
                <w:rPr>
                  <w:rFonts w:ascii="Cambria Math" w:hAnsi="Cambria Math" w:cs="Times New Roman"/>
                  <w:i/>
                  <w:color w:val="000000" w:themeColor="text1"/>
                  <w:sz w:val="24"/>
                  <w:szCs w:val="24"/>
                  <w14:textFill>
                    <w14:solidFill>
                      <w14:schemeClr w14:val="tx1"/>
                    </w14:solidFill>
                  </w14:textFill>
                </w:rPr>
              </m:ctrlPr>
            </m:e>
          </m:nary>
        </m:oMath>
      </m:oMathPara>
    </w:p>
    <w:p>
      <w:pPr>
        <w:pStyle w:val="58"/>
        <w:spacing w:line="360" w:lineRule="auto"/>
        <w:ind w:firstLine="480" w:firstLineChars="2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式中：</w:t>
      </w:r>
    </w:p>
    <w:p>
      <w:pPr>
        <w:pStyle w:val="58"/>
        <w:spacing w:line="360" w:lineRule="auto"/>
        <w:ind w:firstLine="960" w:firstLineChars="4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i/>
          <w:iCs/>
          <w:color w:val="000000" w:themeColor="text1"/>
          <w:sz w:val="24"/>
          <w:szCs w:val="24"/>
          <w14:textFill>
            <w14:solidFill>
              <w14:schemeClr w14:val="tx1"/>
            </w14:solidFill>
          </w14:textFill>
        </w:rPr>
        <w:t>E</w:t>
      </w:r>
      <w:r>
        <w:rPr>
          <w:rFonts w:cs="Times New Roman" w:eastAsiaTheme="minorEastAsia"/>
          <w:i/>
          <w:iCs/>
          <w:color w:val="000000" w:themeColor="text1"/>
          <w:sz w:val="24"/>
          <w:szCs w:val="24"/>
          <w:vertAlign w:val="subscript"/>
          <w14:textFill>
            <w14:solidFill>
              <w14:schemeClr w14:val="tx1"/>
            </w14:solidFill>
          </w14:textFill>
        </w:rPr>
        <w:t>CH4</w:t>
      </w:r>
      <w:r>
        <w:rPr>
          <w:rFonts w:cs="Times New Roman" w:eastAsiaTheme="minorEastAsia"/>
          <w:color w:val="000000" w:themeColor="text1"/>
          <w:sz w:val="24"/>
          <w:szCs w:val="24"/>
          <w:vertAlign w:val="subscript"/>
          <w14:textFill>
            <w14:solidFill>
              <w14:schemeClr w14:val="tx1"/>
            </w14:solidFill>
          </w14:textFill>
        </w:rPr>
        <w:t>_开采逃逸</w:t>
      </w:r>
      <w:r>
        <w:rPr>
          <w:rFonts w:cs="Times New Roman" w:eastAsiaTheme="minorEastAsia"/>
          <w:color w:val="000000" w:themeColor="text1"/>
          <w:sz w:val="24"/>
          <w:szCs w:val="24"/>
          <w14:textFill>
            <w14:solidFill>
              <w14:schemeClr w14:val="tx1"/>
            </w14:solidFill>
          </w14:textFill>
        </w:rPr>
        <w:t>为原油开采或天然气开采中所有设施类型（包括原油开采的井口装置、单井储油装置、接转站、联合站及天然气开采中的井口装置、集气站、计量/配气站、储气站等）产生的CH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逃逸排放，单位为吨CH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w:t>
      </w:r>
    </w:p>
    <w:p>
      <w:pPr>
        <w:pStyle w:val="58"/>
        <w:spacing w:line="360" w:lineRule="auto"/>
        <w:ind w:firstLine="960" w:firstLineChars="4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j为不同的设施类型；</w:t>
      </w:r>
    </w:p>
    <w:p>
      <w:pPr>
        <w:pStyle w:val="58"/>
        <w:spacing w:line="360" w:lineRule="auto"/>
        <w:ind w:firstLine="960" w:firstLineChars="4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i/>
          <w:iCs/>
          <w:color w:val="000000" w:themeColor="text1"/>
          <w:sz w:val="24"/>
          <w:szCs w:val="24"/>
          <w14:textFill>
            <w14:solidFill>
              <w14:schemeClr w14:val="tx1"/>
            </w14:solidFill>
          </w14:textFill>
        </w:rPr>
        <w:t>Num</w:t>
      </w:r>
      <w:r>
        <w:rPr>
          <w:rFonts w:cs="Times New Roman" w:eastAsiaTheme="minorEastAsia"/>
          <w:i/>
          <w:iCs/>
          <w:color w:val="000000" w:themeColor="text1"/>
          <w:sz w:val="24"/>
          <w:szCs w:val="24"/>
          <w:vertAlign w:val="subscript"/>
          <w14:textFill>
            <w14:solidFill>
              <w14:schemeClr w14:val="tx1"/>
            </w14:solidFill>
          </w14:textFill>
        </w:rPr>
        <w:t>oil,j</w:t>
      </w:r>
      <w:r>
        <w:rPr>
          <w:rFonts w:cs="Times New Roman" w:eastAsiaTheme="minorEastAsia"/>
          <w:color w:val="000000" w:themeColor="text1"/>
          <w:sz w:val="24"/>
          <w:szCs w:val="24"/>
          <w14:textFill>
            <w14:solidFill>
              <w14:schemeClr w14:val="tx1"/>
            </w14:solidFill>
          </w14:textFill>
        </w:rPr>
        <w:t>为原油开采业务所涉及的泄漏设施类型数量，单位为个；</w:t>
      </w:r>
    </w:p>
    <w:p>
      <w:pPr>
        <w:pStyle w:val="58"/>
        <w:spacing w:line="360" w:lineRule="auto"/>
        <w:ind w:firstLine="960" w:firstLineChars="4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i/>
          <w:iCs/>
          <w:color w:val="000000" w:themeColor="text1"/>
          <w:sz w:val="24"/>
          <w:szCs w:val="24"/>
          <w14:textFill>
            <w14:solidFill>
              <w14:schemeClr w14:val="tx1"/>
            </w14:solidFill>
          </w14:textFill>
        </w:rPr>
        <w:t>EF</w:t>
      </w:r>
      <w:r>
        <w:rPr>
          <w:rFonts w:cs="Times New Roman" w:eastAsiaTheme="minorEastAsia"/>
          <w:i/>
          <w:iCs/>
          <w:color w:val="000000" w:themeColor="text1"/>
          <w:sz w:val="24"/>
          <w:szCs w:val="24"/>
          <w:vertAlign w:val="subscript"/>
          <w14:textFill>
            <w14:solidFill>
              <w14:schemeClr w14:val="tx1"/>
            </w14:solidFill>
          </w14:textFill>
        </w:rPr>
        <w:t>oil,j</w:t>
      </w:r>
      <w:r>
        <w:rPr>
          <w:rFonts w:cs="Times New Roman" w:eastAsiaTheme="minorEastAsia"/>
          <w:color w:val="000000" w:themeColor="text1"/>
          <w:sz w:val="24"/>
          <w:szCs w:val="24"/>
          <w14:textFill>
            <w14:solidFill>
              <w14:schemeClr w14:val="tx1"/>
            </w14:solidFill>
          </w14:textFill>
        </w:rPr>
        <w:t>为原油开采业务中涉及到的每种设施类型j的CH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逃逸排放因子，单位为吨CH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/（年·个）；</w:t>
      </w:r>
    </w:p>
    <w:p>
      <w:pPr>
        <w:pStyle w:val="58"/>
        <w:spacing w:line="360" w:lineRule="auto"/>
        <w:ind w:firstLine="960" w:firstLineChars="4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i/>
          <w:iCs/>
          <w:color w:val="000000" w:themeColor="text1"/>
          <w:sz w:val="24"/>
          <w:szCs w:val="24"/>
          <w14:textFill>
            <w14:solidFill>
              <w14:schemeClr w14:val="tx1"/>
            </w14:solidFill>
          </w14:textFill>
        </w:rPr>
        <w:t>Num</w:t>
      </w:r>
      <w:r>
        <w:rPr>
          <w:rFonts w:cs="Times New Roman" w:eastAsiaTheme="minorEastAsia"/>
          <w:i/>
          <w:iCs/>
          <w:color w:val="000000" w:themeColor="text1"/>
          <w:sz w:val="24"/>
          <w:szCs w:val="24"/>
          <w:vertAlign w:val="subscript"/>
          <w14:textFill>
            <w14:solidFill>
              <w14:schemeClr w14:val="tx1"/>
            </w14:solidFill>
          </w14:textFill>
        </w:rPr>
        <w:t>gas,j</w:t>
      </w:r>
      <w:r>
        <w:rPr>
          <w:rFonts w:cs="Times New Roman" w:eastAsiaTheme="minorEastAsia"/>
          <w:color w:val="000000" w:themeColor="text1"/>
          <w:sz w:val="24"/>
          <w:szCs w:val="24"/>
          <w14:textFill>
            <w14:solidFill>
              <w14:schemeClr w14:val="tx1"/>
            </w14:solidFill>
          </w14:textFill>
        </w:rPr>
        <w:t>为天然气开采业务所涉及的泄漏设施类型数量，单位为个；</w:t>
      </w:r>
    </w:p>
    <w:p>
      <w:pPr>
        <w:pStyle w:val="58"/>
        <w:spacing w:line="360" w:lineRule="auto"/>
        <w:ind w:firstLine="960" w:firstLineChars="4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i/>
          <w:iCs/>
          <w:color w:val="000000" w:themeColor="text1"/>
          <w:sz w:val="24"/>
          <w:szCs w:val="24"/>
          <w14:textFill>
            <w14:solidFill>
              <w14:schemeClr w14:val="tx1"/>
            </w14:solidFill>
          </w14:textFill>
        </w:rPr>
        <w:t>EF</w:t>
      </w:r>
      <w:r>
        <w:rPr>
          <w:rFonts w:cs="Times New Roman" w:eastAsiaTheme="minorEastAsia"/>
          <w:i/>
          <w:iCs/>
          <w:color w:val="000000" w:themeColor="text1"/>
          <w:sz w:val="24"/>
          <w:szCs w:val="24"/>
          <w:vertAlign w:val="subscript"/>
          <w14:textFill>
            <w14:solidFill>
              <w14:schemeClr w14:val="tx1"/>
            </w14:solidFill>
          </w14:textFill>
        </w:rPr>
        <w:t>gas,j</w:t>
      </w:r>
      <w:r>
        <w:rPr>
          <w:rFonts w:cs="Times New Roman" w:eastAsiaTheme="minorEastAsia"/>
          <w:color w:val="000000" w:themeColor="text1"/>
          <w:sz w:val="24"/>
          <w:szCs w:val="24"/>
          <w14:textFill>
            <w14:solidFill>
              <w14:schemeClr w14:val="tx1"/>
            </w14:solidFill>
          </w14:textFill>
        </w:rPr>
        <w:t>为天然气开采业务中涉及到的每种设施类型j的CH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逃逸排放因子，单位为吨CH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/（年·个）。</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（3）油气储运业务工艺放空排放</w:t>
      </w:r>
    </w:p>
    <w:p>
      <w:pPr>
        <w:widowControl/>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原油输送过程中产生的CH</w:t>
      </w:r>
      <w:r>
        <w:rPr>
          <w:rFonts w:ascii="Times New Roman" w:hAnsi="Times New Roman" w:eastAsia="宋体" w:cs="Times New Roman"/>
          <w:color w:val="000000" w:themeColor="text1"/>
          <w:sz w:val="24"/>
          <w:vertAlign w:val="subscript"/>
          <w14:textFill>
            <w14:solidFill>
              <w14:schemeClr w14:val="tx1"/>
            </w14:solidFill>
          </w14:textFill>
        </w:rPr>
        <w:t>4</w:t>
      </w:r>
      <w:r>
        <w:rPr>
          <w:rFonts w:ascii="Times New Roman" w:hAnsi="Times New Roman" w:eastAsia="宋体" w:cs="Times New Roman"/>
          <w:color w:val="000000" w:themeColor="text1"/>
          <w:sz w:val="24"/>
          <w14:textFill>
            <w14:solidFill>
              <w14:schemeClr w14:val="tx1"/>
            </w14:solidFill>
          </w14:textFill>
        </w:rPr>
        <w:t>逃逸排放主要源于原油输送管道的泄漏，可根据原油输送量估算，公式如下：</w:t>
      </w:r>
    </w:p>
    <w:p>
      <w:pPr>
        <w:widowControl/>
        <w:spacing w:line="360" w:lineRule="auto"/>
        <w:ind w:firstLine="480" w:firstLineChars="200"/>
        <w:jc w:val="left"/>
        <w:rPr>
          <w:rFonts w:ascii="Times New Roman" w:hAnsi="Times New Roman" w:cs="Times New Roman"/>
          <w:color w:val="000000" w:themeColor="text1"/>
          <w:sz w:val="24"/>
          <w14:textFill>
            <w14:solidFill>
              <w14:schemeClr w14:val="tx1"/>
            </w14:solidFill>
          </w14:textFill>
        </w:rPr>
      </w:pPr>
      <m:oMathPara>
        <m:oMath>
          <m:sSub>
            <m:sSubPr>
              <m:ctrlPr>
                <w:rPr>
                  <w:rFonts w:ascii="Cambria Math" w:hAnsi="Cambria Math" w:cs="Times New Roman"/>
                  <w:i/>
                  <w:color w:val="000000" w:themeColor="text1"/>
                  <w:sz w:val="24"/>
                  <w14:textFill>
                    <w14:solidFill>
                      <w14:schemeClr w14:val="tx1"/>
                    </w14:solidFill>
                  </w14:textFill>
                </w:rPr>
              </m:ctrlPr>
            </m:sSubPr>
            <m:e>
              <m:r>
                <w:rPr>
                  <w:rFonts w:ascii="Cambria Math" w:hAnsi="Cambria Math" w:cs="Times New Roman"/>
                  <w:color w:val="000000" w:themeColor="text1"/>
                  <w:sz w:val="24"/>
                  <w14:textFill>
                    <w14:solidFill>
                      <w14:schemeClr w14:val="tx1"/>
                    </w14:solidFill>
                  </w14:textFill>
                </w:rPr>
                <m:t>E</m:t>
              </m:r>
              <m:ctrlPr>
                <w:rPr>
                  <w:rFonts w:ascii="Cambria Math" w:hAnsi="Cambria Math" w:cs="Times New Roman"/>
                  <w:i/>
                  <w:color w:val="000000" w:themeColor="text1"/>
                  <w:sz w:val="24"/>
                  <w14:textFill>
                    <w14:solidFill>
                      <w14:schemeClr w14:val="tx1"/>
                    </w14:solidFill>
                  </w14:textFill>
                </w:rPr>
              </m:ctrlPr>
            </m:e>
            <m:sub>
              <m:r>
                <w:rPr>
                  <w:rFonts w:ascii="Cambria Math" w:hAnsi="Cambria Math" w:cs="Times New Roman"/>
                  <w:color w:val="000000" w:themeColor="text1"/>
                  <w:sz w:val="24"/>
                  <w14:textFill>
                    <w14:solidFill>
                      <w14:schemeClr w14:val="tx1"/>
                    </w14:solidFill>
                  </w14:textFill>
                </w:rPr>
                <m:t>CH4_油输逃逸</m:t>
              </m:r>
              <m:ctrlPr>
                <w:rPr>
                  <w:rFonts w:ascii="Cambria Math" w:hAnsi="Cambria Math" w:cs="Times New Roman"/>
                  <w:i/>
                  <w:color w:val="000000" w:themeColor="text1"/>
                  <w:sz w:val="24"/>
                  <w14:textFill>
                    <w14:solidFill>
                      <w14:schemeClr w14:val="tx1"/>
                    </w14:solidFill>
                  </w14:textFill>
                </w:rPr>
              </m:ctrlPr>
            </m:sub>
          </m:sSub>
          <m:r>
            <w:rPr>
              <w:rFonts w:ascii="Cambria Math" w:hAnsi="Cambria Math" w:cs="Times New Roman"/>
              <w:color w:val="000000" w:themeColor="text1"/>
              <w:sz w:val="24"/>
              <w14:textFill>
                <w14:solidFill>
                  <w14:schemeClr w14:val="tx1"/>
                </w14:solidFill>
              </w14:textFill>
            </w:rPr>
            <m:t>=</m:t>
          </m:r>
          <m:sSub>
            <m:sSubPr>
              <m:ctrlPr>
                <w:rPr>
                  <w:rFonts w:ascii="Cambria Math" w:hAnsi="Cambria Math" w:cs="Times New Roman"/>
                  <w:i/>
                  <w:color w:val="000000" w:themeColor="text1"/>
                  <w:sz w:val="24"/>
                  <w14:textFill>
                    <w14:solidFill>
                      <w14:schemeClr w14:val="tx1"/>
                    </w14:solidFill>
                  </w14:textFill>
                </w:rPr>
              </m:ctrlPr>
            </m:sSubPr>
            <m:e>
              <m:r>
                <w:rPr>
                  <w:rFonts w:ascii="Cambria Math" w:hAnsi="Cambria Math" w:cs="Times New Roman"/>
                  <w:color w:val="000000" w:themeColor="text1"/>
                  <w:sz w:val="24"/>
                  <w14:textFill>
                    <w14:solidFill>
                      <w14:schemeClr w14:val="tx1"/>
                    </w14:solidFill>
                  </w14:textFill>
                </w:rPr>
                <m:t>Q</m:t>
              </m:r>
              <m:ctrlPr>
                <w:rPr>
                  <w:rFonts w:ascii="Cambria Math" w:hAnsi="Cambria Math" w:cs="Times New Roman"/>
                  <w:i/>
                  <w:color w:val="000000" w:themeColor="text1"/>
                  <w:sz w:val="24"/>
                  <w14:textFill>
                    <w14:solidFill>
                      <w14:schemeClr w14:val="tx1"/>
                    </w14:solidFill>
                  </w14:textFill>
                </w:rPr>
              </m:ctrlPr>
            </m:e>
            <m:sub>
              <m:r>
                <w:rPr>
                  <w:rFonts w:ascii="Cambria Math" w:hAnsi="Cambria Math" w:cs="Times New Roman"/>
                  <w:color w:val="000000" w:themeColor="text1"/>
                  <w:sz w:val="24"/>
                  <w14:textFill>
                    <w14:solidFill>
                      <w14:schemeClr w14:val="tx1"/>
                    </w14:solidFill>
                  </w14:textFill>
                </w:rPr>
                <m:t>oil</m:t>
              </m:r>
              <m:ctrlPr>
                <w:rPr>
                  <w:rFonts w:ascii="Cambria Math" w:hAnsi="Cambria Math" w:cs="Times New Roman"/>
                  <w:i/>
                  <w:color w:val="000000" w:themeColor="text1"/>
                  <w:sz w:val="24"/>
                  <w14:textFill>
                    <w14:solidFill>
                      <w14:schemeClr w14:val="tx1"/>
                    </w14:solidFill>
                  </w14:textFill>
                </w:rPr>
              </m:ctrlPr>
            </m:sub>
          </m:sSub>
          <m:r>
            <w:rPr>
              <w:rFonts w:ascii="Cambria Math" w:hAnsi="Cambria Math" w:cs="Times New Roman"/>
              <w:color w:val="000000" w:themeColor="text1"/>
              <w:sz w:val="24"/>
              <w14:textFill>
                <w14:solidFill>
                  <w14:schemeClr w14:val="tx1"/>
                </w14:solidFill>
              </w14:textFill>
            </w:rPr>
            <m:t>×</m:t>
          </m:r>
          <m:sSub>
            <m:sSubPr>
              <m:ctrlPr>
                <w:rPr>
                  <w:rFonts w:ascii="Cambria Math" w:hAnsi="Cambria Math" w:cs="Times New Roman"/>
                  <w:i/>
                  <w:color w:val="000000" w:themeColor="text1"/>
                  <w:sz w:val="24"/>
                  <w14:textFill>
                    <w14:solidFill>
                      <w14:schemeClr w14:val="tx1"/>
                    </w14:solidFill>
                  </w14:textFill>
                </w:rPr>
              </m:ctrlPr>
            </m:sSubPr>
            <m:e>
              <m:r>
                <w:rPr>
                  <w:rFonts w:ascii="Cambria Math" w:hAnsi="Cambria Math" w:cs="Times New Roman"/>
                  <w:color w:val="000000" w:themeColor="text1"/>
                  <w:sz w:val="24"/>
                  <w14:textFill>
                    <w14:solidFill>
                      <w14:schemeClr w14:val="tx1"/>
                    </w14:solidFill>
                  </w14:textFill>
                </w:rPr>
                <m:t>EF</m:t>
              </m:r>
              <m:ctrlPr>
                <w:rPr>
                  <w:rFonts w:ascii="Cambria Math" w:hAnsi="Cambria Math" w:cs="Times New Roman"/>
                  <w:i/>
                  <w:color w:val="000000" w:themeColor="text1"/>
                  <w:sz w:val="24"/>
                  <w14:textFill>
                    <w14:solidFill>
                      <w14:schemeClr w14:val="tx1"/>
                    </w14:solidFill>
                  </w14:textFill>
                </w:rPr>
              </m:ctrlPr>
            </m:e>
            <m:sub>
              <m:r>
                <w:rPr>
                  <w:rFonts w:ascii="Cambria Math" w:hAnsi="Cambria Math" w:cs="Times New Roman"/>
                  <w:color w:val="000000" w:themeColor="text1"/>
                  <w:sz w:val="24"/>
                  <w14:textFill>
                    <w14:solidFill>
                      <w14:schemeClr w14:val="tx1"/>
                    </w14:solidFill>
                  </w14:textFill>
                </w:rPr>
                <m:t>CH4_油输逃逸</m:t>
              </m:r>
              <m:ctrlPr>
                <w:rPr>
                  <w:rFonts w:ascii="Cambria Math" w:hAnsi="Cambria Math" w:cs="Times New Roman"/>
                  <w:i/>
                  <w:color w:val="000000" w:themeColor="text1"/>
                  <w:sz w:val="24"/>
                  <w14:textFill>
                    <w14:solidFill>
                      <w14:schemeClr w14:val="tx1"/>
                    </w14:solidFill>
                  </w14:textFill>
                </w:rPr>
              </m:ctrlPr>
            </m:sub>
          </m:sSub>
        </m:oMath>
      </m:oMathPara>
    </w:p>
    <w:p>
      <w:pPr>
        <w:widowControl/>
        <w:spacing w:line="360" w:lineRule="auto"/>
        <w:ind w:firstLine="480" w:firstLineChars="2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式中：</w:t>
      </w:r>
    </w:p>
    <w:p>
      <w:pPr>
        <w:widowControl/>
        <w:spacing w:line="360" w:lineRule="auto"/>
        <w:ind w:firstLine="960" w:firstLineChars="4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i/>
          <w:iCs/>
          <w:color w:val="000000" w:themeColor="text1"/>
          <w:kern w:val="0"/>
          <w:sz w:val="24"/>
          <w:lang w:bidi="ar"/>
          <w14:textFill>
            <w14:solidFill>
              <w14:schemeClr w14:val="tx1"/>
            </w14:solidFill>
          </w14:textFill>
        </w:rPr>
        <w:t>E</w:t>
      </w:r>
      <w:r>
        <w:rPr>
          <w:rFonts w:ascii="Times New Roman" w:hAnsi="Times New Roman" w:eastAsia="宋体" w:cs="Times New Roman"/>
          <w:i/>
          <w:iCs/>
          <w:color w:val="000000" w:themeColor="text1"/>
          <w:kern w:val="0"/>
          <w:sz w:val="24"/>
          <w:vertAlign w:val="subscript"/>
          <w:lang w:bidi="ar"/>
          <w14:textFill>
            <w14:solidFill>
              <w14:schemeClr w14:val="tx1"/>
            </w14:solidFill>
          </w14:textFill>
        </w:rPr>
        <w:t>CH4</w:t>
      </w:r>
      <w:r>
        <w:rPr>
          <w:rFonts w:ascii="Times New Roman" w:hAnsi="Times New Roman" w:eastAsia="宋体" w:cs="Times New Roman"/>
          <w:color w:val="000000" w:themeColor="text1"/>
          <w:kern w:val="0"/>
          <w:sz w:val="24"/>
          <w:vertAlign w:val="subscript"/>
          <w:lang w:bidi="ar"/>
          <w14:textFill>
            <w14:solidFill>
              <w14:schemeClr w14:val="tx1"/>
            </w14:solidFill>
          </w14:textFill>
        </w:rPr>
        <w:t>_油输逃逸</w:t>
      </w:r>
      <w:r>
        <w:rPr>
          <w:rFonts w:ascii="Times New Roman" w:hAnsi="Times New Roman" w:eastAsia="宋体" w:cs="Times New Roman"/>
          <w:color w:val="000000" w:themeColor="text1"/>
          <w:kern w:val="0"/>
          <w:sz w:val="24"/>
          <w:lang w:bidi="ar"/>
          <w14:textFill>
            <w14:solidFill>
              <w14:schemeClr w14:val="tx1"/>
            </w14:solidFill>
          </w14:textFill>
        </w:rPr>
        <w:t>为原油输送过程中产生的CH</w:t>
      </w:r>
      <w:r>
        <w:rPr>
          <w:rFonts w:ascii="Times New Roman" w:hAnsi="Times New Roman" w:eastAsia="宋体" w:cs="Times New Roman"/>
          <w:color w:val="000000" w:themeColor="text1"/>
          <w:kern w:val="0"/>
          <w:sz w:val="24"/>
          <w:vertAlign w:val="subscript"/>
          <w:lang w:bidi="ar"/>
          <w14:textFill>
            <w14:solidFill>
              <w14:schemeClr w14:val="tx1"/>
            </w14:solidFill>
          </w14:textFill>
        </w:rPr>
        <w:t>4</w:t>
      </w:r>
      <w:r>
        <w:rPr>
          <w:rFonts w:ascii="Times New Roman" w:hAnsi="Times New Roman" w:eastAsia="宋体" w:cs="Times New Roman"/>
          <w:color w:val="000000" w:themeColor="text1"/>
          <w:kern w:val="0"/>
          <w:sz w:val="24"/>
          <w:lang w:bidi="ar"/>
          <w14:textFill>
            <w14:solidFill>
              <w14:schemeClr w14:val="tx1"/>
            </w14:solidFill>
          </w14:textFill>
        </w:rPr>
        <w:t>逃逸排放，单位为吨CH</w:t>
      </w:r>
      <w:r>
        <w:rPr>
          <w:rFonts w:ascii="Times New Roman" w:hAnsi="Times New Roman" w:eastAsia="宋体" w:cs="Times New Roman"/>
          <w:color w:val="000000" w:themeColor="text1"/>
          <w:kern w:val="0"/>
          <w:sz w:val="24"/>
          <w:vertAlign w:val="subscript"/>
          <w:lang w:bidi="ar"/>
          <w14:textFill>
            <w14:solidFill>
              <w14:schemeClr w14:val="tx1"/>
            </w14:solidFill>
          </w14:textFill>
        </w:rPr>
        <w:t>4</w:t>
      </w:r>
      <w:r>
        <w:rPr>
          <w:rFonts w:ascii="Times New Roman" w:hAnsi="Times New Roman" w:eastAsia="宋体" w:cs="Times New Roman"/>
          <w:color w:val="000000" w:themeColor="text1"/>
          <w:kern w:val="0"/>
          <w:sz w:val="24"/>
          <w:lang w:bidi="ar"/>
          <w14:textFill>
            <w14:solidFill>
              <w14:schemeClr w14:val="tx1"/>
            </w14:solidFill>
          </w14:textFill>
        </w:rPr>
        <w:t>；</w:t>
      </w:r>
    </w:p>
    <w:p>
      <w:pPr>
        <w:widowControl/>
        <w:spacing w:line="360" w:lineRule="auto"/>
        <w:ind w:firstLine="960" w:firstLineChars="4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i/>
          <w:iCs/>
          <w:color w:val="000000" w:themeColor="text1"/>
          <w:kern w:val="0"/>
          <w:sz w:val="24"/>
          <w:lang w:bidi="ar"/>
          <w14:textFill>
            <w14:solidFill>
              <w14:schemeClr w14:val="tx1"/>
            </w14:solidFill>
          </w14:textFill>
        </w:rPr>
        <w:t>Q</w:t>
      </w:r>
      <w:r>
        <w:rPr>
          <w:rFonts w:ascii="Times New Roman" w:hAnsi="Times New Roman" w:eastAsia="宋体" w:cs="Times New Roman"/>
          <w:color w:val="000000" w:themeColor="text1"/>
          <w:kern w:val="0"/>
          <w:sz w:val="24"/>
          <w:vertAlign w:val="subscript"/>
          <w:lang w:bidi="ar"/>
          <w14:textFill>
            <w14:solidFill>
              <w14:schemeClr w14:val="tx1"/>
            </w14:solidFill>
          </w14:textFill>
        </w:rPr>
        <w:t>oil</w:t>
      </w:r>
      <w:r>
        <w:rPr>
          <w:rFonts w:ascii="Times New Roman" w:hAnsi="Times New Roman" w:eastAsia="宋体" w:cs="Times New Roman"/>
          <w:color w:val="000000" w:themeColor="text1"/>
          <w:kern w:val="0"/>
          <w:sz w:val="24"/>
          <w:lang w:bidi="ar"/>
          <w14:textFill>
            <w14:solidFill>
              <w14:schemeClr w14:val="tx1"/>
            </w14:solidFill>
          </w14:textFill>
        </w:rPr>
        <w:t>为原油输送量，单位为亿吨；</w:t>
      </w:r>
    </w:p>
    <w:p>
      <w:pPr>
        <w:widowControl/>
        <w:spacing w:line="360" w:lineRule="auto"/>
        <w:ind w:firstLine="960" w:firstLineChars="400"/>
        <w:jc w:val="left"/>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EF</w:t>
      </w:r>
      <w:r>
        <w:rPr>
          <w:rFonts w:ascii="Times New Roman" w:hAnsi="Times New Roman" w:eastAsia="宋体" w:cs="Times New Roman"/>
          <w:i/>
          <w:iCs/>
          <w:color w:val="000000" w:themeColor="text1"/>
          <w:kern w:val="0"/>
          <w:sz w:val="24"/>
          <w:vertAlign w:val="subscript"/>
          <w:lang w:bidi="ar"/>
          <w14:textFill>
            <w14:solidFill>
              <w14:schemeClr w14:val="tx1"/>
            </w14:solidFill>
          </w14:textFill>
        </w:rPr>
        <w:t>CH4</w:t>
      </w:r>
      <w:r>
        <w:rPr>
          <w:rFonts w:ascii="Times New Roman" w:hAnsi="Times New Roman" w:eastAsia="宋体" w:cs="Times New Roman"/>
          <w:color w:val="000000" w:themeColor="text1"/>
          <w:kern w:val="0"/>
          <w:sz w:val="24"/>
          <w:vertAlign w:val="subscript"/>
          <w:lang w:bidi="ar"/>
          <w14:textFill>
            <w14:solidFill>
              <w14:schemeClr w14:val="tx1"/>
            </w14:solidFill>
          </w14:textFill>
        </w:rPr>
        <w:t>_油输逃逸</w:t>
      </w:r>
      <w:r>
        <w:rPr>
          <w:rFonts w:ascii="Times New Roman" w:hAnsi="Times New Roman" w:eastAsia="宋体" w:cs="Times New Roman"/>
          <w:color w:val="000000" w:themeColor="text1"/>
          <w:kern w:val="0"/>
          <w:sz w:val="24"/>
          <w:lang w:bidi="ar"/>
          <w14:textFill>
            <w14:solidFill>
              <w14:schemeClr w14:val="tx1"/>
            </w14:solidFill>
          </w14:textFill>
        </w:rPr>
        <w:t>为原油输送的CH</w:t>
      </w:r>
      <w:r>
        <w:rPr>
          <w:rFonts w:ascii="Times New Roman" w:hAnsi="Times New Roman" w:eastAsia="宋体" w:cs="Times New Roman"/>
          <w:color w:val="000000" w:themeColor="text1"/>
          <w:kern w:val="0"/>
          <w:sz w:val="24"/>
          <w:vertAlign w:val="subscript"/>
          <w:lang w:bidi="ar"/>
          <w14:textFill>
            <w14:solidFill>
              <w14:schemeClr w14:val="tx1"/>
            </w14:solidFill>
          </w14:textFill>
        </w:rPr>
        <w:t>4</w:t>
      </w:r>
      <w:r>
        <w:rPr>
          <w:rFonts w:ascii="Times New Roman" w:hAnsi="Times New Roman" w:eastAsia="宋体" w:cs="Times New Roman"/>
          <w:color w:val="000000" w:themeColor="text1"/>
          <w:kern w:val="0"/>
          <w:sz w:val="24"/>
          <w:lang w:bidi="ar"/>
          <w14:textFill>
            <w14:solidFill>
              <w14:schemeClr w14:val="tx1"/>
            </w14:solidFill>
          </w14:textFill>
        </w:rPr>
        <w:t>逃逸排放因子，单位为吨CH</w:t>
      </w:r>
      <w:r>
        <w:rPr>
          <w:rFonts w:ascii="Times New Roman" w:hAnsi="Times New Roman" w:eastAsia="宋体" w:cs="Times New Roman"/>
          <w:color w:val="000000" w:themeColor="text1"/>
          <w:kern w:val="0"/>
          <w:sz w:val="24"/>
          <w:vertAlign w:val="subscript"/>
          <w:lang w:bidi="ar"/>
          <w14:textFill>
            <w14:solidFill>
              <w14:schemeClr w14:val="tx1"/>
            </w14:solidFill>
          </w14:textFill>
        </w:rPr>
        <w:t>4</w:t>
      </w:r>
      <w:r>
        <w:rPr>
          <w:rFonts w:ascii="Times New Roman" w:hAnsi="Times New Roman" w:eastAsia="宋体" w:cs="Times New Roman"/>
          <w:color w:val="000000" w:themeColor="text1"/>
          <w:kern w:val="0"/>
          <w:sz w:val="24"/>
          <w:lang w:bidi="ar"/>
          <w14:textFill>
            <w14:solidFill>
              <w14:schemeClr w14:val="tx1"/>
            </w14:solidFill>
          </w14:textFill>
        </w:rPr>
        <w:t>/亿吨原油。</w:t>
      </w:r>
    </w:p>
    <w:p>
      <w:pPr>
        <w:widowControl/>
        <w:spacing w:line="360" w:lineRule="auto"/>
        <w:ind w:firstLine="480" w:firstLineChars="200"/>
        <w:jc w:val="left"/>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根据《中国石油天然气生产企业温室气体排放核算方法与报告指南（试行）》，参考</w:t>
      </w:r>
      <w:r>
        <w:rPr>
          <w:rFonts w:ascii="Times New Roman" w:hAnsi="Times New Roman" w:eastAsia="宋体" w:cs="Times New Roman"/>
          <w:color w:val="000000" w:themeColor="text1"/>
          <w:kern w:val="0"/>
          <w:sz w:val="24"/>
          <w:lang w:bidi="ar"/>
          <w14:textFill>
            <w14:solidFill>
              <w14:schemeClr w14:val="tx1"/>
            </w14:solidFill>
          </w14:textFill>
        </w:rPr>
        <w:t>附录二表2.2根据相应的装置类型选用缺省值。</w:t>
      </w:r>
    </w:p>
    <w:p>
      <w:pPr>
        <w:pStyle w:val="58"/>
        <w:spacing w:line="360" w:lineRule="auto"/>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表3.7-2</w:t>
      </w:r>
      <w:r>
        <w:rPr>
          <w:rFonts w:hint="eastAsia" w:cs="Times New Roman" w:eastAsiaTheme="minorEastAsia"/>
          <w:b/>
          <w:bCs/>
          <w:color w:val="000000" w:themeColor="text1"/>
          <w:sz w:val="21"/>
          <w:szCs w:val="21"/>
          <w14:textFill>
            <w14:solidFill>
              <w14:schemeClr w14:val="tx1"/>
            </w14:solidFill>
          </w14:textFill>
        </w:rPr>
        <w:t>1</w:t>
      </w:r>
      <w:r>
        <w:rPr>
          <w:rFonts w:cs="Times New Roman" w:eastAsiaTheme="minorEastAsia"/>
          <w:b/>
          <w:bCs/>
          <w:color w:val="000000" w:themeColor="text1"/>
          <w:sz w:val="21"/>
          <w:szCs w:val="21"/>
          <w14:textFill>
            <w14:solidFill>
              <w14:schemeClr w14:val="tx1"/>
            </w14:solidFill>
          </w14:textFill>
        </w:rPr>
        <w:t xml:space="preserve">  油气系统不同设施CH</w:t>
      </w:r>
      <w:r>
        <w:rPr>
          <w:rFonts w:cs="Times New Roman" w:eastAsiaTheme="minorEastAsia"/>
          <w:b/>
          <w:bCs/>
          <w:color w:val="000000" w:themeColor="text1"/>
          <w:sz w:val="21"/>
          <w:szCs w:val="21"/>
          <w:vertAlign w:val="subscript"/>
          <w14:textFill>
            <w14:solidFill>
              <w14:schemeClr w14:val="tx1"/>
            </w14:solidFill>
          </w14:textFill>
        </w:rPr>
        <w:t>4</w:t>
      </w:r>
      <w:r>
        <w:rPr>
          <w:rFonts w:cs="Times New Roman" w:eastAsiaTheme="minorEastAsia"/>
          <w:b/>
          <w:bCs/>
          <w:color w:val="000000" w:themeColor="text1"/>
          <w:sz w:val="21"/>
          <w:szCs w:val="21"/>
          <w14:textFill>
            <w14:solidFill>
              <w14:schemeClr w14:val="tx1"/>
            </w14:solidFill>
          </w14:textFill>
        </w:rPr>
        <w:t>排放因子</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restart"/>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油气系统</w:t>
            </w:r>
          </w:p>
        </w:tc>
        <w:tc>
          <w:tcPr>
            <w:tcW w:w="5682" w:type="dxa"/>
            <w:gridSpan w:val="2"/>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设施/设备CH</w:t>
            </w:r>
            <w:r>
              <w:rPr>
                <w:rFonts w:cs="Times New Roman" w:eastAsiaTheme="minorEastAsia"/>
                <w:b/>
                <w:bCs/>
                <w:color w:val="000000" w:themeColor="text1"/>
                <w:sz w:val="21"/>
                <w:szCs w:val="21"/>
                <w:vertAlign w:val="subscript"/>
                <w14:textFill>
                  <w14:solidFill>
                    <w14:schemeClr w14:val="tx1"/>
                  </w14:solidFill>
                </w14:textFill>
              </w:rPr>
              <w:t>4</w:t>
            </w:r>
            <w:r>
              <w:rPr>
                <w:rFonts w:cs="Times New Roman" w:eastAsiaTheme="minorEastAsia"/>
                <w:b/>
                <w:bCs/>
                <w:color w:val="000000" w:themeColor="text1"/>
                <w:sz w:val="21"/>
                <w:szCs w:val="21"/>
                <w14:textFill>
                  <w14:solidFill>
                    <w14:schemeClr w14:val="tx1"/>
                  </w14:solidFill>
                </w14:textFill>
              </w:rPr>
              <w:t>排放因子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p>
        </w:tc>
        <w:tc>
          <w:tcPr>
            <w:tcW w:w="2841" w:type="dxa"/>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设施逃逸</w:t>
            </w:r>
          </w:p>
        </w:tc>
        <w:tc>
          <w:tcPr>
            <w:tcW w:w="2841" w:type="dxa"/>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工艺排放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a.）常规石油开采</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井口装置</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0.23（吨/年·个）</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单井储油装置</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0.38（吨/年·个）</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0.22（吨/年·个）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接转站</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0.18（吨/年·个）</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0.11（吨/年·个）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联合站</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1.40（吨/年·个）</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0.45（吨/年·个）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b.）原油储运</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原油输送管道</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753.29（吨/亿吨）</w:t>
            </w:r>
          </w:p>
        </w:tc>
        <w:tc>
          <w:tcPr>
            <w:tcW w:w="2841"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bl>
    <w:p>
      <w:pPr>
        <w:pStyle w:val="58"/>
        <w:spacing w:line="360" w:lineRule="auto"/>
        <w:ind w:firstLine="480" w:firstLineChars="2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根据计算公式和表3.7-2</w:t>
      </w:r>
      <w:r>
        <w:rPr>
          <w:rFonts w:hint="eastAsia" w:cs="Times New Roman" w:eastAsiaTheme="minorEastAsia"/>
          <w:color w:val="000000" w:themeColor="text1"/>
          <w:sz w:val="24"/>
          <w:szCs w:val="24"/>
          <w14:textFill>
            <w14:solidFill>
              <w14:schemeClr w14:val="tx1"/>
            </w14:solidFill>
          </w14:textFill>
        </w:rPr>
        <w:t>1</w:t>
      </w:r>
      <w:r>
        <w:rPr>
          <w:rFonts w:cs="Times New Roman" w:eastAsiaTheme="minorEastAsia"/>
          <w:color w:val="000000" w:themeColor="text1"/>
          <w:sz w:val="24"/>
          <w:szCs w:val="24"/>
          <w14:textFill>
            <w14:solidFill>
              <w14:schemeClr w14:val="tx1"/>
            </w14:solidFill>
          </w14:textFill>
        </w:rPr>
        <w:t>，可计算出本项目石油开采过程中CH</w:t>
      </w:r>
      <w:r>
        <w:rPr>
          <w:rFonts w:cs="Times New Roman" w:eastAsiaTheme="minorEastAsia"/>
          <w:color w:val="000000" w:themeColor="text1"/>
          <w:sz w:val="24"/>
          <w:szCs w:val="24"/>
          <w:vertAlign w:val="subscript"/>
          <w14:textFill>
            <w14:solidFill>
              <w14:schemeClr w14:val="tx1"/>
            </w14:solidFill>
          </w14:textFill>
        </w:rPr>
        <w:t>4</w:t>
      </w:r>
      <w:r>
        <w:rPr>
          <w:rFonts w:cs="Times New Roman" w:eastAsiaTheme="minorEastAsia"/>
          <w:color w:val="000000" w:themeColor="text1"/>
          <w:sz w:val="24"/>
          <w:szCs w:val="24"/>
          <w14:textFill>
            <w14:solidFill>
              <w14:schemeClr w14:val="tx1"/>
            </w14:solidFill>
          </w14:textFill>
        </w:rPr>
        <w:t>的排放量为11.64吨。具体见表3.7-2</w:t>
      </w:r>
      <w:r>
        <w:rPr>
          <w:rFonts w:hint="eastAsia" w:cs="Times New Roman" w:eastAsiaTheme="minorEastAsia"/>
          <w:color w:val="000000" w:themeColor="text1"/>
          <w:sz w:val="24"/>
          <w:szCs w:val="24"/>
          <w14:textFill>
            <w14:solidFill>
              <w14:schemeClr w14:val="tx1"/>
            </w14:solidFill>
          </w14:textFill>
        </w:rPr>
        <w:t>2</w:t>
      </w:r>
      <w:r>
        <w:rPr>
          <w:rFonts w:cs="Times New Roman" w:eastAsiaTheme="minorEastAsia"/>
          <w:color w:val="000000" w:themeColor="text1"/>
          <w:sz w:val="24"/>
          <w:szCs w:val="24"/>
          <w14:textFill>
            <w14:solidFill>
              <w14:schemeClr w14:val="tx1"/>
            </w14:solidFill>
          </w14:textFill>
        </w:rPr>
        <w:t>。</w:t>
      </w:r>
    </w:p>
    <w:p>
      <w:pPr>
        <w:pStyle w:val="58"/>
        <w:spacing w:line="360" w:lineRule="auto"/>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表3.7-2</w:t>
      </w:r>
      <w:r>
        <w:rPr>
          <w:rFonts w:hint="eastAsia" w:cs="Times New Roman" w:eastAsiaTheme="minorEastAsia"/>
          <w:b/>
          <w:bCs/>
          <w:color w:val="000000" w:themeColor="text1"/>
          <w:sz w:val="21"/>
          <w:szCs w:val="21"/>
          <w14:textFill>
            <w14:solidFill>
              <w14:schemeClr w14:val="tx1"/>
            </w14:solidFill>
          </w14:textFill>
        </w:rPr>
        <w:t>2</w:t>
      </w:r>
      <w:r>
        <w:rPr>
          <w:rFonts w:cs="Times New Roman" w:eastAsiaTheme="minorEastAsia"/>
          <w:b/>
          <w:bCs/>
          <w:color w:val="000000" w:themeColor="text1"/>
          <w:sz w:val="21"/>
          <w:szCs w:val="21"/>
          <w14:textFill>
            <w14:solidFill>
              <w14:schemeClr w14:val="tx1"/>
            </w14:solidFill>
          </w14:textFill>
        </w:rPr>
        <w:t xml:space="preserve">  石油开采各工艺CH</w:t>
      </w:r>
      <w:r>
        <w:rPr>
          <w:rFonts w:cs="Times New Roman" w:eastAsiaTheme="minorEastAsia"/>
          <w:b/>
          <w:bCs/>
          <w:color w:val="000000" w:themeColor="text1"/>
          <w:sz w:val="21"/>
          <w:szCs w:val="21"/>
          <w:vertAlign w:val="subscript"/>
          <w14:textFill>
            <w14:solidFill>
              <w14:schemeClr w14:val="tx1"/>
            </w14:solidFill>
          </w14:textFill>
        </w:rPr>
        <w:t>4</w:t>
      </w:r>
      <w:r>
        <w:rPr>
          <w:rFonts w:cs="Times New Roman" w:eastAsiaTheme="minorEastAsia"/>
          <w:b/>
          <w:bCs/>
          <w:color w:val="000000" w:themeColor="text1"/>
          <w:sz w:val="21"/>
          <w:szCs w:val="21"/>
          <w14:textFill>
            <w14:solidFill>
              <w14:schemeClr w14:val="tx1"/>
            </w14:solidFill>
          </w14:textFill>
        </w:rPr>
        <w:t>排放量表</w:t>
      </w:r>
    </w:p>
    <w:tbl>
      <w:tblPr>
        <w:tblStyle w:val="2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879"/>
        <w:gridCol w:w="1365"/>
        <w:gridCol w:w="1389"/>
        <w:gridCol w:w="1102"/>
        <w:gridCol w:w="968"/>
        <w:gridCol w:w="968"/>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排放源</w:t>
            </w:r>
          </w:p>
        </w:tc>
        <w:tc>
          <w:tcPr>
            <w:tcW w:w="879" w:type="dxa"/>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指标</w:t>
            </w:r>
          </w:p>
        </w:tc>
        <w:tc>
          <w:tcPr>
            <w:tcW w:w="1365" w:type="dxa"/>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单位</w:t>
            </w:r>
          </w:p>
        </w:tc>
        <w:tc>
          <w:tcPr>
            <w:tcW w:w="1389" w:type="dxa"/>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设施/设备</w:t>
            </w:r>
          </w:p>
        </w:tc>
        <w:tc>
          <w:tcPr>
            <w:tcW w:w="1102" w:type="dxa"/>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数量</w:t>
            </w:r>
          </w:p>
        </w:tc>
        <w:tc>
          <w:tcPr>
            <w:tcW w:w="968" w:type="dxa"/>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i/>
                <w:iCs/>
                <w:color w:val="000000" w:themeColor="text1"/>
                <w:sz w:val="21"/>
                <w:szCs w:val="21"/>
                <w14:textFill>
                  <w14:solidFill>
                    <w14:schemeClr w14:val="tx1"/>
                  </w14:solidFill>
                </w14:textFill>
              </w:rPr>
              <w:t>E</w:t>
            </w:r>
            <w:r>
              <w:rPr>
                <w:rFonts w:cs="Times New Roman" w:eastAsiaTheme="minorEastAsia"/>
                <w:b/>
                <w:bCs/>
                <w:i/>
                <w:iCs/>
                <w:color w:val="000000" w:themeColor="text1"/>
                <w:sz w:val="21"/>
                <w:szCs w:val="21"/>
                <w:vertAlign w:val="subscript"/>
                <w14:textFill>
                  <w14:solidFill>
                    <w14:schemeClr w14:val="tx1"/>
                  </w14:solidFill>
                </w14:textFill>
              </w:rPr>
              <w:t>CH4</w:t>
            </w:r>
            <w:r>
              <w:rPr>
                <w:rFonts w:cs="Times New Roman" w:eastAsiaTheme="minorEastAsia"/>
                <w:b/>
                <w:bCs/>
                <w:color w:val="000000" w:themeColor="text1"/>
                <w:sz w:val="21"/>
                <w:szCs w:val="21"/>
                <w:vertAlign w:val="subscript"/>
                <w14:textFill>
                  <w14:solidFill>
                    <w14:schemeClr w14:val="tx1"/>
                  </w14:solidFill>
                </w14:textFill>
              </w:rPr>
              <w:t>_开采放空</w:t>
            </w:r>
          </w:p>
        </w:tc>
        <w:tc>
          <w:tcPr>
            <w:tcW w:w="968" w:type="dxa"/>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i/>
                <w:iCs/>
                <w:color w:val="000000" w:themeColor="text1"/>
                <w:sz w:val="21"/>
                <w:szCs w:val="21"/>
                <w14:textFill>
                  <w14:solidFill>
                    <w14:schemeClr w14:val="tx1"/>
                  </w14:solidFill>
                </w14:textFill>
              </w:rPr>
              <w:t>E</w:t>
            </w:r>
            <w:r>
              <w:rPr>
                <w:rFonts w:cs="Times New Roman" w:eastAsiaTheme="minorEastAsia"/>
                <w:b/>
                <w:bCs/>
                <w:i/>
                <w:iCs/>
                <w:color w:val="000000" w:themeColor="text1"/>
                <w:sz w:val="21"/>
                <w:szCs w:val="21"/>
                <w:vertAlign w:val="subscript"/>
                <w14:textFill>
                  <w14:solidFill>
                    <w14:schemeClr w14:val="tx1"/>
                  </w14:solidFill>
                </w14:textFill>
              </w:rPr>
              <w:t>CH4</w:t>
            </w:r>
            <w:r>
              <w:rPr>
                <w:rFonts w:cs="Times New Roman" w:eastAsiaTheme="minorEastAsia"/>
                <w:b/>
                <w:bCs/>
                <w:color w:val="000000" w:themeColor="text1"/>
                <w:sz w:val="21"/>
                <w:szCs w:val="21"/>
                <w:vertAlign w:val="subscript"/>
                <w14:textFill>
                  <w14:solidFill>
                    <w14:schemeClr w14:val="tx1"/>
                  </w14:solidFill>
                </w14:textFill>
              </w:rPr>
              <w:t>_开采逃逸</w:t>
            </w:r>
          </w:p>
        </w:tc>
        <w:tc>
          <w:tcPr>
            <w:tcW w:w="968" w:type="dxa"/>
            <w:vAlign w:val="center"/>
          </w:tcPr>
          <w:p>
            <w:pPr>
              <w:pStyle w:val="58"/>
              <w:jc w:val="center"/>
              <w:outlineLvl w:val="9"/>
              <w:rPr>
                <w:rFonts w:cs="Times New Roman" w:eastAsiaTheme="minorEastAsia"/>
                <w:b/>
                <w:bCs/>
                <w:color w:val="000000" w:themeColor="text1"/>
                <w:sz w:val="21"/>
                <w:szCs w:val="21"/>
                <w14:textFill>
                  <w14:solidFill>
                    <w14:schemeClr w14:val="tx1"/>
                  </w14:solidFill>
                </w14:textFill>
              </w:rPr>
            </w:pPr>
            <w:r>
              <w:rPr>
                <w:rFonts w:cs="Times New Roman"/>
                <w:b/>
                <w:bCs/>
                <w:i/>
                <w:iCs/>
                <w:color w:val="000000" w:themeColor="text1"/>
                <w:kern w:val="0"/>
                <w:sz w:val="21"/>
                <w:szCs w:val="21"/>
                <w:lang w:bidi="ar"/>
                <w14:textFill>
                  <w14:solidFill>
                    <w14:schemeClr w14:val="tx1"/>
                  </w14:solidFill>
                </w14:textFill>
              </w:rPr>
              <w:t>E</w:t>
            </w:r>
            <w:r>
              <w:rPr>
                <w:rFonts w:cs="Times New Roman"/>
                <w:b/>
                <w:bCs/>
                <w:i/>
                <w:iCs/>
                <w:color w:val="000000" w:themeColor="text1"/>
                <w:kern w:val="0"/>
                <w:sz w:val="21"/>
                <w:szCs w:val="21"/>
                <w:vertAlign w:val="subscript"/>
                <w:lang w:bidi="ar"/>
                <w14:textFill>
                  <w14:solidFill>
                    <w14:schemeClr w14:val="tx1"/>
                  </w14:solidFill>
                </w14:textFill>
              </w:rPr>
              <w:t>CH4</w:t>
            </w:r>
            <w:r>
              <w:rPr>
                <w:rFonts w:cs="Times New Roman"/>
                <w:b/>
                <w:bCs/>
                <w:color w:val="000000" w:themeColor="text1"/>
                <w:kern w:val="0"/>
                <w:sz w:val="21"/>
                <w:szCs w:val="21"/>
                <w:vertAlign w:val="subscript"/>
                <w:lang w:bidi="ar"/>
                <w14:textFill>
                  <w14:solidFill>
                    <w14:schemeClr w14:val="tx1"/>
                  </w14:solidFill>
                </w14:textFill>
              </w:rPr>
              <w:t>_油输逃逸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restart"/>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油气开采业务工艺放空</w:t>
            </w:r>
          </w:p>
        </w:tc>
        <w:tc>
          <w:tcPr>
            <w:tcW w:w="87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i/>
                <w:iCs/>
                <w:color w:val="000000" w:themeColor="text1"/>
                <w:sz w:val="21"/>
                <w:szCs w:val="21"/>
                <w14:textFill>
                  <w14:solidFill>
                    <w14:schemeClr w14:val="tx1"/>
                  </w14:solidFill>
                </w14:textFill>
              </w:rPr>
              <w:t>Numj</w:t>
            </w:r>
          </w:p>
        </w:tc>
        <w:tc>
          <w:tcPr>
            <w:tcW w:w="1365"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（个）</w:t>
            </w:r>
          </w:p>
        </w:tc>
        <w:tc>
          <w:tcPr>
            <w:tcW w:w="138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39</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continue"/>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p>
        </w:tc>
        <w:tc>
          <w:tcPr>
            <w:tcW w:w="879" w:type="dxa"/>
            <w:vMerge w:val="restart"/>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i/>
                <w:iCs/>
                <w:color w:val="000000" w:themeColor="text1"/>
                <w:sz w:val="21"/>
                <w:szCs w:val="21"/>
                <w14:textFill>
                  <w14:solidFill>
                    <w14:schemeClr w14:val="tx1"/>
                  </w14:solidFill>
                </w14:textFill>
              </w:rPr>
              <w:t>EFj</w:t>
            </w:r>
          </w:p>
        </w:tc>
        <w:tc>
          <w:tcPr>
            <w:tcW w:w="1365"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CH</w:t>
            </w:r>
            <w:r>
              <w:rPr>
                <w:rFonts w:cs="Times New Roman" w:eastAsiaTheme="minorEastAsia"/>
                <w:color w:val="000000" w:themeColor="text1"/>
                <w:sz w:val="21"/>
                <w:szCs w:val="21"/>
                <w:vertAlign w:val="subscript"/>
                <w14:textFill>
                  <w14:solidFill>
                    <w14:schemeClr w14:val="tx1"/>
                  </w14:solidFill>
                </w14:textFill>
              </w:rPr>
              <w:t>4</w:t>
            </w:r>
            <w:r>
              <w:rPr>
                <w:rFonts w:cs="Times New Roman" w:eastAsiaTheme="minorEastAsia"/>
                <w:color w:val="000000" w:themeColor="text1"/>
                <w:sz w:val="21"/>
                <w:szCs w:val="21"/>
                <w14:textFill>
                  <w14:solidFill>
                    <w14:schemeClr w14:val="tx1"/>
                  </w14:solidFill>
                </w14:textFill>
              </w:rPr>
              <w:t>/（年·个）</w:t>
            </w:r>
          </w:p>
        </w:tc>
        <w:tc>
          <w:tcPr>
            <w:tcW w:w="138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井口装置</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28</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continue"/>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p>
        </w:tc>
        <w:tc>
          <w:tcPr>
            <w:tcW w:w="879" w:type="dxa"/>
            <w:vMerge w:val="continue"/>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p>
        </w:tc>
        <w:tc>
          <w:tcPr>
            <w:tcW w:w="1365"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CH</w:t>
            </w:r>
            <w:r>
              <w:rPr>
                <w:rFonts w:cs="Times New Roman" w:eastAsiaTheme="minorEastAsia"/>
                <w:color w:val="000000" w:themeColor="text1"/>
                <w:sz w:val="21"/>
                <w:szCs w:val="21"/>
                <w:vertAlign w:val="subscript"/>
                <w14:textFill>
                  <w14:solidFill>
                    <w14:schemeClr w14:val="tx1"/>
                  </w14:solidFill>
                </w14:textFill>
              </w:rPr>
              <w:t>4</w:t>
            </w:r>
            <w:r>
              <w:rPr>
                <w:rFonts w:cs="Times New Roman" w:eastAsiaTheme="minorEastAsia"/>
                <w:color w:val="000000" w:themeColor="text1"/>
                <w:sz w:val="21"/>
                <w:szCs w:val="21"/>
                <w14:textFill>
                  <w14:solidFill>
                    <w14:schemeClr w14:val="tx1"/>
                  </w14:solidFill>
                </w14:textFill>
              </w:rPr>
              <w:t>/（年·个）</w:t>
            </w:r>
          </w:p>
        </w:tc>
        <w:tc>
          <w:tcPr>
            <w:tcW w:w="138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计量站</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8</w:t>
            </w:r>
            <w:r>
              <w:rPr>
                <w:rFonts w:cs="Times New Roman" w:eastAsiaTheme="minorEastAsia"/>
                <w:color w:val="000000" w:themeColor="text1"/>
                <w:sz w:val="21"/>
                <w:szCs w:val="21"/>
                <w14:textFill>
                  <w14:solidFill>
                    <w14:schemeClr w14:val="tx1"/>
                  </w14:solidFill>
                </w14:textFill>
              </w:rPr>
              <w:t>（</w:t>
            </w:r>
            <w:r>
              <w:rPr>
                <w:rFonts w:hint="eastAsia" w:cs="Times New Roman" w:eastAsiaTheme="minorEastAsia"/>
                <w:color w:val="000000" w:themeColor="text1"/>
                <w:sz w:val="21"/>
                <w:szCs w:val="21"/>
                <w14:textFill>
                  <w14:solidFill>
                    <w14:schemeClr w14:val="tx1"/>
                  </w14:solidFill>
                </w14:textFill>
              </w:rPr>
              <w:t>5</w:t>
            </w:r>
            <w:r>
              <w:rPr>
                <w:rFonts w:cs="Times New Roman" w:eastAsiaTheme="minorEastAsia"/>
                <w:color w:val="000000" w:themeColor="text1"/>
                <w:sz w:val="21"/>
                <w:szCs w:val="21"/>
                <w14:textFill>
                  <w14:solidFill>
                    <w14:schemeClr w14:val="tx1"/>
                  </w14:solidFill>
                </w14:textFill>
              </w:rPr>
              <w:t>座新建+</w:t>
            </w:r>
            <w:r>
              <w:rPr>
                <w:rFonts w:hint="eastAsia" w:cs="Times New Roman" w:eastAsiaTheme="minorEastAsia"/>
                <w:color w:val="000000" w:themeColor="text1"/>
                <w:sz w:val="21"/>
                <w:szCs w:val="21"/>
                <w14:textFill>
                  <w14:solidFill>
                    <w14:schemeClr w14:val="tx1"/>
                  </w14:solidFill>
                </w14:textFill>
              </w:rPr>
              <w:t>3</w:t>
            </w:r>
            <w:r>
              <w:rPr>
                <w:rFonts w:cs="Times New Roman" w:eastAsiaTheme="minorEastAsia"/>
                <w:color w:val="000000" w:themeColor="text1"/>
                <w:sz w:val="21"/>
                <w:szCs w:val="21"/>
                <w14:textFill>
                  <w14:solidFill>
                    <w14:schemeClr w14:val="tx1"/>
                  </w14:solidFill>
                </w14:textFill>
              </w:rPr>
              <w:t>座依托已建）</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w:t>
            </w:r>
            <w:r>
              <w:rPr>
                <w:rFonts w:hint="eastAsia" w:cs="Times New Roman" w:eastAsiaTheme="minorEastAsia"/>
                <w:color w:val="000000" w:themeColor="text1"/>
                <w:sz w:val="21"/>
                <w:szCs w:val="21"/>
                <w14:textFill>
                  <w14:solidFill>
                    <w14:schemeClr w14:val="tx1"/>
                  </w14:solidFill>
                </w14:textFill>
              </w:rPr>
              <w:t>88</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continue"/>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p>
        </w:tc>
        <w:tc>
          <w:tcPr>
            <w:tcW w:w="879" w:type="dxa"/>
            <w:vMerge w:val="continue"/>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p>
        </w:tc>
        <w:tc>
          <w:tcPr>
            <w:tcW w:w="1365"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CH</w:t>
            </w:r>
            <w:r>
              <w:rPr>
                <w:rFonts w:cs="Times New Roman" w:eastAsiaTheme="minorEastAsia"/>
                <w:color w:val="000000" w:themeColor="text1"/>
                <w:sz w:val="21"/>
                <w:szCs w:val="21"/>
                <w:vertAlign w:val="subscript"/>
                <w14:textFill>
                  <w14:solidFill>
                    <w14:schemeClr w14:val="tx1"/>
                  </w14:solidFill>
                </w14:textFill>
              </w:rPr>
              <w:t>4</w:t>
            </w:r>
            <w:r>
              <w:rPr>
                <w:rFonts w:cs="Times New Roman" w:eastAsiaTheme="minorEastAsia"/>
                <w:color w:val="000000" w:themeColor="text1"/>
                <w:sz w:val="21"/>
                <w:szCs w:val="21"/>
                <w14:textFill>
                  <w14:solidFill>
                    <w14:schemeClr w14:val="tx1"/>
                  </w14:solidFill>
                </w14:textFill>
              </w:rPr>
              <w:t>/（年·个）</w:t>
            </w:r>
          </w:p>
        </w:tc>
        <w:tc>
          <w:tcPr>
            <w:tcW w:w="138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阀池</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5</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w:t>
            </w:r>
            <w:r>
              <w:rPr>
                <w:rFonts w:hint="eastAsia" w:cs="Times New Roman" w:eastAsiaTheme="minorEastAsia"/>
                <w:color w:val="000000" w:themeColor="text1"/>
                <w:sz w:val="21"/>
                <w:szCs w:val="21"/>
                <w14:textFill>
                  <w14:solidFill>
                    <w14:schemeClr w14:val="tx1"/>
                  </w14:solidFill>
                </w14:textFill>
              </w:rPr>
              <w:t>55</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continue"/>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p>
        </w:tc>
        <w:tc>
          <w:tcPr>
            <w:tcW w:w="879" w:type="dxa"/>
            <w:vMerge w:val="continue"/>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p>
        </w:tc>
        <w:tc>
          <w:tcPr>
            <w:tcW w:w="1365"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CH</w:t>
            </w:r>
            <w:r>
              <w:rPr>
                <w:rFonts w:cs="Times New Roman" w:eastAsiaTheme="minorEastAsia"/>
                <w:color w:val="000000" w:themeColor="text1"/>
                <w:sz w:val="21"/>
                <w:szCs w:val="21"/>
                <w:vertAlign w:val="subscript"/>
                <w14:textFill>
                  <w14:solidFill>
                    <w14:schemeClr w14:val="tx1"/>
                  </w14:solidFill>
                </w14:textFill>
              </w:rPr>
              <w:t>4</w:t>
            </w:r>
            <w:r>
              <w:rPr>
                <w:rFonts w:cs="Times New Roman" w:eastAsiaTheme="minorEastAsia"/>
                <w:color w:val="000000" w:themeColor="text1"/>
                <w:sz w:val="21"/>
                <w:szCs w:val="21"/>
                <w14:textFill>
                  <w14:solidFill>
                    <w14:schemeClr w14:val="tx1"/>
                  </w14:solidFill>
                </w14:textFill>
              </w:rPr>
              <w:t>/（年·个）</w:t>
            </w:r>
          </w:p>
        </w:tc>
        <w:tc>
          <w:tcPr>
            <w:tcW w:w="138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联合站</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1</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0.45</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restart"/>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油气开采业务CH</w:t>
            </w:r>
            <w:r>
              <w:rPr>
                <w:rFonts w:cs="Times New Roman"/>
                <w:color w:val="000000" w:themeColor="text1"/>
                <w:sz w:val="21"/>
                <w:szCs w:val="21"/>
                <w:vertAlign w:val="subscript"/>
                <w14:textFill>
                  <w14:solidFill>
                    <w14:schemeClr w14:val="tx1"/>
                  </w14:solidFill>
                </w14:textFill>
              </w:rPr>
              <w:t>4</w:t>
            </w:r>
            <w:r>
              <w:rPr>
                <w:rFonts w:cs="Times New Roman"/>
                <w:color w:val="000000" w:themeColor="text1"/>
                <w:sz w:val="21"/>
                <w:szCs w:val="21"/>
                <w14:textFill>
                  <w14:solidFill>
                    <w14:schemeClr w14:val="tx1"/>
                  </w14:solidFill>
                </w14:textFill>
              </w:rPr>
              <w:t>逃逸</w:t>
            </w:r>
          </w:p>
        </w:tc>
        <w:tc>
          <w:tcPr>
            <w:tcW w:w="879"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i/>
                <w:iCs/>
                <w:color w:val="000000" w:themeColor="text1"/>
                <w:sz w:val="21"/>
                <w:szCs w:val="21"/>
                <w14:textFill>
                  <w14:solidFill>
                    <w14:schemeClr w14:val="tx1"/>
                  </w14:solidFill>
                </w14:textFill>
              </w:rPr>
              <w:t>Num</w:t>
            </w:r>
            <w:r>
              <w:rPr>
                <w:rFonts w:cs="Times New Roman" w:eastAsiaTheme="minorEastAsia"/>
                <w:i/>
                <w:iCs/>
                <w:color w:val="000000" w:themeColor="text1"/>
                <w:sz w:val="21"/>
                <w:szCs w:val="21"/>
                <w:vertAlign w:val="subscript"/>
                <w14:textFill>
                  <w14:solidFill>
                    <w14:schemeClr w14:val="tx1"/>
                  </w14:solidFill>
                </w14:textFill>
              </w:rPr>
              <w:t>oil,j</w:t>
            </w:r>
          </w:p>
        </w:tc>
        <w:tc>
          <w:tcPr>
            <w:tcW w:w="1365"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（个）</w:t>
            </w:r>
          </w:p>
        </w:tc>
        <w:tc>
          <w:tcPr>
            <w:tcW w:w="1389"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18</w:t>
            </w:r>
          </w:p>
        </w:tc>
        <w:tc>
          <w:tcPr>
            <w:tcW w:w="1102"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i/>
                <w:iCs/>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continue"/>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p>
        </w:tc>
        <w:tc>
          <w:tcPr>
            <w:tcW w:w="879" w:type="dxa"/>
            <w:vMerge w:val="restart"/>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i/>
                <w:iCs/>
                <w:color w:val="000000" w:themeColor="text1"/>
                <w:sz w:val="21"/>
                <w:szCs w:val="21"/>
                <w14:textFill>
                  <w14:solidFill>
                    <w14:schemeClr w14:val="tx1"/>
                  </w14:solidFill>
                </w14:textFill>
              </w:rPr>
              <w:t>EF</w:t>
            </w:r>
            <w:r>
              <w:rPr>
                <w:rFonts w:cs="Times New Roman" w:eastAsiaTheme="minorEastAsia"/>
                <w:i/>
                <w:iCs/>
                <w:color w:val="000000" w:themeColor="text1"/>
                <w:sz w:val="21"/>
                <w:szCs w:val="21"/>
                <w:vertAlign w:val="subscript"/>
                <w14:textFill>
                  <w14:solidFill>
                    <w14:schemeClr w14:val="tx1"/>
                  </w14:solidFill>
                </w14:textFill>
              </w:rPr>
              <w:t>oil,j</w:t>
            </w:r>
          </w:p>
        </w:tc>
        <w:tc>
          <w:tcPr>
            <w:tcW w:w="1365"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CH</w:t>
            </w:r>
            <w:r>
              <w:rPr>
                <w:rFonts w:cs="Times New Roman" w:eastAsiaTheme="minorEastAsia"/>
                <w:color w:val="000000" w:themeColor="text1"/>
                <w:sz w:val="21"/>
                <w:szCs w:val="21"/>
                <w:vertAlign w:val="subscript"/>
                <w14:textFill>
                  <w14:solidFill>
                    <w14:schemeClr w14:val="tx1"/>
                  </w14:solidFill>
                </w14:textFill>
              </w:rPr>
              <w:t>4</w:t>
            </w:r>
            <w:r>
              <w:rPr>
                <w:rFonts w:cs="Times New Roman" w:eastAsiaTheme="minorEastAsia"/>
                <w:color w:val="000000" w:themeColor="text1"/>
                <w:sz w:val="21"/>
                <w:szCs w:val="21"/>
                <w14:textFill>
                  <w14:solidFill>
                    <w14:schemeClr w14:val="tx1"/>
                  </w14:solidFill>
                </w14:textFill>
              </w:rPr>
              <w:t>/（年·个）</w:t>
            </w:r>
          </w:p>
        </w:tc>
        <w:tc>
          <w:tcPr>
            <w:tcW w:w="138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井口装置</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18</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6.44</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continue"/>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p>
        </w:tc>
        <w:tc>
          <w:tcPr>
            <w:tcW w:w="879" w:type="dxa"/>
            <w:vMerge w:val="continue"/>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p>
        </w:tc>
        <w:tc>
          <w:tcPr>
            <w:tcW w:w="1365"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CH</w:t>
            </w:r>
            <w:r>
              <w:rPr>
                <w:rFonts w:cs="Times New Roman" w:eastAsiaTheme="minorEastAsia"/>
                <w:color w:val="000000" w:themeColor="text1"/>
                <w:sz w:val="21"/>
                <w:szCs w:val="21"/>
                <w:vertAlign w:val="subscript"/>
                <w14:textFill>
                  <w14:solidFill>
                    <w14:schemeClr w14:val="tx1"/>
                  </w14:solidFill>
                </w14:textFill>
              </w:rPr>
              <w:t>4</w:t>
            </w:r>
            <w:r>
              <w:rPr>
                <w:rFonts w:cs="Times New Roman" w:eastAsiaTheme="minorEastAsia"/>
                <w:color w:val="000000" w:themeColor="text1"/>
                <w:sz w:val="21"/>
                <w:szCs w:val="21"/>
                <w14:textFill>
                  <w14:solidFill>
                    <w14:schemeClr w14:val="tx1"/>
                  </w14:solidFill>
                </w14:textFill>
              </w:rPr>
              <w:t>/（年·个）</w:t>
            </w:r>
          </w:p>
        </w:tc>
        <w:tc>
          <w:tcPr>
            <w:tcW w:w="138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计量站</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8</w:t>
            </w:r>
            <w:r>
              <w:rPr>
                <w:rFonts w:cs="Times New Roman" w:eastAsiaTheme="minorEastAsia"/>
                <w:color w:val="000000" w:themeColor="text1"/>
                <w:sz w:val="21"/>
                <w:szCs w:val="21"/>
                <w14:textFill>
                  <w14:solidFill>
                    <w14:schemeClr w14:val="tx1"/>
                  </w14:solidFill>
                </w14:textFill>
              </w:rPr>
              <w:t>（</w:t>
            </w:r>
            <w:r>
              <w:rPr>
                <w:rFonts w:hint="eastAsia" w:cs="Times New Roman" w:eastAsiaTheme="minorEastAsia"/>
                <w:color w:val="000000" w:themeColor="text1"/>
                <w:sz w:val="21"/>
                <w:szCs w:val="21"/>
                <w14:textFill>
                  <w14:solidFill>
                    <w14:schemeClr w14:val="tx1"/>
                  </w14:solidFill>
                </w14:textFill>
              </w:rPr>
              <w:t>5</w:t>
            </w:r>
            <w:r>
              <w:rPr>
                <w:rFonts w:cs="Times New Roman" w:eastAsiaTheme="minorEastAsia"/>
                <w:color w:val="000000" w:themeColor="text1"/>
                <w:sz w:val="21"/>
                <w:szCs w:val="21"/>
                <w14:textFill>
                  <w14:solidFill>
                    <w14:schemeClr w14:val="tx1"/>
                  </w14:solidFill>
                </w14:textFill>
              </w:rPr>
              <w:t>座新建+</w:t>
            </w:r>
            <w:r>
              <w:rPr>
                <w:rFonts w:hint="eastAsia" w:cs="Times New Roman" w:eastAsiaTheme="minorEastAsia"/>
                <w:color w:val="000000" w:themeColor="text1"/>
                <w:sz w:val="21"/>
                <w:szCs w:val="21"/>
                <w14:textFill>
                  <w14:solidFill>
                    <w14:schemeClr w14:val="tx1"/>
                  </w14:solidFill>
                </w14:textFill>
              </w:rPr>
              <w:t>3</w:t>
            </w:r>
            <w:r>
              <w:rPr>
                <w:rFonts w:cs="Times New Roman" w:eastAsiaTheme="minorEastAsia"/>
                <w:color w:val="000000" w:themeColor="text1"/>
                <w:sz w:val="21"/>
                <w:szCs w:val="21"/>
                <w14:textFill>
                  <w14:solidFill>
                    <w14:schemeClr w14:val="tx1"/>
                  </w14:solidFill>
                </w14:textFill>
              </w:rPr>
              <w:t>座依托已建）</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1.44</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continue"/>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p>
        </w:tc>
        <w:tc>
          <w:tcPr>
            <w:tcW w:w="879" w:type="dxa"/>
            <w:vMerge w:val="continue"/>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p>
        </w:tc>
        <w:tc>
          <w:tcPr>
            <w:tcW w:w="1365"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CH</w:t>
            </w:r>
            <w:r>
              <w:rPr>
                <w:rFonts w:cs="Times New Roman" w:eastAsiaTheme="minorEastAsia"/>
                <w:color w:val="000000" w:themeColor="text1"/>
                <w:sz w:val="21"/>
                <w:szCs w:val="21"/>
                <w:vertAlign w:val="subscript"/>
                <w14:textFill>
                  <w14:solidFill>
                    <w14:schemeClr w14:val="tx1"/>
                  </w14:solidFill>
                </w14:textFill>
              </w:rPr>
              <w:t>4</w:t>
            </w:r>
            <w:r>
              <w:rPr>
                <w:rFonts w:cs="Times New Roman" w:eastAsiaTheme="minorEastAsia"/>
                <w:color w:val="000000" w:themeColor="text1"/>
                <w:sz w:val="21"/>
                <w:szCs w:val="21"/>
                <w14:textFill>
                  <w14:solidFill>
                    <w14:schemeClr w14:val="tx1"/>
                  </w14:solidFill>
                </w14:textFill>
              </w:rPr>
              <w:t>/（年·个）</w:t>
            </w:r>
          </w:p>
        </w:tc>
        <w:tc>
          <w:tcPr>
            <w:tcW w:w="138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阀池</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5</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0.9</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continue"/>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p>
        </w:tc>
        <w:tc>
          <w:tcPr>
            <w:tcW w:w="879" w:type="dxa"/>
            <w:vMerge w:val="continue"/>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p>
        </w:tc>
        <w:tc>
          <w:tcPr>
            <w:tcW w:w="1365"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CH</w:t>
            </w:r>
            <w:r>
              <w:rPr>
                <w:rFonts w:cs="Times New Roman" w:eastAsiaTheme="minorEastAsia"/>
                <w:color w:val="000000" w:themeColor="text1"/>
                <w:sz w:val="21"/>
                <w:szCs w:val="21"/>
                <w:vertAlign w:val="subscript"/>
                <w14:textFill>
                  <w14:solidFill>
                    <w14:schemeClr w14:val="tx1"/>
                  </w14:solidFill>
                </w14:textFill>
              </w:rPr>
              <w:t>4</w:t>
            </w:r>
            <w:r>
              <w:rPr>
                <w:rFonts w:cs="Times New Roman" w:eastAsiaTheme="minorEastAsia"/>
                <w:color w:val="000000" w:themeColor="text1"/>
                <w:sz w:val="21"/>
                <w:szCs w:val="21"/>
                <w14:textFill>
                  <w14:solidFill>
                    <w14:schemeClr w14:val="tx1"/>
                  </w14:solidFill>
                </w14:textFill>
              </w:rPr>
              <w:t>/（年·个）</w:t>
            </w:r>
          </w:p>
        </w:tc>
        <w:tc>
          <w:tcPr>
            <w:tcW w:w="138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联合站</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1</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1.40</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continue"/>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p>
        </w:tc>
        <w:tc>
          <w:tcPr>
            <w:tcW w:w="879"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i/>
                <w:iCs/>
                <w:color w:val="000000" w:themeColor="text1"/>
                <w:sz w:val="21"/>
                <w:szCs w:val="21"/>
                <w14:textFill>
                  <w14:solidFill>
                    <w14:schemeClr w14:val="tx1"/>
                  </w14:solidFill>
                </w14:textFill>
              </w:rPr>
              <w:t>Num</w:t>
            </w:r>
            <w:r>
              <w:rPr>
                <w:rFonts w:cs="Times New Roman" w:eastAsiaTheme="minorEastAsia"/>
                <w:i/>
                <w:iCs/>
                <w:color w:val="000000" w:themeColor="text1"/>
                <w:sz w:val="21"/>
                <w:szCs w:val="21"/>
                <w:vertAlign w:val="subscript"/>
                <w14:textFill>
                  <w14:solidFill>
                    <w14:schemeClr w14:val="tx1"/>
                  </w14:solidFill>
                </w14:textFill>
              </w:rPr>
              <w:t>gas,j</w:t>
            </w:r>
          </w:p>
        </w:tc>
        <w:tc>
          <w:tcPr>
            <w:tcW w:w="1365"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（个）</w:t>
            </w:r>
          </w:p>
        </w:tc>
        <w:tc>
          <w:tcPr>
            <w:tcW w:w="138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continue"/>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p>
        </w:tc>
        <w:tc>
          <w:tcPr>
            <w:tcW w:w="879"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i/>
                <w:iCs/>
                <w:color w:val="000000" w:themeColor="text1"/>
                <w:sz w:val="21"/>
                <w:szCs w:val="21"/>
                <w14:textFill>
                  <w14:solidFill>
                    <w14:schemeClr w14:val="tx1"/>
                  </w14:solidFill>
                </w14:textFill>
              </w:rPr>
              <w:t>EF</w:t>
            </w:r>
            <w:r>
              <w:rPr>
                <w:rFonts w:cs="Times New Roman" w:eastAsiaTheme="minorEastAsia"/>
                <w:i/>
                <w:iCs/>
                <w:color w:val="000000" w:themeColor="text1"/>
                <w:sz w:val="21"/>
                <w:szCs w:val="21"/>
                <w:vertAlign w:val="subscript"/>
                <w14:textFill>
                  <w14:solidFill>
                    <w14:schemeClr w14:val="tx1"/>
                  </w14:solidFill>
                </w14:textFill>
              </w:rPr>
              <w:t>gas,j</w:t>
            </w:r>
          </w:p>
        </w:tc>
        <w:tc>
          <w:tcPr>
            <w:tcW w:w="1365"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CH</w:t>
            </w:r>
            <w:r>
              <w:rPr>
                <w:rFonts w:cs="Times New Roman" w:eastAsiaTheme="minorEastAsia"/>
                <w:color w:val="000000" w:themeColor="text1"/>
                <w:sz w:val="21"/>
                <w:szCs w:val="21"/>
                <w:vertAlign w:val="subscript"/>
                <w14:textFill>
                  <w14:solidFill>
                    <w14:schemeClr w14:val="tx1"/>
                  </w14:solidFill>
                </w14:textFill>
              </w:rPr>
              <w:t>4</w:t>
            </w:r>
            <w:r>
              <w:rPr>
                <w:rFonts w:cs="Times New Roman" w:eastAsiaTheme="minorEastAsia"/>
                <w:color w:val="000000" w:themeColor="text1"/>
                <w:sz w:val="21"/>
                <w:szCs w:val="21"/>
                <w14:textFill>
                  <w14:solidFill>
                    <w14:schemeClr w14:val="tx1"/>
                  </w14:solidFill>
                </w14:textFill>
              </w:rPr>
              <w:t>/（年·个）</w:t>
            </w:r>
          </w:p>
        </w:tc>
        <w:tc>
          <w:tcPr>
            <w:tcW w:w="1389"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restart"/>
            <w:vAlign w:val="center"/>
          </w:tcPr>
          <w:p>
            <w:pPr>
              <w:pStyle w:val="58"/>
              <w:jc w:val="center"/>
              <w:outlineLvl w:val="9"/>
              <w:rPr>
                <w:rFonts w:cs="Times New Roman"/>
                <w:color w:val="000000" w:themeColor="text1"/>
                <w:kern w:val="0"/>
                <w:sz w:val="21"/>
                <w:szCs w:val="21"/>
                <w:lang w:bidi="ar"/>
                <w14:textFill>
                  <w14:solidFill>
                    <w14:schemeClr w14:val="tx1"/>
                  </w14:solidFill>
                </w14:textFill>
              </w:rPr>
            </w:pPr>
            <w:r>
              <w:rPr>
                <w:rFonts w:cs="Times New Roman"/>
                <w:color w:val="000000" w:themeColor="text1"/>
                <w:kern w:val="0"/>
                <w:sz w:val="21"/>
                <w:szCs w:val="21"/>
                <w:lang w:bidi="ar"/>
                <w14:textFill>
                  <w14:solidFill>
                    <w14:schemeClr w14:val="tx1"/>
                  </w14:solidFill>
                </w14:textFill>
              </w:rPr>
              <w:t>油气储运业务工艺放空</w:t>
            </w:r>
          </w:p>
        </w:tc>
        <w:tc>
          <w:tcPr>
            <w:tcW w:w="879" w:type="dxa"/>
            <w:vAlign w:val="center"/>
          </w:tcPr>
          <w:p>
            <w:pPr>
              <w:pStyle w:val="58"/>
              <w:jc w:val="center"/>
              <w:outlineLvl w:val="9"/>
              <w:rPr>
                <w:rFonts w:cs="Times New Roman" w:eastAsiaTheme="minorEastAsia"/>
                <w:i/>
                <w:iCs/>
                <w:color w:val="000000" w:themeColor="text1"/>
                <w:sz w:val="21"/>
                <w:szCs w:val="21"/>
                <w14:textFill>
                  <w14:solidFill>
                    <w14:schemeClr w14:val="tx1"/>
                  </w14:solidFill>
                </w14:textFill>
              </w:rPr>
            </w:pPr>
            <w:r>
              <w:rPr>
                <w:rFonts w:cs="Times New Roman"/>
                <w:i/>
                <w:iCs/>
                <w:color w:val="000000" w:themeColor="text1"/>
                <w:kern w:val="0"/>
                <w:sz w:val="21"/>
                <w:szCs w:val="21"/>
                <w:lang w:bidi="ar"/>
                <w14:textFill>
                  <w14:solidFill>
                    <w14:schemeClr w14:val="tx1"/>
                  </w14:solidFill>
                </w14:textFill>
              </w:rPr>
              <w:t>Q</w:t>
            </w:r>
            <w:r>
              <w:rPr>
                <w:rFonts w:cs="Times New Roman"/>
                <w:color w:val="000000" w:themeColor="text1"/>
                <w:kern w:val="0"/>
                <w:sz w:val="21"/>
                <w:szCs w:val="21"/>
                <w:vertAlign w:val="subscript"/>
                <w:lang w:bidi="ar"/>
                <w14:textFill>
                  <w14:solidFill>
                    <w14:schemeClr w14:val="tx1"/>
                  </w14:solidFill>
                </w14:textFill>
              </w:rPr>
              <w:t>oil</w:t>
            </w:r>
          </w:p>
        </w:tc>
        <w:tc>
          <w:tcPr>
            <w:tcW w:w="1365" w:type="dxa"/>
            <w:vAlign w:val="center"/>
          </w:tcPr>
          <w:p>
            <w:pPr>
              <w:pStyle w:val="58"/>
              <w:jc w:val="center"/>
              <w:outlineLvl w:val="9"/>
              <w:rPr>
                <w:rFonts w:cs="Times New Roman"/>
                <w:i/>
                <w:iCs/>
                <w:color w:val="000000" w:themeColor="text1"/>
                <w:kern w:val="0"/>
                <w:sz w:val="21"/>
                <w:szCs w:val="21"/>
                <w:lang w:bidi="ar"/>
                <w14:textFill>
                  <w14:solidFill>
                    <w14:schemeClr w14:val="tx1"/>
                  </w14:solidFill>
                </w14:textFill>
              </w:rPr>
            </w:pPr>
            <w:r>
              <w:rPr>
                <w:rFonts w:cs="Times New Roman"/>
                <w:color w:val="000000" w:themeColor="text1"/>
                <w:kern w:val="0"/>
                <w:sz w:val="21"/>
                <w:szCs w:val="21"/>
                <w:lang w:bidi="ar"/>
                <w14:textFill>
                  <w14:solidFill>
                    <w14:schemeClr w14:val="tx1"/>
                  </w14:solidFill>
                </w14:textFill>
              </w:rPr>
              <w:t>亿吨</w:t>
            </w:r>
          </w:p>
        </w:tc>
        <w:tc>
          <w:tcPr>
            <w:tcW w:w="1389" w:type="dxa"/>
            <w:vAlign w:val="center"/>
          </w:tcPr>
          <w:p>
            <w:pPr>
              <w:pStyle w:val="58"/>
              <w:jc w:val="center"/>
              <w:outlineLvl w:val="9"/>
              <w:rPr>
                <w:rFonts w:cs="Times New Roman"/>
                <w:i/>
                <w:iCs/>
                <w:color w:val="000000" w:themeColor="text1"/>
                <w:kern w:val="0"/>
                <w:sz w:val="21"/>
                <w:szCs w:val="21"/>
                <w:lang w:bidi="ar"/>
                <w14:textFill>
                  <w14:solidFill>
                    <w14:schemeClr w14:val="tx1"/>
                  </w14:solidFill>
                </w14:textFill>
              </w:rPr>
            </w:pPr>
            <w:r>
              <w:rPr>
                <w:rFonts w:cs="Times New Roman"/>
                <w:i/>
                <w:iCs/>
                <w:color w:val="000000" w:themeColor="text1"/>
                <w:kern w:val="0"/>
                <w:sz w:val="21"/>
                <w:szCs w:val="21"/>
                <w:lang w:bidi="ar"/>
                <w14:textFill>
                  <w14:solidFill>
                    <w14:schemeClr w14:val="tx1"/>
                  </w14:solidFill>
                </w14:textFill>
              </w:rPr>
              <w:t>/</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0.000</w:t>
            </w:r>
            <w:r>
              <w:rPr>
                <w:rFonts w:hint="eastAsia" w:cs="Times New Roman" w:eastAsiaTheme="minorEastAsia"/>
                <w:color w:val="000000" w:themeColor="text1"/>
                <w:sz w:val="21"/>
                <w:szCs w:val="21"/>
                <w14:textFill>
                  <w14:solidFill>
                    <w14:schemeClr w14:val="tx1"/>
                  </w14:solidFill>
                </w14:textFill>
              </w:rPr>
              <w:t>252</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Merge w:val="restart"/>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w:t>
            </w:r>
            <w:r>
              <w:rPr>
                <w:rFonts w:hint="eastAsia" w:cs="Times New Roman" w:eastAsiaTheme="minorEastAsia"/>
                <w:color w:val="000000" w:themeColor="text1"/>
                <w:sz w:val="21"/>
                <w:szCs w:val="21"/>
                <w14:textFill>
                  <w14:solidFill>
                    <w14:schemeClr w14:val="tx1"/>
                  </w14:solidFill>
                </w14:textFill>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8" w:type="dxa"/>
            <w:vMerge w:val="continue"/>
            <w:vAlign w:val="center"/>
          </w:tcPr>
          <w:p>
            <w:pPr>
              <w:pStyle w:val="58"/>
              <w:jc w:val="center"/>
              <w:outlineLvl w:val="9"/>
              <w:rPr>
                <w:rFonts w:cs="Times New Roman"/>
                <w:color w:val="000000" w:themeColor="text1"/>
                <w:kern w:val="0"/>
                <w:sz w:val="21"/>
                <w:szCs w:val="21"/>
                <w:lang w:bidi="ar"/>
                <w14:textFill>
                  <w14:solidFill>
                    <w14:schemeClr w14:val="tx1"/>
                  </w14:solidFill>
                </w14:textFill>
              </w:rPr>
            </w:pPr>
          </w:p>
        </w:tc>
        <w:tc>
          <w:tcPr>
            <w:tcW w:w="879" w:type="dxa"/>
            <w:vAlign w:val="center"/>
          </w:tcPr>
          <w:p>
            <w:pPr>
              <w:pStyle w:val="58"/>
              <w:jc w:val="center"/>
              <w:outlineLvl w:val="9"/>
              <w:rPr>
                <w:rFonts w:cs="Times New Roman"/>
                <w:i/>
                <w:iCs/>
                <w:color w:val="000000" w:themeColor="text1"/>
                <w:kern w:val="0"/>
                <w:sz w:val="21"/>
                <w:szCs w:val="21"/>
                <w:lang w:bidi="ar"/>
                <w14:textFill>
                  <w14:solidFill>
                    <w14:schemeClr w14:val="tx1"/>
                  </w14:solidFill>
                </w14:textFill>
              </w:rPr>
            </w:pPr>
            <w:r>
              <w:rPr>
                <w:rFonts w:cs="Times New Roman"/>
                <w:i/>
                <w:iCs/>
                <w:color w:val="000000" w:themeColor="text1"/>
                <w:kern w:val="0"/>
                <w:sz w:val="21"/>
                <w:szCs w:val="21"/>
                <w:lang w:bidi="ar"/>
                <w14:textFill>
                  <w14:solidFill>
                    <w14:schemeClr w14:val="tx1"/>
                  </w14:solidFill>
                </w14:textFill>
              </w:rPr>
              <w:t>EF</w:t>
            </w:r>
            <w:r>
              <w:rPr>
                <w:rFonts w:cs="Times New Roman"/>
                <w:i/>
                <w:iCs/>
                <w:color w:val="000000" w:themeColor="text1"/>
                <w:kern w:val="0"/>
                <w:sz w:val="21"/>
                <w:szCs w:val="21"/>
                <w:vertAlign w:val="subscript"/>
                <w:lang w:bidi="ar"/>
                <w14:textFill>
                  <w14:solidFill>
                    <w14:schemeClr w14:val="tx1"/>
                  </w14:solidFill>
                </w14:textFill>
              </w:rPr>
              <w:t>CH4_油输逃逸</w:t>
            </w:r>
          </w:p>
        </w:tc>
        <w:tc>
          <w:tcPr>
            <w:tcW w:w="1365" w:type="dxa"/>
            <w:vAlign w:val="center"/>
          </w:tcPr>
          <w:p>
            <w:pPr>
              <w:pStyle w:val="58"/>
              <w:jc w:val="center"/>
              <w:outlineLvl w:val="9"/>
              <w:rPr>
                <w:rFonts w:cs="Times New Roman"/>
                <w:color w:val="000000" w:themeColor="text1"/>
                <w:kern w:val="0"/>
                <w:sz w:val="21"/>
                <w:szCs w:val="21"/>
                <w:lang w:bidi="ar"/>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（吨/亿吨）</w:t>
            </w:r>
          </w:p>
        </w:tc>
        <w:tc>
          <w:tcPr>
            <w:tcW w:w="1389" w:type="dxa"/>
            <w:vAlign w:val="center"/>
          </w:tcPr>
          <w:p>
            <w:pPr>
              <w:pStyle w:val="58"/>
              <w:jc w:val="center"/>
              <w:outlineLvl w:val="9"/>
              <w:rPr>
                <w:rFonts w:cs="Times New Roman"/>
                <w:color w:val="000000" w:themeColor="text1"/>
                <w:kern w:val="0"/>
                <w:sz w:val="21"/>
                <w:szCs w:val="21"/>
                <w:lang w:bidi="ar"/>
                <w14:textFill>
                  <w14:solidFill>
                    <w14:schemeClr w14:val="tx1"/>
                  </w14:solidFill>
                </w14:textFill>
              </w:rPr>
            </w:pPr>
            <w:r>
              <w:rPr>
                <w:rFonts w:cs="Times New Roman"/>
                <w:color w:val="000000" w:themeColor="text1"/>
                <w:kern w:val="0"/>
                <w:sz w:val="21"/>
                <w:szCs w:val="21"/>
                <w:lang w:bidi="ar"/>
                <w14:textFill>
                  <w14:solidFill>
                    <w14:schemeClr w14:val="tx1"/>
                  </w14:solidFill>
                </w14:textFill>
              </w:rPr>
              <w:t>原油输送管道</w:t>
            </w:r>
          </w:p>
        </w:tc>
        <w:tc>
          <w:tcPr>
            <w:tcW w:w="1102"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753.29</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w:t>
            </w:r>
          </w:p>
        </w:tc>
        <w:tc>
          <w:tcPr>
            <w:tcW w:w="968" w:type="dxa"/>
            <w:vMerge w:val="continue"/>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13" w:type="dxa"/>
            <w:gridSpan w:val="5"/>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小计</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1.</w:t>
            </w:r>
            <w:r>
              <w:rPr>
                <w:rFonts w:hint="eastAsia" w:cs="Times New Roman" w:eastAsiaTheme="minorEastAsia"/>
                <w:color w:val="000000" w:themeColor="text1"/>
                <w:sz w:val="21"/>
                <w:szCs w:val="21"/>
                <w14:textFill>
                  <w14:solidFill>
                    <w14:schemeClr w14:val="tx1"/>
                  </w14:solidFill>
                </w14:textFill>
              </w:rPr>
              <w:t>88</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10.18</w:t>
            </w:r>
          </w:p>
        </w:tc>
        <w:tc>
          <w:tcPr>
            <w:tcW w:w="968" w:type="dxa"/>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0.</w:t>
            </w:r>
            <w:r>
              <w:rPr>
                <w:rFonts w:hint="eastAsia" w:cs="Times New Roman" w:eastAsiaTheme="minorEastAsia"/>
                <w:color w:val="000000" w:themeColor="text1"/>
                <w:sz w:val="21"/>
                <w:szCs w:val="21"/>
                <w14:textFill>
                  <w14:solidFill>
                    <w14:schemeClr w14:val="tx1"/>
                  </w14:solidFill>
                </w14:textFill>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13" w:type="dxa"/>
            <w:gridSpan w:val="5"/>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cs="Times New Roman" w:eastAsiaTheme="minorEastAsia"/>
                <w:color w:val="000000" w:themeColor="text1"/>
                <w:sz w:val="21"/>
                <w:szCs w:val="21"/>
                <w14:textFill>
                  <w14:solidFill>
                    <w14:schemeClr w14:val="tx1"/>
                  </w14:solidFill>
                </w14:textFill>
              </w:rPr>
              <w:t>合计</w:t>
            </w:r>
          </w:p>
        </w:tc>
        <w:tc>
          <w:tcPr>
            <w:tcW w:w="2904" w:type="dxa"/>
            <w:gridSpan w:val="3"/>
            <w:vAlign w:val="center"/>
          </w:tcPr>
          <w:p>
            <w:pPr>
              <w:pStyle w:val="58"/>
              <w:jc w:val="center"/>
              <w:outlineLvl w:val="9"/>
              <w:rPr>
                <w:rFonts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14:textFill>
                  <w14:solidFill>
                    <w14:schemeClr w14:val="tx1"/>
                  </w14:solidFill>
                </w14:textFill>
              </w:rPr>
              <w:t>12.25</w:t>
            </w:r>
          </w:p>
        </w:tc>
      </w:tr>
    </w:tbl>
    <w:p>
      <w:pPr>
        <w:pStyle w:val="58"/>
        <w:spacing w:line="360" w:lineRule="auto"/>
        <w:ind w:firstLine="360" w:firstLineChars="200"/>
        <w:outlineLvl w:val="9"/>
        <w:rPr>
          <w:rFonts w:cs="Times New Roman" w:eastAsiaTheme="minorEastAsia"/>
          <w:color w:val="000000" w:themeColor="text1"/>
          <w:sz w:val="18"/>
          <w:szCs w:val="18"/>
          <w14:textFill>
            <w14:solidFill>
              <w14:schemeClr w14:val="tx1"/>
            </w14:solidFill>
          </w14:textFill>
        </w:rPr>
      </w:pPr>
      <w:r>
        <w:rPr>
          <w:rFonts w:cs="Times New Roman" w:eastAsiaTheme="minorEastAsia"/>
          <w:color w:val="000000" w:themeColor="text1"/>
          <w:sz w:val="18"/>
          <w:szCs w:val="18"/>
          <w14:textFill>
            <w14:solidFill>
              <w14:schemeClr w14:val="tx1"/>
            </w14:solidFill>
          </w14:textFill>
        </w:rPr>
        <w:t>注：本项目计量站和混输阀池参照表3.7-15表中的接转站设施/设备CH</w:t>
      </w:r>
      <w:r>
        <w:rPr>
          <w:rFonts w:cs="Times New Roman" w:eastAsiaTheme="minorEastAsia"/>
          <w:color w:val="000000" w:themeColor="text1"/>
          <w:sz w:val="18"/>
          <w:szCs w:val="18"/>
          <w:vertAlign w:val="subscript"/>
          <w14:textFill>
            <w14:solidFill>
              <w14:schemeClr w14:val="tx1"/>
            </w14:solidFill>
          </w14:textFill>
        </w:rPr>
        <w:t>4</w:t>
      </w:r>
      <w:r>
        <w:rPr>
          <w:rFonts w:cs="Times New Roman" w:eastAsiaTheme="minorEastAsia"/>
          <w:color w:val="000000" w:themeColor="text1"/>
          <w:sz w:val="18"/>
          <w:szCs w:val="18"/>
          <w14:textFill>
            <w14:solidFill>
              <w14:schemeClr w14:val="tx1"/>
            </w14:solidFill>
          </w14:textFill>
        </w:rPr>
        <w:t>排放因子计算。</w:t>
      </w:r>
    </w:p>
    <w:p>
      <w:pPr>
        <w:pStyle w:val="58"/>
        <w:spacing w:line="360" w:lineRule="auto"/>
        <w:ind w:firstLine="480" w:firstLineChars="2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（4）二氧化碳</w:t>
      </w:r>
    </w:p>
    <w:p>
      <w:pPr>
        <w:pStyle w:val="58"/>
        <w:spacing w:line="360" w:lineRule="auto"/>
        <w:ind w:firstLine="480" w:firstLineChars="200"/>
        <w:outlineLvl w:val="9"/>
        <w:rPr>
          <w:rFonts w:cs="Times New Roman" w:eastAsiaTheme="minorEastAsia"/>
          <w:color w:val="000000" w:themeColor="text1"/>
          <w:sz w:val="24"/>
          <w:szCs w:val="24"/>
          <w14:textFill>
            <w14:solidFill>
              <w14:schemeClr w14:val="tx1"/>
            </w14:solidFill>
          </w14:textFill>
        </w:rPr>
      </w:pPr>
      <w:r>
        <w:rPr>
          <w:rFonts w:cs="Times New Roman" w:eastAsiaTheme="minorEastAsia"/>
          <w:color w:val="000000" w:themeColor="text1"/>
          <w:sz w:val="24"/>
          <w:szCs w:val="24"/>
          <w14:textFill>
            <w14:solidFill>
              <w14:schemeClr w14:val="tx1"/>
            </w14:solidFill>
          </w14:textFill>
        </w:rPr>
        <w:t>根据《中国石油天然气生产企业温室气体排放核算方法与报告指南（试行）》，涉及燃料燃烧、火炬燃烧、天然气处理过程的需要计算CO</w:t>
      </w:r>
      <w:r>
        <w:rPr>
          <w:rFonts w:cs="Times New Roman" w:eastAsiaTheme="minorEastAsia"/>
          <w:color w:val="000000" w:themeColor="text1"/>
          <w:sz w:val="24"/>
          <w:szCs w:val="24"/>
          <w:vertAlign w:val="subscript"/>
          <w14:textFill>
            <w14:solidFill>
              <w14:schemeClr w14:val="tx1"/>
            </w14:solidFill>
          </w14:textFill>
        </w:rPr>
        <w:t>2</w:t>
      </w:r>
      <w:r>
        <w:rPr>
          <w:rFonts w:cs="Times New Roman" w:eastAsiaTheme="minorEastAsia"/>
          <w:color w:val="000000" w:themeColor="text1"/>
          <w:sz w:val="24"/>
          <w:szCs w:val="24"/>
          <w14:textFill>
            <w14:solidFill>
              <w14:schemeClr w14:val="tx1"/>
            </w14:solidFill>
          </w14:textFill>
        </w:rPr>
        <w:t>，本项目为石油开采项目，不涉及燃料燃烧、火炬燃烧、天然气处理过程，故未进行CO</w:t>
      </w:r>
      <w:r>
        <w:rPr>
          <w:rFonts w:cs="Times New Roman" w:eastAsiaTheme="minorEastAsia"/>
          <w:color w:val="000000" w:themeColor="text1"/>
          <w:sz w:val="24"/>
          <w:szCs w:val="24"/>
          <w:vertAlign w:val="subscript"/>
          <w14:textFill>
            <w14:solidFill>
              <w14:schemeClr w14:val="tx1"/>
            </w14:solidFill>
          </w14:textFill>
        </w:rPr>
        <w:t>2</w:t>
      </w:r>
      <w:r>
        <w:rPr>
          <w:rFonts w:cs="Times New Roman" w:eastAsiaTheme="minorEastAsia"/>
          <w:color w:val="000000" w:themeColor="text1"/>
          <w:sz w:val="24"/>
          <w:szCs w:val="24"/>
          <w14:textFill>
            <w14:solidFill>
              <w14:schemeClr w14:val="tx1"/>
            </w14:solidFill>
          </w14:textFill>
        </w:rPr>
        <w:t>计算。</w:t>
      </w:r>
    </w:p>
    <w:p>
      <w:pPr>
        <w:pStyle w:val="31"/>
        <w:outlineLvl w:val="3"/>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3.7.8.2碳排放量汇总</w:t>
      </w:r>
    </w:p>
    <w:p>
      <w:pPr>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根据上述计算，本项目碳排放量汇总可用公式（1）进行计算，本项目碳排放情况见下表3.7-2</w:t>
      </w: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w:t>
      </w:r>
    </w:p>
    <w:p>
      <w:pPr>
        <w:pStyle w:val="37"/>
        <w:spacing w:line="36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表3.7-2</w:t>
      </w:r>
      <w:r>
        <w:rPr>
          <w:rFonts w:hint="eastAsia" w:ascii="Times New Roman" w:hAnsi="Times New Roman" w:eastAsia="宋体" w:cs="Times New Roman"/>
          <w:bCs/>
          <w:color w:val="000000" w:themeColor="text1"/>
          <w:sz w:val="21"/>
          <w:szCs w:val="21"/>
          <w14:textFill>
            <w14:solidFill>
              <w14:schemeClr w14:val="tx1"/>
            </w14:solidFill>
          </w14:textFill>
        </w:rPr>
        <w:t>3</w:t>
      </w:r>
      <w:r>
        <w:rPr>
          <w:rFonts w:ascii="Times New Roman" w:hAnsi="Times New Roman" w:eastAsia="宋体" w:cs="Times New Roman"/>
          <w:bCs/>
          <w:color w:val="000000" w:themeColor="text1"/>
          <w:sz w:val="21"/>
          <w:szCs w:val="21"/>
          <w14:textFill>
            <w14:solidFill>
              <w14:schemeClr w14:val="tx1"/>
            </w14:solidFill>
          </w14:textFill>
        </w:rPr>
        <w:t xml:space="preserve">  项目碳排放量汇总表</w:t>
      </w:r>
    </w:p>
    <w:tbl>
      <w:tblPr>
        <w:tblStyle w:val="23"/>
        <w:tblW w:w="85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710"/>
        <w:gridCol w:w="1710"/>
        <w:gridCol w:w="1698"/>
        <w:gridCol w:w="1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8" w:type="dxa"/>
            <w:tcBorders>
              <w:top w:val="single" w:color="auto" w:sz="4" w:space="0"/>
              <w:left w:val="single" w:color="auto" w:sz="4" w:space="0"/>
              <w:bottom w:val="single" w:color="auto" w:sz="4" w:space="0"/>
            </w:tcBorders>
            <w:vAlign w:val="center"/>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类别</w:t>
            </w:r>
          </w:p>
        </w:tc>
        <w:tc>
          <w:tcPr>
            <w:tcW w:w="1710" w:type="dxa"/>
            <w:tcBorders>
              <w:top w:val="single" w:color="auto" w:sz="4" w:space="0"/>
              <w:bottom w:val="single" w:color="auto" w:sz="4" w:space="0"/>
            </w:tcBorders>
            <w:vAlign w:val="center"/>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eastAsiaTheme="minorEastAsia"/>
                <w:b/>
                <w:bCs/>
                <w:i/>
                <w:iCs/>
                <w:color w:val="000000" w:themeColor="text1"/>
                <w:szCs w:val="21"/>
                <w14:textFill>
                  <w14:solidFill>
                    <w14:schemeClr w14:val="tx1"/>
                  </w14:solidFill>
                </w14:textFill>
              </w:rPr>
              <w:t>E</w:t>
            </w:r>
            <w:r>
              <w:rPr>
                <w:rFonts w:ascii="Times New Roman" w:hAnsi="Times New Roman" w:eastAsiaTheme="minorEastAsia"/>
                <w:b/>
                <w:bCs/>
                <w:i/>
                <w:iCs/>
                <w:color w:val="000000" w:themeColor="text1"/>
                <w:szCs w:val="21"/>
                <w:vertAlign w:val="subscript"/>
                <w14:textFill>
                  <w14:solidFill>
                    <w14:schemeClr w14:val="tx1"/>
                  </w14:solidFill>
                </w14:textFill>
              </w:rPr>
              <w:t>CH4</w:t>
            </w:r>
            <w:r>
              <w:rPr>
                <w:rFonts w:ascii="Times New Roman" w:hAnsi="Times New Roman" w:eastAsiaTheme="minorEastAsia"/>
                <w:b/>
                <w:bCs/>
                <w:color w:val="000000" w:themeColor="text1"/>
                <w:szCs w:val="21"/>
                <w:vertAlign w:val="subscript"/>
                <w14:textFill>
                  <w14:solidFill>
                    <w14:schemeClr w14:val="tx1"/>
                  </w14:solidFill>
                </w14:textFill>
              </w:rPr>
              <w:t>_开采放空</w:t>
            </w:r>
          </w:p>
        </w:tc>
        <w:tc>
          <w:tcPr>
            <w:tcW w:w="1710" w:type="dxa"/>
            <w:tcBorders>
              <w:top w:val="single" w:color="auto" w:sz="4" w:space="0"/>
              <w:bottom w:val="single" w:color="auto" w:sz="4" w:space="0"/>
            </w:tcBorders>
            <w:vAlign w:val="center"/>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eastAsiaTheme="minorEastAsia"/>
                <w:b/>
                <w:bCs/>
                <w:i/>
                <w:iCs/>
                <w:color w:val="000000" w:themeColor="text1"/>
                <w:szCs w:val="21"/>
                <w14:textFill>
                  <w14:solidFill>
                    <w14:schemeClr w14:val="tx1"/>
                  </w14:solidFill>
                </w14:textFill>
              </w:rPr>
              <w:t>E</w:t>
            </w:r>
            <w:r>
              <w:rPr>
                <w:rFonts w:ascii="Times New Roman" w:hAnsi="Times New Roman" w:eastAsiaTheme="minorEastAsia"/>
                <w:b/>
                <w:bCs/>
                <w:i/>
                <w:iCs/>
                <w:color w:val="000000" w:themeColor="text1"/>
                <w:szCs w:val="21"/>
                <w:vertAlign w:val="subscript"/>
                <w14:textFill>
                  <w14:solidFill>
                    <w14:schemeClr w14:val="tx1"/>
                  </w14:solidFill>
                </w14:textFill>
              </w:rPr>
              <w:t>CH4</w:t>
            </w:r>
            <w:r>
              <w:rPr>
                <w:rFonts w:ascii="Times New Roman" w:hAnsi="Times New Roman" w:eastAsiaTheme="minorEastAsia"/>
                <w:b/>
                <w:bCs/>
                <w:color w:val="000000" w:themeColor="text1"/>
                <w:szCs w:val="21"/>
                <w:vertAlign w:val="subscript"/>
                <w14:textFill>
                  <w14:solidFill>
                    <w14:schemeClr w14:val="tx1"/>
                  </w14:solidFill>
                </w14:textFill>
              </w:rPr>
              <w:t>_开采逃逸</w:t>
            </w:r>
          </w:p>
        </w:tc>
        <w:tc>
          <w:tcPr>
            <w:tcW w:w="1698" w:type="dxa"/>
            <w:tcBorders>
              <w:top w:val="single" w:color="auto" w:sz="4" w:space="0"/>
              <w:bottom w:val="single" w:color="auto" w:sz="4" w:space="0"/>
            </w:tcBorders>
            <w:vAlign w:val="center"/>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b/>
                <w:bCs/>
                <w:i/>
                <w:iCs/>
                <w:color w:val="000000" w:themeColor="text1"/>
                <w:kern w:val="0"/>
                <w:szCs w:val="21"/>
                <w:lang w:bidi="ar"/>
                <w14:textFill>
                  <w14:solidFill>
                    <w14:schemeClr w14:val="tx1"/>
                  </w14:solidFill>
                </w14:textFill>
              </w:rPr>
              <w:t>E</w:t>
            </w:r>
            <w:r>
              <w:rPr>
                <w:rFonts w:ascii="Times New Roman" w:hAnsi="Times New Roman"/>
                <w:b/>
                <w:bCs/>
                <w:i/>
                <w:iCs/>
                <w:color w:val="000000" w:themeColor="text1"/>
                <w:kern w:val="0"/>
                <w:szCs w:val="21"/>
                <w:vertAlign w:val="subscript"/>
                <w:lang w:bidi="ar"/>
                <w14:textFill>
                  <w14:solidFill>
                    <w14:schemeClr w14:val="tx1"/>
                  </w14:solidFill>
                </w14:textFill>
              </w:rPr>
              <w:t>CH4</w:t>
            </w:r>
            <w:r>
              <w:rPr>
                <w:rFonts w:ascii="Times New Roman" w:hAnsi="Times New Roman"/>
                <w:b/>
                <w:bCs/>
                <w:color w:val="000000" w:themeColor="text1"/>
                <w:kern w:val="0"/>
                <w:szCs w:val="21"/>
                <w:vertAlign w:val="subscript"/>
                <w:lang w:bidi="ar"/>
                <w14:textFill>
                  <w14:solidFill>
                    <w14:schemeClr w14:val="tx1"/>
                  </w14:solidFill>
                </w14:textFill>
              </w:rPr>
              <w:t>_油输逃逸</w:t>
            </w:r>
          </w:p>
        </w:tc>
        <w:tc>
          <w:tcPr>
            <w:tcW w:w="1833" w:type="dxa"/>
            <w:tcBorders>
              <w:top w:val="single" w:color="auto" w:sz="4" w:space="0"/>
              <w:bottom w:val="single" w:color="auto" w:sz="4" w:space="0"/>
              <w:right w:val="single" w:color="auto" w:sz="4" w:space="0"/>
            </w:tcBorders>
            <w:vAlign w:val="center"/>
          </w:tcPr>
          <w:p>
            <w:pPr>
              <w:pStyle w:val="34"/>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8" w:type="dxa"/>
            <w:tcBorders>
              <w:top w:val="single" w:color="auto" w:sz="4" w:space="0"/>
              <w:left w:val="single" w:color="auto" w:sz="4" w:space="0"/>
              <w:bottom w:val="single" w:color="auto" w:sz="4" w:space="0"/>
            </w:tcBorders>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单位</w:t>
            </w:r>
          </w:p>
        </w:tc>
        <w:tc>
          <w:tcPr>
            <w:tcW w:w="1710" w:type="dxa"/>
            <w:tcBorders>
              <w:top w:val="single" w:color="auto" w:sz="4" w:space="0"/>
              <w:bottom w:val="single" w:color="auto" w:sz="4" w:space="0"/>
            </w:tcBorders>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tCH</w:t>
            </w:r>
            <w:r>
              <w:rPr>
                <w:rFonts w:ascii="Times New Roman" w:hAnsi="Times New Roman"/>
                <w:color w:val="000000" w:themeColor="text1"/>
                <w:szCs w:val="21"/>
                <w:vertAlign w:val="subscript"/>
                <w14:textFill>
                  <w14:solidFill>
                    <w14:schemeClr w14:val="tx1"/>
                  </w14:solidFill>
                </w14:textFill>
              </w:rPr>
              <w:t>4</w:t>
            </w:r>
          </w:p>
        </w:tc>
        <w:tc>
          <w:tcPr>
            <w:tcW w:w="1710" w:type="dxa"/>
            <w:tcBorders>
              <w:top w:val="single" w:color="auto" w:sz="4" w:space="0"/>
              <w:bottom w:val="single" w:color="auto" w:sz="4" w:space="0"/>
            </w:tcBorders>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tCH</w:t>
            </w:r>
            <w:r>
              <w:rPr>
                <w:rFonts w:ascii="Times New Roman" w:hAnsi="Times New Roman"/>
                <w:color w:val="000000" w:themeColor="text1"/>
                <w:szCs w:val="21"/>
                <w:vertAlign w:val="subscript"/>
                <w14:textFill>
                  <w14:solidFill>
                    <w14:schemeClr w14:val="tx1"/>
                  </w14:solidFill>
                </w14:textFill>
              </w:rPr>
              <w:t>4</w:t>
            </w:r>
          </w:p>
        </w:tc>
        <w:tc>
          <w:tcPr>
            <w:tcW w:w="1698" w:type="dxa"/>
            <w:tcBorders>
              <w:top w:val="single" w:color="auto" w:sz="4" w:space="0"/>
              <w:bottom w:val="single" w:color="auto" w:sz="4" w:space="0"/>
            </w:tcBorders>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tCH</w:t>
            </w:r>
            <w:r>
              <w:rPr>
                <w:rFonts w:ascii="Times New Roman" w:hAnsi="Times New Roman"/>
                <w:color w:val="000000" w:themeColor="text1"/>
                <w:szCs w:val="21"/>
                <w:vertAlign w:val="subscript"/>
                <w14:textFill>
                  <w14:solidFill>
                    <w14:schemeClr w14:val="tx1"/>
                  </w14:solidFill>
                </w14:textFill>
              </w:rPr>
              <w:t>4</w:t>
            </w:r>
          </w:p>
        </w:tc>
        <w:tc>
          <w:tcPr>
            <w:tcW w:w="1833" w:type="dxa"/>
            <w:tcBorders>
              <w:top w:val="single" w:color="auto" w:sz="4" w:space="0"/>
              <w:bottom w:val="single" w:color="auto" w:sz="4" w:space="0"/>
              <w:right w:val="single" w:color="auto" w:sz="4" w:space="0"/>
            </w:tcBorders>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tCH</w:t>
            </w:r>
            <w:r>
              <w:rPr>
                <w:rFonts w:ascii="Times New Roman" w:hAnsi="Times New Roman"/>
                <w:color w:val="000000" w:themeColor="text1"/>
                <w:szCs w:val="21"/>
                <w:vertAlign w:val="subscript"/>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8" w:type="dxa"/>
            <w:tcBorders>
              <w:top w:val="single" w:color="auto" w:sz="4" w:space="0"/>
              <w:left w:val="single" w:color="auto" w:sz="4" w:space="0"/>
              <w:bottom w:val="single" w:color="auto" w:sz="4" w:space="0"/>
            </w:tcBorders>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排放量</w:t>
            </w:r>
          </w:p>
        </w:tc>
        <w:tc>
          <w:tcPr>
            <w:tcW w:w="1710" w:type="dxa"/>
            <w:tcBorders>
              <w:top w:val="single" w:color="auto" w:sz="4" w:space="0"/>
              <w:bottom w:val="single" w:color="auto" w:sz="4" w:space="0"/>
            </w:tcBorders>
            <w:vAlign w:val="center"/>
          </w:tcPr>
          <w:p>
            <w:pPr>
              <w:pStyle w:val="34"/>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r>
              <w:rPr>
                <w:rFonts w:hint="eastAsia" w:ascii="Times New Roman" w:hAnsi="Times New Roman"/>
                <w:color w:val="000000" w:themeColor="text1"/>
                <w:szCs w:val="21"/>
                <w14:textFill>
                  <w14:solidFill>
                    <w14:schemeClr w14:val="tx1"/>
                  </w14:solidFill>
                </w14:textFill>
              </w:rPr>
              <w:t>88</w:t>
            </w:r>
          </w:p>
        </w:tc>
        <w:tc>
          <w:tcPr>
            <w:tcW w:w="1710" w:type="dxa"/>
            <w:tcBorders>
              <w:top w:val="single" w:color="auto" w:sz="4" w:space="0"/>
              <w:bottom w:val="single" w:color="auto" w:sz="4" w:space="0"/>
            </w:tcBorders>
            <w:vAlign w:val="center"/>
          </w:tcPr>
          <w:p>
            <w:pPr>
              <w:pStyle w:val="3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10.18</w:t>
            </w:r>
          </w:p>
        </w:tc>
        <w:tc>
          <w:tcPr>
            <w:tcW w:w="1698" w:type="dxa"/>
            <w:tcBorders>
              <w:top w:val="single" w:color="auto" w:sz="4" w:space="0"/>
              <w:bottom w:val="single" w:color="auto" w:sz="4" w:space="0"/>
            </w:tcBorders>
            <w:vAlign w:val="center"/>
          </w:tcPr>
          <w:p>
            <w:pPr>
              <w:pStyle w:val="3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0.19</w:t>
            </w:r>
          </w:p>
        </w:tc>
        <w:tc>
          <w:tcPr>
            <w:tcW w:w="1833" w:type="dxa"/>
            <w:tcBorders>
              <w:top w:val="single" w:color="auto" w:sz="4" w:space="0"/>
              <w:bottom w:val="single" w:color="auto" w:sz="4" w:space="0"/>
              <w:right w:val="single" w:color="auto" w:sz="4" w:space="0"/>
            </w:tcBorders>
            <w:vAlign w:val="center"/>
          </w:tcPr>
          <w:p>
            <w:pPr>
              <w:pStyle w:val="34"/>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12.25</w:t>
            </w:r>
          </w:p>
        </w:tc>
      </w:tr>
    </w:tbl>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3.7.9非正常工况</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bookmarkStart w:id="336" w:name="_Hlk160182833"/>
      <w:r>
        <w:rPr>
          <w:rFonts w:ascii="Times New Roman" w:hAnsi="Times New Roman" w:eastAsia="宋体" w:cs="Times New Roman"/>
          <w:color w:val="000000" w:themeColor="text1"/>
          <w:sz w:val="24"/>
          <w14:textFill>
            <w14:solidFill>
              <w14:schemeClr w14:val="tx1"/>
            </w14:solidFill>
          </w14:textFill>
        </w:rPr>
        <w:t>1）油井停运</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拟建项目为油田采掘类项目，油井投入生产后，一般情况下会一直处于运行状态，但为保证油井正常生产，需要对个别油井开展井下作业而使油井停运井下作业过程会产生井下作业废液、落地油、噪声等环境污染问题，在运营期中已作介绍，此处不再赘述。当油井发生风险事故时，也会导致油井停运。</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陆梁油田作业区</w:t>
      </w:r>
      <w:r>
        <w:rPr>
          <w:rFonts w:ascii="Times New Roman" w:hAnsi="Times New Roman" w:eastAsia="宋体" w:cs="Times New Roman"/>
          <w:color w:val="000000" w:themeColor="text1"/>
          <w:sz w:val="24"/>
          <w14:textFill>
            <w14:solidFill>
              <w14:schemeClr w14:val="tx1"/>
            </w14:solidFill>
          </w14:textFill>
        </w:rPr>
        <w:t>具备完善的事故应急预案及风险防范措施，并定期巡线。因此，发生事故的概率很低。</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2）管线泄漏事故</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运行过程中，项目集输管线可能由于腐蚀、老化或其他原因破损泄漏，会对周围的土壤造成一定污染。发生事故后，应及时维修，并将被污染的土壤挖出作为落地油，委托有资质的单位进行处置。管线泄漏具体见5.3.4章节。</w:t>
      </w:r>
    </w:p>
    <w:bookmarkEnd w:id="336"/>
    <w:p>
      <w:pPr>
        <w:pStyle w:val="3"/>
        <w:spacing w:before="10" w:after="10"/>
        <w:rPr>
          <w:rFonts w:ascii="Times New Roman" w:hAnsi="Times New Roman" w:cs="Times New Roman"/>
          <w:color w:val="000000" w:themeColor="text1"/>
          <w14:textFill>
            <w14:solidFill>
              <w14:schemeClr w14:val="tx1"/>
            </w14:solidFill>
          </w14:textFill>
        </w:rPr>
      </w:pPr>
      <w:bookmarkStart w:id="337" w:name="_Toc7802"/>
      <w:bookmarkStart w:id="338" w:name="_Toc44088068"/>
      <w:bookmarkStart w:id="339" w:name="_Toc3636"/>
      <w:bookmarkStart w:id="340" w:name="_Toc1321"/>
      <w:bookmarkStart w:id="341" w:name="_Hlk92733298"/>
      <w:r>
        <w:rPr>
          <w:rFonts w:ascii="Times New Roman" w:hAnsi="Times New Roman" w:cs="Times New Roman"/>
          <w:color w:val="000000" w:themeColor="text1"/>
          <w14:textFill>
            <w14:solidFill>
              <w14:schemeClr w14:val="tx1"/>
            </w14:solidFill>
          </w14:textFill>
        </w:rPr>
        <w:t>3.8清洁生产分析</w:t>
      </w:r>
      <w:bookmarkEnd w:id="337"/>
      <w:bookmarkEnd w:id="338"/>
      <w:bookmarkEnd w:id="339"/>
      <w:bookmarkEnd w:id="340"/>
    </w:p>
    <w:p>
      <w:pPr>
        <w:pStyle w:val="30"/>
        <w:spacing w:line="360" w:lineRule="auto"/>
        <w:rPr>
          <w:rFonts w:cs="Times New Roman"/>
          <w:bCs w:val="0"/>
          <w:color w:val="000000" w:themeColor="text1"/>
          <w:sz w:val="24"/>
          <w:szCs w:val="24"/>
          <w14:textFill>
            <w14:solidFill>
              <w14:schemeClr w14:val="tx1"/>
            </w14:solidFill>
          </w14:textFill>
        </w:rPr>
      </w:pPr>
      <w:r>
        <w:rPr>
          <w:rFonts w:cs="Times New Roman"/>
          <w:bCs w:val="0"/>
          <w:color w:val="000000" w:themeColor="text1"/>
          <w:sz w:val="24"/>
          <w:szCs w:val="24"/>
          <w14:textFill>
            <w14:solidFill>
              <w14:schemeClr w14:val="tx1"/>
            </w14:solidFill>
          </w14:textFill>
        </w:rPr>
        <w:t>本节对本项目钻井过程、运营期、原油集输及处理过程、管理等方面进行清洁生产分析。</w:t>
      </w:r>
    </w:p>
    <w:bookmarkEnd w:id="341"/>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3.8.1清洁生产技术和措施分析</w:t>
      </w:r>
    </w:p>
    <w:p>
      <w:pPr>
        <w:pStyle w:val="58"/>
        <w:spacing w:line="360" w:lineRule="auto"/>
        <w:ind w:firstLine="480" w:firstLineChars="200"/>
        <w:outlineLvl w:val="9"/>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（1）钻井过程的清洁生产工艺</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1）采取小井眼钻井工艺技术，减少固体废物的排放。</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2）在钻井、注水、防砂等钻采工艺中，采取防渗漏措施（下入表层套管），防止钻井化学药剂对地下水的污染。</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3）钻井过程中，采用钻井泥浆循环系统、泥浆泵冷却水循环系统、废油品回收专用罐、钻井废水循环回收罐等环保设施，最大限度减少污染物排放量。</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4）作业井场采用泥浆循环系统、废油品回收专用罐等环保设施，泥浆循环利用率（重复利用）达到90%以上，最大限度地减少了废泥浆的产生量和污染物的排放量。</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具体做法如下。</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①通过完善和加强作业废液的循环利用系统，将作业井场的钻井废液回收入罐，并进行集中处理。对泥浆类废液经过简单的沉淀、过滤等祛除有机杂质后再进行利用，使其资源化。</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②钻井过程中使用小循环，转换钻井泥浆及完井泥浆回收处理利用；井队充分回收利用污水，泥浆泵、水刹车的冷却水循环使用，冲洗钻台等污水经防渗污水池（防渗材料：采用土工膜）沉淀处理后，打入污水循环回收罐循环使用。</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③配备先进完善的固控设备，并保证其运转使用率，努力控制钻井液中无用固相含量为最低，保证其性能优良。</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④在钻井过程中，鼓励采用环境友好的钻井液体系；配备完善的固控设备，钻井液循环率达到95%以上</w:t>
      </w:r>
      <w:r>
        <w:rPr>
          <w:rFonts w:hint="eastAsia" w:cs="Times New Roman"/>
          <w:color w:val="000000" w:themeColor="text1"/>
          <w:sz w:val="24"/>
          <w:szCs w:val="24"/>
          <w14:textFill>
            <w14:solidFill>
              <w14:schemeClr w14:val="tx1"/>
            </w14:solidFill>
          </w14:textFill>
        </w:rPr>
        <w:t>；</w:t>
      </w:r>
      <w:r>
        <w:rPr>
          <w:rFonts w:cs="Times New Roman"/>
          <w:color w:val="000000" w:themeColor="text1"/>
          <w:sz w:val="24"/>
          <w:szCs w:val="24"/>
          <w14:textFill>
            <w14:solidFill>
              <w14:schemeClr w14:val="tx1"/>
            </w14:solidFill>
          </w14:textFill>
        </w:rPr>
        <w:t>钻井过程产生的废水应回用。</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⑤完井后的泥浆药品等泥浆材料全部回收，废机油、洗件油及其他油品全部清理、回收处理，恢复地貌，做到</w:t>
      </w:r>
      <w:r>
        <w:rPr>
          <w:rFonts w:hint="eastAsia" w:cs="Times New Roman"/>
          <w:color w:val="000000" w:themeColor="text1"/>
          <w:sz w:val="24"/>
          <w:szCs w:val="24"/>
          <w14:textFill>
            <w14:solidFill>
              <w14:schemeClr w14:val="tx1"/>
            </w14:solidFill>
          </w14:textFill>
        </w:rPr>
        <w:t>“</w:t>
      </w:r>
      <w:r>
        <w:rPr>
          <w:rFonts w:cs="Times New Roman"/>
          <w:color w:val="000000" w:themeColor="text1"/>
          <w:sz w:val="24"/>
          <w:szCs w:val="24"/>
          <w14:textFill>
            <w14:solidFill>
              <w14:schemeClr w14:val="tx1"/>
            </w14:solidFill>
          </w14:textFill>
        </w:rPr>
        <w:t>工完、料净、场地清</w:t>
      </w:r>
      <w:r>
        <w:rPr>
          <w:rFonts w:hint="eastAsia" w:cs="Times New Roman"/>
          <w:color w:val="000000" w:themeColor="text1"/>
          <w:sz w:val="24"/>
          <w:szCs w:val="24"/>
          <w14:textFill>
            <w14:solidFill>
              <w14:schemeClr w14:val="tx1"/>
            </w14:solidFill>
          </w14:textFill>
        </w:rPr>
        <w:t>”</w:t>
      </w:r>
      <w:r>
        <w:rPr>
          <w:rFonts w:cs="Times New Roman"/>
          <w:color w:val="000000" w:themeColor="text1"/>
          <w:sz w:val="24"/>
          <w:szCs w:val="24"/>
          <w14:textFill>
            <w14:solidFill>
              <w14:schemeClr w14:val="tx1"/>
            </w14:solidFill>
          </w14:textFill>
        </w:rPr>
        <w:t>。</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5）采用低固相优质钻井液，尽量减少泥浆浸泡油层时间，保护储层。</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6）设置井控装置（防喷器等），并采取了防止井喷和井漏的技术措施，以及防止井喷事故对环境造成污染影响。</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7）钻井废水、废钻井泥浆等采用钻井废弃物不落地达标处理技术，以避免对土壤和地下水环境造成污染影响。</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8）在勘探开发过程中，应防止产生落地原油。其中井下作业过程中应配备泄油器、刮油器等。落地原油应及时回收，落地原油回收率应达到100%。</w:t>
      </w:r>
    </w:p>
    <w:p>
      <w:pPr>
        <w:pStyle w:val="58"/>
        <w:spacing w:line="360" w:lineRule="auto"/>
        <w:ind w:firstLine="480" w:firstLineChars="200"/>
        <w:outlineLvl w:val="9"/>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（2）原油集输及处理清洁生产工艺</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采用功能较强的PLC系统对主要采油和集输工艺参数进行控制，能够提高管理水平，尽量简化工艺过程，减少操作人员，同时使集输系统的安全性、可靠性得到保证，实现集输生产过程少放空，减少天然气燃烧对环境的污染。</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2）系统采用气液混输工艺，简化流程，方便操作。全密闭混合输送工艺能够减少投资，避免含油污水分散处理。</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3）油气集输、注水采用密闭集输流程</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在集输方案的设计上进行了优化，充分考虑和利用油藏的自然能量，确定合理的采油方式和油井回压。在集输流程上，油气从井口至计量站，再输送至处理站，采用密闭流程，降低了油气的损耗，减少烃类物质的挥发量，从而节约了能源，降低了对大气环境的污染影响。</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4）优化布局，减少建设用地</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对井场及站场按工艺流程进行优化组合，布置紧凑。在集油区将油、水、电等沿地表自然走向敷设，最大限度地减少对自然环境和景观的破坏。为减少风季产生的风蚀作用，在集油支线、电力设施底部地面敷设的地表采用芦苇草方格固沙屏障。</w:t>
      </w:r>
    </w:p>
    <w:p>
      <w:pPr>
        <w:pStyle w:val="58"/>
        <w:spacing w:line="360" w:lineRule="auto"/>
        <w:ind w:firstLine="560" w:firstLineChars="200"/>
        <w:outlineLvl w:val="9"/>
        <w:rPr>
          <w:rFonts w:cs="Times New Roman"/>
          <w:color w:val="000000" w:themeColor="text1"/>
          <w:sz w:val="24"/>
          <w:szCs w:val="24"/>
          <w14:textFill>
            <w14:solidFill>
              <w14:schemeClr w14:val="tx1"/>
            </w14:solidFill>
          </w14:textFill>
        </w:rPr>
      </w:pPr>
      <w:r>
        <w:rPr>
          <w:rFonts w:cs="Times New Roman"/>
          <w:color w:val="000000" w:themeColor="text1"/>
          <w14:textFill>
            <w14:solidFill>
              <w14:schemeClr w14:val="tx1"/>
            </w14:solidFill>
          </w14:textFill>
        </w:rPr>
        <w:t>（</w:t>
      </w:r>
      <w:r>
        <w:rPr>
          <w:rFonts w:cs="Times New Roman"/>
          <w:color w:val="000000" w:themeColor="text1"/>
          <w:sz w:val="24"/>
          <w:szCs w:val="24"/>
          <w14:textFill>
            <w14:solidFill>
              <w14:schemeClr w14:val="tx1"/>
            </w14:solidFill>
          </w14:textFill>
        </w:rPr>
        <w:t>3）运营期井下作业清洁生产工艺</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1）在井场加强油井井口的密闭，减少井口烃类的无组织挥发；计量站及管汇撬阀门、油泵等设备采用密闭性能可靠的装置，避免跑、冒、滴、漏现象发生。</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2）原油生产过程中起下油管时，安装自封式封井器，避免原油、污水喷出。</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3）采油井口的清蜡过程采用油罐车及时清理排出的油污及蜡块。</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4）在井下作业过程中，对产生的井下作业废水采用循环作业罐（车）收集，运至陆梁集中处理站处理达标后</w:t>
      </w:r>
      <w:r>
        <w:rPr>
          <w:rFonts w:cs="Times New Roman"/>
          <w:snapToGrid w:val="0"/>
          <w:color w:val="000000" w:themeColor="text1"/>
          <w:sz w:val="24"/>
          <w:szCs w:val="24"/>
          <w14:textFill>
            <w14:solidFill>
              <w14:schemeClr w14:val="tx1"/>
            </w14:solidFill>
          </w14:textFill>
        </w:rPr>
        <w:t>回注油藏，</w:t>
      </w:r>
      <w:r>
        <w:rPr>
          <w:rFonts w:cs="Times New Roman"/>
          <w:color w:val="000000" w:themeColor="text1"/>
          <w:sz w:val="24"/>
          <w:szCs w:val="24"/>
          <w14:textFill>
            <w14:solidFill>
              <w14:schemeClr w14:val="tx1"/>
            </w14:solidFill>
          </w14:textFill>
        </w:rPr>
        <w:t>不外排；底泥交由有资质的单位进行无害化处置；井下作业过程中铺膜防止原油落地，对作业过程中散落的落地油，及时收集清运，拉运至陆梁集中处理站进行处理。</w:t>
      </w:r>
    </w:p>
    <w:p>
      <w:pPr>
        <w:pStyle w:val="58"/>
        <w:spacing w:line="360" w:lineRule="auto"/>
        <w:ind w:firstLine="480" w:firstLineChars="200"/>
        <w:outlineLvl w:val="9"/>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（4）节能及其他清洁生产措施分析</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1）采用高压管道，可减少管网的维修，延长管道使用寿命。</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2）选用节能型电气设备。站场的动力、供电等设备根据设计所确定的用电负荷，在保证安全要求的前提下，选择节能型的设备，防止造成大量能耗，从而降低生产成本。</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3）采用先进、可靠的自动控制技术，提高生产运行参数的安全性、准确性。集油区采用自动化管理，实现无人值守，提高了管理水平。</w:t>
      </w:r>
    </w:p>
    <w:p>
      <w:pPr>
        <w:pStyle w:val="58"/>
        <w:spacing w:line="360" w:lineRule="auto"/>
        <w:ind w:firstLine="480" w:firstLineChars="200"/>
        <w:outlineLvl w:val="9"/>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（5）建立有效的环境管理制度</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本项目将环境管理和环境监测纳入</w:t>
      </w:r>
      <w:r>
        <w:rPr>
          <w:rFonts w:cs="Times New Roman"/>
          <w:color w:val="000000" w:themeColor="text1"/>
          <w:kern w:val="0"/>
          <w:sz w:val="24"/>
          <w:szCs w:val="24"/>
          <w14:textFill>
            <w14:solidFill>
              <w14:schemeClr w14:val="tx1"/>
            </w14:solidFill>
          </w14:textFill>
        </w:rPr>
        <w:t>中国石油新疆油田分公司</w:t>
      </w:r>
      <w:r>
        <w:rPr>
          <w:rFonts w:hint="eastAsia" w:cs="Times New Roman"/>
          <w:color w:val="000000" w:themeColor="text1"/>
          <w:kern w:val="0"/>
          <w:sz w:val="24"/>
          <w:szCs w:val="24"/>
          <w14:textFill>
            <w14:solidFill>
              <w14:schemeClr w14:val="tx1"/>
            </w14:solidFill>
          </w14:textFill>
        </w:rPr>
        <w:t>陆梁油田作业区</w:t>
      </w:r>
      <w:r>
        <w:rPr>
          <w:rFonts w:cs="Times New Roman"/>
          <w:color w:val="000000" w:themeColor="text1"/>
          <w:sz w:val="24"/>
          <w:szCs w:val="24"/>
          <w14:textFill>
            <w14:solidFill>
              <w14:schemeClr w14:val="tx1"/>
            </w14:solidFill>
          </w14:textFill>
        </w:rPr>
        <w:t>安全环保部门负责，采用HSE管理模式，注重对员工进行培训，使员工自觉遵守HSE管理要求，保护自身的安全和健康。为减少和避免环境污染事故的发生，建立、健全管理规章制度，制定了详细的污染控制计划和实施方案，责任到人，指标到岗，实施监督；实行公平的奖惩制度，大力弘扬保护环境的行为。</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本项目主要采取的环境管理措施如下：</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1）落实环保目标责任制，坚持环保指标考核，推行清洁生产。</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2）在钻井生产过程中，防止泥浆、污水外溢，发生外溢时及时清理，并恢复原貌。泥浆药品按照标准化管理规定妥善存放，如在装卸过程中发生散落要及时清理回收。</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3）井下作业系统积极推行</w:t>
      </w:r>
      <w:r>
        <w:rPr>
          <w:rFonts w:hint="eastAsia" w:cs="Times New Roman"/>
          <w:color w:val="000000" w:themeColor="text1"/>
          <w:sz w:val="24"/>
          <w:szCs w:val="24"/>
          <w14:textFill>
            <w14:solidFill>
              <w14:schemeClr w14:val="tx1"/>
            </w14:solidFill>
          </w14:textFill>
        </w:rPr>
        <w:t>“</w:t>
      </w:r>
      <w:r>
        <w:rPr>
          <w:rFonts w:cs="Times New Roman"/>
          <w:color w:val="000000" w:themeColor="text1"/>
          <w:sz w:val="24"/>
          <w:szCs w:val="24"/>
          <w14:textFill>
            <w14:solidFill>
              <w14:schemeClr w14:val="tx1"/>
            </w14:solidFill>
          </w14:textFill>
        </w:rPr>
        <w:t>铺膜</w:t>
      </w:r>
      <w:r>
        <w:rPr>
          <w:rFonts w:hint="eastAsia" w:cs="Times New Roman"/>
          <w:color w:val="000000" w:themeColor="text1"/>
          <w:sz w:val="24"/>
          <w:szCs w:val="24"/>
          <w14:textFill>
            <w14:solidFill>
              <w14:schemeClr w14:val="tx1"/>
            </w14:solidFill>
          </w14:textFill>
        </w:rPr>
        <w:t>”</w:t>
      </w:r>
      <w:r>
        <w:rPr>
          <w:rFonts w:cs="Times New Roman"/>
          <w:color w:val="000000" w:themeColor="text1"/>
          <w:sz w:val="24"/>
          <w:szCs w:val="24"/>
          <w14:textFill>
            <w14:solidFill>
              <w14:schemeClr w14:val="tx1"/>
            </w14:solidFill>
          </w14:textFill>
        </w:rPr>
        <w:t>等无污染作业法；在采油过程中加强管理，对管线及井口设施定期检查，维修，减少或避免生产过程中的</w:t>
      </w:r>
      <w:r>
        <w:rPr>
          <w:rFonts w:hint="eastAsia" w:cs="Times New Roman"/>
          <w:color w:val="000000" w:themeColor="text1"/>
          <w:sz w:val="24"/>
          <w:szCs w:val="24"/>
          <w14:textFill>
            <w14:solidFill>
              <w14:schemeClr w14:val="tx1"/>
            </w14:solidFill>
          </w14:textFill>
        </w:rPr>
        <w:t>“</w:t>
      </w:r>
      <w:r>
        <w:rPr>
          <w:rFonts w:cs="Times New Roman"/>
          <w:color w:val="000000" w:themeColor="text1"/>
          <w:sz w:val="24"/>
          <w:szCs w:val="24"/>
          <w14:textFill>
            <w14:solidFill>
              <w14:schemeClr w14:val="tx1"/>
            </w14:solidFill>
          </w14:textFill>
        </w:rPr>
        <w:t>跑、冒、滴、漏</w:t>
      </w:r>
      <w:r>
        <w:rPr>
          <w:rFonts w:hint="eastAsia" w:cs="Times New Roman"/>
          <w:color w:val="000000" w:themeColor="text1"/>
          <w:sz w:val="24"/>
          <w:szCs w:val="24"/>
          <w14:textFill>
            <w14:solidFill>
              <w14:schemeClr w14:val="tx1"/>
            </w14:solidFill>
          </w14:textFill>
        </w:rPr>
        <w:t>”</w:t>
      </w:r>
      <w:r>
        <w:rPr>
          <w:rFonts w:cs="Times New Roman"/>
          <w:color w:val="000000" w:themeColor="text1"/>
          <w:sz w:val="24"/>
          <w:szCs w:val="24"/>
          <w14:textFill>
            <w14:solidFill>
              <w14:schemeClr w14:val="tx1"/>
            </w14:solidFill>
          </w14:textFill>
        </w:rPr>
        <w:t>现象发生。</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通过以上分析可以看出，本项目无论是在生产工艺、设备的先进性、合理性，还是在原材料及能量的利用以及生产管理和员工的素质提高等各方面均考虑了清洁生产的要求，将清洁生产的技术运用到了开发生产的全过程中。特别是该项目注重源头控制污染物的产生量和废物的重复利用，充分利用了能源和资源，尽量减少或消除了污染物的产生，并使废物在生产过程中转化为可用资源，最大限度地降低了工程对环境造成的污染。</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bookmarkStart w:id="342" w:name="_Hlk92733423"/>
      <w:r>
        <w:rPr>
          <w:rFonts w:ascii="Times New Roman" w:hAnsi="Times New Roman" w:eastAsia="黑体" w:cs="Times New Roman"/>
          <w:b/>
          <w:color w:val="000000" w:themeColor="text1"/>
          <w:sz w:val="30"/>
          <w:szCs w:val="30"/>
          <w14:textFill>
            <w14:solidFill>
              <w14:schemeClr w14:val="tx1"/>
            </w14:solidFill>
          </w14:textFill>
        </w:rPr>
        <w:t>3.8.2清洁水平分析</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（1）评价指标体系</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《石油和天然气开采行业 清洁生产评价指标体系》（试行）中规定的清洁生产评价指标体系由相互联系、相对独立、互相补充的系列清洁生产评价指标所组成的，是用于评价清洁生产绩效的指标集合。根据清洁生产的原则要求和指标的可度量性，评价指标体系分为定量评价和定性要求两大部分。</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定量指标和定性指标又分为一级指标和二级指标。一级指标为普遍性、概括性的指标；二级指标为反映油气勘探开发企业清洁生产各方面具有代表性的、易于评价考核的指标。定量评价的二级指标从其数值情况来看，可分为两类情况：一类是该指标的数值越低（小）越符合清洁生产要求（如常用纤维原料消耗量、取水量、综合能耗、污染物产生量等指标）；另一类是该指标的数值越高（大）越符合清洁生产要求（如水的循环利用率、碱回收率、固体废物综合利用率等指标）。因此，对二级指标的考核评分，根据其类别采用不同的计算模式。在行业评价指标项目、权重及基准值中未出现的指标，按照最高值进行确定，即清洁生产具有较高水平。</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清洁生产评价指标体系的各评价指标、评价基准值和权重值见</w:t>
      </w:r>
      <w:bookmarkStart w:id="343" w:name="_Hlk41383375"/>
      <w:r>
        <w:rPr>
          <w:rFonts w:cs="Times New Roman"/>
          <w:color w:val="000000" w:themeColor="text1"/>
          <w:sz w:val="24"/>
          <w:szCs w:val="24"/>
          <w14:textFill>
            <w14:solidFill>
              <w14:schemeClr w14:val="tx1"/>
            </w14:solidFill>
          </w14:textFill>
        </w:rPr>
        <w:t>表3.</w:t>
      </w:r>
      <w:r>
        <w:rPr>
          <w:rFonts w:hint="eastAsia" w:cs="Times New Roman"/>
          <w:color w:val="000000" w:themeColor="text1"/>
          <w:sz w:val="24"/>
          <w:szCs w:val="24"/>
          <w14:textFill>
            <w14:solidFill>
              <w14:schemeClr w14:val="tx1"/>
            </w14:solidFill>
          </w14:textFill>
        </w:rPr>
        <w:t>8</w:t>
      </w:r>
      <w:r>
        <w:rPr>
          <w:rFonts w:cs="Times New Roman"/>
          <w:color w:val="000000" w:themeColor="text1"/>
          <w:sz w:val="24"/>
          <w:szCs w:val="24"/>
          <w14:textFill>
            <w14:solidFill>
              <w14:schemeClr w14:val="tx1"/>
            </w14:solidFill>
          </w14:textFill>
        </w:rPr>
        <w:t>-1～表3.</w:t>
      </w:r>
      <w:r>
        <w:rPr>
          <w:rFonts w:hint="eastAsia" w:cs="Times New Roman"/>
          <w:color w:val="000000" w:themeColor="text1"/>
          <w:sz w:val="24"/>
          <w:szCs w:val="24"/>
          <w14:textFill>
            <w14:solidFill>
              <w14:schemeClr w14:val="tx1"/>
            </w14:solidFill>
          </w14:textFill>
        </w:rPr>
        <w:t>8</w:t>
      </w:r>
      <w:r>
        <w:rPr>
          <w:rFonts w:cs="Times New Roman"/>
          <w:color w:val="000000" w:themeColor="text1"/>
          <w:sz w:val="24"/>
          <w:szCs w:val="24"/>
          <w14:textFill>
            <w14:solidFill>
              <w14:schemeClr w14:val="tx1"/>
            </w14:solidFill>
          </w14:textFill>
        </w:rPr>
        <w:t>-3。</w:t>
      </w:r>
      <w:bookmarkEnd w:id="343"/>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（2）评价指标体系计算</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①定量评价指标的考核评分计算</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定量评价考核总分值的计算公式为：</w:t>
      </w:r>
    </w:p>
    <w:p>
      <w:pPr>
        <w:snapToGrid w:val="0"/>
        <w:spacing w:line="360" w:lineRule="auto"/>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position w:val="-28"/>
          <w:sz w:val="24"/>
          <w14:textFill>
            <w14:solidFill>
              <w14:schemeClr w14:val="tx1"/>
            </w14:solidFill>
          </w14:textFill>
        </w:rPr>
        <w:object>
          <v:shape id="_x0000_i1026" o:spt="75" type="#_x0000_t75" style="height:45pt;width:79pt;" o:ole="t" filled="f" o:preferrelative="t" stroked="f" coordsize="21600,21600">
            <v:path/>
            <v:fill on="f" focussize="0,0"/>
            <v:stroke on="f" joinstyle="miter"/>
            <v:imagedata r:id="rId38" o:title=""/>
            <o:lock v:ext="edit" aspectratio="t"/>
            <w10:wrap type="none"/>
            <w10:anchorlock/>
          </v:shape>
          <o:OLEObject Type="Embed" ProgID="Equation.KSEE3" ShapeID="_x0000_i1026" DrawAspect="Content" ObjectID="_1468075726" r:id="rId37">
            <o:LockedField>false</o:LockedField>
          </o:OLEObject>
        </w:objec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式中：</w:t>
      </w:r>
      <w:r>
        <w:rPr>
          <w:rFonts w:cs="Times New Roman"/>
          <w:i/>
          <w:color w:val="000000" w:themeColor="text1"/>
          <w:sz w:val="24"/>
          <w:szCs w:val="24"/>
          <w14:textFill>
            <w14:solidFill>
              <w14:schemeClr w14:val="tx1"/>
            </w14:solidFill>
          </w14:textFill>
        </w:rPr>
        <w:t>P</w:t>
      </w:r>
      <w:r>
        <w:rPr>
          <w:rFonts w:cs="Times New Roman"/>
          <w:i/>
          <w:color w:val="000000" w:themeColor="text1"/>
          <w:sz w:val="24"/>
          <w:szCs w:val="24"/>
          <w:vertAlign w:val="subscript"/>
          <w14:textFill>
            <w14:solidFill>
              <w14:schemeClr w14:val="tx1"/>
            </w14:solidFill>
          </w14:textFill>
        </w:rPr>
        <w:t>1</w:t>
      </w:r>
      <w:r>
        <w:rPr>
          <w:rFonts w:cs="Times New Roman"/>
          <w:color w:val="000000" w:themeColor="text1"/>
          <w:sz w:val="24"/>
          <w:szCs w:val="24"/>
          <w14:textFill>
            <w14:solidFill>
              <w14:schemeClr w14:val="tx1"/>
            </w14:solidFill>
          </w14:textFill>
        </w:rPr>
        <w:t>——定量评价考核总分值；</w:t>
      </w:r>
    </w:p>
    <w:p>
      <w:pPr>
        <w:pStyle w:val="30"/>
        <w:spacing w:line="360" w:lineRule="auto"/>
        <w:ind w:firstLine="1200" w:firstLineChars="500"/>
        <w:rPr>
          <w:rFonts w:cs="Times New Roman"/>
          <w:color w:val="000000" w:themeColor="text1"/>
          <w:sz w:val="24"/>
          <w:szCs w:val="24"/>
          <w14:textFill>
            <w14:solidFill>
              <w14:schemeClr w14:val="tx1"/>
            </w14:solidFill>
          </w14:textFill>
        </w:rPr>
      </w:pPr>
      <w:r>
        <w:rPr>
          <w:rFonts w:cs="Times New Roman"/>
          <w:i/>
          <w:color w:val="000000" w:themeColor="text1"/>
          <w:sz w:val="24"/>
          <w:szCs w:val="24"/>
          <w14:textFill>
            <w14:solidFill>
              <w14:schemeClr w14:val="tx1"/>
            </w14:solidFill>
          </w14:textFill>
        </w:rPr>
        <w:t>n</w:t>
      </w:r>
      <w:r>
        <w:rPr>
          <w:rFonts w:cs="Times New Roman"/>
          <w:color w:val="000000" w:themeColor="text1"/>
          <w:sz w:val="24"/>
          <w:szCs w:val="24"/>
          <w14:textFill>
            <w14:solidFill>
              <w14:schemeClr w14:val="tx1"/>
            </w14:solidFill>
          </w14:textFill>
        </w:rPr>
        <w:t>——参与定量评价考核的二级指标项目总数；</w:t>
      </w:r>
    </w:p>
    <w:p>
      <w:pPr>
        <w:pStyle w:val="30"/>
        <w:spacing w:line="360" w:lineRule="auto"/>
        <w:ind w:firstLine="1200" w:firstLineChars="500"/>
        <w:rPr>
          <w:rFonts w:cs="Times New Roman"/>
          <w:color w:val="000000" w:themeColor="text1"/>
          <w:sz w:val="24"/>
          <w:szCs w:val="24"/>
          <w14:textFill>
            <w14:solidFill>
              <w14:schemeClr w14:val="tx1"/>
            </w14:solidFill>
          </w14:textFill>
        </w:rPr>
      </w:pPr>
      <w:r>
        <w:rPr>
          <w:rFonts w:cs="Times New Roman"/>
          <w:i/>
          <w:color w:val="000000" w:themeColor="text1"/>
          <w:sz w:val="24"/>
          <w:szCs w:val="24"/>
          <w14:textFill>
            <w14:solidFill>
              <w14:schemeClr w14:val="tx1"/>
            </w14:solidFill>
          </w14:textFill>
        </w:rPr>
        <w:t>Si</w:t>
      </w:r>
      <w:r>
        <w:rPr>
          <w:rFonts w:cs="Times New Roman"/>
          <w:color w:val="000000" w:themeColor="text1"/>
          <w:sz w:val="24"/>
          <w:szCs w:val="24"/>
          <w14:textFill>
            <w14:solidFill>
              <w14:schemeClr w14:val="tx1"/>
            </w14:solidFill>
          </w14:textFill>
        </w:rPr>
        <w:t>——第</w:t>
      </w:r>
      <w:r>
        <w:rPr>
          <w:rFonts w:cs="Times New Roman"/>
          <w:i/>
          <w:color w:val="000000" w:themeColor="text1"/>
          <w:sz w:val="24"/>
          <w:szCs w:val="24"/>
          <w14:textFill>
            <w14:solidFill>
              <w14:schemeClr w14:val="tx1"/>
            </w14:solidFill>
          </w14:textFill>
        </w:rPr>
        <w:t>i</w:t>
      </w:r>
      <w:r>
        <w:rPr>
          <w:rFonts w:cs="Times New Roman"/>
          <w:color w:val="000000" w:themeColor="text1"/>
          <w:sz w:val="24"/>
          <w:szCs w:val="24"/>
          <w14:textFill>
            <w14:solidFill>
              <w14:schemeClr w14:val="tx1"/>
            </w14:solidFill>
          </w14:textFill>
        </w:rPr>
        <w:t>项评价指标的单项评价指数；</w:t>
      </w:r>
    </w:p>
    <w:p>
      <w:pPr>
        <w:pStyle w:val="30"/>
        <w:spacing w:line="360" w:lineRule="auto"/>
        <w:ind w:firstLine="1200" w:firstLineChars="500"/>
        <w:rPr>
          <w:rFonts w:cs="Times New Roman"/>
          <w:color w:val="000000" w:themeColor="text1"/>
          <w:sz w:val="24"/>
          <w:szCs w:val="24"/>
          <w14:textFill>
            <w14:solidFill>
              <w14:schemeClr w14:val="tx1"/>
            </w14:solidFill>
          </w14:textFill>
        </w:rPr>
      </w:pPr>
      <w:r>
        <w:rPr>
          <w:rFonts w:cs="Times New Roman"/>
          <w:i/>
          <w:color w:val="000000" w:themeColor="text1"/>
          <w:sz w:val="24"/>
          <w:szCs w:val="24"/>
          <w14:textFill>
            <w14:solidFill>
              <w14:schemeClr w14:val="tx1"/>
            </w14:solidFill>
          </w14:textFill>
        </w:rPr>
        <w:t>Ki</w:t>
      </w:r>
      <w:r>
        <w:rPr>
          <w:rFonts w:cs="Times New Roman"/>
          <w:color w:val="000000" w:themeColor="text1"/>
          <w:sz w:val="24"/>
          <w:szCs w:val="24"/>
          <w14:textFill>
            <w14:solidFill>
              <w14:schemeClr w14:val="tx1"/>
            </w14:solidFill>
          </w14:textFill>
        </w:rPr>
        <w:t>——第</w:t>
      </w:r>
      <w:r>
        <w:rPr>
          <w:rFonts w:cs="Times New Roman"/>
          <w:i/>
          <w:color w:val="000000" w:themeColor="text1"/>
          <w:sz w:val="24"/>
          <w:szCs w:val="24"/>
          <w14:textFill>
            <w14:solidFill>
              <w14:schemeClr w14:val="tx1"/>
            </w14:solidFill>
          </w14:textFill>
        </w:rPr>
        <w:t>i</w:t>
      </w:r>
      <w:r>
        <w:rPr>
          <w:rFonts w:cs="Times New Roman"/>
          <w:color w:val="000000" w:themeColor="text1"/>
          <w:sz w:val="24"/>
          <w:szCs w:val="24"/>
          <w14:textFill>
            <w14:solidFill>
              <w14:schemeClr w14:val="tx1"/>
            </w14:solidFill>
          </w14:textFill>
        </w:rPr>
        <w:t>项评价指标的权重值。</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②定性评价指标的考核评分计算</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定性评价指标考核总分值的计算公式为：</w:t>
      </w:r>
    </w:p>
    <w:p>
      <w:pPr>
        <w:snapToGrid w:val="0"/>
        <w:spacing w:line="360" w:lineRule="auto"/>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position w:val="-28"/>
          <w:sz w:val="24"/>
          <w14:textFill>
            <w14:solidFill>
              <w14:schemeClr w14:val="tx1"/>
            </w14:solidFill>
          </w14:textFill>
        </w:rPr>
        <w:object>
          <v:shape id="_x0000_i1027" o:spt="75" type="#_x0000_t75" style="height:52pt;width:65pt;" o:ole="t" filled="f" o:preferrelative="t" stroked="f" coordsize="21600,21600">
            <v:path/>
            <v:fill on="f" focussize="0,0"/>
            <v:stroke on="f" joinstyle="miter"/>
            <v:imagedata r:id="rId40" o:title=""/>
            <o:lock v:ext="edit" aspectratio="t"/>
            <w10:wrap type="none"/>
            <w10:anchorlock/>
          </v:shape>
          <o:OLEObject Type="Embed" ProgID="Equation.KSEE3" ShapeID="_x0000_i1027" DrawAspect="Content" ObjectID="_1468075727" r:id="rId39">
            <o:LockedField>false</o:LockedField>
          </o:OLEObject>
        </w:objec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式中：</w:t>
      </w:r>
      <w:r>
        <w:rPr>
          <w:rFonts w:cs="Times New Roman"/>
          <w:i/>
          <w:color w:val="000000" w:themeColor="text1"/>
          <w:sz w:val="24"/>
          <w:szCs w:val="24"/>
          <w14:textFill>
            <w14:solidFill>
              <w14:schemeClr w14:val="tx1"/>
            </w14:solidFill>
          </w14:textFill>
        </w:rPr>
        <w:t>P</w:t>
      </w:r>
      <w:r>
        <w:rPr>
          <w:rFonts w:cs="Times New Roman"/>
          <w:i/>
          <w:color w:val="000000" w:themeColor="text1"/>
          <w:sz w:val="24"/>
          <w:szCs w:val="24"/>
          <w:vertAlign w:val="subscript"/>
          <w14:textFill>
            <w14:solidFill>
              <w14:schemeClr w14:val="tx1"/>
            </w14:solidFill>
          </w14:textFill>
        </w:rPr>
        <w:t>2</w:t>
      </w:r>
      <w:r>
        <w:rPr>
          <w:rFonts w:cs="Times New Roman"/>
          <w:color w:val="000000" w:themeColor="text1"/>
          <w:sz w:val="24"/>
          <w:szCs w:val="24"/>
          <w14:textFill>
            <w14:solidFill>
              <w14:schemeClr w14:val="tx1"/>
            </w14:solidFill>
          </w14:textFill>
        </w:rPr>
        <w:t>——定性评价二级指标考核总分值；</w:t>
      </w:r>
    </w:p>
    <w:p>
      <w:pPr>
        <w:pStyle w:val="30"/>
        <w:spacing w:line="360" w:lineRule="auto"/>
        <w:ind w:firstLine="1200" w:firstLineChars="500"/>
        <w:rPr>
          <w:rFonts w:cs="Times New Roman"/>
          <w:color w:val="000000" w:themeColor="text1"/>
          <w:sz w:val="24"/>
          <w:szCs w:val="24"/>
          <w14:textFill>
            <w14:solidFill>
              <w14:schemeClr w14:val="tx1"/>
            </w14:solidFill>
          </w14:textFill>
        </w:rPr>
      </w:pPr>
      <w:r>
        <w:rPr>
          <w:rFonts w:cs="Times New Roman"/>
          <w:i/>
          <w:color w:val="000000" w:themeColor="text1"/>
          <w:sz w:val="24"/>
          <w:szCs w:val="24"/>
          <w14:textFill>
            <w14:solidFill>
              <w14:schemeClr w14:val="tx1"/>
            </w14:solidFill>
          </w14:textFill>
        </w:rPr>
        <w:t>Fi</w:t>
      </w:r>
      <w:r>
        <w:rPr>
          <w:rFonts w:cs="Times New Roman"/>
          <w:color w:val="000000" w:themeColor="text1"/>
          <w:sz w:val="24"/>
          <w:szCs w:val="24"/>
          <w14:textFill>
            <w14:solidFill>
              <w14:schemeClr w14:val="tx1"/>
            </w14:solidFill>
          </w14:textFill>
        </w:rPr>
        <w:t>——定性评价指标体系中第i项二级指标的得分值；</w:t>
      </w:r>
    </w:p>
    <w:p>
      <w:pPr>
        <w:pStyle w:val="30"/>
        <w:spacing w:line="360" w:lineRule="auto"/>
        <w:ind w:firstLine="1200" w:firstLineChars="500"/>
        <w:rPr>
          <w:rFonts w:cs="Times New Roman"/>
          <w:color w:val="000000" w:themeColor="text1"/>
          <w:sz w:val="24"/>
          <w:szCs w:val="24"/>
          <w14:textFill>
            <w14:solidFill>
              <w14:schemeClr w14:val="tx1"/>
            </w14:solidFill>
          </w14:textFill>
        </w:rPr>
      </w:pPr>
      <w:r>
        <w:rPr>
          <w:rFonts w:cs="Times New Roman"/>
          <w:i/>
          <w:color w:val="000000" w:themeColor="text1"/>
          <w:sz w:val="24"/>
          <w:szCs w:val="24"/>
          <w14:textFill>
            <w14:solidFill>
              <w14:schemeClr w14:val="tx1"/>
            </w14:solidFill>
          </w14:textFill>
        </w:rPr>
        <w:t>n</w:t>
      </w:r>
      <w:r>
        <w:rPr>
          <w:rFonts w:cs="Times New Roman"/>
          <w:color w:val="000000" w:themeColor="text1"/>
          <w:sz w:val="24"/>
          <w:szCs w:val="24"/>
          <w14:textFill>
            <w14:solidFill>
              <w14:schemeClr w14:val="tx1"/>
            </w14:solidFill>
          </w14:textFill>
        </w:rPr>
        <w:t>——参与考核的定性评价二级指标的项目总数。</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③综合评价指数考核评分计算</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综合评价指数计算公式为：</w:t>
      </w:r>
    </w:p>
    <w:p>
      <w:pPr>
        <w:snapToGrid w:val="0"/>
        <w:spacing w:line="360" w:lineRule="auto"/>
        <w:ind w:firstLine="480"/>
        <w:jc w:val="center"/>
        <w:rPr>
          <w:rFonts w:ascii="Times New Roman" w:hAnsi="Times New Roman" w:cs="Times New Roman"/>
          <w:i/>
          <w:color w:val="000000" w:themeColor="text1"/>
          <w:sz w:val="24"/>
          <w:vertAlign w:val="subscript"/>
          <w14:textFill>
            <w14:solidFill>
              <w14:schemeClr w14:val="tx1"/>
            </w14:solidFill>
          </w14:textFill>
        </w:rPr>
      </w:pPr>
      <w:r>
        <w:rPr>
          <w:rFonts w:ascii="Times New Roman" w:hAnsi="Times New Roman" w:cs="Times New Roman"/>
          <w:i/>
          <w:color w:val="000000" w:themeColor="text1"/>
          <w:position w:val="-10"/>
          <w:sz w:val="24"/>
          <w:vertAlign w:val="subscript"/>
          <w14:textFill>
            <w14:solidFill>
              <w14:schemeClr w14:val="tx1"/>
            </w14:solidFill>
          </w14:textFill>
        </w:rPr>
        <w:object>
          <v:shape id="_x0000_i1028" o:spt="75" type="#_x0000_t75" style="height:20pt;width:137pt;" o:ole="t" filled="f" o:preferrelative="t" stroked="f" coordsize="21600,21600">
            <v:path/>
            <v:fill on="f" focussize="0,0"/>
            <v:stroke on="f" joinstyle="miter"/>
            <v:imagedata r:id="rId42" o:title=""/>
            <o:lock v:ext="edit" aspectratio="t"/>
            <w10:wrap type="none"/>
            <w10:anchorlock/>
          </v:shape>
          <o:OLEObject Type="Embed" ProgID="Equation.KSEE3" ShapeID="_x0000_i1028" DrawAspect="Content" ObjectID="_1468075728" r:id="rId41">
            <o:LockedField>false</o:LockedField>
          </o:OLEObject>
        </w:objec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式中：</w:t>
      </w:r>
      <w:r>
        <w:rPr>
          <w:rFonts w:cs="Times New Roman"/>
          <w:i/>
          <w:color w:val="000000" w:themeColor="text1"/>
          <w:sz w:val="24"/>
          <w:szCs w:val="24"/>
          <w14:textFill>
            <w14:solidFill>
              <w14:schemeClr w14:val="tx1"/>
            </w14:solidFill>
          </w14:textFill>
        </w:rPr>
        <w:t>P</w:t>
      </w:r>
      <w:r>
        <w:rPr>
          <w:rFonts w:cs="Times New Roman"/>
          <w:color w:val="000000" w:themeColor="text1"/>
          <w:sz w:val="24"/>
          <w:szCs w:val="24"/>
          <w14:textFill>
            <w14:solidFill>
              <w14:schemeClr w14:val="tx1"/>
            </w14:solidFill>
          </w14:textFill>
        </w:rPr>
        <w:t>——清洁生产综合评价指数；</w:t>
      </w:r>
    </w:p>
    <w:p>
      <w:pPr>
        <w:pStyle w:val="30"/>
        <w:spacing w:line="360" w:lineRule="auto"/>
        <w:ind w:firstLine="1200" w:firstLineChars="500"/>
        <w:rPr>
          <w:rFonts w:cs="Times New Roman"/>
          <w:color w:val="000000" w:themeColor="text1"/>
          <w:sz w:val="24"/>
          <w:szCs w:val="24"/>
          <w14:textFill>
            <w14:solidFill>
              <w14:schemeClr w14:val="tx1"/>
            </w14:solidFill>
          </w14:textFill>
        </w:rPr>
      </w:pPr>
      <w:r>
        <w:rPr>
          <w:rFonts w:cs="Times New Roman"/>
          <w:i/>
          <w:color w:val="000000" w:themeColor="text1"/>
          <w:sz w:val="24"/>
          <w:szCs w:val="24"/>
          <w14:textFill>
            <w14:solidFill>
              <w14:schemeClr w14:val="tx1"/>
            </w14:solidFill>
          </w14:textFill>
        </w:rPr>
        <w:t>P</w:t>
      </w:r>
      <w:r>
        <w:rPr>
          <w:rFonts w:cs="Times New Roman"/>
          <w:i/>
          <w:color w:val="000000" w:themeColor="text1"/>
          <w:sz w:val="24"/>
          <w:szCs w:val="24"/>
          <w:vertAlign w:val="subscript"/>
          <w14:textFill>
            <w14:solidFill>
              <w14:schemeClr w14:val="tx1"/>
            </w14:solidFill>
          </w14:textFill>
        </w:rPr>
        <w:t>1</w:t>
      </w:r>
      <w:r>
        <w:rPr>
          <w:rFonts w:cs="Times New Roman"/>
          <w:color w:val="000000" w:themeColor="text1"/>
          <w:sz w:val="24"/>
          <w:szCs w:val="24"/>
          <w14:textFill>
            <w14:solidFill>
              <w14:schemeClr w14:val="tx1"/>
            </w14:solidFill>
          </w14:textFill>
        </w:rPr>
        <w:t>——定量评价指标考核总分值；</w:t>
      </w:r>
    </w:p>
    <w:p>
      <w:pPr>
        <w:pStyle w:val="30"/>
        <w:spacing w:line="360" w:lineRule="auto"/>
        <w:ind w:firstLine="1200" w:firstLineChars="500"/>
        <w:rPr>
          <w:rFonts w:cs="Times New Roman"/>
          <w:color w:val="000000" w:themeColor="text1"/>
          <w:sz w:val="24"/>
          <w:szCs w:val="24"/>
          <w14:textFill>
            <w14:solidFill>
              <w14:schemeClr w14:val="tx1"/>
            </w14:solidFill>
          </w14:textFill>
        </w:rPr>
      </w:pPr>
      <w:r>
        <w:rPr>
          <w:rFonts w:cs="Times New Roman"/>
          <w:i/>
          <w:color w:val="000000" w:themeColor="text1"/>
          <w:sz w:val="24"/>
          <w:szCs w:val="24"/>
          <w14:textFill>
            <w14:solidFill>
              <w14:schemeClr w14:val="tx1"/>
            </w14:solidFill>
          </w14:textFill>
        </w:rPr>
        <w:t>P</w:t>
      </w:r>
      <w:r>
        <w:rPr>
          <w:rFonts w:cs="Times New Roman"/>
          <w:i/>
          <w:color w:val="000000" w:themeColor="text1"/>
          <w:sz w:val="24"/>
          <w:szCs w:val="24"/>
          <w:vertAlign w:val="subscript"/>
          <w14:textFill>
            <w14:solidFill>
              <w14:schemeClr w14:val="tx1"/>
            </w14:solidFill>
          </w14:textFill>
        </w:rPr>
        <w:t>2</w:t>
      </w:r>
      <w:r>
        <w:rPr>
          <w:rFonts w:cs="Times New Roman"/>
          <w:color w:val="000000" w:themeColor="text1"/>
          <w:sz w:val="24"/>
          <w:szCs w:val="24"/>
          <w14:textFill>
            <w14:solidFill>
              <w14:schemeClr w14:val="tx1"/>
            </w14:solidFill>
          </w14:textFill>
        </w:rPr>
        <w:t>——定性评价指标考核总分值。</w:t>
      </w:r>
    </w:p>
    <w:bookmarkEnd w:id="342"/>
    <w:p>
      <w:pPr>
        <w:widowControl/>
        <w:spacing w:line="360" w:lineRule="auto"/>
        <w:ind w:firstLine="480"/>
        <w:jc w:val="left"/>
        <w:rPr>
          <w:rFonts w:ascii="Times New Roman" w:hAnsi="Times New Roman" w:cs="Times New Roman"/>
          <w:color w:val="000000" w:themeColor="text1"/>
          <w:sz w:val="24"/>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37"/>
        <w:spacing w:line="360"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表3.8-1  钻井作业定量和定性评价指标项目、权重及基准值</w:t>
      </w:r>
    </w:p>
    <w:tbl>
      <w:tblPr>
        <w:tblStyle w:val="23"/>
        <w:tblW w:w="14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14"/>
        <w:gridCol w:w="246"/>
        <w:gridCol w:w="746"/>
        <w:gridCol w:w="117"/>
        <w:gridCol w:w="1584"/>
        <w:gridCol w:w="434"/>
        <w:gridCol w:w="3135"/>
        <w:gridCol w:w="900"/>
        <w:gridCol w:w="2118"/>
        <w:gridCol w:w="2925"/>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0694" w:type="dxa"/>
            <w:gridSpan w:val="9"/>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定量指标</w:t>
            </w:r>
          </w:p>
        </w:tc>
        <w:tc>
          <w:tcPr>
            <w:tcW w:w="3481"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一级指标</w:t>
            </w:r>
          </w:p>
        </w:tc>
        <w:tc>
          <w:tcPr>
            <w:tcW w:w="86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权重值</w:t>
            </w: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二级指标</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单位</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权重分值</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评价基准值</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本工程指标</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（1）资源和能源消耗指标</w:t>
            </w:r>
          </w:p>
        </w:tc>
        <w:tc>
          <w:tcPr>
            <w:tcW w:w="863"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占地面积</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hm</w:t>
            </w:r>
            <w:r>
              <w:rPr>
                <w:rFonts w:cs="Times New Roman"/>
                <w:color w:val="000000" w:themeColor="text1"/>
                <w:vertAlign w:val="superscript"/>
                <w14:textFill>
                  <w14:solidFill>
                    <w14:schemeClr w14:val="tx1"/>
                  </w14:solidFill>
                </w14:textFill>
              </w:rPr>
              <w:t>2</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符合行业标准要求</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eastAsia="等线" w:cs="Times New Roman"/>
                <w:color w:val="000000" w:themeColor="text1"/>
                <w14:textFill>
                  <w14:solidFill>
                    <w14:schemeClr w14:val="tx1"/>
                  </w14:solidFill>
                </w14:textFill>
              </w:rPr>
              <w:t>38.96</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新鲜水消耗</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t/100m标准进尺</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95.38</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（2）生产技术特征指标</w:t>
            </w:r>
          </w:p>
        </w:tc>
        <w:tc>
          <w:tcPr>
            <w:tcW w:w="86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固井质量合格率</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≥95</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95</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（3）资源综合利用指标</w:t>
            </w:r>
          </w:p>
        </w:tc>
        <w:tc>
          <w:tcPr>
            <w:tcW w:w="863"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钻井液循环率</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井深：2000m以下；2000-3000m；</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3000m以上</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≥40%；≥50%；≥60%</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w:t>
            </w:r>
            <w:r>
              <w:rPr>
                <w:rFonts w:hint="eastAsia" w:cs="Times New Roman"/>
                <w:color w:val="000000" w:themeColor="text1"/>
                <w14:textFill>
                  <w14:solidFill>
                    <w14:schemeClr w14:val="tx1"/>
                  </w14:solidFill>
                </w14:textFill>
              </w:rPr>
              <w:t>单井</w:t>
            </w:r>
            <w:r>
              <w:rPr>
                <w:rFonts w:cs="Times New Roman"/>
                <w:color w:val="000000" w:themeColor="text1"/>
                <w14:textFill>
                  <w14:solidFill>
                    <w14:schemeClr w14:val="tx1"/>
                  </w14:solidFill>
                </w14:textFill>
              </w:rPr>
              <w:t>井深1200m；钻井液循环率90%</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柴油机效率</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≥80</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85</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污油回收率</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（4）污染物指标</w:t>
            </w:r>
          </w:p>
        </w:tc>
        <w:tc>
          <w:tcPr>
            <w:tcW w:w="863"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钻井废水产生量</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t/100m标准进尺</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甲类区：≤30；</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乙类区：≤35</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废弃钻井液产生量</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/100m标准进尺</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钻井液循环使用</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柴油机烟气排放浓度</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符合排放标准要求</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符合《大气污染物综合排放标准》（GB16297-1996）中新污染源无组织排放监控点浓度限值</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石油类排放浓度</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项目废水不外排</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6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63"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01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COD排放浓度</w:t>
            </w:r>
          </w:p>
        </w:tc>
        <w:tc>
          <w:tcPr>
            <w:tcW w:w="31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11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甲类区：≤100；</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乙类区：≤150</w:t>
            </w:r>
          </w:p>
        </w:tc>
        <w:tc>
          <w:tcPr>
            <w:tcW w:w="292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项目废水不外排</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8576" w:type="dxa"/>
            <w:gridSpan w:val="8"/>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定性指标</w:t>
            </w:r>
          </w:p>
        </w:tc>
        <w:tc>
          <w:tcPr>
            <w:tcW w:w="559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一级指标</w:t>
            </w:r>
          </w:p>
        </w:tc>
        <w:tc>
          <w:tcPr>
            <w:tcW w:w="992"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权重值</w:t>
            </w: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二级指标</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指标分值</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本工程指标</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（1）资源与能源消耗指标</w:t>
            </w:r>
          </w:p>
        </w:tc>
        <w:tc>
          <w:tcPr>
            <w:tcW w:w="992"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钻井液消毒</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可生物降解或无毒钻井液</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一开：坂土-CMC钻井液体系；二开：钾钙基有机盐钻井液体系。</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柴油消耗</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具有节油措施</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具有节油措施</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（2）生产技术特征指标</w:t>
            </w:r>
          </w:p>
        </w:tc>
        <w:tc>
          <w:tcPr>
            <w:tcW w:w="992"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钻井设备</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国内领先</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国内领先</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压力平衡技术</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具备欠平衡技术</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具备欠平衡技术</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钻井液收集设施</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配有收集设施，且使钻井液不落地</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井下作业时带罐作业</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固控设备</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配备振动筛、除气器、除泥器、除砂器、离心机等固控设备</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配备了振动筛、除气器、除泥器、除砂器、离心机等固控设备</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井控措施</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具备</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具备</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有无防噪措施</w:t>
            </w:r>
          </w:p>
        </w:tc>
        <w:tc>
          <w:tcPr>
            <w:tcW w:w="3569"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（3）管理体系建设及清洁生产审核</w:t>
            </w:r>
          </w:p>
        </w:tc>
        <w:tc>
          <w:tcPr>
            <w:tcW w:w="992"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建立HSE管理体系</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陆梁油田作业区</w:t>
            </w:r>
            <w:r>
              <w:rPr>
                <w:rFonts w:cs="Times New Roman"/>
                <w:color w:val="000000" w:themeColor="text1"/>
                <w14:textFill>
                  <w14:solidFill>
                    <w14:schemeClr w14:val="tx1"/>
                  </w14:solidFill>
                </w14:textFill>
              </w:rPr>
              <w:t>建立有HSE管理体系</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开展清洁生产审核，并通过验收</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所属油田作业区已完成清洁生产审核</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定制节能减排工作计划</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制定有节能减排工作计划</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（4）贯彻执行环境保护法规符合性</w:t>
            </w:r>
          </w:p>
        </w:tc>
        <w:tc>
          <w:tcPr>
            <w:tcW w:w="992"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废弃钻井泥浆处置措施满足法规要求</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废弃钻井泥浆采用钻井不落地技术收集，</w:t>
            </w:r>
            <w:r>
              <w:rPr>
                <w:rFonts w:cs="Times New Roman"/>
                <w:bCs/>
                <w:color w:val="000000" w:themeColor="text1"/>
                <w14:textFill>
                  <w14:solidFill>
                    <w14:schemeClr w14:val="tx1"/>
                  </w14:solidFill>
                </w14:textFill>
              </w:rPr>
              <w:t>本项目钻井期一开使用的泥浆为</w:t>
            </w:r>
            <w:r>
              <w:rPr>
                <w:rFonts w:cs="Times New Roman"/>
                <w:color w:val="000000" w:themeColor="text1"/>
                <w14:textFill>
                  <w14:solidFill>
                    <w14:schemeClr w14:val="tx1"/>
                  </w14:solidFill>
                </w14:textFill>
              </w:rPr>
              <w:t>坂土-CMC钻井液</w:t>
            </w:r>
            <w:r>
              <w:rPr>
                <w:rFonts w:cs="Times New Roman"/>
                <w:bCs/>
                <w:color w:val="000000" w:themeColor="text1"/>
                <w14:textFill>
                  <w14:solidFill>
                    <w14:schemeClr w14:val="tx1"/>
                  </w14:solidFill>
                </w14:textFill>
              </w:rPr>
              <w:t>，为环境友好的钻井液，二开使用</w:t>
            </w:r>
            <w:r>
              <w:rPr>
                <w:rFonts w:cs="Times New Roman"/>
                <w:color w:val="000000" w:themeColor="text1"/>
                <w14:textFill>
                  <w14:solidFill>
                    <w14:schemeClr w14:val="tx1"/>
                  </w14:solidFill>
                </w14:textFill>
              </w:rPr>
              <w:t>钾钙基有机盐钻井液，</w:t>
            </w:r>
            <w:r>
              <w:rPr>
                <w:rFonts w:cs="Times New Roman"/>
                <w:bCs/>
                <w:color w:val="000000" w:themeColor="text1"/>
                <w14:textFill>
                  <w14:solidFill>
                    <w14:schemeClr w14:val="tx1"/>
                  </w14:solidFill>
                </w14:textFill>
              </w:rPr>
              <w:t>泥浆随钻井队用于后续钻井使用</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污染物排放总量控制与减排措施情况</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w:t>
            </w:r>
            <w:r>
              <w:rPr>
                <w:rFonts w:hint="eastAsia" w:cs="Times New Roman"/>
                <w:color w:val="000000" w:themeColor="text1"/>
                <w14:textFill>
                  <w14:solidFill>
                    <w14:schemeClr w14:val="tx1"/>
                  </w14:solidFill>
                </w14:textFill>
              </w:rPr>
              <w:t>物</w:t>
            </w:r>
            <w:r>
              <w:rPr>
                <w:rFonts w:cs="Times New Roman"/>
                <w:color w:val="000000" w:themeColor="text1"/>
                <w14:textFill>
                  <w14:solidFill>
                    <w14:schemeClr w14:val="tx1"/>
                  </w14:solidFill>
                </w14:textFill>
              </w:rPr>
              <w:t>排放满足总量控制和减排要求</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4"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5270"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满足其他法律法规要求</w:t>
            </w:r>
          </w:p>
        </w:tc>
        <w:tc>
          <w:tcPr>
            <w:tcW w:w="90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5043"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满足</w:t>
            </w:r>
          </w:p>
        </w:tc>
        <w:tc>
          <w:tcPr>
            <w:tcW w:w="55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bl>
    <w:p>
      <w:pPr>
        <w:pStyle w:val="37"/>
        <w:spacing w:line="360"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表3.8-2  井下作业定量和定性评价指标项目、权重及基准值</w:t>
      </w:r>
    </w:p>
    <w:tbl>
      <w:tblPr>
        <w:tblStyle w:val="23"/>
        <w:tblW w:w="14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676"/>
        <w:gridCol w:w="132"/>
        <w:gridCol w:w="723"/>
        <w:gridCol w:w="127"/>
        <w:gridCol w:w="2600"/>
        <w:gridCol w:w="90"/>
        <w:gridCol w:w="1124"/>
        <w:gridCol w:w="1098"/>
        <w:gridCol w:w="1177"/>
        <w:gridCol w:w="1620"/>
        <w:gridCol w:w="3133"/>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0367" w:type="dxa"/>
            <w:gridSpan w:val="10"/>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定量指标</w:t>
            </w:r>
          </w:p>
        </w:tc>
        <w:tc>
          <w:tcPr>
            <w:tcW w:w="380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一级指标</w:t>
            </w:r>
          </w:p>
        </w:tc>
        <w:tc>
          <w:tcPr>
            <w:tcW w:w="85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权重值</w:t>
            </w: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二级指标</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单位</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权重分值</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评价基准值</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kern w:val="0"/>
                <w14:textFill>
                  <w14:solidFill>
                    <w14:schemeClr w14:val="tx1"/>
                  </w14:solidFill>
                </w14:textFill>
              </w:rPr>
              <w:t>本工程指标</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（1）资源和能源消耗指标</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作业液消耗</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/井次</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40</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单位能耗</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行业基本水平</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新鲜水消耗</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/井次</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（2）生产技术特征指标</w:t>
            </w:r>
          </w:p>
        </w:tc>
        <w:tc>
          <w:tcPr>
            <w:tcW w:w="85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压裂放喷返排入罐率</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本项目无压裂作业</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（3）资源综合利用指标</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落地原油回收利用率</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生产过程排出物利用率</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（4）污染物产生指标</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作业废液排放量</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/井次</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石油类排放浓度</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甲类区：≤10；乙类区：≤50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COD排放浓度</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甲类区：≤100；乙类区：≤150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含油污泥排放量</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/井次</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甲类区：≤50；乙类区：≤70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676"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72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一般固体废物（生活垃圾）</w:t>
            </w:r>
          </w:p>
        </w:tc>
        <w:tc>
          <w:tcPr>
            <w:tcW w:w="1214"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/井次</w:t>
            </w:r>
          </w:p>
        </w:tc>
        <w:tc>
          <w:tcPr>
            <w:tcW w:w="109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79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符合环保要求</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符合</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0367" w:type="dxa"/>
            <w:gridSpan w:val="10"/>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定性指标</w:t>
            </w:r>
          </w:p>
        </w:tc>
        <w:tc>
          <w:tcPr>
            <w:tcW w:w="380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一级指标</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权重值</w:t>
            </w:r>
          </w:p>
        </w:tc>
        <w:tc>
          <w:tcPr>
            <w:tcW w:w="6089" w:type="dxa"/>
            <w:gridSpan w:val="5"/>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二级指标</w:t>
            </w:r>
          </w:p>
        </w:tc>
        <w:tc>
          <w:tcPr>
            <w:tcW w:w="16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指标分值</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kern w:val="0"/>
                <w14:textFill>
                  <w14:solidFill>
                    <w14:schemeClr w14:val="tx1"/>
                  </w14:solidFill>
                </w14:textFill>
              </w:rPr>
              <w:t>本工程指标</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kern w:val="0"/>
                <w14:textFill>
                  <w14:solidFill>
                    <w14:schemeClr w14:val="tx1"/>
                  </w14:solidFill>
                </w14:textFill>
              </w:rPr>
            </w:pPr>
            <w:r>
              <w:rPr>
                <w:rFonts w:cs="Times New Roman"/>
                <w:b/>
                <w:bCs/>
                <w:color w:val="000000" w:themeColor="text1"/>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（1）生产工艺及设备要求</w:t>
            </w:r>
          </w:p>
        </w:tc>
        <w:tc>
          <w:tcPr>
            <w:tcW w:w="85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w:t>
            </w: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防喷措施</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具备</w:t>
            </w:r>
          </w:p>
        </w:tc>
        <w:tc>
          <w:tcPr>
            <w:tcW w:w="16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具备</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地面管线防刺防漏措施</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按标准试压</w:t>
            </w:r>
          </w:p>
        </w:tc>
        <w:tc>
          <w:tcPr>
            <w:tcW w:w="16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按标准试压</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防溢设备（防溢池设置）</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具备</w:t>
            </w:r>
          </w:p>
        </w:tc>
        <w:tc>
          <w:tcPr>
            <w:tcW w:w="16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具备</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防渗范围</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废水、使用液、原油等可能落地处</w:t>
            </w:r>
          </w:p>
        </w:tc>
        <w:tc>
          <w:tcPr>
            <w:tcW w:w="16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废水、使用液、原油等可能落地处</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作业废液污染控制措施</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集中回收处理</w:t>
            </w:r>
          </w:p>
        </w:tc>
        <w:tc>
          <w:tcPr>
            <w:tcW w:w="16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井下作业时带罐作业</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69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防止落地原油产生措施</w:t>
            </w:r>
          </w:p>
        </w:tc>
        <w:tc>
          <w:tcPr>
            <w:tcW w:w="339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具备原油回收设施</w:t>
            </w:r>
          </w:p>
        </w:tc>
        <w:tc>
          <w:tcPr>
            <w:tcW w:w="16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井下作业时要求带罐作业，落地油100%回收，回收后的落地油运至陆梁集中处理站处理</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（2）管理体系建设及清洁生产审核</w:t>
            </w:r>
          </w:p>
        </w:tc>
        <w:tc>
          <w:tcPr>
            <w:tcW w:w="85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w:t>
            </w:r>
          </w:p>
        </w:tc>
        <w:tc>
          <w:tcPr>
            <w:tcW w:w="6089" w:type="dxa"/>
            <w:gridSpan w:val="5"/>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建立HSE管理体系并通过认证</w:t>
            </w:r>
          </w:p>
        </w:tc>
        <w:tc>
          <w:tcPr>
            <w:tcW w:w="16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陆梁油田作业区</w:t>
            </w:r>
            <w:r>
              <w:rPr>
                <w:rFonts w:cs="Times New Roman"/>
                <w:color w:val="000000" w:themeColor="text1"/>
                <w14:textFill>
                  <w14:solidFill>
                    <w14:schemeClr w14:val="tx1"/>
                  </w14:solidFill>
                </w14:textFill>
              </w:rPr>
              <w:t>建立了HSE管理体系并通过认证</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6089" w:type="dxa"/>
            <w:gridSpan w:val="5"/>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开展清洁生产审核</w:t>
            </w:r>
          </w:p>
        </w:tc>
        <w:tc>
          <w:tcPr>
            <w:tcW w:w="16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所属油田作业区已完成清洁生产审核</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6089" w:type="dxa"/>
            <w:gridSpan w:val="5"/>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制订节能减排工作计划</w:t>
            </w:r>
          </w:p>
        </w:tc>
        <w:tc>
          <w:tcPr>
            <w:tcW w:w="16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制定有节能减排工作计划</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80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（3）贯彻执行环境保护法规符合性</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6089" w:type="dxa"/>
            <w:gridSpan w:val="5"/>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满足其他法律法规要求</w:t>
            </w:r>
          </w:p>
        </w:tc>
        <w:tc>
          <w:tcPr>
            <w:tcW w:w="162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313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满足其他法律法规要求</w:t>
            </w:r>
          </w:p>
        </w:tc>
        <w:tc>
          <w:tcPr>
            <w:tcW w:w="67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r>
    </w:tbl>
    <w:p>
      <w:pPr>
        <w:pStyle w:val="37"/>
        <w:spacing w:line="360"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表3.8-3  </w:t>
      </w:r>
      <w:bookmarkStart w:id="344" w:name="_Hlk92733391"/>
      <w:r>
        <w:rPr>
          <w:rFonts w:ascii="Times New Roman" w:hAnsi="Times New Roman" w:cs="Times New Roman"/>
          <w:color w:val="000000" w:themeColor="text1"/>
          <w:sz w:val="21"/>
          <w:szCs w:val="21"/>
          <w14:textFill>
            <w14:solidFill>
              <w14:schemeClr w14:val="tx1"/>
            </w14:solidFill>
          </w14:textFill>
        </w:rPr>
        <w:t>采油（气）作业</w:t>
      </w:r>
      <w:bookmarkEnd w:id="344"/>
      <w:r>
        <w:rPr>
          <w:rFonts w:ascii="Times New Roman" w:hAnsi="Times New Roman" w:cs="Times New Roman"/>
          <w:color w:val="000000" w:themeColor="text1"/>
          <w:sz w:val="21"/>
          <w:szCs w:val="21"/>
          <w14:textFill>
            <w14:solidFill>
              <w14:schemeClr w14:val="tx1"/>
            </w14:solidFill>
          </w14:textFill>
        </w:rPr>
        <w:t>定量和定性评价指标项目、权重及基准值</w:t>
      </w:r>
    </w:p>
    <w:tbl>
      <w:tblPr>
        <w:tblStyle w:val="23"/>
        <w:tblW w:w="141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322"/>
        <w:gridCol w:w="194"/>
        <w:gridCol w:w="567"/>
        <w:gridCol w:w="440"/>
        <w:gridCol w:w="2690"/>
        <w:gridCol w:w="568"/>
        <w:gridCol w:w="429"/>
        <w:gridCol w:w="1241"/>
        <w:gridCol w:w="1437"/>
        <w:gridCol w:w="327"/>
        <w:gridCol w:w="572"/>
        <w:gridCol w:w="510"/>
        <w:gridCol w:w="1403"/>
        <w:gridCol w:w="821"/>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75" w:type="dxa"/>
            <w:gridSpan w:val="15"/>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定量指标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一级指标</w:t>
            </w:r>
          </w:p>
        </w:tc>
        <w:tc>
          <w:tcPr>
            <w:tcW w:w="1007"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权重值</w:t>
            </w:r>
          </w:p>
        </w:tc>
        <w:tc>
          <w:tcPr>
            <w:tcW w:w="3258"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二级指标</w:t>
            </w:r>
          </w:p>
        </w:tc>
        <w:tc>
          <w:tcPr>
            <w:tcW w:w="1670"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单位</w:t>
            </w:r>
          </w:p>
        </w:tc>
        <w:tc>
          <w:tcPr>
            <w:tcW w:w="1437"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权重值</w:t>
            </w:r>
          </w:p>
        </w:tc>
        <w:tc>
          <w:tcPr>
            <w:tcW w:w="1409" w:type="dxa"/>
            <w:gridSpan w:val="3"/>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评价基准值</w:t>
            </w:r>
          </w:p>
        </w:tc>
        <w:tc>
          <w:tcPr>
            <w:tcW w:w="2878"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325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670"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437"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409"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140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kern w:val="0"/>
                <w14:textFill>
                  <w14:solidFill>
                    <w14:schemeClr w14:val="tx1"/>
                  </w14:solidFill>
                </w14:textFill>
              </w:rPr>
              <w:t>本工程指标</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（1）资源和能源消耗指标</w:t>
            </w:r>
          </w:p>
        </w:tc>
        <w:tc>
          <w:tcPr>
            <w:tcW w:w="1007"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综合能耗</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kg标煤/t采出液</w:t>
            </w:r>
          </w:p>
        </w:tc>
        <w:tc>
          <w:tcPr>
            <w:tcW w:w="14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稀油：≤65</w:t>
            </w:r>
          </w:p>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稠油：≤160</w:t>
            </w:r>
          </w:p>
        </w:tc>
        <w:tc>
          <w:tcPr>
            <w:tcW w:w="140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＜65</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（2）资源综合利用指标</w:t>
            </w:r>
          </w:p>
        </w:tc>
        <w:tc>
          <w:tcPr>
            <w:tcW w:w="1007"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w:t>
            </w: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余热余能利用率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w:t>
            </w:r>
          </w:p>
        </w:tc>
        <w:tc>
          <w:tcPr>
            <w:tcW w:w="140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油井伴生气回收利用率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≥80</w:t>
            </w:r>
          </w:p>
        </w:tc>
        <w:tc>
          <w:tcPr>
            <w:tcW w:w="140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99</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含油污泥资源化利用率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≥90</w:t>
            </w:r>
          </w:p>
        </w:tc>
        <w:tc>
          <w:tcPr>
            <w:tcW w:w="140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（3）污染物产生指标</w:t>
            </w:r>
          </w:p>
        </w:tc>
        <w:tc>
          <w:tcPr>
            <w:tcW w:w="1007"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40</w:t>
            </w: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石油类</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14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40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mg/L</w:t>
            </w:r>
          </w:p>
        </w:tc>
        <w:tc>
          <w:tcPr>
            <w:tcW w:w="14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乙类区：≤150</w:t>
            </w:r>
          </w:p>
        </w:tc>
        <w:tc>
          <w:tcPr>
            <w:tcW w:w="140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落地原油回收率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140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采油废水回用率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≥60</w:t>
            </w:r>
          </w:p>
        </w:tc>
        <w:tc>
          <w:tcPr>
            <w:tcW w:w="140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油井伴生气外排率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140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516"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100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3258"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采出废水达标排放率</w:t>
            </w:r>
          </w:p>
        </w:tc>
        <w:tc>
          <w:tcPr>
            <w:tcW w:w="1670"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437"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p>
        </w:tc>
        <w:tc>
          <w:tcPr>
            <w:tcW w:w="1409"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≥80</w:t>
            </w:r>
          </w:p>
        </w:tc>
        <w:tc>
          <w:tcPr>
            <w:tcW w:w="1403"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14175" w:type="dxa"/>
            <w:gridSpan w:val="15"/>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定性指标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一级指标</w:t>
            </w:r>
          </w:p>
        </w:tc>
        <w:tc>
          <w:tcPr>
            <w:tcW w:w="761"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指标</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分值</w:t>
            </w:r>
          </w:p>
        </w:tc>
        <w:tc>
          <w:tcPr>
            <w:tcW w:w="7132" w:type="dxa"/>
            <w:gridSpan w:val="7"/>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二级指标</w:t>
            </w:r>
          </w:p>
        </w:tc>
        <w:tc>
          <w:tcPr>
            <w:tcW w:w="572"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指标</w:t>
            </w:r>
          </w:p>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分值</w:t>
            </w:r>
          </w:p>
        </w:tc>
        <w:tc>
          <w:tcPr>
            <w:tcW w:w="3388"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132" w:type="dxa"/>
            <w:gridSpan w:val="7"/>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57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kern w:val="0"/>
                <w14:textFill>
                  <w14:solidFill>
                    <w14:schemeClr w14:val="tx1"/>
                  </w14:solidFill>
                </w14:textFill>
              </w:rPr>
              <w:t>本工程指标</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（1）生产工艺及设备要求</w:t>
            </w:r>
          </w:p>
        </w:tc>
        <w:tc>
          <w:tcPr>
            <w:tcW w:w="761"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45</w:t>
            </w:r>
          </w:p>
        </w:tc>
        <w:tc>
          <w:tcPr>
            <w:tcW w:w="3698"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井筒质量</w:t>
            </w:r>
          </w:p>
        </w:tc>
        <w:tc>
          <w:tcPr>
            <w:tcW w:w="3434"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井筒设施完好</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井筒设施完好</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440"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采气</w:t>
            </w:r>
          </w:p>
        </w:tc>
        <w:tc>
          <w:tcPr>
            <w:tcW w:w="269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采气过程醇回收设施</w:t>
            </w:r>
          </w:p>
        </w:tc>
        <w:tc>
          <w:tcPr>
            <w:tcW w:w="56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429"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采油</w:t>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套管气回收装置</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有套管气回收装置</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440"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2690"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天然气净化设施先进、净化效率高</w:t>
            </w:r>
          </w:p>
        </w:tc>
        <w:tc>
          <w:tcPr>
            <w:tcW w:w="568"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429"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3005"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防止落地原油产生措施</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井下作业时带罐作业</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4127"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采油方式</w:t>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采油方式经过综合评价确定</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注水采油</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4127" w:type="dxa"/>
            <w:gridSpan w:val="4"/>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集输流程</w:t>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全密闭流程，并具有轻烃回收装置</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全密闭集输工艺</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（2）环境管理体系建设及清洁生产审核</w:t>
            </w:r>
          </w:p>
        </w:tc>
        <w:tc>
          <w:tcPr>
            <w:tcW w:w="761"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建立HSE管理体系并通过认证</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陆梁油田作业区</w:t>
            </w:r>
            <w:r>
              <w:rPr>
                <w:rFonts w:cs="Times New Roman"/>
                <w:color w:val="000000" w:themeColor="text1"/>
                <w14:textFill>
                  <w14:solidFill>
                    <w14:schemeClr w14:val="tx1"/>
                  </w14:solidFill>
                </w14:textFill>
              </w:rPr>
              <w:t>建立了HSE管理体系并通过认证</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开展清洁生产审核，并通过验收</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所属油田作业区已完成清洁生产审核</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制定节能减排工作计划</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制定有节能减排工作计划</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（3）贯彻执行环境保护政策法规的执行情况</w:t>
            </w:r>
          </w:p>
        </w:tc>
        <w:tc>
          <w:tcPr>
            <w:tcW w:w="761" w:type="dxa"/>
            <w:gridSpan w:val="2"/>
            <w:vMerge w:val="restart"/>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建设项目环保“三同时”制度执行情况</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按要求执行</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建设项目环境影响评价制度执行情况</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按要求执行</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老污染源限期治理项目完成情况</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已完成</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2" w:hRule="atLeast"/>
          <w:jc w:val="center"/>
        </w:trPr>
        <w:tc>
          <w:tcPr>
            <w:tcW w:w="2322" w:type="dxa"/>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61"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p>
        </w:tc>
        <w:tc>
          <w:tcPr>
            <w:tcW w:w="7132" w:type="dxa"/>
            <w:gridSpan w:val="7"/>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污染物排放总量控制与减排指标完成情况</w:t>
            </w:r>
          </w:p>
        </w:tc>
        <w:tc>
          <w:tcPr>
            <w:tcW w:w="572"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2734" w:type="dxa"/>
            <w:gridSpan w:val="3"/>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污染</w:t>
            </w:r>
            <w:r>
              <w:rPr>
                <w:rFonts w:hint="eastAsia" w:cs="Times New Roman"/>
                <w:color w:val="000000" w:themeColor="text1"/>
                <w:kern w:val="0"/>
                <w14:textFill>
                  <w14:solidFill>
                    <w14:schemeClr w14:val="tx1"/>
                  </w14:solidFill>
                </w14:textFill>
              </w:rPr>
              <w:t>物</w:t>
            </w:r>
            <w:r>
              <w:rPr>
                <w:rFonts w:cs="Times New Roman"/>
                <w:color w:val="000000" w:themeColor="text1"/>
                <w:kern w:val="0"/>
                <w14:textFill>
                  <w14:solidFill>
                    <w14:schemeClr w14:val="tx1"/>
                  </w14:solidFill>
                </w14:textFill>
              </w:rPr>
              <w:t>排放满足总量控制和减排要求</w:t>
            </w:r>
          </w:p>
        </w:tc>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r>
    </w:tbl>
    <w:p>
      <w:pPr>
        <w:pStyle w:val="30"/>
        <w:rPr>
          <w:rFonts w:cs="Times New Roman"/>
          <w:color w:val="000000" w:themeColor="text1"/>
          <w14:textFill>
            <w14:solidFill>
              <w14:schemeClr w14:val="tx1"/>
            </w14:solidFill>
          </w14:textFill>
        </w:rPr>
      </w:pPr>
    </w:p>
    <w:p>
      <w:pPr>
        <w:pStyle w:val="30"/>
        <w:rPr>
          <w:rFonts w:cs="Times New Roman"/>
          <w:color w:val="000000" w:themeColor="text1"/>
          <w:szCs w:val="24"/>
          <w14:textFill>
            <w14:solidFill>
              <w14:schemeClr w14:val="tx1"/>
            </w14:solidFill>
          </w14:textFill>
        </w:rPr>
      </w:pPr>
    </w:p>
    <w:p>
      <w:pPr>
        <w:widowControl/>
        <w:ind w:firstLine="480"/>
        <w:jc w:val="left"/>
        <w:rPr>
          <w:rFonts w:ascii="Times New Roman" w:hAnsi="Times New Roman" w:cs="Times New Roman"/>
          <w:color w:val="000000" w:themeColor="text1"/>
          <w14:textFill>
            <w14:solidFill>
              <w14:schemeClr w14:val="tx1"/>
            </w14:solidFill>
          </w14:textFill>
        </w:rPr>
        <w:sectPr>
          <w:pgSz w:w="16838" w:h="11906" w:orient="landscape"/>
          <w:pgMar w:top="1800" w:right="1440" w:bottom="1800" w:left="1440" w:header="851" w:footer="992" w:gutter="0"/>
          <w:cols w:space="720" w:num="1"/>
          <w:docGrid w:type="lines" w:linePitch="312" w:charSpace="0"/>
        </w:sectPr>
      </w:pPr>
    </w:p>
    <w:p>
      <w:pPr>
        <w:pStyle w:val="30"/>
        <w:spacing w:line="360" w:lineRule="auto"/>
        <w:rPr>
          <w:rFonts w:cs="Times New Roman"/>
          <w:color w:val="000000" w:themeColor="text1"/>
          <w:szCs w:val="24"/>
          <w14:textFill>
            <w14:solidFill>
              <w14:schemeClr w14:val="tx1"/>
            </w14:solidFill>
          </w14:textFill>
        </w:rPr>
      </w:pPr>
      <w:r>
        <w:rPr>
          <w:rFonts w:cs="Times New Roman"/>
          <w:color w:val="000000" w:themeColor="text1"/>
          <w:sz w:val="24"/>
          <w:szCs w:val="24"/>
          <w14:textFill>
            <w14:solidFill>
              <w14:schemeClr w14:val="tx1"/>
            </w14:solidFill>
          </w14:textFill>
        </w:rPr>
        <w:t>根据目前我国石油和天然气开采行业的实际情况，不同等级的清洁生产企业的综合评价指标见表3.8-4。</w:t>
      </w:r>
    </w:p>
    <w:p>
      <w:pPr>
        <w:pStyle w:val="37"/>
        <w:spacing w:line="360"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表3.8-4  石油和天然气开采行业不同等级清洁生产企业综合评价指数</w:t>
      </w:r>
    </w:p>
    <w:tbl>
      <w:tblPr>
        <w:tblStyle w:val="23"/>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清洁生产企业等级</w:t>
            </w:r>
          </w:p>
        </w:tc>
        <w:tc>
          <w:tcPr>
            <w:tcW w:w="45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清洁生产综合评价指数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清洁生产先进企业</w:t>
            </w:r>
          </w:p>
        </w:tc>
        <w:tc>
          <w:tcPr>
            <w:tcW w:w="45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36"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清洁生产企业</w:t>
            </w:r>
          </w:p>
        </w:tc>
        <w:tc>
          <w:tcPr>
            <w:tcW w:w="4535" w:type="dxa"/>
            <w:tcBorders>
              <w:top w:val="single" w:color="auto" w:sz="4" w:space="0"/>
              <w:left w:val="single" w:color="auto" w:sz="4" w:space="0"/>
              <w:bottom w:val="single" w:color="auto" w:sz="4" w:space="0"/>
              <w:right w:val="single" w:color="auto" w:sz="4" w:space="0"/>
            </w:tcBorders>
            <w:vAlign w:val="center"/>
          </w:tcPr>
          <w:p>
            <w:pPr>
              <w:pStyle w:val="3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75≤P＜90</w:t>
            </w:r>
          </w:p>
        </w:tc>
      </w:tr>
    </w:tbl>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由表3.8-1～表3.8-3计算得出：本工程钻井作业定量指标得分85分，定性指标得分100分，综合评价指数得分91分；井下作业定量指标得分90分，定性指标得分100分，综合评价指数得分94分；采气作业定量指标得分90分，定性指标得分</w:t>
      </w:r>
      <w:r>
        <w:rPr>
          <w:rFonts w:hint="eastAsia" w:cs="Times New Roman"/>
          <w:color w:val="000000" w:themeColor="text1"/>
          <w:sz w:val="24"/>
          <w:szCs w:val="24"/>
          <w14:textFill>
            <w14:solidFill>
              <w14:schemeClr w14:val="tx1"/>
            </w14:solidFill>
          </w14:textFill>
        </w:rPr>
        <w:t>100</w:t>
      </w:r>
      <w:r>
        <w:rPr>
          <w:rFonts w:cs="Times New Roman"/>
          <w:color w:val="000000" w:themeColor="text1"/>
          <w:sz w:val="24"/>
          <w:szCs w:val="24"/>
          <w14:textFill>
            <w14:solidFill>
              <w14:schemeClr w14:val="tx1"/>
            </w14:solidFill>
          </w14:textFill>
        </w:rPr>
        <w:t>分，综合评价指数得分</w:t>
      </w:r>
      <w:r>
        <w:rPr>
          <w:rFonts w:hint="eastAsia" w:cs="Times New Roman"/>
          <w:color w:val="000000" w:themeColor="text1"/>
          <w:sz w:val="24"/>
          <w:szCs w:val="24"/>
          <w14:textFill>
            <w14:solidFill>
              <w14:schemeClr w14:val="tx1"/>
            </w14:solidFill>
          </w14:textFill>
        </w:rPr>
        <w:t>94</w:t>
      </w:r>
      <w:r>
        <w:rPr>
          <w:rFonts w:cs="Times New Roman"/>
          <w:color w:val="000000" w:themeColor="text1"/>
          <w:sz w:val="24"/>
          <w:szCs w:val="24"/>
          <w14:textFill>
            <w14:solidFill>
              <w14:schemeClr w14:val="tx1"/>
            </w14:solidFill>
          </w14:textFill>
        </w:rPr>
        <w:t>分。清洁生产综合评价指数P≥90，属于清洁生产先进企业。</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3.8.3清洁生产建议</w:t>
      </w:r>
    </w:p>
    <w:p>
      <w:pPr>
        <w:pStyle w:val="30"/>
        <w:numPr>
          <w:ilvl w:val="0"/>
          <w:numId w:val="6"/>
        </w:num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建议优化生产设备参数，提高设备运行效率，节约能源。</w:t>
      </w:r>
    </w:p>
    <w:p>
      <w:pPr>
        <w:pStyle w:val="30"/>
        <w:numPr>
          <w:ilvl w:val="0"/>
          <w:numId w:val="6"/>
        </w:numPr>
        <w:spacing w:line="360" w:lineRule="auto"/>
        <w:ind w:left="0" w:leftChars="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做好节能宣传工作，培养员工节能节水意识，努力开展节能技术教育；建立健全节能激励机制；加强节能管理，完善节能统计工作。</w:t>
      </w:r>
    </w:p>
    <w:p>
      <w:pPr>
        <w:pStyle w:val="30"/>
        <w:numPr>
          <w:ilvl w:val="0"/>
          <w:numId w:val="0"/>
        </w:numPr>
        <w:spacing w:line="360" w:lineRule="auto"/>
        <w:ind w:left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（3）需进一步提高清洁生产审核的参与度。</w:t>
      </w:r>
    </w:p>
    <w:p>
      <w:pPr>
        <w:pStyle w:val="30"/>
        <w:numPr>
          <w:ilvl w:val="0"/>
          <w:numId w:val="0"/>
        </w:numPr>
        <w:spacing w:line="360" w:lineRule="auto"/>
        <w:ind w:firstLine="480" w:firstLineChars="200"/>
        <w:rPr>
          <w:rFonts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（4）对已实施的清洁生产方案落实，同时在生产过程中产生新的清洁生产方案，可立即组织清洁生产审核小组人员进行讨论，最终进行分析、确定，并付诸实施。</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3.8.4持续清洁生产</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清洁生产是一个相对的概念，推行清洁生产是一个不间断的过程。作为业主应成立相应的组织机构（或由环保、安全等部门牵头，其他部门参加），依据有关环保法规和节能、节水规定，在工程的开发建设和生产运营中，制定相应的预防污染计划和措施，并根据企业的经营发展情况，有组织、有计划地安排和协调，有序地实行清洁生产；广泛收集新的工艺信息，国内外先进技术信息，清洁生产技术信息，不断地开发研究和应用新的清洁生产技术；同时还要不断地对员工进行培训，以提高他们对清洁生产的认识和自觉推行清洁生产的意识，把清洁生产持续地推向各个生产岗位。</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由于清洁生产是一个相对的动态过程，因此，保持清洁生产的P（计划）、D（实施）、C（检查）、A（改进）—持续改进是极其重要的。为了使清洁生产不间断地开展下去，必须做到以下几点：</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（1）建立和完善清洁生产组织；</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（2）建立和完善清洁生产管理制度；</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（3）制定持续清洁生产计划。</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企业要在生产运营中，制定相应的预防污染计划，有序地推行清洁生产，定期对清洁生产情况作出评价。</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①全面评价企业生产全过程及其各个过程单元或环节的运行管理现状，掌握运营过程的原材料、能源与产品、废物（污染物）的输入输出状况；</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②分析识别影响资源能源有效利用，造成废物产生，以及制约企业生产效率的原因或“瓶颈”问题；</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③产生并确定企业从产品、原材料、技术工艺、生产运行管理，以及废物循环利用等多途径进行综合污染预防的机会、方案与实施计划；</w:t>
      </w:r>
    </w:p>
    <w:p>
      <w:pPr>
        <w:pStyle w:val="30"/>
        <w:spacing w:line="36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④不断提高企业管理者与广大职工清洁生产的意识与参与程度，促进清洁生产在企业的持续改进。</w:t>
      </w:r>
    </w:p>
    <w:p>
      <w:pPr>
        <w:pStyle w:val="3"/>
        <w:spacing w:before="10" w:after="10"/>
        <w:rPr>
          <w:rFonts w:ascii="Times New Roman" w:hAnsi="Times New Roman" w:cs="Times New Roman"/>
          <w:color w:val="000000" w:themeColor="text1"/>
          <w14:textFill>
            <w14:solidFill>
              <w14:schemeClr w14:val="tx1"/>
            </w14:solidFill>
          </w14:textFill>
        </w:rPr>
      </w:pPr>
      <w:bookmarkStart w:id="345" w:name="_Toc2568"/>
      <w:bookmarkStart w:id="346" w:name="_Toc30167"/>
      <w:bookmarkStart w:id="347" w:name="_Toc26341"/>
      <w:r>
        <w:rPr>
          <w:rFonts w:ascii="Times New Roman" w:hAnsi="Times New Roman" w:cs="Times New Roman"/>
          <w:color w:val="000000" w:themeColor="text1"/>
          <w14:textFill>
            <w14:solidFill>
              <w14:schemeClr w14:val="tx1"/>
            </w14:solidFill>
          </w14:textFill>
        </w:rPr>
        <w:t>3.9污染物排放总量控制</w:t>
      </w:r>
      <w:bookmarkEnd w:id="345"/>
      <w:bookmarkEnd w:id="346"/>
      <w:bookmarkEnd w:id="347"/>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3.9.1总量控制原则</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3.9.2污染物总量控制因子</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根据国家环境保护总量控制要求，结合本项目污染特征，确定本项目总量控制及考核因子如下：</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（1）废气污染物</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本项目主要废气污染物为油气输送过程中无组织挥发的非甲烷总烃</w:t>
      </w:r>
      <w:r>
        <w:rPr>
          <w:rFonts w:hint="eastAsia" w:ascii="Times New Roman" w:hAnsi="Times New Roman" w:eastAsia="宋体" w:cs="Times New Roman"/>
          <w:color w:val="000000" w:themeColor="text1"/>
          <w:sz w:val="24"/>
          <w14:textFill>
            <w14:solidFill>
              <w14:schemeClr w14:val="tx1"/>
            </w14:solidFill>
          </w14:textFill>
        </w:rPr>
        <w:t>、硫化氢</w:t>
      </w:r>
      <w:r>
        <w:rPr>
          <w:rFonts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①总量控制指标：VOCs；</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②建议考核指标：非甲烷总烃；</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（2）废水污染物</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本项目生产过程产生的废水主要为采出水、井下作业废水、废洗井液，均由陆梁集中处理站进行处置，处理合格后用于</w:t>
      </w:r>
      <w:r>
        <w:rPr>
          <w:rFonts w:hint="eastAsia" w:ascii="Times New Roman" w:hAnsi="Times New Roman" w:cs="Times New Roman"/>
          <w:color w:val="000000" w:themeColor="text1"/>
          <w:sz w:val="24"/>
          <w14:textFill>
            <w14:solidFill>
              <w14:schemeClr w14:val="tx1"/>
            </w14:solidFill>
          </w14:textFill>
        </w:rPr>
        <w:t>回注油藏</w:t>
      </w:r>
      <w:r>
        <w:rPr>
          <w:rFonts w:ascii="Times New Roman" w:hAnsi="Times New Roman" w:cs="Times New Roman"/>
          <w:color w:val="000000" w:themeColor="text1"/>
          <w:sz w:val="24"/>
          <w14:textFill>
            <w14:solidFill>
              <w14:schemeClr w14:val="tx1"/>
            </w14:solidFill>
          </w14:textFill>
        </w:rPr>
        <w:t>，不外排。</w:t>
      </w:r>
    </w:p>
    <w:p>
      <w:pPr>
        <w:tabs>
          <w:tab w:val="left" w:pos="3465"/>
        </w:tabs>
        <w:spacing w:line="360" w:lineRule="auto"/>
        <w:outlineLvl w:val="2"/>
        <w:rPr>
          <w:rFonts w:ascii="Times New Roman" w:hAnsi="Times New Roman" w:eastAsia="黑体" w:cs="Times New Roman"/>
          <w:b/>
          <w:color w:val="000000" w:themeColor="text1"/>
          <w:sz w:val="30"/>
          <w:szCs w:val="30"/>
          <w14:textFill>
            <w14:solidFill>
              <w14:schemeClr w14:val="tx1"/>
            </w14:solidFill>
          </w14:textFill>
        </w:rPr>
      </w:pPr>
      <w:r>
        <w:rPr>
          <w:rFonts w:ascii="Times New Roman" w:hAnsi="Times New Roman" w:eastAsia="黑体" w:cs="Times New Roman"/>
          <w:b/>
          <w:color w:val="000000" w:themeColor="text1"/>
          <w:sz w:val="30"/>
          <w:szCs w:val="30"/>
          <w14:textFill>
            <w14:solidFill>
              <w14:schemeClr w14:val="tx1"/>
            </w14:solidFill>
          </w14:textFill>
        </w:rPr>
        <w:t>3.9.3总量控制建议指标</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（1）施工期</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由于施工期的钻井作业集中于较短时间内，钻井期间排放的污染物将随钻井工程的结束而消亡，故不考虑对施工期间产生的污染物进行总量控制。</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（2）运营期</w:t>
      </w:r>
    </w:p>
    <w:p>
      <w:pPr>
        <w:pStyle w:val="25"/>
        <w:jc w:val="both"/>
        <w:outlineLvl w:val="9"/>
        <w:rPr>
          <w:rFonts w:hint="eastAsia" w:ascii="Times New Roman" w:hAnsi="Times New Roman" w:eastAsia="宋体" w:cs="Times New Roman"/>
          <w:color w:val="000000" w:themeColor="text1"/>
          <w:spacing w:val="4"/>
          <w:sz w:val="28"/>
          <w:szCs w:val="28"/>
          <w:lang w:eastAsia="zh-CN"/>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根据工程分析，本项目运营期废气污染物主要为非甲烷总烃</w:t>
      </w:r>
      <w:r>
        <w:rPr>
          <w:rFonts w:hint="eastAsia" w:ascii="Times New Roman" w:hAnsi="Times New Roman" w:cs="Times New Roman"/>
          <w:bCs/>
          <w:color w:val="000000" w:themeColor="text1"/>
          <w:sz w:val="24"/>
          <w14:textFill>
            <w14:solidFill>
              <w14:schemeClr w14:val="tx1"/>
            </w14:solidFill>
          </w14:textFill>
        </w:rPr>
        <w:t>和硫化氢</w:t>
      </w:r>
      <w:r>
        <w:rPr>
          <w:rFonts w:ascii="Times New Roman" w:hAnsi="Times New Roman" w:cs="Times New Roman"/>
          <w:bCs/>
          <w:color w:val="000000" w:themeColor="text1"/>
          <w:sz w:val="24"/>
          <w14:textFill>
            <w14:solidFill>
              <w14:schemeClr w14:val="tx1"/>
            </w14:solidFill>
          </w14:textFill>
        </w:rPr>
        <w:t>，均为无组织排放，无组织排放量估算量分别为</w:t>
      </w:r>
      <w:r>
        <w:rPr>
          <w:rFonts w:hint="eastAsia" w:ascii="Times New Roman" w:hAnsi="Times New Roman" w:cs="Times New Roman"/>
          <w:bCs/>
          <w:color w:val="000000" w:themeColor="text1"/>
          <w:sz w:val="24"/>
          <w14:textFill>
            <w14:solidFill>
              <w14:schemeClr w14:val="tx1"/>
            </w14:solidFill>
          </w14:textFill>
        </w:rPr>
        <w:t>2.538</w:t>
      </w:r>
      <w:r>
        <w:rPr>
          <w:rFonts w:ascii="Times New Roman" w:hAnsi="Times New Roman" w:cs="Times New Roman"/>
          <w:bCs/>
          <w:color w:val="000000" w:themeColor="text1"/>
          <w:sz w:val="24"/>
          <w14:textFill>
            <w14:solidFill>
              <w14:schemeClr w14:val="tx1"/>
            </w14:solidFill>
          </w14:textFill>
        </w:rPr>
        <w:t>t/a</w:t>
      </w:r>
      <w:r>
        <w:rPr>
          <w:rFonts w:hint="eastAsia" w:ascii="Times New Roman" w:hAnsi="Times New Roman" w:cs="Times New Roman"/>
          <w:bCs/>
          <w:color w:val="000000" w:themeColor="text1"/>
          <w:sz w:val="24"/>
          <w14:textFill>
            <w14:solidFill>
              <w14:schemeClr w14:val="tx1"/>
            </w14:solidFill>
          </w14:textFill>
        </w:rPr>
        <w:t>和0.000911t/a</w:t>
      </w:r>
      <w:r>
        <w:rPr>
          <w:rFonts w:ascii="Times New Roman" w:hAnsi="Times New Roman" w:cs="Times New Roman"/>
          <w:bCs/>
          <w:color w:val="000000" w:themeColor="text1"/>
          <w:sz w:val="24"/>
          <w14:textFill>
            <w14:solidFill>
              <w14:schemeClr w14:val="tx1"/>
            </w14:solidFill>
          </w14:textFill>
        </w:rPr>
        <w:t>，本次环评建议本项目不核定污染</w:t>
      </w:r>
    </w:p>
    <w:sectPr>
      <w:footerReference r:id="rId9"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E361BB66-B86C-4A39-BE77-DD164DD2A836}"/>
  </w:font>
  <w:font w:name="黑体">
    <w:panose1 w:val="02010609060101010101"/>
    <w:charset w:val="86"/>
    <w:family w:val="auto"/>
    <w:pitch w:val="default"/>
    <w:sig w:usb0="800002BF" w:usb1="38CF7CFA" w:usb2="00000016" w:usb3="00000000" w:csb0="00040001" w:csb1="00000000"/>
    <w:embedRegular r:id="rId2" w:fontKey="{2C2ADC6F-01F3-4503-8D13-ED281A15DF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713CC8CE-36A1-4772-A91F-EDFA1F843604}"/>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等线">
    <w:panose1 w:val="02010600030101010101"/>
    <w:charset w:val="86"/>
    <w:family w:val="auto"/>
    <w:pitch w:val="default"/>
    <w:sig w:usb0="A00002BF" w:usb1="38CF7CFA" w:usb2="00000016" w:usb3="00000000" w:csb0="0004000F" w:csb1="00000000"/>
    <w:embedRegular r:id="rId4" w:fontKey="{F0B8C618-9615-4355-9BC8-2FD03B79DC17}"/>
  </w:font>
  <w:font w:name="方正仿宋简体">
    <w:altName w:val="微软雅黑"/>
    <w:panose1 w:val="00000000000000000000"/>
    <w:charset w:val="86"/>
    <w:family w:val="auto"/>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embedRegular r:id="rId5" w:fontKey="{C09761D1-BBA1-422F-88D8-711DE7DFC5E0}"/>
  </w:font>
  <w:font w:name="Wingdings 2">
    <w:panose1 w:val="05020102010507070707"/>
    <w:charset w:val="02"/>
    <w:family w:val="roman"/>
    <w:pitch w:val="default"/>
    <w:sig w:usb0="00000000" w:usb1="00000000" w:usb2="00000000" w:usb3="00000000" w:csb0="00000000" w:csb1="00000000"/>
    <w:embedRegular r:id="rId6" w:fontKey="{77280106-A4BE-4B99-89B2-659BC1387FB6}"/>
  </w:font>
  <w:font w:name="Arial Unicode MS">
    <w:altName w:val="宋体"/>
    <w:panose1 w:val="020B0604020202020204"/>
    <w:charset w:val="86"/>
    <w:family w:val="swiss"/>
    <w:pitch w:val="default"/>
    <w:sig w:usb0="00000000" w:usb1="00000000" w:usb2="0000003F" w:usb3="00000000" w:csb0="603F01FF" w:csb1="FFFF0000"/>
    <w:embedRegular r:id="rId7" w:fontKey="{3EE8C65B-6955-4B1A-B68D-B28A698E6064}"/>
  </w:font>
  <w:font w:name="Cambria Math">
    <w:panose1 w:val="02040503050406030204"/>
    <w:charset w:val="00"/>
    <w:family w:val="roman"/>
    <w:pitch w:val="default"/>
    <w:sig w:usb0="E00002FF" w:usb1="420024FF" w:usb2="00000000" w:usb3="00000000" w:csb0="2000019F" w:csb1="00000000"/>
    <w:embedRegular r:id="rId8" w:fontKey="{D221FDF4-FB8F-49FF-B8C8-961698F98AAA}"/>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6" name="文本框 5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r91GExECAAALBAAADgAAAAAAAAABACAA&#10;AAAfAQAAZHJzL2Uyb0RvYy54bWxQSwUGAAAAAAYABgBZAQAAogUAAAAA&#10;">
              <v:fill on="f" focussize="0,0"/>
              <v:stroke on="f" weight="0.5pt"/>
              <v:imagedata o:title=""/>
              <o:lock v:ext="edit" aspectratio="f"/>
              <v:textbox inset="0mm,0mm,0mm,0mm" style="mso-fit-shape-to-text:t;">
                <w:txbxContent>
                  <w:p>
                    <w:pPr>
                      <w:pStyle w:val="1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8" name="文本框 5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uL4ISAgAACw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DnuL4ISAgAACwQAAA4AAAAAAAAAAQAg&#10;AAAAHwEAAGRycy9lMm9Eb2MueG1sUEsFBgAAAAAGAAYAWQEAAKMFAAAAAA==&#10;">
              <v:fill on="f" focussize="0,0"/>
              <v:stroke on="f" weight="0.5pt"/>
              <v:imagedata o:title=""/>
              <o:lock v:ext="edit" aspectratio="f"/>
              <v:textbox inset="0mm,0mm,0mm,0mm" style="mso-fit-shape-to-text:t;">
                <w:txbxContent>
                  <w:p>
                    <w:pPr>
                      <w:pStyle w:val="13"/>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1" name="文本框 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E8lsRAgAACw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ZETyWxECAAALBAAADgAAAAAAAAABACAA&#10;AAAfAQAAZHJzL2Uyb0RvYy54bWxQSwUGAAAAAAYABgBZAQAAogUAAAAA&#10;">
              <v:fill on="f" focussize="0,0"/>
              <v:stroke on="f" weight="0.5pt"/>
              <v:imagedata o:title=""/>
              <o:lock v:ext="edit" aspectratio="f"/>
              <v:textbox inset="0mm,0mm,0mm,0mm" style="mso-fit-shape-to-text:t;">
                <w:txbxContent>
                  <w:p>
                    <w:pPr>
                      <w:pStyle w:val="1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7" name="文本框 5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hhQkSAgAACwQAAA4AAABkcnMvZTJvRG9jLnhtbK1TzY7TMBC+I/EO&#10;lu80adEu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GFhhQkSAgAACwQAAA4AAAAAAAAAAQAg&#10;AAAAHwEAAGRycy9lMm9Eb2MueG1sUEsFBgAAAAAGAAYAWQEAAKMFAAAAAA==&#10;">
              <v:fill on="f" focussize="0,0"/>
              <v:stroke on="f" weight="0.5pt"/>
              <v:imagedata o:title=""/>
              <o:lock v:ext="edit" aspectratio="f"/>
              <v:textbox inset="0mm,0mm,0mm,0mm" style="mso-fit-shape-to-text:t;">
                <w:txbxContent>
                  <w:p>
                    <w:pPr>
                      <w:pStyle w:val="1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8qNUR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3V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Azyo1RECAAAJBAAADgAAAAAAAAABACAA&#10;AAAfAQAAZHJzL2Uyb0RvYy54bWxQSwUGAAAAAAYABgBZAQAAogUAAAAA&#10;">
              <v:fill on="f" focussize="0,0"/>
              <v:stroke on="f" weight="0.5pt"/>
              <v:imagedata o:title=""/>
              <o:lock v:ext="edit" aspectratio="f"/>
              <v:textbox inset="0mm,0mm,0mm,0mm" style="mso-fit-shape-to-text:t;">
                <w:txbxContent>
                  <w:p>
                    <w:pPr>
                      <w:pStyle w:val="1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rPr>
        <w:rFonts w:ascii="Times New Roman" w:hAnsi="Times New Roma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360"/>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295</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x+5U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3H7lRECAAAJBAAADgAAAAAAAAABACAA&#10;AAAfAQAAZHJzL2Uyb0RvYy54bWxQSwUGAAAAAAYABgBZAQAAogUAAAAA&#10;">
              <v:fill on="f" focussize="0,0"/>
              <v:stroke on="f" weight="0.5pt"/>
              <v:imagedata o:title=""/>
              <o:lock v:ext="edit" aspectratio="f"/>
              <v:textbox inset="0mm,0mm,0mm,0mm" style="mso-fit-shape-to-text:t;">
                <w:txbxContent>
                  <w:p>
                    <w:pPr>
                      <w:pStyle w:val="13"/>
                      <w:ind w:firstLine="360"/>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295</w:t>
                    </w:r>
                    <w:r>
                      <w:rPr>
                        <w:rFonts w:ascii="Times New Roman" w:hAnsi="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jc w:val="center"/>
      <w:rPr>
        <w:rFonts w:ascii="Times New Roman" w:hAnsi="Times New Roman" w:eastAsia="宋体" w:cs="Times New Roman"/>
        <w:b/>
        <w:bCs/>
      </w:rPr>
    </w:pPr>
    <w:r>
      <w:rPr>
        <w:rFonts w:ascii="Times New Roman" w:hAnsi="Times New Roman" w:cs="Times New Roman"/>
        <w:b/>
        <w:bCs/>
      </w:rPr>
      <w:t>陆9井区白垩系呼图壁河组油藏加密调整工程环境影响报告书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BF0CCE"/>
    <w:multiLevelType w:val="multilevel"/>
    <w:tmpl w:val="8EBF0CCE"/>
    <w:lvl w:ilvl="0" w:tentative="0">
      <w:start w:val="1"/>
      <w:numFmt w:val="lowerLetter"/>
      <w:pStyle w:val="64"/>
      <w:lvlText w:val="%1)"/>
      <w:lvlJc w:val="left"/>
      <w:pPr>
        <w:ind w:left="900" w:hanging="420"/>
      </w:pPr>
      <w:rPr>
        <w:rFonts w:hint="eastAsia" w:ascii="Times New Roman" w:hAnsi="Times New Roman" w:cs="Times New Roman"/>
        <w:b w:val="0"/>
        <w:bCs w:val="0"/>
        <w:i w:val="0"/>
        <w:iCs w:val="0"/>
        <w:caps w:val="0"/>
        <w:smallCaps w:val="0"/>
        <w:strike w:val="0"/>
        <w:dstrike w:val="0"/>
        <w:color w:val="000000"/>
        <w:spacing w:val="0"/>
        <w:kern w:val="0"/>
        <w:position w:val="0"/>
        <w:sz w:val="28"/>
        <w:szCs w:val="28"/>
        <w:u w:val="none"/>
      </w:rPr>
    </w:lvl>
    <w:lvl w:ilvl="1" w:tentative="0">
      <w:start w:val="1"/>
      <w:numFmt w:val="decimal"/>
      <w:lvlText w:val="(%2)"/>
      <w:lvlJc w:val="left"/>
      <w:pPr>
        <w:ind w:left="1320" w:hanging="420"/>
      </w:pPr>
      <w:rPr>
        <w:rFonts w:hint="eastAsia" w:cs="Times New Roman"/>
        <w:b w:val="0"/>
        <w:bCs w:val="0"/>
        <w:i w:val="0"/>
        <w:iCs w:val="0"/>
        <w:caps w:val="0"/>
        <w:smallCaps w:val="0"/>
        <w:strike w:val="0"/>
        <w:dstrike w:val="0"/>
        <w:vanish w:val="0"/>
        <w:color w:val="000000"/>
        <w:spacing w:val="0"/>
        <w:kern w:val="0"/>
        <w:position w:val="0"/>
        <w:u w:val="none"/>
        <w:vertAlign w:val="baseline"/>
      </w:rPr>
    </w:lvl>
    <w:lvl w:ilvl="2" w:tentative="0">
      <w:start w:val="1"/>
      <w:numFmt w:val="lowerLetter"/>
      <w:lvlText w:val="%3)"/>
      <w:lvlJc w:val="left"/>
      <w:pPr>
        <w:ind w:left="1740" w:hanging="420"/>
      </w:pPr>
      <w:rPr>
        <w:rFonts w:hint="default"/>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1">
    <w:nsid w:val="96202DCE"/>
    <w:multiLevelType w:val="singleLevel"/>
    <w:tmpl w:val="96202DCE"/>
    <w:lvl w:ilvl="0" w:tentative="0">
      <w:start w:val="1"/>
      <w:numFmt w:val="decimal"/>
      <w:suff w:val="nothing"/>
      <w:lvlText w:val="（%1）"/>
      <w:lvlJc w:val="left"/>
    </w:lvl>
  </w:abstractNum>
  <w:abstractNum w:abstractNumId="2">
    <w:nsid w:val="A5E98C18"/>
    <w:multiLevelType w:val="singleLevel"/>
    <w:tmpl w:val="A5E98C18"/>
    <w:lvl w:ilvl="0" w:tentative="0">
      <w:start w:val="1"/>
      <w:numFmt w:val="decimal"/>
      <w:suff w:val="nothing"/>
      <w:lvlText w:val="（%1）"/>
      <w:lvlJc w:val="left"/>
    </w:lvl>
  </w:abstractNum>
  <w:abstractNum w:abstractNumId="3">
    <w:nsid w:val="0B1F24A6"/>
    <w:multiLevelType w:val="singleLevel"/>
    <w:tmpl w:val="0B1F24A6"/>
    <w:lvl w:ilvl="0" w:tentative="0">
      <w:start w:val="1"/>
      <w:numFmt w:val="decimal"/>
      <w:suff w:val="nothing"/>
      <w:lvlText w:val="（%1）"/>
      <w:lvlJc w:val="left"/>
    </w:lvl>
  </w:abstractNum>
  <w:abstractNum w:abstractNumId="4">
    <w:nsid w:val="3535479E"/>
    <w:multiLevelType w:val="singleLevel"/>
    <w:tmpl w:val="3535479E"/>
    <w:lvl w:ilvl="0" w:tentative="0">
      <w:start w:val="1"/>
      <w:numFmt w:val="decimal"/>
      <w:suff w:val="nothing"/>
      <w:lvlText w:val="（%1）"/>
      <w:lvlJc w:val="left"/>
    </w:lvl>
  </w:abstractNum>
  <w:abstractNum w:abstractNumId="5">
    <w:nsid w:val="4A70B67E"/>
    <w:multiLevelType w:val="singleLevel"/>
    <w:tmpl w:val="4A70B67E"/>
    <w:lvl w:ilvl="0" w:tentative="0">
      <w:start w:val="1"/>
      <w:numFmt w:val="decimal"/>
      <w:suff w:val="nothing"/>
      <w:lvlText w:val="（%1）"/>
      <w:lvlJc w:val="left"/>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ZjNiNTBiMzViY2ExMDUwYjZkMzQ5ZGQ4Y2NlMDcifQ=="/>
  </w:docVars>
  <w:rsids>
    <w:rsidRoot w:val="515A2654"/>
    <w:rsid w:val="001935FF"/>
    <w:rsid w:val="001E0F7A"/>
    <w:rsid w:val="00265D9E"/>
    <w:rsid w:val="00293E32"/>
    <w:rsid w:val="00363EBB"/>
    <w:rsid w:val="003F1814"/>
    <w:rsid w:val="005F152E"/>
    <w:rsid w:val="006E0812"/>
    <w:rsid w:val="0093731D"/>
    <w:rsid w:val="009D0473"/>
    <w:rsid w:val="009D3D5F"/>
    <w:rsid w:val="00A956AE"/>
    <w:rsid w:val="00B61677"/>
    <w:rsid w:val="012B64AF"/>
    <w:rsid w:val="01A352CC"/>
    <w:rsid w:val="024022C5"/>
    <w:rsid w:val="02FC0642"/>
    <w:rsid w:val="03254331"/>
    <w:rsid w:val="032F0224"/>
    <w:rsid w:val="03654CFF"/>
    <w:rsid w:val="03AB4195"/>
    <w:rsid w:val="03CF5878"/>
    <w:rsid w:val="04722D72"/>
    <w:rsid w:val="047654EA"/>
    <w:rsid w:val="049557ED"/>
    <w:rsid w:val="04A17F08"/>
    <w:rsid w:val="04D363BA"/>
    <w:rsid w:val="04E43544"/>
    <w:rsid w:val="055702D4"/>
    <w:rsid w:val="05584C04"/>
    <w:rsid w:val="06747765"/>
    <w:rsid w:val="06E81561"/>
    <w:rsid w:val="07037AEB"/>
    <w:rsid w:val="07555EF5"/>
    <w:rsid w:val="075E30FB"/>
    <w:rsid w:val="07FC0BA5"/>
    <w:rsid w:val="07FC1D83"/>
    <w:rsid w:val="09500564"/>
    <w:rsid w:val="097F383C"/>
    <w:rsid w:val="09C5140B"/>
    <w:rsid w:val="09DE22DB"/>
    <w:rsid w:val="0A0660E1"/>
    <w:rsid w:val="0A5B6420"/>
    <w:rsid w:val="0A9B3DD5"/>
    <w:rsid w:val="0AD81455"/>
    <w:rsid w:val="0B1870DA"/>
    <w:rsid w:val="0B6F0FBD"/>
    <w:rsid w:val="0B7A4BDE"/>
    <w:rsid w:val="0BD358BB"/>
    <w:rsid w:val="0BD43054"/>
    <w:rsid w:val="0C1120A3"/>
    <w:rsid w:val="0D261E54"/>
    <w:rsid w:val="0D474670"/>
    <w:rsid w:val="0D912231"/>
    <w:rsid w:val="0E35116B"/>
    <w:rsid w:val="0E366A23"/>
    <w:rsid w:val="0E4A47F1"/>
    <w:rsid w:val="0E6834F6"/>
    <w:rsid w:val="0F152C78"/>
    <w:rsid w:val="0F9A1E31"/>
    <w:rsid w:val="10877DDA"/>
    <w:rsid w:val="118F0996"/>
    <w:rsid w:val="11C60F57"/>
    <w:rsid w:val="11F8740F"/>
    <w:rsid w:val="123D4E7F"/>
    <w:rsid w:val="13AA5AF8"/>
    <w:rsid w:val="13CD2ECE"/>
    <w:rsid w:val="13D053C0"/>
    <w:rsid w:val="141B6D71"/>
    <w:rsid w:val="14220AD9"/>
    <w:rsid w:val="147A4CA5"/>
    <w:rsid w:val="14BF20F0"/>
    <w:rsid w:val="14D013EF"/>
    <w:rsid w:val="15781E1F"/>
    <w:rsid w:val="15E31B65"/>
    <w:rsid w:val="164B6A0B"/>
    <w:rsid w:val="16994B9C"/>
    <w:rsid w:val="16A05B1D"/>
    <w:rsid w:val="16B72867"/>
    <w:rsid w:val="16E12CF7"/>
    <w:rsid w:val="17850DAA"/>
    <w:rsid w:val="17B9260F"/>
    <w:rsid w:val="17FE0021"/>
    <w:rsid w:val="18124C67"/>
    <w:rsid w:val="1860579F"/>
    <w:rsid w:val="18763B0D"/>
    <w:rsid w:val="18A64941"/>
    <w:rsid w:val="18A92683"/>
    <w:rsid w:val="18B13C55"/>
    <w:rsid w:val="18CA3063"/>
    <w:rsid w:val="18D217FF"/>
    <w:rsid w:val="18ED6E31"/>
    <w:rsid w:val="193F12A5"/>
    <w:rsid w:val="1A0C2040"/>
    <w:rsid w:val="1A276E86"/>
    <w:rsid w:val="1A321DE8"/>
    <w:rsid w:val="1A5C3FFC"/>
    <w:rsid w:val="1A93534B"/>
    <w:rsid w:val="1BA75D87"/>
    <w:rsid w:val="1BC91BBD"/>
    <w:rsid w:val="1C0D1F2D"/>
    <w:rsid w:val="1C2F4C4D"/>
    <w:rsid w:val="1C622023"/>
    <w:rsid w:val="1C8C6544"/>
    <w:rsid w:val="1DA85103"/>
    <w:rsid w:val="1DD06CA0"/>
    <w:rsid w:val="1E5324CD"/>
    <w:rsid w:val="1E6F5301"/>
    <w:rsid w:val="1ECA39C6"/>
    <w:rsid w:val="20357D2F"/>
    <w:rsid w:val="20612DD6"/>
    <w:rsid w:val="20F621DE"/>
    <w:rsid w:val="21AF2914"/>
    <w:rsid w:val="21CF0F0D"/>
    <w:rsid w:val="2210107D"/>
    <w:rsid w:val="221A75B3"/>
    <w:rsid w:val="227C78B1"/>
    <w:rsid w:val="22A96E75"/>
    <w:rsid w:val="22DD2746"/>
    <w:rsid w:val="2342312A"/>
    <w:rsid w:val="23AF2B5B"/>
    <w:rsid w:val="240C48E5"/>
    <w:rsid w:val="24160547"/>
    <w:rsid w:val="24231D70"/>
    <w:rsid w:val="2490251A"/>
    <w:rsid w:val="24C7428C"/>
    <w:rsid w:val="25091164"/>
    <w:rsid w:val="259C21B0"/>
    <w:rsid w:val="25DC2A16"/>
    <w:rsid w:val="260521E0"/>
    <w:rsid w:val="260E0D1D"/>
    <w:rsid w:val="262F184F"/>
    <w:rsid w:val="26747E2C"/>
    <w:rsid w:val="2675402F"/>
    <w:rsid w:val="26B872C2"/>
    <w:rsid w:val="26E023FC"/>
    <w:rsid w:val="27464141"/>
    <w:rsid w:val="274823CC"/>
    <w:rsid w:val="278C44F7"/>
    <w:rsid w:val="27EC7E96"/>
    <w:rsid w:val="27F05BD9"/>
    <w:rsid w:val="29437F4F"/>
    <w:rsid w:val="29785E86"/>
    <w:rsid w:val="2996246F"/>
    <w:rsid w:val="29A749BD"/>
    <w:rsid w:val="29F90F61"/>
    <w:rsid w:val="2A3C4DB1"/>
    <w:rsid w:val="2A3E4E6F"/>
    <w:rsid w:val="2AC95DD5"/>
    <w:rsid w:val="2B640F24"/>
    <w:rsid w:val="2B77111E"/>
    <w:rsid w:val="2BA54671"/>
    <w:rsid w:val="2BFE3169"/>
    <w:rsid w:val="2C1A54CD"/>
    <w:rsid w:val="2C85213F"/>
    <w:rsid w:val="2CAB4F87"/>
    <w:rsid w:val="2D25186B"/>
    <w:rsid w:val="2D9A6B87"/>
    <w:rsid w:val="2DAC25A2"/>
    <w:rsid w:val="2E072206"/>
    <w:rsid w:val="2E9658E0"/>
    <w:rsid w:val="2F6829AB"/>
    <w:rsid w:val="2F7E6BE4"/>
    <w:rsid w:val="2FBF4CDD"/>
    <w:rsid w:val="2FEB2075"/>
    <w:rsid w:val="307C7214"/>
    <w:rsid w:val="307E1B0F"/>
    <w:rsid w:val="30E16A06"/>
    <w:rsid w:val="312F7772"/>
    <w:rsid w:val="31665C75"/>
    <w:rsid w:val="31A01436"/>
    <w:rsid w:val="31C1143D"/>
    <w:rsid w:val="33576B0C"/>
    <w:rsid w:val="335F14A1"/>
    <w:rsid w:val="33A23C5F"/>
    <w:rsid w:val="33A678D4"/>
    <w:rsid w:val="33F12B00"/>
    <w:rsid w:val="33F65C72"/>
    <w:rsid w:val="34D46A85"/>
    <w:rsid w:val="350F081F"/>
    <w:rsid w:val="352C14B6"/>
    <w:rsid w:val="357113E6"/>
    <w:rsid w:val="36617CA1"/>
    <w:rsid w:val="375C6CF8"/>
    <w:rsid w:val="37811CB6"/>
    <w:rsid w:val="378D2272"/>
    <w:rsid w:val="3817177B"/>
    <w:rsid w:val="381E409C"/>
    <w:rsid w:val="383212A9"/>
    <w:rsid w:val="386C269B"/>
    <w:rsid w:val="38732C9B"/>
    <w:rsid w:val="390E5E67"/>
    <w:rsid w:val="399D5FC1"/>
    <w:rsid w:val="39C85774"/>
    <w:rsid w:val="3A0723F1"/>
    <w:rsid w:val="3A5B64BA"/>
    <w:rsid w:val="3A8C0A4A"/>
    <w:rsid w:val="3A920D71"/>
    <w:rsid w:val="3AF45588"/>
    <w:rsid w:val="3B4137FA"/>
    <w:rsid w:val="3CCD3E45"/>
    <w:rsid w:val="3CCE00C3"/>
    <w:rsid w:val="3CE14E67"/>
    <w:rsid w:val="3D503C0E"/>
    <w:rsid w:val="3EB334F0"/>
    <w:rsid w:val="3F065BF6"/>
    <w:rsid w:val="3F0C784E"/>
    <w:rsid w:val="3F201A8B"/>
    <w:rsid w:val="3F61029B"/>
    <w:rsid w:val="3F842B62"/>
    <w:rsid w:val="3FAD1CBA"/>
    <w:rsid w:val="3FE13435"/>
    <w:rsid w:val="405E3272"/>
    <w:rsid w:val="408616E4"/>
    <w:rsid w:val="40C052CA"/>
    <w:rsid w:val="40CC3CDB"/>
    <w:rsid w:val="40F47988"/>
    <w:rsid w:val="41663392"/>
    <w:rsid w:val="418807D8"/>
    <w:rsid w:val="428B3AE0"/>
    <w:rsid w:val="433A3D54"/>
    <w:rsid w:val="43406777"/>
    <w:rsid w:val="43795316"/>
    <w:rsid w:val="43857B12"/>
    <w:rsid w:val="43DE7406"/>
    <w:rsid w:val="44894F93"/>
    <w:rsid w:val="44CB2397"/>
    <w:rsid w:val="44D27CA5"/>
    <w:rsid w:val="44DB1679"/>
    <w:rsid w:val="44DE1090"/>
    <w:rsid w:val="44E76E36"/>
    <w:rsid w:val="458A471F"/>
    <w:rsid w:val="461847C6"/>
    <w:rsid w:val="465A2DAC"/>
    <w:rsid w:val="466C184C"/>
    <w:rsid w:val="472800A4"/>
    <w:rsid w:val="47335C08"/>
    <w:rsid w:val="47794A11"/>
    <w:rsid w:val="47FB79EE"/>
    <w:rsid w:val="48E707F3"/>
    <w:rsid w:val="48F50781"/>
    <w:rsid w:val="493016F5"/>
    <w:rsid w:val="498B0B98"/>
    <w:rsid w:val="4A04494D"/>
    <w:rsid w:val="4A663090"/>
    <w:rsid w:val="4A7C5FED"/>
    <w:rsid w:val="4A93526F"/>
    <w:rsid w:val="4B2772B4"/>
    <w:rsid w:val="4CE3798F"/>
    <w:rsid w:val="4D0100F5"/>
    <w:rsid w:val="4D161D69"/>
    <w:rsid w:val="4D3F49A9"/>
    <w:rsid w:val="4E2463B0"/>
    <w:rsid w:val="4EAE3F34"/>
    <w:rsid w:val="4EEF4EC0"/>
    <w:rsid w:val="4F0F1696"/>
    <w:rsid w:val="4F793304"/>
    <w:rsid w:val="4F7B1BED"/>
    <w:rsid w:val="4FC6381D"/>
    <w:rsid w:val="504D0F12"/>
    <w:rsid w:val="505B6B8E"/>
    <w:rsid w:val="505E043D"/>
    <w:rsid w:val="506A70D2"/>
    <w:rsid w:val="509E5922"/>
    <w:rsid w:val="50AC5C5B"/>
    <w:rsid w:val="5128022D"/>
    <w:rsid w:val="51534CC7"/>
    <w:rsid w:val="515A2654"/>
    <w:rsid w:val="51B12168"/>
    <w:rsid w:val="51C01500"/>
    <w:rsid w:val="51DC73E2"/>
    <w:rsid w:val="522030C9"/>
    <w:rsid w:val="52A12FE1"/>
    <w:rsid w:val="538968E9"/>
    <w:rsid w:val="538A03E0"/>
    <w:rsid w:val="53C56CC0"/>
    <w:rsid w:val="53D9073D"/>
    <w:rsid w:val="54913377"/>
    <w:rsid w:val="54B73456"/>
    <w:rsid w:val="55392A77"/>
    <w:rsid w:val="559A3458"/>
    <w:rsid w:val="56E542E6"/>
    <w:rsid w:val="57D61E46"/>
    <w:rsid w:val="589E7D3E"/>
    <w:rsid w:val="58BF7FF1"/>
    <w:rsid w:val="58EC3DE2"/>
    <w:rsid w:val="58F55A21"/>
    <w:rsid w:val="590B0125"/>
    <w:rsid w:val="59D7377C"/>
    <w:rsid w:val="5A0D0A2D"/>
    <w:rsid w:val="5A2922D3"/>
    <w:rsid w:val="5A391175"/>
    <w:rsid w:val="5A5807EE"/>
    <w:rsid w:val="5A6E0A5B"/>
    <w:rsid w:val="5B032890"/>
    <w:rsid w:val="5B8878FB"/>
    <w:rsid w:val="5BD25946"/>
    <w:rsid w:val="5BDB29B2"/>
    <w:rsid w:val="5C204C0B"/>
    <w:rsid w:val="5C3A4025"/>
    <w:rsid w:val="5C785647"/>
    <w:rsid w:val="5CF903D6"/>
    <w:rsid w:val="5D215F2E"/>
    <w:rsid w:val="5D4810F0"/>
    <w:rsid w:val="5D682E8F"/>
    <w:rsid w:val="5D9328BD"/>
    <w:rsid w:val="5DB34BAB"/>
    <w:rsid w:val="5DC87DAA"/>
    <w:rsid w:val="5E5B105B"/>
    <w:rsid w:val="5E612F34"/>
    <w:rsid w:val="5EB50A07"/>
    <w:rsid w:val="5F47090E"/>
    <w:rsid w:val="5F8F28CB"/>
    <w:rsid w:val="5FAC303D"/>
    <w:rsid w:val="5FCF3509"/>
    <w:rsid w:val="5FE23E60"/>
    <w:rsid w:val="5FF41229"/>
    <w:rsid w:val="6012042D"/>
    <w:rsid w:val="606F2E37"/>
    <w:rsid w:val="60DD5FF3"/>
    <w:rsid w:val="61293F1B"/>
    <w:rsid w:val="616331B0"/>
    <w:rsid w:val="61666C07"/>
    <w:rsid w:val="61AA7306"/>
    <w:rsid w:val="62122D8C"/>
    <w:rsid w:val="62530056"/>
    <w:rsid w:val="625E2502"/>
    <w:rsid w:val="625E5AB5"/>
    <w:rsid w:val="632B6AEA"/>
    <w:rsid w:val="633B16F7"/>
    <w:rsid w:val="639064AB"/>
    <w:rsid w:val="63BA1E55"/>
    <w:rsid w:val="640C3ADC"/>
    <w:rsid w:val="644E5028"/>
    <w:rsid w:val="64CE1BDF"/>
    <w:rsid w:val="65086257"/>
    <w:rsid w:val="65CF0524"/>
    <w:rsid w:val="65FA2F30"/>
    <w:rsid w:val="66486EC1"/>
    <w:rsid w:val="66B1318F"/>
    <w:rsid w:val="67161FDD"/>
    <w:rsid w:val="673A2F65"/>
    <w:rsid w:val="68CA66F7"/>
    <w:rsid w:val="68D721F5"/>
    <w:rsid w:val="697F7949"/>
    <w:rsid w:val="699933EF"/>
    <w:rsid w:val="69E9754E"/>
    <w:rsid w:val="6A1A3E14"/>
    <w:rsid w:val="6A932587"/>
    <w:rsid w:val="6AD5278F"/>
    <w:rsid w:val="6B0720A3"/>
    <w:rsid w:val="6B0845B4"/>
    <w:rsid w:val="6B1E1E35"/>
    <w:rsid w:val="6B842554"/>
    <w:rsid w:val="6B874B2B"/>
    <w:rsid w:val="6BDE35C7"/>
    <w:rsid w:val="6C3A6983"/>
    <w:rsid w:val="6C49542C"/>
    <w:rsid w:val="6C547A94"/>
    <w:rsid w:val="6C5D58A2"/>
    <w:rsid w:val="6CD5434B"/>
    <w:rsid w:val="6D0A7FB7"/>
    <w:rsid w:val="6D29763E"/>
    <w:rsid w:val="6D81321E"/>
    <w:rsid w:val="6DAF2A8F"/>
    <w:rsid w:val="6DC875CE"/>
    <w:rsid w:val="6DD05881"/>
    <w:rsid w:val="6E9B4C25"/>
    <w:rsid w:val="6EAE0FCF"/>
    <w:rsid w:val="6EB92BE7"/>
    <w:rsid w:val="6EDC6576"/>
    <w:rsid w:val="6F610958"/>
    <w:rsid w:val="6F7A596D"/>
    <w:rsid w:val="6FA82893"/>
    <w:rsid w:val="70466B69"/>
    <w:rsid w:val="70BB719A"/>
    <w:rsid w:val="71351603"/>
    <w:rsid w:val="72643265"/>
    <w:rsid w:val="72916C3D"/>
    <w:rsid w:val="730E1ADA"/>
    <w:rsid w:val="731D0A12"/>
    <w:rsid w:val="735E0EEA"/>
    <w:rsid w:val="738A6604"/>
    <w:rsid w:val="73C8716D"/>
    <w:rsid w:val="73DE5EB2"/>
    <w:rsid w:val="742E147C"/>
    <w:rsid w:val="744176B2"/>
    <w:rsid w:val="749444D3"/>
    <w:rsid w:val="74AB60F6"/>
    <w:rsid w:val="75542EBB"/>
    <w:rsid w:val="75C8005B"/>
    <w:rsid w:val="76614F39"/>
    <w:rsid w:val="767B0330"/>
    <w:rsid w:val="76B37525"/>
    <w:rsid w:val="774461A5"/>
    <w:rsid w:val="777D0787"/>
    <w:rsid w:val="77AE6CA6"/>
    <w:rsid w:val="789C633C"/>
    <w:rsid w:val="78C20799"/>
    <w:rsid w:val="78C73D1E"/>
    <w:rsid w:val="78C93BB9"/>
    <w:rsid w:val="796E6362"/>
    <w:rsid w:val="797F1CAE"/>
    <w:rsid w:val="799019F4"/>
    <w:rsid w:val="79BA084C"/>
    <w:rsid w:val="79BA0995"/>
    <w:rsid w:val="79D66C7F"/>
    <w:rsid w:val="7A190166"/>
    <w:rsid w:val="7A34285D"/>
    <w:rsid w:val="7A484A9D"/>
    <w:rsid w:val="7A714E13"/>
    <w:rsid w:val="7A7705A2"/>
    <w:rsid w:val="7AE80E0A"/>
    <w:rsid w:val="7B7A2701"/>
    <w:rsid w:val="7B82349D"/>
    <w:rsid w:val="7B8D1685"/>
    <w:rsid w:val="7BB340C8"/>
    <w:rsid w:val="7BE14791"/>
    <w:rsid w:val="7C0D4B58"/>
    <w:rsid w:val="7C6F6241"/>
    <w:rsid w:val="7C840656"/>
    <w:rsid w:val="7CBE5E35"/>
    <w:rsid w:val="7CDB0508"/>
    <w:rsid w:val="7D6B7085"/>
    <w:rsid w:val="7D740845"/>
    <w:rsid w:val="7D7E60FC"/>
    <w:rsid w:val="7D983B14"/>
    <w:rsid w:val="7DCE025E"/>
    <w:rsid w:val="7E8208EF"/>
    <w:rsid w:val="7E9E696A"/>
    <w:rsid w:val="7F8D0960"/>
    <w:rsid w:val="7FFB0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200" w:after="200" w:line="360" w:lineRule="auto"/>
      <w:outlineLvl w:val="0"/>
    </w:pPr>
    <w:rPr>
      <w:rFonts w:eastAsia="黑体"/>
      <w:b/>
      <w:bCs/>
      <w:kern w:val="44"/>
      <w:sz w:val="32"/>
      <w:szCs w:val="44"/>
    </w:rPr>
  </w:style>
  <w:style w:type="paragraph" w:styleId="3">
    <w:name w:val="heading 2"/>
    <w:basedOn w:val="1"/>
    <w:next w:val="1"/>
    <w:qFormat/>
    <w:uiPriority w:val="0"/>
    <w:pPr>
      <w:keepNext/>
      <w:keepLines/>
      <w:adjustRightInd w:val="0"/>
      <w:snapToGrid w:val="0"/>
      <w:spacing w:before="160" w:after="160" w:line="360" w:lineRule="auto"/>
      <w:outlineLvl w:val="1"/>
    </w:pPr>
    <w:rPr>
      <w:rFonts w:eastAsia="黑体"/>
      <w:b/>
      <w:bCs/>
      <w:sz w:val="32"/>
      <w:szCs w:val="32"/>
    </w:rPr>
  </w:style>
  <w:style w:type="paragraph" w:styleId="4">
    <w:name w:val="heading 3"/>
    <w:basedOn w:val="1"/>
    <w:next w:val="1"/>
    <w:semiHidden/>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9"/>
    <w:pPr>
      <w:keepNext/>
      <w:keepLines/>
      <w:outlineLvl w:val="3"/>
    </w:pPr>
    <w:rPr>
      <w:rFonts w:cstheme="majorBidi"/>
      <w:b/>
      <w:bCs/>
      <w:szCs w:val="28"/>
    </w:rPr>
  </w:style>
  <w:style w:type="character" w:default="1" w:styleId="21">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76"/>
    <w:qFormat/>
    <w:uiPriority w:val="0"/>
    <w:rPr>
      <w:b/>
      <w:bCs/>
    </w:rPr>
  </w:style>
  <w:style w:type="paragraph" w:styleId="7">
    <w:name w:val="annotation text"/>
    <w:basedOn w:val="1"/>
    <w:link w:val="75"/>
    <w:qFormat/>
    <w:uiPriority w:val="0"/>
    <w:pPr>
      <w:jc w:val="left"/>
    </w:pPr>
  </w:style>
  <w:style w:type="paragraph" w:styleId="8">
    <w:name w:val="Normal Indent"/>
    <w:basedOn w:val="1"/>
    <w:qFormat/>
    <w:uiPriority w:val="99"/>
    <w:pPr>
      <w:ind w:firstLine="420"/>
    </w:pPr>
  </w:style>
  <w:style w:type="paragraph" w:styleId="9">
    <w:name w:val="caption"/>
    <w:basedOn w:val="1"/>
    <w:next w:val="1"/>
    <w:qFormat/>
    <w:uiPriority w:val="0"/>
    <w:pPr>
      <w:spacing w:line="500" w:lineRule="atLeast"/>
      <w:jc w:val="center"/>
    </w:pPr>
    <w:rPr>
      <w:rFonts w:ascii="宋体" w:hAnsi="宋体"/>
      <w:b/>
      <w:szCs w:val="20"/>
    </w:rPr>
  </w:style>
  <w:style w:type="paragraph" w:styleId="10">
    <w:name w:val="Block Text"/>
    <w:basedOn w:val="1"/>
    <w:next w:val="11"/>
    <w:qFormat/>
    <w:uiPriority w:val="99"/>
    <w:pPr>
      <w:ind w:left="-70" w:leftChars="-33" w:right="-108" w:rightChars="-51"/>
      <w:jc w:val="center"/>
    </w:pPr>
    <w:rPr>
      <w:rFonts w:ascii="Arial" w:hAnsi="Arial"/>
      <w:sz w:val="24"/>
    </w:rPr>
  </w:style>
  <w:style w:type="paragraph" w:styleId="11">
    <w:name w:val="toc 9"/>
    <w:basedOn w:val="1"/>
    <w:next w:val="1"/>
    <w:qFormat/>
    <w:uiPriority w:val="0"/>
    <w:pPr>
      <w:widowControl/>
      <w:ind w:left="1400"/>
      <w:jc w:val="left"/>
    </w:pPr>
    <w:rPr>
      <w:kern w:val="0"/>
      <w:sz w:val="20"/>
    </w:rPr>
  </w:style>
  <w:style w:type="paragraph" w:styleId="12">
    <w:name w:val="Date"/>
    <w:basedOn w:val="1"/>
    <w:next w:val="1"/>
    <w:qFormat/>
    <w:uiPriority w:val="0"/>
    <w:rPr>
      <w:rFonts w:ascii="宋体"/>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unhideWhenUsed/>
    <w:qFormat/>
    <w:uiPriority w:val="99"/>
    <w:pPr>
      <w:pBdr>
        <w:bottom w:val="single" w:color="auto" w:sz="6" w:space="1"/>
      </w:pBdr>
      <w:tabs>
        <w:tab w:val="center" w:pos="4153"/>
        <w:tab w:val="right" w:pos="8306"/>
      </w:tabs>
      <w:snapToGrid w:val="0"/>
    </w:pPr>
    <w:rPr>
      <w:sz w:val="18"/>
      <w:szCs w:val="18"/>
    </w:rPr>
  </w:style>
  <w:style w:type="paragraph" w:styleId="15">
    <w:name w:val="index heading"/>
    <w:basedOn w:val="1"/>
    <w:next w:val="16"/>
    <w:qFormat/>
    <w:uiPriority w:val="0"/>
    <w:pPr>
      <w:spacing w:line="360" w:lineRule="auto"/>
      <w:ind w:firstLine="200" w:firstLineChars="200"/>
    </w:pPr>
    <w:rPr>
      <w:rFonts w:hint="eastAsia" w:ascii="Cambria" w:hAnsi="Cambria" w:cs="Courier New"/>
      <w:b/>
      <w:bCs/>
      <w:szCs w:val="21"/>
    </w:rPr>
  </w:style>
  <w:style w:type="paragraph" w:styleId="16">
    <w:name w:val="index 1"/>
    <w:basedOn w:val="1"/>
    <w:next w:val="1"/>
    <w:qFormat/>
    <w:uiPriority w:val="0"/>
    <w:pPr>
      <w:spacing w:line="360" w:lineRule="auto"/>
    </w:pPr>
    <w:rPr>
      <w:sz w:val="24"/>
    </w:rPr>
  </w:style>
  <w:style w:type="paragraph" w:styleId="17">
    <w:name w:val="Subtitle"/>
    <w:basedOn w:val="1"/>
    <w:next w:val="1"/>
    <w:qFormat/>
    <w:uiPriority w:val="11"/>
    <w:pPr>
      <w:jc w:val="center"/>
    </w:pPr>
    <w:rPr>
      <w:bCs/>
      <w:kern w:val="28"/>
      <w:szCs w:val="32"/>
    </w:rPr>
  </w:style>
  <w:style w:type="paragraph" w:styleId="18">
    <w:name w:val="List"/>
    <w:basedOn w:val="1"/>
    <w:qFormat/>
    <w:uiPriority w:val="0"/>
    <w:pPr>
      <w:adjustRightInd w:val="0"/>
      <w:snapToGrid w:val="0"/>
      <w:ind w:left="198" w:hanging="198"/>
      <w:contextualSpacing/>
    </w:pPr>
  </w:style>
  <w:style w:type="paragraph" w:styleId="19">
    <w:name w:val="table of figures"/>
    <w:basedOn w:val="1"/>
    <w:next w:val="1"/>
    <w:qFormat/>
    <w:uiPriority w:val="99"/>
    <w:pPr>
      <w:ind w:left="420" w:hanging="420"/>
      <w:jc w:val="left"/>
    </w:pPr>
    <w:rPr>
      <w:rFonts w:ascii="Calibri" w:hAnsi="Calibri"/>
      <w:b/>
      <w:bCs/>
      <w:sz w:val="20"/>
      <w:szCs w:val="20"/>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22">
    <w:name w:val="annotation reference"/>
    <w:basedOn w:val="21"/>
    <w:qFormat/>
    <w:uiPriority w:val="0"/>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5">
    <w:name w:val="Default"/>
    <w:basedOn w:val="26"/>
    <w:qFormat/>
    <w:uiPriority w:val="0"/>
    <w:pPr>
      <w:autoSpaceDE w:val="0"/>
      <w:autoSpaceDN w:val="0"/>
    </w:pPr>
    <w:rPr>
      <w:rFonts w:ascii="宋体" w:cs="宋体"/>
      <w:sz w:val="24"/>
      <w:szCs w:val="24"/>
    </w:rPr>
  </w:style>
  <w:style w:type="paragraph" w:styleId="26">
    <w:name w:val="No Spacing"/>
    <w:qFormat/>
    <w:uiPriority w:val="1"/>
    <w:pPr>
      <w:widowControl w:val="0"/>
      <w:spacing w:line="360" w:lineRule="auto"/>
      <w:jc w:val="center"/>
    </w:pPr>
    <w:rPr>
      <w:rFonts w:ascii="Times New Roman" w:hAnsi="Times New Roman" w:eastAsia="宋体" w:cstheme="minorBidi"/>
      <w:b/>
      <w:kern w:val="2"/>
      <w:sz w:val="24"/>
      <w:szCs w:val="22"/>
      <w:lang w:val="en-US" w:eastAsia="zh-CN" w:bidi="ar-SA"/>
    </w:rPr>
  </w:style>
  <w:style w:type="paragraph" w:customStyle="1" w:styleId="27">
    <w:name w:val="1 表头"/>
    <w:basedOn w:val="1"/>
    <w:qFormat/>
    <w:uiPriority w:val="0"/>
    <w:pPr>
      <w:adjustRightInd w:val="0"/>
      <w:snapToGrid w:val="0"/>
      <w:jc w:val="center"/>
    </w:pPr>
    <w:rPr>
      <w:b/>
      <w:color w:val="000000"/>
      <w:szCs w:val="21"/>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wyc正文"/>
    <w:basedOn w:val="1"/>
    <w:qFormat/>
    <w:uiPriority w:val="0"/>
    <w:pPr>
      <w:adjustRightInd w:val="0"/>
      <w:ind w:firstLine="480"/>
    </w:pPr>
    <w:rPr>
      <w:rFonts w:ascii="Times New Roman" w:hAnsi="Times New Roman" w:eastAsia="宋体"/>
      <w:bCs/>
      <w:szCs w:val="20"/>
    </w:rPr>
  </w:style>
  <w:style w:type="paragraph" w:customStyle="1" w:styleId="31">
    <w:name w:val="报告书正文"/>
    <w:qFormat/>
    <w:uiPriority w:val="0"/>
    <w:pPr>
      <w:spacing w:line="360" w:lineRule="auto"/>
    </w:pPr>
    <w:rPr>
      <w:rFonts w:ascii="Calibri" w:hAnsi="Calibri" w:eastAsia="宋体" w:cs="Times New Roman"/>
      <w:sz w:val="24"/>
      <w:szCs w:val="24"/>
      <w:lang w:val="en-US" w:eastAsia="zh-CN" w:bidi="ar-SA"/>
    </w:rPr>
  </w:style>
  <w:style w:type="paragraph" w:customStyle="1" w:styleId="32">
    <w:name w:val="表头名称"/>
    <w:basedOn w:val="33"/>
    <w:qFormat/>
    <w:uiPriority w:val="0"/>
    <w:pPr>
      <w:spacing w:line="500" w:lineRule="exact"/>
    </w:pPr>
    <w:rPr>
      <w:sz w:val="21"/>
    </w:rPr>
  </w:style>
  <w:style w:type="paragraph" w:customStyle="1" w:styleId="33">
    <w:name w:val="图名"/>
    <w:next w:val="1"/>
    <w:qFormat/>
    <w:uiPriority w:val="0"/>
    <w:pPr>
      <w:adjustRightInd w:val="0"/>
      <w:snapToGrid w:val="0"/>
      <w:jc w:val="center"/>
    </w:pPr>
    <w:rPr>
      <w:rFonts w:ascii="Calibri" w:hAnsi="Calibri" w:eastAsia="宋体" w:cs="Times New Roman"/>
      <w:b/>
      <w:bCs/>
      <w:snapToGrid w:val="0"/>
      <w:sz w:val="24"/>
      <w:szCs w:val="24"/>
      <w:lang w:val="en-US" w:eastAsia="zh-CN" w:bidi="ar-SA"/>
    </w:rPr>
  </w:style>
  <w:style w:type="paragraph" w:customStyle="1" w:styleId="34">
    <w:name w:val="表格"/>
    <w:basedOn w:val="18"/>
    <w:next w:val="1"/>
    <w:qFormat/>
    <w:uiPriority w:val="0"/>
    <w:pPr>
      <w:jc w:val="center"/>
    </w:pPr>
    <w:rPr>
      <w:rFonts w:ascii="Calibri" w:hAnsi="Calibri" w:eastAsia="宋体" w:cs="Times New Roman"/>
    </w:rPr>
  </w:style>
  <w:style w:type="paragraph" w:customStyle="1" w:styleId="35">
    <w:name w:val="wyc-表文字"/>
    <w:basedOn w:val="36"/>
    <w:qFormat/>
    <w:uiPriority w:val="0"/>
    <w:pPr>
      <w:snapToGrid w:val="0"/>
    </w:pPr>
    <w:rPr>
      <w:b w:val="0"/>
      <w:bCs w:val="0"/>
      <w:szCs w:val="21"/>
    </w:rPr>
  </w:style>
  <w:style w:type="paragraph" w:customStyle="1" w:styleId="36">
    <w:name w:val="wyc-表头"/>
    <w:basedOn w:val="1"/>
    <w:qFormat/>
    <w:uiPriority w:val="0"/>
    <w:pPr>
      <w:jc w:val="center"/>
    </w:pPr>
    <w:rPr>
      <w:rFonts w:ascii="Times New Roman" w:hAnsi="Times New Roman" w:eastAsia="宋体"/>
      <w:b/>
      <w:bCs/>
      <w:color w:val="000000"/>
    </w:rPr>
  </w:style>
  <w:style w:type="paragraph" w:customStyle="1" w:styleId="37">
    <w:name w:val="表头"/>
    <w:basedOn w:val="38"/>
    <w:next w:val="1"/>
    <w:qFormat/>
    <w:uiPriority w:val="0"/>
  </w:style>
  <w:style w:type="paragraph" w:customStyle="1" w:styleId="38">
    <w:name w:val="表外"/>
    <w:basedOn w:val="1"/>
    <w:qFormat/>
    <w:uiPriority w:val="0"/>
    <w:rPr>
      <w:b/>
      <w:sz w:val="32"/>
    </w:rPr>
  </w:style>
  <w:style w:type="paragraph" w:customStyle="1" w:styleId="39">
    <w:name w:val="表格内容"/>
    <w:basedOn w:val="37"/>
    <w:next w:val="1"/>
    <w:qFormat/>
    <w:uiPriority w:val="0"/>
    <w:rPr>
      <w:kern w:val="0"/>
      <w:lang w:val="zh-CN"/>
    </w:rPr>
  </w:style>
  <w:style w:type="paragraph" w:customStyle="1" w:styleId="40">
    <w:name w:val="表字-书"/>
    <w:basedOn w:val="1"/>
    <w:qFormat/>
    <w:uiPriority w:val="0"/>
    <w:pPr>
      <w:spacing w:line="300" w:lineRule="atLeast"/>
      <w:jc w:val="center"/>
    </w:pPr>
    <w:rPr>
      <w:rFonts w:ascii="宋体" w:hAnsi="宋体" w:eastAsia="宋体"/>
      <w:kern w:val="0"/>
      <w:sz w:val="20"/>
      <w:szCs w:val="21"/>
    </w:rPr>
  </w:style>
  <w:style w:type="paragraph" w:customStyle="1" w:styleId="41">
    <w:name w:val="Char20"/>
    <w:basedOn w:val="1"/>
    <w:qFormat/>
    <w:uiPriority w:val="99"/>
    <w:rPr>
      <w:sz w:val="24"/>
    </w:rPr>
  </w:style>
  <w:style w:type="paragraph" w:customStyle="1" w:styleId="42">
    <w:name w:val="列出段落11"/>
    <w:basedOn w:val="1"/>
    <w:qFormat/>
    <w:uiPriority w:val="34"/>
    <w:pPr>
      <w:ind w:firstLine="420" w:firstLineChars="200"/>
    </w:pPr>
  </w:style>
  <w:style w:type="paragraph" w:customStyle="1" w:styleId="43">
    <w:name w:val="表格标题"/>
    <w:next w:val="39"/>
    <w:qFormat/>
    <w:uiPriority w:val="0"/>
    <w:pPr>
      <w:keepLines/>
      <w:widowControl w:val="0"/>
      <w:jc w:val="center"/>
    </w:pPr>
    <w:rPr>
      <w:rFonts w:ascii="Times New Roman" w:hAnsi="Times New Roman" w:eastAsia="宋体" w:cs="Times New Roman"/>
      <w:b/>
      <w:bCs/>
      <w:sz w:val="21"/>
      <w:szCs w:val="32"/>
      <w:lang w:val="en-US" w:eastAsia="zh-CN" w:bidi="ar-SA"/>
    </w:rPr>
  </w:style>
  <w:style w:type="paragraph" w:customStyle="1" w:styleId="44">
    <w:name w:val="wyc-三级"/>
    <w:basedOn w:val="1"/>
    <w:qFormat/>
    <w:uiPriority w:val="0"/>
    <w:pPr>
      <w:outlineLvl w:val="2"/>
    </w:pPr>
    <w:rPr>
      <w:rFonts w:ascii="Times New Roman" w:hAnsi="Times New Roman" w:eastAsia="宋体" w:cs="宋体"/>
      <w:b/>
      <w:bCs/>
      <w:snapToGrid w:val="0"/>
      <w:sz w:val="30"/>
      <w:szCs w:val="28"/>
    </w:rPr>
  </w:style>
  <w:style w:type="paragraph" w:customStyle="1" w:styleId="45">
    <w:name w:val="@1"/>
    <w:basedOn w:val="1"/>
    <w:qFormat/>
    <w:uiPriority w:val="0"/>
    <w:pPr>
      <w:tabs>
        <w:tab w:val="left" w:pos="2232"/>
      </w:tabs>
      <w:adjustRightInd w:val="0"/>
      <w:snapToGrid w:val="0"/>
      <w:spacing w:line="360" w:lineRule="auto"/>
      <w:ind w:firstLine="480" w:firstLineChars="200"/>
    </w:pPr>
    <w:rPr>
      <w:color w:val="000000"/>
      <w:sz w:val="24"/>
    </w:rPr>
  </w:style>
  <w:style w:type="paragraph" w:customStyle="1" w:styleId="46">
    <w:name w:val="STC 正文"/>
    <w:qFormat/>
    <w:uiPriority w:val="0"/>
    <w:pPr>
      <w:widowControl w:val="0"/>
      <w:adjustRightInd w:val="0"/>
      <w:snapToGrid w:val="0"/>
      <w:spacing w:line="331" w:lineRule="auto"/>
      <w:ind w:firstLine="200" w:firstLineChars="200"/>
      <w:jc w:val="both"/>
    </w:pPr>
    <w:rPr>
      <w:rFonts w:ascii="宋体" w:hAnsi="宋体" w:eastAsiaTheme="minorEastAsia" w:cstheme="minorBidi"/>
      <w:kern w:val="2"/>
      <w:sz w:val="24"/>
      <w:szCs w:val="21"/>
      <w:lang w:val="en-US" w:eastAsia="zh-CN" w:bidi="ar-SA"/>
    </w:rPr>
  </w:style>
  <w:style w:type="character" w:customStyle="1" w:styleId="47">
    <w:name w:val="样式 (符号) 宋体 小四"/>
    <w:qFormat/>
    <w:uiPriority w:val="0"/>
    <w:rPr>
      <w:sz w:val="24"/>
    </w:rPr>
  </w:style>
  <w:style w:type="character" w:customStyle="1" w:styleId="48">
    <w:name w:val="font101"/>
    <w:basedOn w:val="21"/>
    <w:qFormat/>
    <w:uiPriority w:val="0"/>
    <w:rPr>
      <w:rFonts w:hint="eastAsia" w:ascii="等线" w:hAnsi="等线" w:eastAsia="等线" w:cs="等线"/>
      <w:b/>
      <w:bCs/>
      <w:color w:val="000000"/>
      <w:sz w:val="20"/>
      <w:szCs w:val="20"/>
      <w:u w:val="none"/>
    </w:rPr>
  </w:style>
  <w:style w:type="character" w:customStyle="1" w:styleId="49">
    <w:name w:val="font91"/>
    <w:basedOn w:val="21"/>
    <w:qFormat/>
    <w:uiPriority w:val="0"/>
    <w:rPr>
      <w:rFonts w:hint="default" w:ascii="Times New Roman" w:hAnsi="Times New Roman" w:cs="Times New Roman"/>
      <w:color w:val="000000"/>
      <w:sz w:val="20"/>
      <w:szCs w:val="20"/>
      <w:u w:val="none"/>
    </w:rPr>
  </w:style>
  <w:style w:type="character" w:customStyle="1" w:styleId="50">
    <w:name w:val="font71"/>
    <w:basedOn w:val="21"/>
    <w:qFormat/>
    <w:uiPriority w:val="0"/>
    <w:rPr>
      <w:rFonts w:hint="eastAsia" w:ascii="宋体" w:hAnsi="宋体" w:eastAsia="宋体" w:cs="宋体"/>
      <w:color w:val="000000"/>
      <w:sz w:val="20"/>
      <w:szCs w:val="20"/>
      <w:u w:val="none"/>
    </w:rPr>
  </w:style>
  <w:style w:type="character" w:customStyle="1" w:styleId="51">
    <w:name w:val="font21"/>
    <w:basedOn w:val="21"/>
    <w:qFormat/>
    <w:uiPriority w:val="0"/>
    <w:rPr>
      <w:rFonts w:hint="default" w:ascii="Times New Roman" w:hAnsi="Times New Roman" w:cs="Times New Roman"/>
      <w:color w:val="000000"/>
      <w:sz w:val="24"/>
      <w:szCs w:val="24"/>
      <w:u w:val="none"/>
      <w:vertAlign w:val="subscript"/>
    </w:rPr>
  </w:style>
  <w:style w:type="character" w:customStyle="1" w:styleId="52">
    <w:name w:val="font31"/>
    <w:basedOn w:val="21"/>
    <w:qFormat/>
    <w:uiPriority w:val="0"/>
    <w:rPr>
      <w:rFonts w:hint="default" w:ascii="Times New Roman" w:hAnsi="Times New Roman" w:cs="Times New Roman"/>
      <w:i/>
      <w:iCs/>
      <w:color w:val="000000"/>
      <w:sz w:val="24"/>
      <w:szCs w:val="24"/>
      <w:u w:val="none"/>
    </w:rPr>
  </w:style>
  <w:style w:type="character" w:customStyle="1" w:styleId="53">
    <w:name w:val="font41"/>
    <w:basedOn w:val="21"/>
    <w:qFormat/>
    <w:uiPriority w:val="0"/>
    <w:rPr>
      <w:rFonts w:hint="default" w:ascii="Times New Roman" w:hAnsi="Times New Roman" w:cs="Times New Roman"/>
      <w:color w:val="000000"/>
      <w:sz w:val="24"/>
      <w:szCs w:val="24"/>
      <w:u w:val="none"/>
      <w:vertAlign w:val="superscript"/>
    </w:rPr>
  </w:style>
  <w:style w:type="character" w:customStyle="1" w:styleId="54">
    <w:name w:val="font11"/>
    <w:basedOn w:val="21"/>
    <w:qFormat/>
    <w:uiPriority w:val="0"/>
    <w:rPr>
      <w:rFonts w:hint="default" w:ascii="Times New Roman" w:hAnsi="Times New Roman" w:cs="Times New Roman"/>
      <w:color w:val="000000"/>
      <w:sz w:val="24"/>
      <w:szCs w:val="24"/>
      <w:u w:val="none"/>
    </w:rPr>
  </w:style>
  <w:style w:type="paragraph" w:customStyle="1" w:styleId="55">
    <w:name w:val="YJ正文*"/>
    <w:basedOn w:val="1"/>
    <w:qFormat/>
    <w:uiPriority w:val="0"/>
    <w:pPr>
      <w:spacing w:line="500" w:lineRule="exact"/>
      <w:ind w:firstLine="200" w:firstLineChars="200"/>
    </w:pPr>
    <w:rPr>
      <w:rFonts w:ascii="宋体" w:hAnsi="宋体"/>
      <w:kern w:val="0"/>
      <w:sz w:val="24"/>
    </w:rPr>
  </w:style>
  <w:style w:type="paragraph" w:customStyle="1" w:styleId="56">
    <w:name w:val="p0"/>
    <w:basedOn w:val="1"/>
    <w:qFormat/>
    <w:uiPriority w:val="0"/>
    <w:pPr>
      <w:widowControl/>
    </w:pPr>
    <w:rPr>
      <w:rFonts w:ascii="宋体" w:hAnsi="宋体" w:cs="宋体"/>
      <w:kern w:val="0"/>
      <w:sz w:val="24"/>
    </w:rPr>
  </w:style>
  <w:style w:type="paragraph" w:customStyle="1" w:styleId="57">
    <w:name w:val="p15"/>
    <w:basedOn w:val="1"/>
    <w:qFormat/>
    <w:uiPriority w:val="0"/>
    <w:pPr>
      <w:widowControl/>
      <w:snapToGrid w:val="0"/>
      <w:spacing w:before="120" w:after="60"/>
      <w:jc w:val="left"/>
    </w:pPr>
    <w:rPr>
      <w:rFonts w:ascii="方正仿宋简体" w:hAnsi="方正仿宋简体" w:cs="宋体"/>
      <w:b/>
      <w:bCs/>
      <w:color w:val="FF0000"/>
      <w:spacing w:val="-4"/>
      <w:kern w:val="0"/>
      <w:sz w:val="24"/>
    </w:rPr>
  </w:style>
  <w:style w:type="paragraph" w:customStyle="1" w:styleId="58">
    <w:name w:val="wyc-四级"/>
    <w:basedOn w:val="59"/>
    <w:qFormat/>
    <w:uiPriority w:val="0"/>
    <w:pPr>
      <w:outlineLvl w:val="3"/>
    </w:pPr>
    <w:rPr>
      <w:rFonts w:eastAsia="宋体"/>
      <w:b w:val="0"/>
      <w:sz w:val="28"/>
      <w:szCs w:val="28"/>
    </w:rPr>
  </w:style>
  <w:style w:type="paragraph" w:customStyle="1" w:styleId="59">
    <w:name w:val="wyc-正文"/>
    <w:basedOn w:val="1"/>
    <w:qFormat/>
    <w:uiPriority w:val="0"/>
    <w:rPr>
      <w:rFonts w:ascii="Times New Roman" w:hAnsi="Times New Roman"/>
      <w:b/>
    </w:rPr>
  </w:style>
  <w:style w:type="paragraph" w:customStyle="1" w:styleId="60">
    <w:name w:val="文本"/>
    <w:basedOn w:val="8"/>
    <w:qFormat/>
    <w:uiPriority w:val="0"/>
    <w:pPr>
      <w:adjustRightInd w:val="0"/>
      <w:snapToGrid w:val="0"/>
      <w:spacing w:line="360" w:lineRule="auto"/>
      <w:ind w:firstLine="480" w:firstLineChars="200"/>
      <w:jc w:val="left"/>
    </w:pPr>
    <w:rPr>
      <w:sz w:val="24"/>
    </w:rPr>
  </w:style>
  <w:style w:type="paragraph" w:customStyle="1" w:styleId="61">
    <w:name w:val="YJ-正文"/>
    <w:basedOn w:val="62"/>
    <w:qFormat/>
    <w:uiPriority w:val="0"/>
    <w:pPr>
      <w:ind w:firstLine="200" w:firstLineChars="200"/>
      <w:jc w:val="both"/>
      <w:outlineLvl w:val="9"/>
    </w:pPr>
    <w:rPr>
      <w:b w:val="0"/>
      <w:sz w:val="24"/>
    </w:rPr>
  </w:style>
  <w:style w:type="paragraph" w:customStyle="1" w:styleId="62">
    <w:name w:val="YJ-表标题1"/>
    <w:basedOn w:val="1"/>
    <w:qFormat/>
    <w:uiPriority w:val="0"/>
    <w:pPr>
      <w:widowControl/>
      <w:spacing w:line="520" w:lineRule="exact"/>
      <w:jc w:val="left"/>
      <w:outlineLvl w:val="1"/>
    </w:pPr>
    <w:rPr>
      <w:b/>
      <w:kern w:val="0"/>
      <w:sz w:val="30"/>
      <w:szCs w:val="22"/>
    </w:rPr>
  </w:style>
  <w:style w:type="paragraph" w:customStyle="1" w:styleId="63">
    <w:name w:val="0文本"/>
    <w:basedOn w:val="1"/>
    <w:qFormat/>
    <w:uiPriority w:val="0"/>
    <w:pPr>
      <w:spacing w:line="360" w:lineRule="auto"/>
      <w:ind w:firstLine="200" w:firstLineChars="200"/>
      <w:contextualSpacing/>
    </w:pPr>
    <w:rPr>
      <w:kern w:val="0"/>
      <w:sz w:val="24"/>
    </w:rPr>
  </w:style>
  <w:style w:type="paragraph" w:customStyle="1" w:styleId="64">
    <w:name w:val="瑞飞 项目1级"/>
    <w:basedOn w:val="1"/>
    <w:qFormat/>
    <w:uiPriority w:val="0"/>
    <w:pPr>
      <w:numPr>
        <w:ilvl w:val="0"/>
        <w:numId w:val="1"/>
      </w:numPr>
      <w:spacing w:afterLines="50" w:line="276" w:lineRule="auto"/>
    </w:pPr>
    <w:rPr>
      <w:rFonts w:ascii="宋体" w:hAnsi="宋体"/>
      <w:kern w:val="0"/>
      <w:sz w:val="30"/>
      <w:szCs w:val="30"/>
    </w:rPr>
  </w:style>
  <w:style w:type="paragraph" w:customStyle="1" w:styleId="65">
    <w:name w:val="图名、表名"/>
    <w:next w:val="1"/>
    <w:qFormat/>
    <w:uiPriority w:val="0"/>
    <w:pPr>
      <w:spacing w:line="360" w:lineRule="auto"/>
      <w:contextualSpacing/>
      <w:jc w:val="center"/>
    </w:pPr>
    <w:rPr>
      <w:rFonts w:ascii="Times New Roman" w:hAnsi="Times New Roman" w:eastAsia="宋体" w:cs="Times New Roman"/>
      <w:b/>
      <w:bCs/>
      <w:snapToGrid w:val="0"/>
      <w:color w:val="000000"/>
      <w:sz w:val="21"/>
      <w:szCs w:val="24"/>
      <w:lang w:val="en-US" w:eastAsia="zh-CN" w:bidi="ar-SA"/>
    </w:rPr>
  </w:style>
  <w:style w:type="paragraph" w:customStyle="1" w:styleId="66">
    <w:name w:val="！正文"/>
    <w:basedOn w:val="1"/>
    <w:qFormat/>
    <w:uiPriority w:val="0"/>
    <w:pPr>
      <w:ind w:firstLine="480"/>
    </w:pPr>
    <w:rPr>
      <w:rFonts w:eastAsia="宋体" w:cs="宋体"/>
      <w:szCs w:val="20"/>
    </w:rPr>
  </w:style>
  <w:style w:type="paragraph" w:customStyle="1" w:styleId="67">
    <w:name w:val="STC 表格"/>
    <w:basedOn w:val="1"/>
    <w:qFormat/>
    <w:uiPriority w:val="0"/>
    <w:pPr>
      <w:adjustRightInd w:val="0"/>
      <w:snapToGrid w:val="0"/>
      <w:jc w:val="center"/>
    </w:pPr>
    <w:rPr>
      <w:rFonts w:ascii="宋体" w:hAnsi="宋体" w:cs="宋体" w:eastAsiaTheme="majorEastAsia"/>
      <w:snapToGrid w:val="0"/>
      <w:szCs w:val="22"/>
      <w:lang w:eastAsia="en-US"/>
    </w:rPr>
  </w:style>
  <w:style w:type="paragraph" w:customStyle="1" w:styleId="68">
    <w:name w:val="YJ题注"/>
    <w:basedOn w:val="9"/>
    <w:qFormat/>
    <w:uiPriority w:val="0"/>
    <w:pPr>
      <w:adjustRightInd w:val="0"/>
      <w:snapToGrid w:val="0"/>
      <w:spacing w:line="520" w:lineRule="exact"/>
    </w:pPr>
    <w:rPr>
      <w:rFonts w:ascii="黑体" w:hAnsi="黑体" w:eastAsia="黑体"/>
      <w:kern w:val="0"/>
    </w:rPr>
  </w:style>
  <w:style w:type="paragraph" w:customStyle="1" w:styleId="69">
    <w:name w:val="表头图头"/>
    <w:basedOn w:val="1"/>
    <w:next w:val="1"/>
    <w:qFormat/>
    <w:uiPriority w:val="0"/>
    <w:pPr>
      <w:widowControl/>
      <w:jc w:val="center"/>
    </w:pPr>
    <w:rPr>
      <w:rFonts w:hint="eastAsia"/>
      <w:b/>
      <w:bCs/>
      <w:szCs w:val="21"/>
    </w:rPr>
  </w:style>
  <w:style w:type="paragraph" w:customStyle="1" w:styleId="70">
    <w:name w:val="Table Text"/>
    <w:basedOn w:val="1"/>
    <w:semiHidden/>
    <w:qFormat/>
    <w:uiPriority w:val="0"/>
    <w:rPr>
      <w:rFonts w:ascii="宋体" w:hAnsi="宋体" w:eastAsia="宋体" w:cs="宋体"/>
      <w:sz w:val="18"/>
      <w:szCs w:val="18"/>
      <w:lang w:eastAsia="en-US"/>
    </w:rPr>
  </w:style>
  <w:style w:type="table" w:customStyle="1" w:styleId="71">
    <w:name w:val="Table Normal"/>
    <w:unhideWhenUsed/>
    <w:qFormat/>
    <w:uiPriority w:val="2"/>
    <w:pPr>
      <w:widowControl w:val="0"/>
      <w:autoSpaceDE w:val="0"/>
      <w:autoSpaceDN w:val="0"/>
    </w:pPr>
    <w:rPr>
      <w:rFonts w:ascii="Calibri" w:hAnsi="Calibri"/>
      <w:sz w:val="22"/>
      <w:szCs w:val="22"/>
      <w:lang w:eastAsia="en-US"/>
    </w:rPr>
    <w:tblPr>
      <w:tblLayout w:type="fixed"/>
      <w:tblCellMar>
        <w:top w:w="0" w:type="dxa"/>
        <w:left w:w="0" w:type="dxa"/>
        <w:bottom w:w="0" w:type="dxa"/>
        <w:right w:w="0" w:type="dxa"/>
      </w:tblCellMar>
    </w:tblPr>
  </w:style>
  <w:style w:type="paragraph" w:customStyle="1" w:styleId="72">
    <w:name w:val="标题4"/>
    <w:next w:val="1"/>
    <w:qFormat/>
    <w:uiPriority w:val="0"/>
    <w:pPr>
      <w:spacing w:line="500" w:lineRule="exact"/>
      <w:jc w:val="both"/>
      <w:outlineLvl w:val="3"/>
    </w:pPr>
    <w:rPr>
      <w:rFonts w:ascii="Times New Roman" w:hAnsi="Times New Roman" w:eastAsia="宋体" w:cs="Times New Roman"/>
      <w:b/>
      <w:bCs/>
      <w:kern w:val="44"/>
      <w:sz w:val="24"/>
      <w:szCs w:val="44"/>
      <w:lang w:val="en-US" w:eastAsia="zh-CN" w:bidi="ar-SA"/>
    </w:rPr>
  </w:style>
  <w:style w:type="paragraph" w:customStyle="1" w:styleId="73">
    <w:name w:val="wyc-二级"/>
    <w:basedOn w:val="1"/>
    <w:qFormat/>
    <w:uiPriority w:val="0"/>
    <w:pPr>
      <w:spacing w:beforeLines="50" w:afterLines="50"/>
      <w:outlineLvl w:val="1"/>
    </w:pPr>
    <w:rPr>
      <w:rFonts w:ascii="Times New Roman" w:hAnsi="Times New Roman" w:eastAsia="宋体"/>
      <w:b/>
      <w:bCs/>
      <w:sz w:val="32"/>
      <w:szCs w:val="32"/>
    </w:rPr>
  </w:style>
  <w:style w:type="paragraph" w:customStyle="1" w:styleId="74">
    <w:name w:val="标题2"/>
    <w:next w:val="1"/>
    <w:qFormat/>
    <w:uiPriority w:val="0"/>
    <w:pPr>
      <w:spacing w:beforeLines="50" w:afterLines="50" w:line="500" w:lineRule="exact"/>
      <w:jc w:val="both"/>
      <w:outlineLvl w:val="1"/>
    </w:pPr>
    <w:rPr>
      <w:rFonts w:ascii="Times New Roman" w:hAnsi="Times New Roman" w:eastAsia="宋体" w:cs="Times New Roman"/>
      <w:b/>
      <w:bCs/>
      <w:kern w:val="44"/>
      <w:sz w:val="30"/>
      <w:szCs w:val="44"/>
      <w:lang w:val="en-US" w:eastAsia="zh-CN" w:bidi="ar-SA"/>
    </w:rPr>
  </w:style>
  <w:style w:type="character" w:customStyle="1" w:styleId="75">
    <w:name w:val="批注文字 字符"/>
    <w:basedOn w:val="21"/>
    <w:link w:val="7"/>
    <w:qFormat/>
    <w:uiPriority w:val="0"/>
    <w:rPr>
      <w:rFonts w:asciiTheme="minorHAnsi" w:hAnsiTheme="minorHAnsi" w:eastAsiaTheme="minorEastAsia" w:cstheme="minorBidi"/>
      <w:kern w:val="2"/>
      <w:sz w:val="21"/>
      <w:szCs w:val="24"/>
    </w:rPr>
  </w:style>
  <w:style w:type="character" w:customStyle="1" w:styleId="76">
    <w:name w:val="批注主题 字符"/>
    <w:basedOn w:val="75"/>
    <w:link w:val="6"/>
    <w:qFormat/>
    <w:uiPriority w:val="0"/>
    <w:rPr>
      <w:rFonts w:asciiTheme="minorHAnsi" w:hAnsiTheme="minorHAnsi" w:eastAsiaTheme="minorEastAsia" w:cstheme="minorBidi"/>
      <w:b/>
      <w:bCs/>
      <w:kern w:val="2"/>
      <w:sz w:val="21"/>
      <w:szCs w:val="24"/>
    </w:rPr>
  </w:style>
  <w:style w:type="paragraph" w:customStyle="1" w:styleId="77">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8.wmf"/><Relationship Id="rId41" Type="http://schemas.openxmlformats.org/officeDocument/2006/relationships/oleObject" Target="embeddings/oleObject4.bin"/><Relationship Id="rId40" Type="http://schemas.openxmlformats.org/officeDocument/2006/relationships/image" Target="media/image27.wmf"/><Relationship Id="rId4" Type="http://schemas.openxmlformats.org/officeDocument/2006/relationships/footer" Target="footer1.xml"/><Relationship Id="rId39" Type="http://schemas.openxmlformats.org/officeDocument/2006/relationships/oleObject" Target="embeddings/oleObject3.bin"/><Relationship Id="rId38" Type="http://schemas.openxmlformats.org/officeDocument/2006/relationships/image" Target="media/image26.wmf"/><Relationship Id="rId37" Type="http://schemas.openxmlformats.org/officeDocument/2006/relationships/oleObject" Target="embeddings/oleObject2.bin"/><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oleObject" Target="embeddings/oleObject1.bin"/><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550</Pages>
  <Words>8415</Words>
  <Characters>9387</Characters>
  <Lines>2136</Lines>
  <Paragraphs>601</Paragraphs>
  <TotalTime>12</TotalTime>
  <ScaleCrop>false</ScaleCrop>
  <LinksUpToDate>false</LinksUpToDate>
  <CharactersWithSpaces>9625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2024-10-30T04:14:00Z</dcterms:created>
  <dc:creator>njgh</dc:creator>
  <cp:lastModifiedBy>Administrator</cp:lastModifiedBy>
  <dcterms:modified xsi:type="dcterms:W3CDTF">2025-03-06T03:55:57Z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6799479BBBFD463F84ECB6BD3F26463E_13</vt:lpwstr>
  </property>
  <property fmtid="{D5CDD505-2E9C-101B-9397-08002B2CF9AE}" pid="4" name="KSOTemplateDocerSaveRecord">
    <vt:lpwstr>eyJoZGlkIjoiNTZkZjNiNTBiMzViY2ExMDUwYjZkMzQ5ZGQ4Y2NlMDciLCJ1c2VySWQiOiIxNTY1NjA1NjM1In0=</vt:lpwstr>
  </property>
</Properties>
</file>