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spacing w:before="0" w:beforeAutospacing="0" w:after="0" w:afterAutospacing="0"/>
        <w:jc w:val="both"/>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686050" cy="447675"/>
            <wp:effectExtent l="0" t="0" r="0" b="952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17" cstate="print"/>
                    <a:stretch>
                      <a:fillRect/>
                    </a:stretch>
                  </pic:blipFill>
                  <pic:spPr>
                    <a:xfrm>
                      <a:off x="0" y="0"/>
                      <a:ext cx="2686050" cy="447675"/>
                    </a:xfrm>
                    <a:prstGeom prst="rect">
                      <a:avLst/>
                    </a:prstGeom>
                    <a:noFill/>
                    <a:ln>
                      <a:noFill/>
                    </a:ln>
                  </pic:spPr>
                </pic:pic>
              </a:graphicData>
            </a:graphic>
          </wp:inline>
        </w:drawing>
      </w:r>
    </w:p>
    <w:p>
      <w:pPr>
        <w:pStyle w:val="26"/>
        <w:spacing w:before="0" w:beforeAutospacing="0" w:after="0" w:afterAutospacing="0"/>
        <w:ind w:firstLine="480"/>
        <w:jc w:val="both"/>
        <w:rPr>
          <w:rFonts w:hint="default" w:ascii="Times New Roman" w:hAnsi="Times New Roman" w:eastAsia="宋体" w:cs="Times New Roman"/>
          <w:color w:val="auto"/>
        </w:rPr>
      </w:pPr>
    </w:p>
    <w:p>
      <w:pPr>
        <w:pStyle w:val="26"/>
        <w:spacing w:before="0" w:beforeAutospacing="0" w:after="0" w:afterAutospacing="0"/>
        <w:ind w:firstLine="480"/>
        <w:jc w:val="both"/>
        <w:rPr>
          <w:rFonts w:hint="default" w:ascii="Times New Roman" w:hAnsi="Times New Roman" w:eastAsia="宋体" w:cs="Times New Roman"/>
          <w:color w:val="auto"/>
        </w:rPr>
      </w:pPr>
    </w:p>
    <w:p>
      <w:pPr>
        <w:pStyle w:val="26"/>
        <w:spacing w:before="0" w:beforeAutospacing="0" w:after="0" w:afterAutospacing="0"/>
        <w:ind w:firstLine="480"/>
        <w:jc w:val="both"/>
        <w:rPr>
          <w:rFonts w:hint="default" w:ascii="Times New Roman" w:hAnsi="Times New Roman" w:eastAsia="宋体" w:cs="Times New Roman"/>
          <w:color w:val="auto"/>
        </w:rPr>
      </w:pPr>
    </w:p>
    <w:p>
      <w:pPr>
        <w:widowControl/>
        <w:jc w:val="center"/>
        <w:rPr>
          <w:rFonts w:hint="default" w:ascii="Times New Roman" w:hAnsi="Times New Roman" w:eastAsia="楷体" w:cs="Times New Roman"/>
          <w:color w:val="auto"/>
          <w:kern w:val="0"/>
          <w:sz w:val="52"/>
          <w:szCs w:val="52"/>
          <w:lang w:val="en-US" w:eastAsia="zh-CN" w:bidi="ar-SA"/>
        </w:rPr>
      </w:pPr>
      <w:r>
        <w:rPr>
          <w:rFonts w:hint="eastAsia" w:ascii="Times New Roman" w:hAnsi="Times New Roman" w:eastAsia="楷体" w:cs="Times New Roman"/>
          <w:color w:val="auto"/>
          <w:kern w:val="0"/>
          <w:sz w:val="52"/>
          <w:szCs w:val="52"/>
          <w:lang w:val="en-US" w:eastAsia="zh-CN" w:bidi="ar-SA"/>
        </w:rPr>
        <w:t>陆136井区侏罗系头屯河组油藏2025年建设工程</w:t>
      </w:r>
    </w:p>
    <w:p>
      <w:pPr>
        <w:pStyle w:val="26"/>
        <w:spacing w:before="0" w:beforeAutospacing="0" w:after="0" w:afterAutospacing="0"/>
        <w:jc w:val="center"/>
        <w:rPr>
          <w:rFonts w:hint="default" w:ascii="Times New Roman" w:hAnsi="Times New Roman" w:eastAsia="宋体" w:cs="Times New Roman"/>
          <w:color w:val="auto"/>
          <w:sz w:val="52"/>
          <w:szCs w:val="52"/>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jc w:val="center"/>
        <w:outlineLvl w:val="0"/>
        <w:rPr>
          <w:rFonts w:hint="default" w:ascii="Times New Roman" w:hAnsi="Times New Roman" w:eastAsia="楷体" w:cs="Times New Roman"/>
          <w:b/>
          <w:bCs/>
          <w:color w:val="auto"/>
          <w:sz w:val="96"/>
          <w:szCs w:val="96"/>
        </w:rPr>
      </w:pPr>
      <w:bookmarkStart w:id="0" w:name="_Toc30782"/>
      <w:bookmarkStart w:id="1" w:name="_Toc22410"/>
      <w:bookmarkStart w:id="2" w:name="_Toc9859"/>
      <w:bookmarkStart w:id="3" w:name="_Toc16437"/>
      <w:bookmarkStart w:id="4" w:name="_Toc25296"/>
      <w:bookmarkStart w:id="5" w:name="_Toc29378"/>
      <w:bookmarkStart w:id="6" w:name="_Toc30411"/>
      <w:bookmarkStart w:id="7" w:name="_Toc5889"/>
      <w:bookmarkStart w:id="8" w:name="_Toc7455"/>
      <w:bookmarkStart w:id="9" w:name="_Toc5566"/>
      <w:bookmarkStart w:id="10" w:name="_Toc10344"/>
      <w:bookmarkStart w:id="11" w:name="_Toc19078"/>
      <w:r>
        <w:rPr>
          <w:rFonts w:hint="default" w:ascii="Times New Roman" w:hAnsi="Times New Roman" w:eastAsia="楷体" w:cs="Times New Roman"/>
          <w:b/>
          <w:bCs/>
          <w:color w:val="auto"/>
          <w:sz w:val="96"/>
          <w:szCs w:val="96"/>
        </w:rPr>
        <w:t>环境影响报告书</w:t>
      </w:r>
      <w:bookmarkEnd w:id="0"/>
      <w:bookmarkEnd w:id="1"/>
      <w:bookmarkEnd w:id="2"/>
      <w:bookmarkEnd w:id="3"/>
      <w:bookmarkEnd w:id="4"/>
      <w:bookmarkEnd w:id="5"/>
      <w:bookmarkEnd w:id="6"/>
      <w:bookmarkEnd w:id="7"/>
      <w:bookmarkEnd w:id="8"/>
      <w:bookmarkEnd w:id="9"/>
      <w:bookmarkEnd w:id="10"/>
      <w:bookmarkEnd w:id="11"/>
    </w:p>
    <w:p>
      <w:pPr>
        <w:pStyle w:val="26"/>
        <w:spacing w:before="0" w:beforeAutospacing="0" w:after="0" w:afterAutospacing="0"/>
        <w:jc w:val="center"/>
        <w:rPr>
          <w:rFonts w:hint="default" w:ascii="Times New Roman" w:hAnsi="Times New Roman" w:eastAsia="宋体" w:cs="Times New Roman"/>
          <w:b/>
          <w:bCs/>
          <w:color w:val="auto"/>
          <w:sz w:val="96"/>
          <w:szCs w:val="96"/>
        </w:rPr>
      </w:pPr>
    </w:p>
    <w:p>
      <w:pPr>
        <w:pStyle w:val="26"/>
        <w:wordWrap w:val="0"/>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ind w:firstLine="480"/>
        <w:jc w:val="center"/>
        <w:rPr>
          <w:rFonts w:hint="default" w:ascii="Times New Roman" w:hAnsi="Times New Roman" w:eastAsia="宋体" w:cs="Times New Roman"/>
          <w:color w:val="auto"/>
        </w:rPr>
      </w:pPr>
    </w:p>
    <w:p>
      <w:pPr>
        <w:pStyle w:val="26"/>
        <w:spacing w:before="0" w:beforeAutospacing="0" w:after="0" w:afterAutospacing="0"/>
        <w:jc w:val="center"/>
        <w:rPr>
          <w:rFonts w:hint="default" w:ascii="Times New Roman" w:hAnsi="Times New Roman" w:eastAsia="楷体" w:cs="Times New Roman"/>
          <w:color w:val="auto"/>
          <w:sz w:val="32"/>
          <w:szCs w:val="32"/>
        </w:rPr>
      </w:pPr>
      <w:r>
        <w:rPr>
          <w:rFonts w:hint="default" w:ascii="Times New Roman" w:hAnsi="Times New Roman" w:eastAsia="楷体" w:cs="Times New Roman"/>
          <w:color w:val="auto"/>
          <w:sz w:val="32"/>
          <w:szCs w:val="32"/>
        </w:rPr>
        <w:t>建设单位：中国石油新疆油田分公司开发公司</w:t>
      </w:r>
    </w:p>
    <w:p>
      <w:pPr>
        <w:pStyle w:val="26"/>
        <w:spacing w:before="0" w:beforeAutospacing="0" w:after="0" w:afterAutospacing="0"/>
        <w:jc w:val="center"/>
        <w:rPr>
          <w:rFonts w:hint="default" w:ascii="Times New Roman" w:hAnsi="Times New Roman" w:eastAsia="楷体" w:cs="Times New Roman"/>
          <w:color w:val="auto"/>
          <w:sz w:val="32"/>
          <w:szCs w:val="32"/>
        </w:rPr>
      </w:pPr>
      <w:r>
        <w:rPr>
          <w:rFonts w:hint="default" w:ascii="Times New Roman" w:hAnsi="Times New Roman" w:eastAsia="楷体" w:cs="Times New Roman"/>
          <w:color w:val="auto"/>
          <w:sz w:val="32"/>
          <w:szCs w:val="32"/>
        </w:rPr>
        <w:t>编制单位：南京国环科技股份有限公司</w:t>
      </w:r>
    </w:p>
    <w:p>
      <w:pPr>
        <w:pStyle w:val="26"/>
        <w:spacing w:before="0" w:beforeAutospacing="0" w:after="0" w:afterAutospacing="0"/>
        <w:jc w:val="center"/>
        <w:rPr>
          <w:rFonts w:hint="default" w:ascii="Times New Roman" w:hAnsi="Times New Roman" w:eastAsia="楷体" w:cs="Times New Roman"/>
          <w:color w:val="auto"/>
          <w:sz w:val="32"/>
          <w:szCs w:val="32"/>
        </w:rPr>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titlePg/>
          <w:docGrid w:type="lines" w:linePitch="312" w:charSpace="0"/>
        </w:sectPr>
      </w:pPr>
      <w:r>
        <w:rPr>
          <w:rFonts w:hint="default" w:ascii="Times New Roman" w:hAnsi="Times New Roman" w:eastAsia="楷体" w:cs="Times New Roman"/>
          <w:color w:val="auto"/>
          <w:sz w:val="32"/>
          <w:szCs w:val="32"/>
        </w:rPr>
        <w:t>二〇二</w:t>
      </w:r>
      <w:r>
        <w:rPr>
          <w:rFonts w:hint="eastAsia" w:ascii="Times New Roman" w:hAnsi="Times New Roman" w:eastAsia="楷体" w:cs="Times New Roman"/>
          <w:color w:val="auto"/>
          <w:sz w:val="32"/>
          <w:szCs w:val="32"/>
          <w:lang w:val="en-US" w:eastAsia="zh-CN"/>
        </w:rPr>
        <w:t>五</w:t>
      </w:r>
      <w:r>
        <w:rPr>
          <w:rFonts w:hint="default" w:ascii="Times New Roman" w:hAnsi="Times New Roman" w:eastAsia="楷体" w:cs="Times New Roman"/>
          <w:color w:val="auto"/>
          <w:sz w:val="32"/>
          <w:szCs w:val="32"/>
        </w:rPr>
        <w:t>年</w:t>
      </w:r>
      <w:r>
        <w:rPr>
          <w:rFonts w:hint="eastAsia" w:ascii="Times New Roman" w:hAnsi="Times New Roman" w:eastAsia="楷体" w:cs="Times New Roman"/>
          <w:color w:val="auto"/>
          <w:sz w:val="32"/>
          <w:szCs w:val="32"/>
          <w:lang w:val="en-US" w:eastAsia="zh-CN"/>
        </w:rPr>
        <w:t>一月</w:t>
      </w:r>
    </w:p>
    <w:p>
      <w:pPr>
        <w:pStyle w:val="26"/>
        <w:spacing w:before="0" w:beforeAutospacing="0" w:after="0" w:afterAutospacing="0"/>
        <w:jc w:val="center"/>
        <w:rPr>
          <w:rFonts w:hint="default" w:ascii="Times New Roman" w:hAnsi="Times New Roman" w:eastAsia="宋体" w:cs="Times New Roman"/>
          <w:color w:val="auto"/>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titlePg/>
          <w:docGrid w:type="lines" w:linePitch="312" w:charSpace="0"/>
        </w:sectPr>
      </w:pPr>
    </w:p>
    <w:sdt>
      <w:sdtPr>
        <w:rPr>
          <w:rFonts w:hint="default" w:ascii="Times New Roman" w:hAnsi="Times New Roman" w:eastAsia="宋体" w:cs="Times New Roman"/>
          <w:color w:val="auto"/>
        </w:rPr>
        <w:id w:val="147478233"/>
        <w:docPartObj>
          <w:docPartGallery w:val="Table of Contents"/>
          <w:docPartUnique/>
        </w:docPartObj>
      </w:sdtPr>
      <w:sdtEndPr>
        <w:rPr>
          <w:rFonts w:hint="default" w:ascii="Times New Roman" w:hAnsi="Times New Roman" w:eastAsia="宋体" w:cs="Times New Roman"/>
          <w:b/>
          <w:color w:val="auto"/>
        </w:rPr>
      </w:sdtEndPr>
      <w:sdtContent>
        <w:p>
          <w:pPr>
            <w:spacing w:line="360" w:lineRule="auto"/>
            <w:jc w:val="center"/>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z w:val="36"/>
              <w:szCs w:val="36"/>
            </w:rPr>
            <w:t>目  录</w:t>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TOC \o "1-2" \h \u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_Toc28215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rPr>
            <w:t>1概述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_Toc28215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_Toc30593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1.1项目建设概况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_Toc30593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_Toc2482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1.2环境影响评价技术路线</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_Toc21665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1.3分析判定相关情况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_Toc21665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_Toc3133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1.4关注的主要环境问题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_Toc1377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1.5环境影响报告的主要结论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_Toc16002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rPr>
            <w:t>2总则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_Toc16002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_Toc22568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2.1评价目的、原则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_Toc22568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_Toc25608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2.2编制依据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_Toc25608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_Toc32283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2.3环境影响因素识别和评价因子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_Toc32283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_Toc24122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2.4环境功能区划和评价标准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_Toc24122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_Toc15496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2.5评价工作等级与评价范围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_Toc15496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_Toc18571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2.6评价内容和评价重点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_Toc18571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_Toc1775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2.7控制污染与环境保护目标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_Toc24303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rPr>
            <w:t>3</w:t>
          </w:r>
          <w:r>
            <w:rPr>
              <w:rFonts w:hint="default" w:ascii="Times New Roman" w:hAnsi="Times New Roman" w:eastAsia="宋体" w:cs="Times New Roman"/>
              <w:bCs w:val="0"/>
              <w:snapToGrid w:val="0"/>
              <w:color w:val="auto"/>
              <w:kern w:val="0"/>
              <w:lang w:val="en-US" w:eastAsia="zh-CN"/>
            </w:rPr>
            <w:t>建设项目概况与工程分析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_Toc24303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_Toc11802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3.1工程基本情况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_Toc11802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_Toc18697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3.2油田概况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_Toc18697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_Toc29980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3.3工程组成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_Toc29980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_Toc30641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3.4工程方案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_Toc9016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3.5主要建设内容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_Toc9016 \h </w:instrText>
          </w:r>
          <w:r>
            <w:rPr>
              <w:rFonts w:hint="default" w:ascii="Times New Roman" w:hAnsi="Times New Roman" w:cs="Times New Roman"/>
              <w:color w:val="auto"/>
            </w:rPr>
            <w:fldChar w:fldCharType="separate"/>
          </w:r>
          <w:r>
            <w:rPr>
              <w:rFonts w:hint="default" w:ascii="Times New Roman" w:hAnsi="Times New Roman" w:cs="Times New Roman"/>
              <w:color w:val="auto"/>
            </w:rPr>
            <w:t>69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_Toc8694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3.6现有工程开发回顾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_Toc8694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93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_Toc29781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3.7工程分析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_Toc29781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_Toc9389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3.8清洁生产分析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_Toc9389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_Toc16963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3.9污染物排放总量控制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_Toc16963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_Toc9010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rPr>
            <w:t>4环境现状调查与评价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_Toc3648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4.1自然环境概况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_Toc3648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_Toc12984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4.2环境空气现状调查与评价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_Toc12984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_Toc9946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4.3水环境现状调查与评价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_Toc9946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_Toc11909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4.4声环境现状调查与评价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_Toc11909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_Toc4418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4.5土壤环境现状调查与评价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_Toc4418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_Toc18945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4.6生态环境现状调查与评价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_Toc18945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_Toc21072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rPr>
            <w:t>5环境影响预测与评价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_Toc21072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_Toc24942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5.1大气环境影响分析与评价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_Toc24942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_Toc15586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5.2地表水环境影响分析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_Toc15586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_Toc19789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5.3地下水环境影响分析与评价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_Toc19789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_Toc15397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5.4声环境影响分析与评价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_Toc15397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_Toc13825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5.5固体废物影响分析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_Toc13825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_Toc16694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5.6土壤环境影响分析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_Toc16694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_Toc4459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5.7生态环境影响分析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_Toc4459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_Toc30398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5.8水土流失影响分析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_Toc30398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_Toc667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5.9土地沙化影响分析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_Toc12917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5.10运输过程影响分析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_Toc12917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_Toc21445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rPr>
            <w:t>6环境保护措施及其可行性论证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_Toc21445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_Toc7085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6.1大气污染防治措施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_Toc7085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_Toc17689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6.2地表水环境保护措施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_Toc17689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_Toc30555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6.3地下水环境保护措施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_Toc30555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_Toc32565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6.4噪声污染防治措施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_Toc32565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_Toc19763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0"/>
            </w:rPr>
            <w:t>6.5固废污染防治措施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_Toc19763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_Toc11847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6.6土壤污染防治措施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_Toc11847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_Toc30415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6.7生态环境保护措施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_Toc30415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_Toc13082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6.8温室气体管控措施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_Toc13082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_Toc28931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6.9生态恢复方案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_Toc28931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6.10水土保持方案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_Toc411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_Toc18628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6.11防沙治沙方案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_Toc18628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_Toc16554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rPr>
            <w:t>6.12防洪措施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_Toc16554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kern w:val="2"/>
              <w:szCs w:val="32"/>
              <w:lang w:val="en-US" w:eastAsia="zh-CN" w:bidi="ar-SA"/>
            </w:rPr>
            <w:t>6.13</w:t>
          </w:r>
          <w:r>
            <w:rPr>
              <w:rFonts w:hint="default" w:ascii="Times New Roman" w:hAnsi="Times New Roman" w:eastAsia="宋体" w:cs="Times New Roman"/>
              <w:color w:val="auto"/>
              <w:szCs w:val="30"/>
            </w:rPr>
            <w:t>环保投资分析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_Toc28253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kern w:val="2"/>
              <w:szCs w:val="32"/>
              <w:lang w:val="en-US" w:eastAsia="zh-CN" w:bidi="ar-SA"/>
            </w:rPr>
            <w:t>6.14环境影响经济损益分析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_Toc28253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_Toc4746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szCs w:val="44"/>
              <w:lang w:val="en-US" w:eastAsia="zh-CN" w:bidi="ar-SA"/>
            </w:rPr>
            <w:t>7</w:t>
          </w:r>
          <w:r>
            <w:rPr>
              <w:rFonts w:hint="default" w:ascii="Times New Roman" w:hAnsi="Times New Roman" w:eastAsia="宋体" w:cs="Times New Roman"/>
              <w:color w:val="auto"/>
              <w:szCs w:val="44"/>
            </w:rPr>
            <w:t>环境风险评价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_Toc4746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_Toc18667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kern w:val="44"/>
              <w:szCs w:val="32"/>
              <w:lang w:val="en-US" w:eastAsia="zh-CN"/>
            </w:rPr>
            <w:t>7</w:t>
          </w:r>
          <w:r>
            <w:rPr>
              <w:rFonts w:hint="default" w:ascii="Times New Roman" w:hAnsi="Times New Roman" w:eastAsia="宋体" w:cs="Times New Roman"/>
              <w:bCs/>
              <w:color w:val="auto"/>
              <w:kern w:val="44"/>
              <w:szCs w:val="32"/>
            </w:rPr>
            <w:t>.1环境风险调查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_Toc18667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_Toc15805 </w:instrText>
          </w:r>
          <w:r>
            <w:rPr>
              <w:rFonts w:hint="default" w:ascii="Times New Roman" w:hAnsi="Times New Roman" w:eastAsia="宋体" w:cs="Times New Roman"/>
              <w:color w:val="auto"/>
            </w:rPr>
            <w:fldChar w:fldCharType="separate"/>
          </w:r>
          <w:r>
            <w:rPr>
              <w:rFonts w:hint="default" w:ascii="Times New Roman" w:hAnsi="Times New Roman" w:cs="Times New Roman"/>
              <w:bCs/>
              <w:color w:val="auto"/>
              <w:szCs w:val="32"/>
              <w:lang w:val="en-US" w:eastAsia="zh-CN"/>
            </w:rPr>
            <w:t>7</w:t>
          </w:r>
          <w:r>
            <w:rPr>
              <w:rFonts w:hint="default" w:ascii="Times New Roman" w:hAnsi="Times New Roman" w:cs="Times New Roman"/>
              <w:bCs/>
              <w:color w:val="auto"/>
              <w:szCs w:val="32"/>
            </w:rPr>
            <w:t>.2风险潜势初判及评价等级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_Toc15805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_Toc21844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w:t>
          </w:r>
          <w:r>
            <w:rPr>
              <w:rFonts w:hint="default" w:ascii="Times New Roman" w:hAnsi="Times New Roman" w:eastAsia="宋体" w:cs="Times New Roman"/>
              <w:color w:val="auto"/>
              <w:szCs w:val="32"/>
              <w:lang w:val="en-US" w:eastAsia="zh-CN"/>
            </w:rPr>
            <w:t>3</w:t>
          </w:r>
          <w:r>
            <w:rPr>
              <w:rFonts w:hint="default" w:ascii="Times New Roman" w:hAnsi="Times New Roman" w:eastAsia="宋体" w:cs="Times New Roman"/>
              <w:color w:val="auto"/>
              <w:szCs w:val="32"/>
            </w:rPr>
            <w:t>环境敏感目标调查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_Toc21844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_Toc12956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w:t>
          </w:r>
          <w:r>
            <w:rPr>
              <w:rFonts w:hint="default" w:ascii="Times New Roman" w:hAnsi="Times New Roman" w:eastAsia="宋体" w:cs="Times New Roman"/>
              <w:color w:val="auto"/>
              <w:szCs w:val="32"/>
              <w:lang w:val="en-US" w:eastAsia="zh-CN"/>
            </w:rPr>
            <w:t>4</w:t>
          </w:r>
          <w:r>
            <w:rPr>
              <w:rFonts w:hint="default" w:ascii="Times New Roman" w:hAnsi="Times New Roman" w:eastAsia="宋体" w:cs="Times New Roman"/>
              <w:color w:val="auto"/>
              <w:szCs w:val="32"/>
            </w:rPr>
            <w:t>环境风险识别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_Toc12956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_Toc23567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w:t>
          </w:r>
          <w:r>
            <w:rPr>
              <w:rFonts w:hint="default" w:ascii="Times New Roman" w:hAnsi="Times New Roman" w:eastAsia="宋体" w:cs="Times New Roman"/>
              <w:color w:val="auto"/>
              <w:szCs w:val="32"/>
              <w:lang w:val="en-US" w:eastAsia="zh-CN"/>
            </w:rPr>
            <w:t>5</w:t>
          </w:r>
          <w:r>
            <w:rPr>
              <w:rFonts w:hint="default" w:ascii="Times New Roman" w:hAnsi="Times New Roman" w:eastAsia="宋体" w:cs="Times New Roman"/>
              <w:color w:val="auto"/>
              <w:szCs w:val="32"/>
            </w:rPr>
            <w:t>环境风险影响分析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_Toc23567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_Toc21382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w:t>
          </w:r>
          <w:r>
            <w:rPr>
              <w:rFonts w:hint="default" w:ascii="Times New Roman" w:hAnsi="Times New Roman" w:eastAsia="宋体" w:cs="Times New Roman"/>
              <w:color w:val="auto"/>
              <w:szCs w:val="32"/>
              <w:lang w:val="en-US" w:eastAsia="zh-CN"/>
            </w:rPr>
            <w:t>6</w:t>
          </w:r>
          <w:r>
            <w:rPr>
              <w:rFonts w:hint="default" w:ascii="Times New Roman" w:hAnsi="Times New Roman" w:eastAsia="宋体" w:cs="Times New Roman"/>
              <w:color w:val="auto"/>
              <w:szCs w:val="32"/>
            </w:rPr>
            <w:t>环境风险防范措施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_Toc21382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293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_Toc10908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w:t>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风险事故应急处理措施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_Toc10908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_Toc25112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w:t>
          </w:r>
          <w:r>
            <w:rPr>
              <w:rFonts w:hint="default" w:ascii="Times New Roman" w:hAnsi="Times New Roman" w:eastAsia="宋体" w:cs="Times New Roman"/>
              <w:color w:val="auto"/>
              <w:szCs w:val="32"/>
              <w:lang w:val="en-US" w:eastAsia="zh-CN"/>
            </w:rPr>
            <w:t>8</w:t>
          </w:r>
          <w:r>
            <w:rPr>
              <w:rFonts w:hint="default" w:ascii="Times New Roman" w:hAnsi="Times New Roman" w:eastAsia="宋体" w:cs="Times New Roman"/>
              <w:color w:val="auto"/>
              <w:szCs w:val="32"/>
            </w:rPr>
            <w:t>环境风险管理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_Toc25112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_Toc26077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w:t>
          </w:r>
          <w:r>
            <w:rPr>
              <w:rFonts w:hint="default" w:ascii="Times New Roman" w:hAnsi="Times New Roman" w:eastAsia="宋体" w:cs="Times New Roman"/>
              <w:color w:val="auto"/>
              <w:szCs w:val="32"/>
              <w:lang w:val="en-US" w:eastAsia="zh-CN"/>
            </w:rPr>
            <w:t>9</w:t>
          </w:r>
          <w:r>
            <w:rPr>
              <w:rFonts w:hint="default" w:ascii="Times New Roman" w:hAnsi="Times New Roman" w:eastAsia="宋体" w:cs="Times New Roman"/>
              <w:color w:val="auto"/>
              <w:szCs w:val="32"/>
            </w:rPr>
            <w:t>突发环境事件应急预案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_Toc26077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_Toc16453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lang w:val="en-US" w:eastAsia="zh-CN"/>
            </w:rPr>
            <w:t>7</w:t>
          </w:r>
          <w:r>
            <w:rPr>
              <w:rFonts w:hint="default" w:ascii="Times New Roman" w:hAnsi="Times New Roman" w:eastAsia="宋体" w:cs="Times New Roman"/>
              <w:color w:val="auto"/>
              <w:szCs w:val="32"/>
            </w:rPr>
            <w:t>.</w:t>
          </w:r>
          <w:r>
            <w:rPr>
              <w:rFonts w:hint="default" w:ascii="Times New Roman" w:hAnsi="Times New Roman" w:eastAsia="宋体" w:cs="Times New Roman"/>
              <w:color w:val="auto"/>
              <w:szCs w:val="32"/>
              <w:lang w:val="en-US" w:eastAsia="zh-CN"/>
            </w:rPr>
            <w:t>10</w:t>
          </w:r>
          <w:r>
            <w:rPr>
              <w:rFonts w:hint="default" w:ascii="Times New Roman" w:hAnsi="Times New Roman" w:eastAsia="宋体" w:cs="Times New Roman"/>
              <w:color w:val="auto"/>
              <w:szCs w:val="32"/>
            </w:rPr>
            <w:t>环境风险评价小结</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_Toc16453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_Toc30686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rPr>
            <w:t>8环境管理与监测计划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_Toc30686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_Toc14982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8.1环境管理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_Toc14982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_Toc27624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8.2企业自主验收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_Toc27624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8.3环境信息公开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_Toc30986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8.4环境监测计划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_Toc30986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_Toc25733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8.5污染物排放清单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_Toc25733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0"/>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_Toc31390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val="0"/>
              <w:snapToGrid w:val="0"/>
              <w:color w:val="auto"/>
              <w:kern w:val="0"/>
            </w:rPr>
            <w:t>9环境影响评价结论与建议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_Toc31390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_Toc30885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9.1结论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_Toc30885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5"/>
            <w:tabs>
              <w:tab w:val="right" w:leader="dot" w:pos="8306"/>
            </w:tabs>
            <w:spacing w:line="360" w:lineRule="auto"/>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_Toc8137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9.2要求与建议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_Toc8137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end"/>
          </w:r>
        </w:p>
      </w:sdtContent>
    </w:sdt>
    <w:p>
      <w:pPr>
        <w:wordWrap w:val="0"/>
        <w:spacing w:line="360" w:lineRule="auto"/>
        <w:rPr>
          <w:rFonts w:hint="default" w:ascii="Times New Roman" w:hAnsi="Times New Roman" w:eastAsia="宋体" w:cs="Times New Roman"/>
          <w:b/>
          <w:bCs/>
          <w:color w:val="auto"/>
          <w:sz w:val="28"/>
          <w:szCs w:val="28"/>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tabs>
          <w:tab w:val="center" w:pos="4153"/>
        </w:tabs>
        <w:jc w:val="left"/>
        <w:rPr>
          <w:rFonts w:hint="default" w:ascii="Times New Roman" w:hAnsi="Times New Roman" w:eastAsia="宋体" w:cs="Times New Roman"/>
          <w:color w:val="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宋体" w:cs="Times New Roman"/>
          <w:color w:val="auto"/>
        </w:rPr>
        <w:tab/>
      </w:r>
    </w:p>
    <w:p>
      <w:pPr>
        <w:wordWrap w:val="0"/>
        <w:spacing w:line="360" w:lineRule="auto"/>
        <w:outlineLvl w:val="0"/>
        <w:rPr>
          <w:rFonts w:hint="default" w:ascii="Times New Roman" w:hAnsi="Times New Roman" w:eastAsia="宋体" w:cs="Times New Roman"/>
          <w:b/>
          <w:bCs/>
          <w:color w:val="auto"/>
          <w:sz w:val="28"/>
          <w:szCs w:val="28"/>
        </w:rPr>
      </w:pPr>
      <w:bookmarkStart w:id="12" w:name="_Toc11851"/>
      <w:bookmarkStart w:id="13" w:name="_Toc12441"/>
      <w:bookmarkStart w:id="14" w:name="_Toc7976"/>
      <w:bookmarkStart w:id="15" w:name="_Toc14049"/>
      <w:bookmarkStart w:id="16" w:name="_Toc21823"/>
      <w:bookmarkStart w:id="17" w:name="_Toc6313"/>
      <w:bookmarkStart w:id="18" w:name="_Toc11298"/>
      <w:bookmarkStart w:id="19" w:name="_Toc20926"/>
      <w:r>
        <w:rPr>
          <w:rFonts w:hint="default" w:ascii="Times New Roman" w:hAnsi="Times New Roman" w:eastAsia="宋体" w:cs="Times New Roman"/>
          <w:b/>
          <w:bCs/>
          <w:color w:val="auto"/>
          <w:sz w:val="28"/>
          <w:szCs w:val="28"/>
        </w:rPr>
        <w:t>附件：</w:t>
      </w:r>
      <w:bookmarkEnd w:id="12"/>
      <w:bookmarkEnd w:id="13"/>
      <w:bookmarkEnd w:id="14"/>
      <w:bookmarkEnd w:id="15"/>
      <w:bookmarkEnd w:id="16"/>
      <w:bookmarkEnd w:id="17"/>
      <w:bookmarkEnd w:id="18"/>
      <w:bookmarkEnd w:id="19"/>
    </w:p>
    <w:p>
      <w:pPr>
        <w:wordWrap w:val="0"/>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附件1：环评委托书；</w:t>
      </w:r>
    </w:p>
    <w:p>
      <w:pPr>
        <w:wordWrap w:val="0"/>
        <w:spacing w:line="360" w:lineRule="auto"/>
        <w:rPr>
          <w:rFonts w:hint="eastAsia" w:ascii="Times New Roman" w:hAnsi="Times New Roman" w:cs="Times New Roman" w:eastAsiaTheme="minorEastAsia"/>
          <w:color w:val="auto"/>
          <w:spacing w:val="4"/>
          <w:sz w:val="24"/>
          <w:lang w:eastAsia="zh-CN"/>
        </w:rPr>
      </w:pPr>
      <w:r>
        <w:rPr>
          <w:rFonts w:hint="default" w:ascii="Times New Roman" w:hAnsi="Times New Roman" w:eastAsia="宋体" w:cs="Times New Roman"/>
          <w:color w:val="auto"/>
          <w:sz w:val="24"/>
        </w:rPr>
        <w:t>附件</w:t>
      </w:r>
      <w:r>
        <w:rPr>
          <w:rFonts w:hint="default" w:ascii="Times New Roman" w:hAnsi="Times New Roman" w:eastAsia="宋体" w:cs="Times New Roman"/>
          <w:color w:val="auto"/>
          <w:spacing w:val="4"/>
          <w:sz w:val="24"/>
        </w:rPr>
        <w:t>2：关于新疆油田公司“十四五”</w:t>
      </w:r>
      <w:r>
        <w:rPr>
          <w:rFonts w:hint="eastAsia" w:ascii="Times New Roman" w:hAnsi="Times New Roman" w:eastAsia="宋体" w:cs="Times New Roman"/>
          <w:color w:val="auto"/>
          <w:spacing w:val="4"/>
          <w:sz w:val="24"/>
          <w:lang w:eastAsia="zh-CN"/>
        </w:rPr>
        <w:t>发展规划</w:t>
      </w:r>
      <w:r>
        <w:rPr>
          <w:rFonts w:hint="default" w:ascii="Times New Roman" w:hAnsi="Times New Roman" w:eastAsia="宋体" w:cs="Times New Roman"/>
          <w:color w:val="auto"/>
          <w:spacing w:val="4"/>
          <w:sz w:val="24"/>
        </w:rPr>
        <w:t>环境影响报告书的审查意见</w:t>
      </w:r>
      <w:r>
        <w:rPr>
          <w:rFonts w:hint="eastAsia"/>
          <w:color w:val="auto"/>
          <w:sz w:val="24"/>
          <w:szCs w:val="32"/>
          <w:lang w:eastAsia="zh-CN"/>
        </w:rPr>
        <w:t>；</w:t>
      </w:r>
    </w:p>
    <w:p>
      <w:pPr>
        <w:wordWrap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spacing w:val="4"/>
          <w:sz w:val="24"/>
        </w:rPr>
        <w:t>附件3：</w:t>
      </w:r>
      <w:r>
        <w:rPr>
          <w:rFonts w:hint="default" w:ascii="Times New Roman" w:hAnsi="Times New Roman" w:eastAsia="宋体" w:cs="Times New Roman"/>
          <w:color w:val="auto"/>
          <w:sz w:val="24"/>
        </w:rPr>
        <w:t>现有项目环保手续：</w:t>
      </w:r>
    </w:p>
    <w:p>
      <w:pPr>
        <w:wordWrap w:val="0"/>
        <w:spacing w:line="360" w:lineRule="auto"/>
        <w:rPr>
          <w:rFonts w:hint="default" w:ascii="Times New Roman" w:hAnsi="Times New Roman" w:eastAsia="宋体" w:cs="Times New Roman"/>
          <w:color w:val="auto"/>
          <w:sz w:val="24"/>
        </w:rPr>
      </w:pPr>
      <w:bookmarkStart w:id="20" w:name="_Toc27041"/>
      <w:bookmarkStart w:id="21" w:name="_Toc5257"/>
      <w:r>
        <w:rPr>
          <w:rFonts w:hint="default" w:ascii="Times New Roman" w:hAnsi="Times New Roman" w:eastAsia="宋体" w:cs="Times New Roman"/>
          <w:color w:val="auto"/>
          <w:spacing w:val="4"/>
          <w:sz w:val="24"/>
        </w:rPr>
        <w:t>附件4：依托工程相关环保手续</w:t>
      </w:r>
      <w:bookmarkEnd w:id="20"/>
      <w:bookmarkEnd w:id="21"/>
      <w:r>
        <w:rPr>
          <w:rFonts w:hint="default" w:ascii="Times New Roman" w:hAnsi="Times New Roman" w:eastAsia="宋体" w:cs="Times New Roman"/>
          <w:color w:val="auto"/>
          <w:spacing w:val="4"/>
          <w:sz w:val="24"/>
        </w:rPr>
        <w:t>；</w:t>
      </w:r>
    </w:p>
    <w:p>
      <w:pPr>
        <w:pStyle w:val="56"/>
        <w:wordWrap w:val="0"/>
        <w:spacing w:line="360" w:lineRule="auto"/>
        <w:ind w:firstLine="0"/>
        <w:rPr>
          <w:rFonts w:hint="default" w:ascii="Times New Roman" w:hAnsi="Times New Roman" w:cs="Times New Roman"/>
          <w:color w:val="auto"/>
          <w:sz w:val="24"/>
          <w:szCs w:val="24"/>
        </w:rPr>
      </w:pPr>
      <w:bookmarkStart w:id="22" w:name="_Toc17825"/>
      <w:bookmarkStart w:id="23" w:name="_Toc8515"/>
      <w:r>
        <w:rPr>
          <w:rFonts w:hint="default" w:ascii="Times New Roman" w:hAnsi="Times New Roman" w:cs="Times New Roman"/>
          <w:color w:val="auto"/>
          <w:sz w:val="24"/>
          <w:szCs w:val="24"/>
        </w:rPr>
        <w:t>附件5：</w:t>
      </w:r>
      <w:bookmarkEnd w:id="22"/>
      <w:bookmarkEnd w:id="23"/>
      <w:r>
        <w:rPr>
          <w:rFonts w:hint="default" w:ascii="Times New Roman" w:hAnsi="Times New Roman" w:cs="Times New Roman"/>
          <w:color w:val="auto"/>
          <w:sz w:val="24"/>
          <w:szCs w:val="24"/>
        </w:rPr>
        <w:t>克拉玛依博达生态环保科技有限责任公司经营许可证；</w:t>
      </w:r>
    </w:p>
    <w:p>
      <w:pPr>
        <w:pStyle w:val="56"/>
        <w:wordWrap w:val="0"/>
        <w:spacing w:line="360" w:lineRule="auto"/>
        <w:ind w:firstLine="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附件6：陆梁作业区陆梁集中处理站排污许可证；</w:t>
      </w:r>
    </w:p>
    <w:p>
      <w:pPr>
        <w:pStyle w:val="56"/>
        <w:wordWrap w:val="0"/>
        <w:spacing w:line="360" w:lineRule="auto"/>
        <w:ind w:firstLine="0"/>
        <w:rPr>
          <w:rFonts w:hint="eastAsia" w:ascii="Times New Roman" w:hAnsi="Times New Roman" w:eastAsia="宋体" w:cs="Times New Roman"/>
          <w:color w:val="auto"/>
          <w:sz w:val="24"/>
          <w:szCs w:val="24"/>
          <w:lang w:eastAsia="zh-CN"/>
        </w:rPr>
      </w:pPr>
      <w:bookmarkStart w:id="24" w:name="_Toc5098"/>
      <w:bookmarkStart w:id="25" w:name="_Toc11970"/>
      <w:r>
        <w:rPr>
          <w:rFonts w:hint="default" w:ascii="Times New Roman" w:hAnsi="Times New Roman" w:cs="Times New Roman"/>
          <w:color w:val="auto"/>
          <w:sz w:val="24"/>
          <w:szCs w:val="24"/>
        </w:rPr>
        <w:t>附件7：</w:t>
      </w:r>
      <w:bookmarkEnd w:id="24"/>
      <w:bookmarkEnd w:id="25"/>
      <w:r>
        <w:rPr>
          <w:rFonts w:hint="default" w:ascii="Times New Roman" w:hAnsi="Times New Roman" w:cs="Times New Roman"/>
          <w:color w:val="auto"/>
          <w:sz w:val="24"/>
          <w:szCs w:val="24"/>
        </w:rPr>
        <w:t>陆梁作业区清洁生产审查意见</w:t>
      </w:r>
      <w:r>
        <w:rPr>
          <w:rFonts w:hint="eastAsia" w:cs="Times New Roman"/>
          <w:color w:val="auto"/>
          <w:sz w:val="24"/>
          <w:szCs w:val="24"/>
          <w:lang w:eastAsia="zh-CN"/>
        </w:rPr>
        <w:t>；</w:t>
      </w:r>
    </w:p>
    <w:p>
      <w:pPr>
        <w:pStyle w:val="56"/>
        <w:wordWrap w:val="0"/>
        <w:spacing w:line="360" w:lineRule="auto"/>
        <w:ind w:firstLine="0"/>
        <w:rPr>
          <w:rFonts w:hint="eastAsia" w:ascii="Times New Roman" w:hAnsi="Times New Roman" w:eastAsia="宋体" w:cs="Times New Roman"/>
          <w:color w:val="auto"/>
          <w:sz w:val="24"/>
          <w:szCs w:val="24"/>
          <w:lang w:eastAsia="zh-CN"/>
        </w:rPr>
      </w:pPr>
      <w:bookmarkStart w:id="26" w:name="_Toc32525"/>
      <w:bookmarkStart w:id="27" w:name="_Toc3331"/>
      <w:r>
        <w:rPr>
          <w:rFonts w:hint="default" w:ascii="Times New Roman" w:hAnsi="Times New Roman" w:cs="Times New Roman"/>
          <w:color w:val="auto"/>
          <w:sz w:val="24"/>
          <w:szCs w:val="24"/>
        </w:rPr>
        <w:t>附件8：陆梁油田作业区突发环境事件应急预案备案</w:t>
      </w:r>
      <w:bookmarkEnd w:id="26"/>
      <w:bookmarkEnd w:id="27"/>
      <w:r>
        <w:rPr>
          <w:rFonts w:hint="eastAsia" w:cs="Times New Roman"/>
          <w:color w:val="auto"/>
          <w:sz w:val="24"/>
          <w:szCs w:val="24"/>
          <w:lang w:eastAsia="zh-CN"/>
        </w:rPr>
        <w:t>；</w:t>
      </w:r>
    </w:p>
    <w:p>
      <w:pPr>
        <w:wordWrap w:val="0"/>
        <w:spacing w:line="360" w:lineRule="auto"/>
        <w:rPr>
          <w:rFonts w:hint="default" w:ascii="Times New Roman" w:hAnsi="Times New Roman" w:eastAsia="宋体" w:cs="Times New Roman"/>
          <w:color w:val="auto"/>
          <w:spacing w:val="4"/>
          <w:sz w:val="24"/>
        </w:rPr>
      </w:pPr>
      <w:r>
        <w:rPr>
          <w:rFonts w:hint="default" w:ascii="Times New Roman" w:hAnsi="Times New Roman" w:eastAsia="宋体" w:cs="Times New Roman"/>
          <w:color w:val="auto"/>
          <w:spacing w:val="4"/>
          <w:sz w:val="24"/>
        </w:rPr>
        <w:t>附件9：环境监测报告；</w:t>
      </w:r>
    </w:p>
    <w:p>
      <w:pPr>
        <w:wordWrap w:val="0"/>
        <w:spacing w:line="360" w:lineRule="auto"/>
        <w:rPr>
          <w:rFonts w:hint="eastAsia" w:ascii="Times New Roman" w:hAnsi="Times New Roman" w:eastAsia="宋体" w:cs="Times New Roman"/>
          <w:color w:val="auto"/>
          <w:spacing w:val="4"/>
          <w:sz w:val="24"/>
          <w:lang w:eastAsia="zh-CN"/>
        </w:rPr>
      </w:pPr>
      <w:bookmarkStart w:id="28" w:name="_Toc9431"/>
      <w:bookmarkStart w:id="29" w:name="_Toc30645"/>
      <w:r>
        <w:rPr>
          <w:rFonts w:hint="default" w:ascii="Times New Roman" w:hAnsi="Times New Roman" w:eastAsia="宋体" w:cs="Times New Roman"/>
          <w:color w:val="auto"/>
          <w:spacing w:val="4"/>
          <w:sz w:val="24"/>
        </w:rPr>
        <w:t>附件10：建设项目环境影响报告审批基础信息表</w:t>
      </w:r>
      <w:bookmarkEnd w:id="28"/>
      <w:bookmarkEnd w:id="29"/>
      <w:r>
        <w:rPr>
          <w:rFonts w:hint="eastAsia" w:ascii="Times New Roman" w:hAnsi="Times New Roman" w:eastAsia="宋体" w:cs="Times New Roman"/>
          <w:color w:val="auto"/>
          <w:spacing w:val="4"/>
          <w:sz w:val="24"/>
          <w:lang w:eastAsia="zh-CN"/>
        </w:rPr>
        <w:t>。</w:t>
      </w:r>
    </w:p>
    <w:p>
      <w:pPr>
        <w:pStyle w:val="2"/>
        <w:keepLines w:val="0"/>
        <w:pageBreakBefore/>
        <w:tabs>
          <w:tab w:val="center" w:pos="4252"/>
          <w:tab w:val="left" w:pos="6855"/>
        </w:tabs>
        <w:spacing w:beforeLines="100" w:afterLines="100"/>
        <w:ind w:left="431" w:hanging="431"/>
        <w:rPr>
          <w:rFonts w:hint="default" w:ascii="Times New Roman" w:hAnsi="Times New Roman" w:eastAsia="宋体" w:cs="Times New Roman"/>
          <w:bCs w:val="0"/>
          <w:snapToGrid w:val="0"/>
          <w:color w:val="auto"/>
          <w:kern w:val="0"/>
          <w:sz w:val="44"/>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pPr>
        <w:pStyle w:val="2"/>
        <w:keepLines w:val="0"/>
        <w:pageBreakBefore/>
        <w:tabs>
          <w:tab w:val="center" w:pos="4252"/>
          <w:tab w:val="left" w:pos="6855"/>
        </w:tabs>
        <w:spacing w:beforeLines="100" w:afterLines="100"/>
        <w:ind w:left="431" w:hanging="431"/>
        <w:rPr>
          <w:rFonts w:hint="default" w:ascii="Times New Roman" w:hAnsi="Times New Roman" w:eastAsia="宋体" w:cs="Times New Roman"/>
          <w:bCs w:val="0"/>
          <w:snapToGrid w:val="0"/>
          <w:color w:val="auto"/>
          <w:kern w:val="0"/>
          <w:sz w:val="44"/>
          <w:lang w:val="en-US" w:eastAsia="zh-CN"/>
        </w:rPr>
      </w:pPr>
      <w:bookmarkStart w:id="30" w:name="_Toc24303"/>
      <w:r>
        <w:rPr>
          <w:rFonts w:hint="eastAsia" w:ascii="Times New Roman" w:hAnsi="Times New Roman" w:eastAsia="宋体" w:cs="Times New Roman"/>
          <w:bCs w:val="0"/>
          <w:snapToGrid w:val="0"/>
          <w:color w:val="auto"/>
          <w:kern w:val="0"/>
          <w:sz w:val="44"/>
          <w:lang w:val="en-US" w:eastAsia="zh-CN"/>
        </w:rPr>
        <w:t>建设项目概况与工程分析</w:t>
      </w:r>
      <w:bookmarkEnd w:id="30"/>
    </w:p>
    <w:p>
      <w:pPr>
        <w:pStyle w:val="3"/>
        <w:spacing w:before="10" w:after="10"/>
        <w:rPr>
          <w:rFonts w:hint="default" w:ascii="Times New Roman" w:hAnsi="Times New Roman" w:eastAsia="宋体" w:cs="Times New Roman"/>
          <w:color w:val="auto"/>
        </w:rPr>
      </w:pPr>
      <w:bookmarkStart w:id="31" w:name="_Toc11802"/>
      <w:r>
        <w:rPr>
          <w:rFonts w:hint="default" w:ascii="Times New Roman" w:hAnsi="Times New Roman" w:eastAsia="宋体" w:cs="Times New Roman"/>
          <w:color w:val="auto"/>
        </w:rPr>
        <w:t>3.1工程基本情况</w:t>
      </w:r>
      <w:bookmarkEnd w:id="31"/>
    </w:p>
    <w:p>
      <w:pPr>
        <w:widowControl/>
        <w:spacing w:line="360" w:lineRule="auto"/>
        <w:ind w:firstLine="480" w:firstLineChars="200"/>
        <w:jc w:val="left"/>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sz w:val="24"/>
        </w:rPr>
        <w:t>项目名称：</w:t>
      </w:r>
      <w:r>
        <w:rPr>
          <w:rFonts w:hint="eastAsia" w:ascii="Times New Roman" w:hAnsi="Times New Roman" w:eastAsia="宋体" w:cs="Times New Roman"/>
          <w:color w:val="auto"/>
          <w:kern w:val="0"/>
          <w:sz w:val="24"/>
          <w:lang w:eastAsia="zh-CN"/>
        </w:rPr>
        <w:t>陆136井区侏罗系头屯河组油藏2025年建设工程</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r>
        <w:rPr>
          <w:rFonts w:hint="default" w:ascii="Times New Roman" w:hAnsi="Times New Roman" w:eastAsia="宋体" w:cs="Times New Roman"/>
          <w:color w:val="auto"/>
          <w:kern w:val="0"/>
          <w:sz w:val="24"/>
        </w:rPr>
        <w:t>中国石油新疆油田分公司开发公司</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项目性质：改扩建</w:t>
      </w:r>
    </w:p>
    <w:p>
      <w:pPr>
        <w:pStyle w:val="51"/>
        <w:spacing w:after="0"/>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建设地点：项目</w:t>
      </w:r>
      <w:r>
        <w:rPr>
          <w:rFonts w:hint="default" w:ascii="Times New Roman" w:hAnsi="Times New Roman" w:cs="Times New Roman"/>
          <w:color w:val="auto"/>
          <w:kern w:val="0"/>
        </w:rPr>
        <w:t>位于</w:t>
      </w:r>
      <w:r>
        <w:rPr>
          <w:rFonts w:hint="default" w:ascii="Times New Roman" w:hAnsi="Times New Roman" w:cs="Times New Roman"/>
          <w:color w:val="auto"/>
          <w:lang w:bidi="hi-IN"/>
        </w:rPr>
        <w:t>新疆塔城地区和布克赛尔蒙古自治县，</w:t>
      </w:r>
      <w:r>
        <w:rPr>
          <w:rFonts w:hint="default" w:ascii="Times New Roman" w:hAnsi="Times New Roman" w:cs="Times New Roman"/>
          <w:color w:val="auto"/>
        </w:rPr>
        <w:t>构造位置位于</w:t>
      </w:r>
      <w:r>
        <w:rPr>
          <w:rFonts w:hint="eastAsia" w:ascii="Times New Roman" w:hAnsi="Times New Roman" w:cs="Times New Roman"/>
          <w:color w:val="auto"/>
          <w:kern w:val="0"/>
          <w:lang w:eastAsia="zh-CN"/>
        </w:rPr>
        <w:t>陆136井区侏罗系头屯河组</w:t>
      </w:r>
      <w:r>
        <w:rPr>
          <w:rFonts w:hint="default" w:ascii="Times New Roman" w:hAnsi="Times New Roman" w:cs="Times New Roman"/>
          <w:color w:val="auto"/>
          <w:kern w:val="0"/>
        </w:rPr>
        <w:t>，</w:t>
      </w:r>
      <w:r>
        <w:rPr>
          <w:rFonts w:hint="eastAsia" w:ascii="Times New Roman" w:hAnsi="Times New Roman" w:cs="Times New Roman"/>
          <w:color w:val="auto"/>
          <w:lang w:eastAsia="zh-CN"/>
        </w:rPr>
        <w:t>西北距离和布克赛尔蒙古自治县县城约120km，</w:t>
      </w:r>
    </w:p>
    <w:p>
      <w:pPr>
        <w:pStyle w:val="51"/>
        <w:spacing w:after="0"/>
        <w:ind w:firstLine="480" w:firstLineChars="200"/>
        <w:rPr>
          <w:rFonts w:hint="default" w:ascii="Times New Roman" w:hAnsi="Times New Roman" w:cs="Times New Roman"/>
          <w:color w:val="auto"/>
        </w:rPr>
      </w:pPr>
      <w:r>
        <w:rPr>
          <w:rFonts w:hint="default" w:ascii="Times New Roman" w:hAnsi="Times New Roman" w:cs="Times New Roman"/>
          <w:color w:val="auto"/>
        </w:rPr>
        <w:t>建设周期：项目计划施工期为202</w:t>
      </w:r>
      <w:r>
        <w:rPr>
          <w:rFonts w:hint="eastAsia" w:ascii="Times New Roman" w:hAnsi="Times New Roman" w:cs="Times New Roman"/>
          <w:color w:val="auto"/>
          <w:lang w:val="en-US" w:eastAsia="zh-CN"/>
        </w:rPr>
        <w:t>5</w:t>
      </w:r>
      <w:r>
        <w:rPr>
          <w:rFonts w:hint="default" w:ascii="Times New Roman" w:hAnsi="Times New Roman" w:cs="Times New Roman"/>
          <w:color w:val="auto"/>
        </w:rPr>
        <w:t>年</w:t>
      </w:r>
      <w:r>
        <w:rPr>
          <w:rFonts w:hint="eastAsia" w:ascii="Times New Roman" w:hAnsi="Times New Roman" w:cs="Times New Roman"/>
          <w:color w:val="auto"/>
          <w:lang w:val="en-US" w:eastAsia="zh-CN"/>
        </w:rPr>
        <w:t>5</w:t>
      </w:r>
      <w:r>
        <w:rPr>
          <w:rFonts w:hint="default" w:ascii="Times New Roman" w:hAnsi="Times New Roman" w:cs="Times New Roman"/>
          <w:color w:val="auto"/>
        </w:rPr>
        <w:t>月至202</w:t>
      </w:r>
      <w:r>
        <w:rPr>
          <w:rFonts w:hint="default" w:ascii="Times New Roman" w:hAnsi="Times New Roman" w:cs="Times New Roman"/>
          <w:color w:val="auto"/>
          <w:lang w:val="en-US" w:eastAsia="zh-CN"/>
        </w:rPr>
        <w:t>6</w:t>
      </w:r>
      <w:r>
        <w:rPr>
          <w:rFonts w:hint="default" w:ascii="Times New Roman" w:hAnsi="Times New Roman" w:cs="Times New Roman"/>
          <w:color w:val="auto"/>
        </w:rPr>
        <w:t>年</w:t>
      </w:r>
      <w:r>
        <w:rPr>
          <w:rFonts w:hint="default" w:ascii="Times New Roman" w:hAnsi="Times New Roman" w:cs="Times New Roman"/>
          <w:color w:val="auto"/>
          <w:lang w:val="en-US" w:eastAsia="zh-CN"/>
        </w:rPr>
        <w:t>2</w:t>
      </w:r>
      <w:r>
        <w:rPr>
          <w:rFonts w:hint="default" w:ascii="Times New Roman" w:hAnsi="Times New Roman" w:cs="Times New Roman"/>
          <w:color w:val="auto"/>
        </w:rPr>
        <w:t>月。</w:t>
      </w:r>
    </w:p>
    <w:p>
      <w:pPr>
        <w:pStyle w:val="3"/>
        <w:spacing w:before="10" w:after="10"/>
        <w:rPr>
          <w:rFonts w:hint="default" w:ascii="Times New Roman" w:hAnsi="Times New Roman" w:eastAsia="宋体" w:cs="Times New Roman"/>
          <w:color w:val="auto"/>
        </w:rPr>
      </w:pPr>
      <w:bookmarkStart w:id="32" w:name="_Toc18697"/>
      <w:bookmarkStart w:id="33" w:name="_Toc277506932"/>
      <w:bookmarkStart w:id="34" w:name="_Toc117844402"/>
      <w:bookmarkStart w:id="35" w:name="_Toc503964918"/>
      <w:r>
        <w:rPr>
          <w:rFonts w:hint="default" w:ascii="Times New Roman" w:hAnsi="Times New Roman" w:eastAsia="宋体" w:cs="Times New Roman"/>
          <w:color w:val="auto"/>
        </w:rPr>
        <w:t>3.2油田概况</w:t>
      </w:r>
      <w:bookmarkEnd w:id="32"/>
    </w:p>
    <w:bookmarkEnd w:id="33"/>
    <w:bookmarkEnd w:id="34"/>
    <w:bookmarkEnd w:id="35"/>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3.2.1油气田范围</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32"/>
        </w:rPr>
        <w:t>陆梁油田陆</w:t>
      </w:r>
      <w:r>
        <w:rPr>
          <w:rFonts w:hint="eastAsia" w:ascii="Times New Roman" w:hAnsi="Times New Roman" w:eastAsia="宋体" w:cs="Times New Roman"/>
          <w:color w:val="auto"/>
          <w:sz w:val="24"/>
          <w:szCs w:val="32"/>
          <w:lang w:val="en-US" w:eastAsia="zh-CN"/>
        </w:rPr>
        <w:t>136</w:t>
      </w:r>
      <w:r>
        <w:rPr>
          <w:rFonts w:hint="default" w:ascii="Times New Roman" w:hAnsi="Times New Roman" w:eastAsia="宋体" w:cs="Times New Roman"/>
          <w:color w:val="auto"/>
          <w:sz w:val="24"/>
          <w:szCs w:val="32"/>
        </w:rPr>
        <w:t>井区位于</w:t>
      </w:r>
      <w:r>
        <w:rPr>
          <w:rFonts w:hint="eastAsia" w:ascii="Times New Roman" w:hAnsi="Times New Roman" w:eastAsia="宋体" w:cs="Times New Roman"/>
          <w:color w:val="auto"/>
          <w:sz w:val="24"/>
          <w:szCs w:val="32"/>
          <w:lang w:eastAsia="zh-CN"/>
        </w:rPr>
        <w:t>准噶尔盆地</w:t>
      </w:r>
      <w:r>
        <w:rPr>
          <w:rFonts w:hint="eastAsia"/>
          <w:b w:val="0"/>
          <w:bCs w:val="0"/>
          <w:color w:val="auto"/>
          <w:spacing w:val="2"/>
          <w:sz w:val="24"/>
          <w:lang w:val="en-US" w:eastAsia="zh-CN"/>
        </w:rPr>
        <w:t>陆梁隆起三个泉凸起西段</w:t>
      </w:r>
      <w:r>
        <w:rPr>
          <w:rFonts w:hint="default" w:ascii="Times New Roman" w:hAnsi="Times New Roman" w:eastAsia="宋体" w:cs="Times New Roman"/>
          <w:color w:val="auto"/>
          <w:sz w:val="24"/>
          <w:szCs w:val="32"/>
        </w:rPr>
        <w:t>，行政隶属新疆维吾尔自治区</w:t>
      </w:r>
      <w:r>
        <w:rPr>
          <w:rFonts w:hint="eastAsia" w:ascii="Times New Roman" w:hAnsi="Times New Roman" w:eastAsia="宋体" w:cs="Times New Roman"/>
          <w:color w:val="auto"/>
          <w:sz w:val="24"/>
          <w:szCs w:val="32"/>
          <w:lang w:eastAsia="zh-CN"/>
        </w:rPr>
        <w:t>和布克赛尔蒙古自治县</w:t>
      </w:r>
      <w:r>
        <w:rPr>
          <w:rFonts w:hint="default" w:ascii="Times New Roman" w:hAnsi="Times New Roman" w:eastAsia="宋体" w:cs="Times New Roman"/>
          <w:color w:val="auto"/>
          <w:sz w:val="24"/>
          <w:szCs w:val="32"/>
        </w:rPr>
        <w:t>，位于已开发的</w:t>
      </w:r>
      <w:r>
        <w:rPr>
          <w:rFonts w:hint="eastAsia" w:ascii="Times New Roman" w:eastAsia="宋体"/>
          <w:b w:val="0"/>
          <w:bCs w:val="0"/>
          <w:color w:val="auto"/>
          <w:spacing w:val="2"/>
          <w:sz w:val="24"/>
          <w:lang w:val="en-US" w:eastAsia="zh-CN"/>
        </w:rPr>
        <w:t>陆9井区西约16km</w:t>
      </w:r>
      <w:r>
        <w:rPr>
          <w:rFonts w:hint="default" w:ascii="Times New Roman" w:hAnsi="Times New Roman" w:eastAsia="宋体" w:cs="Times New Roman"/>
          <w:color w:val="auto"/>
          <w:sz w:val="24"/>
        </w:rPr>
        <w:t>（图3.2-1）。</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3.2.2勘探开发简况</w:t>
      </w:r>
    </w:p>
    <w:p>
      <w:pPr>
        <w:tabs>
          <w:tab w:val="left" w:pos="3465"/>
        </w:tabs>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陆梁油田勘探开发始于2000年，至今已有22年之久</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"_Toc287558881" </w:instrText>
      </w:r>
      <w:r>
        <w:rPr>
          <w:rFonts w:hint="default" w:ascii="Times New Roman" w:hAnsi="Times New Roman" w:cs="Times New Roman"/>
          <w:color w:val="auto"/>
        </w:rPr>
        <w:fldChar w:fldCharType="separate"/>
      </w:r>
      <w:bookmarkStart w:id="36" w:name="_Toc21803788"/>
      <w:bookmarkStart w:id="37" w:name="_Toc524018690"/>
      <w:bookmarkStart w:id="38" w:name="_Toc77083191"/>
      <w:bookmarkStart w:id="39" w:name="_Toc44942755"/>
      <w:bookmarkStart w:id="40" w:name="_Toc117844406"/>
      <w:bookmarkStart w:id="41" w:name="_Toc524701752"/>
      <w:bookmarkStart w:id="42" w:name="_Toc524639794"/>
      <w:bookmarkStart w:id="43" w:name="_Toc524944241"/>
      <w:bookmarkStart w:id="44" w:name="_Toc21799609"/>
      <w:r>
        <w:rPr>
          <w:rFonts w:hint="default" w:ascii="Times New Roman" w:hAnsi="Times New Roman" w:eastAsia="宋体" w:cs="Times New Roman"/>
          <w:b/>
          <w:color w:val="auto"/>
          <w:sz w:val="30"/>
          <w:szCs w:val="30"/>
        </w:rPr>
        <w:t>3.2.</w:t>
      </w:r>
      <w:r>
        <w:rPr>
          <w:rFonts w:hint="eastAsia" w:ascii="Times New Roman" w:hAnsi="Times New Roman" w:eastAsia="宋体" w:cs="Times New Roman"/>
          <w:b/>
          <w:color w:val="auto"/>
          <w:sz w:val="30"/>
          <w:szCs w:val="30"/>
          <w:lang w:val="en-US" w:eastAsia="zh-CN"/>
        </w:rPr>
        <w:t>3</w:t>
      </w:r>
      <w:r>
        <w:rPr>
          <w:rFonts w:hint="default" w:ascii="Times New Roman" w:hAnsi="Times New Roman" w:eastAsia="宋体" w:cs="Times New Roman"/>
          <w:b/>
          <w:color w:val="auto"/>
          <w:sz w:val="30"/>
          <w:szCs w:val="30"/>
        </w:rPr>
        <w:t>地层流体性质</w:t>
      </w:r>
      <w:bookmarkEnd w:id="36"/>
      <w:bookmarkEnd w:id="37"/>
      <w:bookmarkEnd w:id="38"/>
      <w:bookmarkEnd w:id="39"/>
      <w:bookmarkEnd w:id="40"/>
      <w:bookmarkEnd w:id="41"/>
      <w:bookmarkEnd w:id="42"/>
      <w:bookmarkEnd w:id="43"/>
      <w:bookmarkEnd w:id="44"/>
      <w:r>
        <w:rPr>
          <w:rFonts w:hint="default" w:ascii="Times New Roman" w:hAnsi="Times New Roman" w:eastAsia="宋体" w:cs="Times New Roman"/>
          <w:b/>
          <w:color w:val="auto"/>
          <w:sz w:val="30"/>
          <w:szCs w:val="30"/>
        </w:rPr>
        <w:fldChar w:fldCharType="end"/>
      </w:r>
    </w:p>
    <w:p>
      <w:pPr>
        <w:spacing w:line="360" w:lineRule="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8"/>
          <w:szCs w:val="36"/>
        </w:rPr>
        <w:t>3.2.</w:t>
      </w:r>
      <w:r>
        <w:rPr>
          <w:rFonts w:hint="eastAsia" w:ascii="Times New Roman" w:hAnsi="Times New Roman" w:eastAsia="宋体" w:cs="Times New Roman"/>
          <w:color w:val="auto"/>
          <w:sz w:val="28"/>
          <w:szCs w:val="36"/>
          <w:lang w:val="en-US" w:eastAsia="zh-CN"/>
        </w:rPr>
        <w:t>3</w:t>
      </w:r>
      <w:r>
        <w:rPr>
          <w:rFonts w:hint="default" w:ascii="Times New Roman" w:hAnsi="Times New Roman" w:eastAsia="宋体" w:cs="Times New Roman"/>
          <w:color w:val="auto"/>
          <w:sz w:val="28"/>
          <w:szCs w:val="36"/>
        </w:rPr>
        <w:t>.2天然气性质</w:t>
      </w:r>
    </w:p>
    <w:p>
      <w:pPr>
        <w:spacing w:beforeLines="50" w:line="360" w:lineRule="auto"/>
        <w:ind w:firstLine="482"/>
        <w:rPr>
          <w:rFonts w:hint="default" w:ascii="Times New Roman" w:hAnsi="Times New Roman" w:eastAsia="宋体" w:cs="Times New Roman"/>
          <w:color w:val="auto"/>
          <w:sz w:val="24"/>
          <w:szCs w:val="32"/>
        </w:rPr>
      </w:pPr>
      <w:r>
        <w:rPr>
          <w:rFonts w:hint="default" w:ascii="Times New Roman" w:hAnsi="Times New Roman" w:cs="Times New Roman"/>
          <w:b w:val="0"/>
          <w:bCs w:val="0"/>
          <w:color w:val="auto"/>
          <w:sz w:val="24"/>
        </w:rPr>
        <w:t>陆136井区头屯河组J</w:t>
      </w:r>
      <w:r>
        <w:rPr>
          <w:rFonts w:hint="default" w:ascii="Times New Roman" w:hAnsi="Times New Roman" w:cs="Times New Roman"/>
          <w:b w:val="0"/>
          <w:bCs w:val="0"/>
          <w:color w:val="auto"/>
          <w:sz w:val="24"/>
          <w:vertAlign w:val="subscript"/>
        </w:rPr>
        <w:t>2</w:t>
      </w:r>
      <w:r>
        <w:rPr>
          <w:rFonts w:hint="default" w:ascii="Times New Roman" w:hAnsi="Times New Roman" w:cs="Times New Roman"/>
          <w:b w:val="0"/>
          <w:bCs w:val="0"/>
          <w:color w:val="auto"/>
          <w:sz w:val="24"/>
        </w:rPr>
        <w:t>t</w:t>
      </w:r>
      <w:r>
        <w:rPr>
          <w:rFonts w:hint="default" w:ascii="Times New Roman" w:hAnsi="Times New Roman" w:cs="Times New Roman"/>
          <w:b w:val="0"/>
          <w:bCs w:val="0"/>
          <w:color w:val="auto"/>
          <w:sz w:val="24"/>
          <w:vertAlign w:val="subscript"/>
        </w:rPr>
        <w:t>1</w:t>
      </w:r>
      <w:r>
        <w:rPr>
          <w:rFonts w:hint="default" w:ascii="Times New Roman" w:hAnsi="Times New Roman" w:cs="Times New Roman"/>
          <w:b w:val="0"/>
          <w:bCs w:val="0"/>
          <w:color w:val="auto"/>
          <w:sz w:val="24"/>
        </w:rPr>
        <w:t>油藏天然气为溶解气，相对密度为0.7</w:t>
      </w:r>
      <w:r>
        <w:rPr>
          <w:rFonts w:hint="default" w:ascii="Times New Roman" w:hAnsi="Times New Roman" w:cs="Times New Roman"/>
          <w:b w:val="0"/>
          <w:bCs w:val="0"/>
          <w:color w:val="auto"/>
          <w:sz w:val="24"/>
          <w:lang w:val="en-US" w:eastAsia="zh-CN"/>
        </w:rPr>
        <w:t>44</w:t>
      </w:r>
      <w:r>
        <w:rPr>
          <w:rFonts w:hint="default" w:ascii="Times New Roman" w:hAnsi="Times New Roman" w:cs="Times New Roman"/>
          <w:b w:val="0"/>
          <w:bCs w:val="0"/>
          <w:color w:val="auto"/>
          <w:sz w:val="24"/>
        </w:rPr>
        <w:t>，甲烷含量为</w:t>
      </w:r>
      <w:r>
        <w:rPr>
          <w:rFonts w:hint="default" w:ascii="Times New Roman" w:hAnsi="Times New Roman" w:cs="Times New Roman"/>
          <w:b w:val="0"/>
          <w:bCs w:val="0"/>
          <w:color w:val="auto"/>
          <w:sz w:val="24"/>
          <w:lang w:val="en-US" w:eastAsia="zh-CN"/>
        </w:rPr>
        <w:t>68.75</w:t>
      </w:r>
      <w:r>
        <w:rPr>
          <w:rFonts w:hint="default" w:ascii="Times New Roman" w:hAnsi="Times New Roman" w:cs="Times New Roman"/>
          <w:b w:val="0"/>
          <w:bCs w:val="0"/>
          <w:color w:val="auto"/>
          <w:sz w:val="24"/>
        </w:rPr>
        <w:t>%</w:t>
      </w:r>
      <w:r>
        <w:rPr>
          <w:rFonts w:hint="default" w:ascii="Times New Roman" w:hAnsi="Times New Roman" w:cs="Times New Roman"/>
          <w:color w:val="auto"/>
          <w:sz w:val="24"/>
          <w:lang w:eastAsia="zh-CN"/>
        </w:rPr>
        <w:t>。</w:t>
      </w:r>
      <w:r>
        <w:rPr>
          <w:rFonts w:hint="default" w:ascii="Times New Roman" w:hAnsi="Times New Roman" w:eastAsia="宋体" w:cs="Times New Roman"/>
          <w:b w:val="0"/>
          <w:bCs w:val="0"/>
          <w:snapToGrid w:val="0"/>
          <w:color w:val="auto"/>
          <w:sz w:val="24"/>
          <w:lang w:val="en-US" w:eastAsia="zh-CN" w:bidi="ar"/>
        </w:rPr>
        <w:t>具体</w:t>
      </w:r>
      <w:r>
        <w:rPr>
          <w:rFonts w:hint="default" w:ascii="Times New Roman" w:hAnsi="Times New Roman" w:eastAsia="宋体" w:cs="Times New Roman"/>
          <w:b w:val="0"/>
          <w:bCs w:val="0"/>
          <w:color w:val="auto"/>
          <w:sz w:val="24"/>
        </w:rPr>
        <w:t>见表</w:t>
      </w:r>
      <w:r>
        <w:rPr>
          <w:rFonts w:hint="default" w:ascii="Times New Roman" w:hAnsi="Times New Roman" w:eastAsia="宋体" w:cs="Times New Roman"/>
          <w:b w:val="0"/>
          <w:bCs w:val="0"/>
          <w:color w:val="auto"/>
          <w:sz w:val="24"/>
          <w:lang w:val="en-US" w:eastAsia="zh-CN"/>
        </w:rPr>
        <w:t>3.2-2，天然气中不含硫化氢</w:t>
      </w:r>
      <w:r>
        <w:rPr>
          <w:rFonts w:hint="default" w:ascii="Times New Roman" w:hAnsi="Times New Roman" w:eastAsia="宋体" w:cs="Times New Roman"/>
          <w:color w:val="auto"/>
          <w:sz w:val="24"/>
          <w:szCs w:val="32"/>
        </w:rPr>
        <w:t>。</w:t>
      </w:r>
    </w:p>
    <w:p>
      <w:pPr>
        <w:adjustRightInd w:val="0"/>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表3.2-</w:t>
      </w:r>
      <w:r>
        <w:rPr>
          <w:rFonts w:hint="eastAsia" w:ascii="Times New Roman" w:hAnsi="Times New Roman" w:eastAsia="宋体" w:cs="Times New Roman"/>
          <w:b/>
          <w:color w:val="auto"/>
          <w:szCs w:val="21"/>
          <w:lang w:val="en-US" w:eastAsia="zh-CN"/>
        </w:rPr>
        <w:t>2</w:t>
      </w:r>
      <w:r>
        <w:rPr>
          <w:rFonts w:hint="default"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lang w:eastAsia="zh-CN"/>
        </w:rPr>
        <w:t>陆136井区侏罗系头屯河组</w:t>
      </w:r>
      <w:r>
        <w:rPr>
          <w:rFonts w:hint="eastAsia" w:ascii="Times New Roman" w:hAnsi="Times New Roman" w:eastAsia="宋体" w:cs="Times New Roman"/>
          <w:b/>
          <w:bCs/>
          <w:color w:val="auto"/>
          <w:sz w:val="21"/>
          <w:szCs w:val="21"/>
          <w:lang w:eastAsia="zh-CN"/>
        </w:rPr>
        <w:t>J</w:t>
      </w:r>
      <w:r>
        <w:rPr>
          <w:rFonts w:hint="eastAsia" w:ascii="Times New Roman" w:hAnsi="Times New Roman" w:eastAsia="宋体" w:cs="Times New Roman"/>
          <w:b/>
          <w:bCs/>
          <w:color w:val="auto"/>
          <w:sz w:val="21"/>
          <w:szCs w:val="21"/>
          <w:vertAlign w:val="subscript"/>
          <w:lang w:eastAsia="zh-CN"/>
        </w:rPr>
        <w:t>2</w:t>
      </w:r>
      <w:r>
        <w:rPr>
          <w:rFonts w:hint="eastAsia" w:ascii="Times New Roman" w:hAnsi="Times New Roman" w:eastAsia="宋体" w:cs="Times New Roman"/>
          <w:b/>
          <w:bCs/>
          <w:color w:val="auto"/>
          <w:sz w:val="21"/>
          <w:szCs w:val="21"/>
          <w:lang w:eastAsia="zh-CN"/>
        </w:rPr>
        <w:t>t</w:t>
      </w:r>
      <w:r>
        <w:rPr>
          <w:rFonts w:hint="eastAsia" w:ascii="Times New Roman" w:hAnsi="Times New Roman" w:eastAsia="宋体" w:cs="Times New Roman"/>
          <w:b/>
          <w:bCs/>
          <w:color w:val="auto"/>
          <w:sz w:val="21"/>
          <w:szCs w:val="21"/>
          <w:vertAlign w:val="subscript"/>
          <w:lang w:eastAsia="zh-CN"/>
        </w:rPr>
        <w:t>1</w:t>
      </w:r>
      <w:r>
        <w:rPr>
          <w:rFonts w:hint="eastAsia" w:ascii="Times New Roman" w:hAnsi="Times New Roman" w:eastAsia="宋体" w:cs="Times New Roman"/>
          <w:b/>
          <w:color w:val="auto"/>
          <w:szCs w:val="21"/>
          <w:lang w:eastAsia="zh-CN"/>
        </w:rPr>
        <w:t>油藏</w:t>
      </w:r>
      <w:r>
        <w:rPr>
          <w:rFonts w:hint="default" w:ascii="Times New Roman" w:hAnsi="Times New Roman" w:eastAsia="宋体" w:cs="Times New Roman"/>
          <w:b/>
          <w:color w:val="auto"/>
          <w:szCs w:val="21"/>
        </w:rPr>
        <w:t>天然气性质表</w:t>
      </w:r>
    </w:p>
    <w:tbl>
      <w:tblPr>
        <w:tblStyle w:val="32"/>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76"/>
        <w:gridCol w:w="1181"/>
        <w:gridCol w:w="1181"/>
        <w:gridCol w:w="1181"/>
        <w:gridCol w:w="1258"/>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170" w:type="dxa"/>
            <w:vMerge w:val="restart"/>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区块</w:t>
            </w:r>
          </w:p>
        </w:tc>
        <w:tc>
          <w:tcPr>
            <w:tcW w:w="1176" w:type="dxa"/>
            <w:vMerge w:val="restart"/>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层位</w:t>
            </w:r>
          </w:p>
        </w:tc>
        <w:tc>
          <w:tcPr>
            <w:tcW w:w="1181" w:type="dxa"/>
            <w:vMerge w:val="restart"/>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相对密度</w:t>
            </w:r>
          </w:p>
        </w:tc>
        <w:tc>
          <w:tcPr>
            <w:tcW w:w="4890" w:type="dxa"/>
            <w:gridSpan w:val="4"/>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组分含量（%）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170" w:type="dxa"/>
            <w:vMerge w:val="continue"/>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p>
        </w:tc>
        <w:tc>
          <w:tcPr>
            <w:tcW w:w="1176" w:type="dxa"/>
            <w:vMerge w:val="continue"/>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p>
        </w:tc>
        <w:tc>
          <w:tcPr>
            <w:tcW w:w="1181" w:type="dxa"/>
            <w:vMerge w:val="continue"/>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p>
        </w:tc>
        <w:tc>
          <w:tcPr>
            <w:tcW w:w="1181" w:type="dxa"/>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甲烷</w:t>
            </w:r>
          </w:p>
        </w:tc>
        <w:tc>
          <w:tcPr>
            <w:tcW w:w="1181" w:type="dxa"/>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乙烷</w:t>
            </w:r>
          </w:p>
        </w:tc>
        <w:tc>
          <w:tcPr>
            <w:tcW w:w="1258" w:type="dxa"/>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二氧化碳</w:t>
            </w:r>
          </w:p>
        </w:tc>
        <w:tc>
          <w:tcPr>
            <w:tcW w:w="1270" w:type="dxa"/>
            <w:tcMar>
              <w:top w:w="0" w:type="dxa"/>
              <w:left w:w="0" w:type="dxa"/>
              <w:bottom w:w="0" w:type="dxa"/>
              <w:right w:w="0" w:type="dxa"/>
            </w:tcMar>
            <w:vAlign w:val="center"/>
          </w:tcPr>
          <w:p>
            <w:pPr>
              <w:pStyle w:val="106"/>
              <w:adjustRightInd w:val="0"/>
              <w:snapToGrid w:val="0"/>
              <w:spacing w:before="0" w:after="0" w:line="240" w:lineRule="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氮气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170" w:type="dxa"/>
            <w:tcMar>
              <w:top w:w="0" w:type="dxa"/>
              <w:left w:w="0" w:type="dxa"/>
              <w:bottom w:w="0" w:type="dxa"/>
              <w:right w:w="0"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0"/>
                <w:szCs w:val="21"/>
                <w:highlight w:val="none"/>
              </w:rPr>
              <w:t>陆1</w:t>
            </w:r>
            <w:r>
              <w:rPr>
                <w:rFonts w:hint="eastAsia" w:cs="Times New Roman"/>
                <w:b w:val="0"/>
                <w:bCs w:val="0"/>
                <w:color w:val="auto"/>
                <w:kern w:val="0"/>
                <w:szCs w:val="21"/>
                <w:highlight w:val="none"/>
                <w:lang w:val="en-US" w:eastAsia="zh-CN"/>
              </w:rPr>
              <w:t>36</w:t>
            </w:r>
          </w:p>
        </w:tc>
        <w:tc>
          <w:tcPr>
            <w:tcW w:w="1176" w:type="dxa"/>
            <w:tcMar>
              <w:top w:w="0" w:type="dxa"/>
              <w:left w:w="0" w:type="dxa"/>
              <w:bottom w:w="0" w:type="dxa"/>
              <w:right w:w="0"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 w:val="0"/>
                <w:bCs w:val="0"/>
                <w:color w:val="auto"/>
                <w:kern w:val="2"/>
                <w:sz w:val="21"/>
                <w:szCs w:val="21"/>
                <w:highlight w:val="none"/>
              </w:rPr>
            </w:pPr>
            <w:r>
              <w:rPr>
                <w:rFonts w:hint="eastAsia"/>
                <w:b w:val="0"/>
                <w:bCs w:val="0"/>
                <w:color w:val="auto"/>
                <w:sz w:val="21"/>
                <w:szCs w:val="21"/>
              </w:rPr>
              <w:t>J</w:t>
            </w:r>
            <w:r>
              <w:rPr>
                <w:rFonts w:hint="eastAsia"/>
                <w:b w:val="0"/>
                <w:bCs w:val="0"/>
                <w:color w:val="auto"/>
                <w:sz w:val="21"/>
                <w:szCs w:val="21"/>
                <w:vertAlign w:val="subscript"/>
              </w:rPr>
              <w:t>2</w:t>
            </w:r>
            <w:r>
              <w:rPr>
                <w:rFonts w:hint="eastAsia"/>
                <w:b w:val="0"/>
                <w:bCs w:val="0"/>
                <w:color w:val="auto"/>
                <w:sz w:val="21"/>
                <w:szCs w:val="21"/>
              </w:rPr>
              <w:t>t</w:t>
            </w:r>
            <w:r>
              <w:rPr>
                <w:rFonts w:hint="eastAsia"/>
                <w:b w:val="0"/>
                <w:bCs w:val="0"/>
                <w:color w:val="auto"/>
                <w:sz w:val="21"/>
                <w:szCs w:val="21"/>
                <w:vertAlign w:val="subscript"/>
              </w:rPr>
              <w:t>1</w:t>
            </w:r>
          </w:p>
        </w:tc>
        <w:tc>
          <w:tcPr>
            <w:tcW w:w="1181" w:type="dxa"/>
            <w:tcMar>
              <w:top w:w="0" w:type="dxa"/>
              <w:left w:w="0" w:type="dxa"/>
              <w:bottom w:w="0" w:type="dxa"/>
              <w:right w:w="0" w:type="dxa"/>
            </w:tcMar>
            <w:vAlign w:val="center"/>
          </w:tcPr>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0.744</w:t>
            </w:r>
          </w:p>
        </w:tc>
        <w:tc>
          <w:tcPr>
            <w:tcW w:w="1181" w:type="dxa"/>
            <w:tcMar>
              <w:top w:w="0" w:type="dxa"/>
              <w:left w:w="0" w:type="dxa"/>
              <w:bottom w:w="0" w:type="dxa"/>
              <w:right w:w="0" w:type="dxa"/>
            </w:tcMar>
            <w:vAlign w:val="center"/>
          </w:tcPr>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68.75</w:t>
            </w:r>
          </w:p>
        </w:tc>
        <w:tc>
          <w:tcPr>
            <w:tcW w:w="1181" w:type="dxa"/>
            <w:tcMar>
              <w:top w:w="0" w:type="dxa"/>
              <w:left w:w="0" w:type="dxa"/>
              <w:bottom w:w="0" w:type="dxa"/>
              <w:right w:w="0" w:type="dxa"/>
            </w:tcMar>
            <w:vAlign w:val="center"/>
          </w:tcPr>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cs="Times New Roman"/>
                <w:b w:val="0"/>
                <w:bCs w:val="0"/>
                <w:color w:val="auto"/>
                <w:kern w:val="2"/>
                <w:sz w:val="21"/>
                <w:szCs w:val="21"/>
                <w:highlight w:val="none"/>
                <w:lang w:val="en-US" w:eastAsia="zh-CN"/>
              </w:rPr>
              <w:t>5.40</w:t>
            </w:r>
          </w:p>
        </w:tc>
        <w:tc>
          <w:tcPr>
            <w:tcW w:w="1258" w:type="dxa"/>
            <w:tcMar>
              <w:top w:w="0" w:type="dxa"/>
              <w:left w:w="0" w:type="dxa"/>
              <w:bottom w:w="0" w:type="dxa"/>
              <w:right w:w="0" w:type="dxa"/>
            </w:tcMar>
            <w:vAlign w:val="center"/>
          </w:tcPr>
          <w:p>
            <w:pPr>
              <w:pStyle w:val="26"/>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rPr>
              <w:t>0.73</w:t>
            </w:r>
          </w:p>
        </w:tc>
        <w:tc>
          <w:tcPr>
            <w:tcW w:w="1270" w:type="dxa"/>
            <w:tcMar>
              <w:top w:w="0" w:type="dxa"/>
              <w:left w:w="0" w:type="dxa"/>
              <w:bottom w:w="0" w:type="dxa"/>
              <w:right w:w="0" w:type="dxa"/>
            </w:tcMar>
            <w:vAlign w:val="center"/>
          </w:tcPr>
          <w:p>
            <w:pPr>
              <w:pStyle w:val="26"/>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rPr>
              <w:t>20.92</w:t>
            </w:r>
          </w:p>
        </w:tc>
      </w:tr>
    </w:tbl>
    <w:p>
      <w:pPr>
        <w:spacing w:line="360" w:lineRule="auto"/>
        <w:rPr>
          <w:rFonts w:hint="default" w:ascii="Times New Roman" w:hAnsi="Times New Roman" w:eastAsia="宋体" w:cs="Times New Roman"/>
          <w:color w:val="auto"/>
          <w:sz w:val="28"/>
          <w:szCs w:val="36"/>
        </w:rPr>
      </w:pPr>
      <w:r>
        <w:rPr>
          <w:rFonts w:hint="default" w:ascii="Times New Roman" w:hAnsi="Times New Roman" w:eastAsia="宋体" w:cs="Times New Roman"/>
          <w:color w:val="auto"/>
          <w:sz w:val="28"/>
          <w:szCs w:val="36"/>
        </w:rPr>
        <w:t>3.2.</w:t>
      </w:r>
      <w:r>
        <w:rPr>
          <w:rFonts w:hint="eastAsia" w:ascii="Times New Roman" w:hAnsi="Times New Roman" w:eastAsia="宋体" w:cs="Times New Roman"/>
          <w:color w:val="auto"/>
          <w:sz w:val="28"/>
          <w:szCs w:val="36"/>
          <w:lang w:val="en-US" w:eastAsia="zh-CN"/>
        </w:rPr>
        <w:t>3</w:t>
      </w:r>
      <w:r>
        <w:rPr>
          <w:rFonts w:hint="default" w:ascii="Times New Roman" w:hAnsi="Times New Roman" w:eastAsia="宋体" w:cs="Times New Roman"/>
          <w:color w:val="auto"/>
          <w:sz w:val="28"/>
          <w:szCs w:val="36"/>
        </w:rPr>
        <w:t>.3地层水性质</w:t>
      </w:r>
    </w:p>
    <w:p>
      <w:pPr>
        <w:spacing w:beforeLines="50" w:line="360" w:lineRule="auto"/>
        <w:ind w:firstLine="482"/>
        <w:rPr>
          <w:rFonts w:hint="default" w:ascii="Times New Roman" w:hAnsi="Times New Roman" w:cs="Times New Roman" w:eastAsiaTheme="minorEastAsia"/>
          <w:color w:val="auto"/>
          <w:sz w:val="24"/>
          <w:szCs w:val="32"/>
          <w:lang w:eastAsia="zh-CN"/>
        </w:rPr>
      </w:pPr>
      <w:r>
        <w:rPr>
          <w:rFonts w:hint="eastAsia"/>
          <w:b w:val="0"/>
          <w:bCs w:val="0"/>
          <w:color w:val="auto"/>
          <w:sz w:val="24"/>
        </w:rPr>
        <w:t>陆</w:t>
      </w:r>
      <w:r>
        <w:rPr>
          <w:rFonts w:hint="default" w:ascii="Times New Roman" w:hAnsi="Times New Roman" w:cs="Times New Roman"/>
          <w:b w:val="0"/>
          <w:bCs w:val="0"/>
          <w:color w:val="auto"/>
          <w:sz w:val="24"/>
        </w:rPr>
        <w:t>136井区头屯河组J</w:t>
      </w:r>
      <w:r>
        <w:rPr>
          <w:rFonts w:hint="default" w:ascii="Times New Roman" w:hAnsi="Times New Roman" w:cs="Times New Roman"/>
          <w:b w:val="0"/>
          <w:bCs w:val="0"/>
          <w:color w:val="auto"/>
          <w:sz w:val="24"/>
          <w:vertAlign w:val="subscript"/>
        </w:rPr>
        <w:t>2</w:t>
      </w:r>
      <w:r>
        <w:rPr>
          <w:rFonts w:hint="default" w:ascii="Times New Roman" w:hAnsi="Times New Roman" w:cs="Times New Roman"/>
          <w:b w:val="0"/>
          <w:bCs w:val="0"/>
          <w:color w:val="auto"/>
          <w:sz w:val="24"/>
        </w:rPr>
        <w:t>t</w:t>
      </w:r>
      <w:r>
        <w:rPr>
          <w:rFonts w:hint="default" w:ascii="Times New Roman" w:hAnsi="Times New Roman" w:cs="Times New Roman"/>
          <w:b w:val="0"/>
          <w:bCs w:val="0"/>
          <w:color w:val="auto"/>
          <w:sz w:val="24"/>
          <w:vertAlign w:val="subscript"/>
        </w:rPr>
        <w:t>1</w:t>
      </w:r>
      <w:r>
        <w:rPr>
          <w:rFonts w:hint="default" w:ascii="Times New Roman" w:hAnsi="Times New Roman" w:cs="Times New Roman"/>
          <w:b w:val="0"/>
          <w:bCs w:val="0"/>
          <w:color w:val="auto"/>
          <w:sz w:val="24"/>
        </w:rPr>
        <w:t>油藏</w:t>
      </w:r>
      <w:r>
        <w:rPr>
          <w:rFonts w:hint="default" w:ascii="Times New Roman" w:hAnsi="Times New Roman" w:cs="Times New Roman"/>
          <w:b w:val="0"/>
          <w:bCs w:val="0"/>
          <w:color w:val="auto"/>
          <w:sz w:val="24"/>
          <w:highlight w:val="none"/>
        </w:rPr>
        <w:t>地层水矿化度在17632.56mg/L~20991.18mg/L之间，平均为19311.87mg/L，氯离子含量在10535.17mg/L~12656.00mg/L之间，平均为11595.57mg/L，水型为CaC1</w:t>
      </w:r>
      <w:r>
        <w:rPr>
          <w:rFonts w:hint="default" w:ascii="Times New Roman" w:hAnsi="Times New Roman" w:cs="Times New Roman"/>
          <w:b w:val="0"/>
          <w:bCs w:val="0"/>
          <w:color w:val="auto"/>
          <w:sz w:val="24"/>
          <w:highlight w:val="none"/>
          <w:vertAlign w:val="subscript"/>
        </w:rPr>
        <w:t>2</w:t>
      </w:r>
      <w:r>
        <w:rPr>
          <w:rFonts w:hint="default" w:ascii="Times New Roman" w:hAnsi="Times New Roman" w:cs="Times New Roman"/>
          <w:b w:val="0"/>
          <w:bCs w:val="0"/>
          <w:color w:val="auto"/>
          <w:sz w:val="24"/>
          <w:highlight w:val="none"/>
        </w:rPr>
        <w:t>型</w:t>
      </w:r>
      <w:r>
        <w:rPr>
          <w:rFonts w:hint="default" w:ascii="Times New Roman" w:hAnsi="Times New Roman" w:eastAsia="宋体" w:cs="Times New Roman"/>
          <w:color w:val="auto"/>
          <w:sz w:val="24"/>
          <w:szCs w:val="32"/>
        </w:rPr>
        <w:t>。</w:t>
      </w:r>
      <w:r>
        <w:rPr>
          <w:rFonts w:hint="default" w:ascii="Times New Roman" w:hAnsi="Times New Roman" w:eastAsia="宋体" w:cs="Times New Roman"/>
          <w:b w:val="0"/>
          <w:bCs w:val="0"/>
          <w:snapToGrid w:val="0"/>
          <w:color w:val="auto"/>
          <w:sz w:val="24"/>
          <w:lang w:val="en-US" w:eastAsia="zh-CN" w:bidi="ar"/>
        </w:rPr>
        <w:t>具体</w:t>
      </w:r>
      <w:r>
        <w:rPr>
          <w:rFonts w:hint="default" w:ascii="Times New Roman" w:hAnsi="Times New Roman" w:eastAsia="宋体" w:cs="Times New Roman"/>
          <w:b w:val="0"/>
          <w:bCs w:val="0"/>
          <w:color w:val="auto"/>
          <w:sz w:val="24"/>
        </w:rPr>
        <w:t>见表</w:t>
      </w:r>
      <w:r>
        <w:rPr>
          <w:rFonts w:hint="default" w:ascii="Times New Roman" w:hAnsi="Times New Roman" w:eastAsia="宋体" w:cs="Times New Roman"/>
          <w:b w:val="0"/>
          <w:bCs w:val="0"/>
          <w:color w:val="auto"/>
          <w:sz w:val="24"/>
          <w:lang w:val="en-US" w:eastAsia="zh-CN"/>
        </w:rPr>
        <w:t>3.2-3</w:t>
      </w:r>
      <w:r>
        <w:rPr>
          <w:rFonts w:hint="default" w:ascii="Times New Roman" w:hAnsi="Times New Roman" w:eastAsia="宋体" w:cs="Times New Roman"/>
          <w:color w:val="auto"/>
          <w:sz w:val="24"/>
          <w:szCs w:val="32"/>
        </w:rPr>
        <w:t>。</w:t>
      </w:r>
    </w:p>
    <w:p>
      <w:pPr>
        <w:pStyle w:val="15"/>
        <w:spacing w:line="360" w:lineRule="auto"/>
        <w:ind w:left="-69" w:right="-107"/>
        <w:rPr>
          <w:rFonts w:hint="default" w:ascii="Times New Roman" w:hAnsi="Times New Roman" w:eastAsia="宋体" w:cs="Times New Roman"/>
          <w:color w:val="auto"/>
        </w:rPr>
      </w:pPr>
      <w:r>
        <w:rPr>
          <w:rFonts w:hint="default" w:ascii="Times New Roman" w:hAnsi="Times New Roman" w:eastAsia="宋体" w:cs="Times New Roman"/>
          <w:b/>
          <w:bCs/>
          <w:color w:val="auto"/>
          <w:sz w:val="21"/>
          <w:szCs w:val="22"/>
        </w:rPr>
        <w:t>表3.2-</w:t>
      </w:r>
      <w:r>
        <w:rPr>
          <w:rFonts w:hint="eastAsia" w:eastAsia="宋体" w:cs="Times New Roman"/>
          <w:b/>
          <w:bCs/>
          <w:color w:val="auto"/>
          <w:sz w:val="21"/>
          <w:szCs w:val="22"/>
          <w:lang w:val="en-US" w:eastAsia="zh-CN"/>
        </w:rPr>
        <w:t xml:space="preserve">3 </w:t>
      </w:r>
      <w:r>
        <w:rPr>
          <w:rFonts w:hint="default" w:ascii="Times New Roman" w:hAnsi="Times New Roman" w:eastAsia="宋体" w:cs="Times New Roman"/>
          <w:b/>
          <w:bCs/>
          <w:color w:val="auto"/>
          <w:sz w:val="21"/>
          <w:szCs w:val="22"/>
        </w:rPr>
        <w:t xml:space="preserve"> </w:t>
      </w:r>
      <w:r>
        <w:rPr>
          <w:rFonts w:hint="eastAsia" w:eastAsia="宋体" w:cs="Times New Roman"/>
          <w:b/>
          <w:bCs/>
          <w:color w:val="auto"/>
          <w:sz w:val="21"/>
          <w:szCs w:val="22"/>
          <w:lang w:eastAsia="zh-CN"/>
        </w:rPr>
        <w:t>陆136井区侏罗系头屯河组</w:t>
      </w:r>
      <w:r>
        <w:rPr>
          <w:rFonts w:hint="eastAsia" w:ascii="Times New Roman" w:hAnsi="Times New Roman" w:eastAsia="宋体" w:cs="Times New Roman"/>
          <w:b/>
          <w:bCs/>
          <w:color w:val="auto"/>
          <w:sz w:val="21"/>
          <w:szCs w:val="21"/>
          <w:lang w:eastAsia="zh-CN"/>
        </w:rPr>
        <w:t>J</w:t>
      </w:r>
      <w:r>
        <w:rPr>
          <w:rFonts w:hint="eastAsia" w:ascii="Times New Roman" w:hAnsi="Times New Roman" w:eastAsia="宋体" w:cs="Times New Roman"/>
          <w:b/>
          <w:bCs/>
          <w:color w:val="auto"/>
          <w:sz w:val="21"/>
          <w:szCs w:val="21"/>
          <w:vertAlign w:val="subscript"/>
          <w:lang w:eastAsia="zh-CN"/>
        </w:rPr>
        <w:t>2</w:t>
      </w:r>
      <w:r>
        <w:rPr>
          <w:rFonts w:hint="eastAsia" w:ascii="Times New Roman" w:hAnsi="Times New Roman" w:eastAsia="宋体" w:cs="Times New Roman"/>
          <w:b/>
          <w:bCs/>
          <w:color w:val="auto"/>
          <w:sz w:val="21"/>
          <w:szCs w:val="21"/>
          <w:lang w:eastAsia="zh-CN"/>
        </w:rPr>
        <w:t>t</w:t>
      </w:r>
      <w:r>
        <w:rPr>
          <w:rFonts w:hint="eastAsia" w:ascii="Times New Roman" w:hAnsi="Times New Roman" w:eastAsia="宋体" w:cs="Times New Roman"/>
          <w:b/>
          <w:bCs/>
          <w:color w:val="auto"/>
          <w:sz w:val="21"/>
          <w:szCs w:val="21"/>
          <w:vertAlign w:val="subscript"/>
          <w:lang w:eastAsia="zh-CN"/>
        </w:rPr>
        <w:t>1</w:t>
      </w:r>
      <w:r>
        <w:rPr>
          <w:rFonts w:hint="eastAsia" w:eastAsia="宋体" w:cs="Times New Roman"/>
          <w:b/>
          <w:bCs/>
          <w:color w:val="auto"/>
          <w:sz w:val="21"/>
          <w:szCs w:val="22"/>
          <w:lang w:eastAsia="zh-CN"/>
        </w:rPr>
        <w:t>油藏</w:t>
      </w:r>
      <w:r>
        <w:rPr>
          <w:rFonts w:hint="default" w:ascii="Times New Roman" w:hAnsi="Times New Roman" w:eastAsia="宋体" w:cs="Times New Roman"/>
          <w:b/>
          <w:bCs/>
          <w:color w:val="auto"/>
          <w:sz w:val="21"/>
          <w:szCs w:val="22"/>
        </w:rPr>
        <w:t>地层水性质参数表</w:t>
      </w:r>
    </w:p>
    <w:tbl>
      <w:tblPr>
        <w:tblStyle w:val="31"/>
        <w:tblW w:w="85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6"/>
        <w:gridCol w:w="625"/>
        <w:gridCol w:w="899"/>
        <w:gridCol w:w="981"/>
        <w:gridCol w:w="741"/>
        <w:gridCol w:w="768"/>
        <w:gridCol w:w="703"/>
        <w:gridCol w:w="1094"/>
        <w:gridCol w:w="1181"/>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2" w:hRule="atLeast"/>
          <w:jc w:val="center"/>
        </w:trPr>
        <w:tc>
          <w:tcPr>
            <w:tcW w:w="616"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bookmarkStart w:id="45" w:name="_Toc524944242"/>
            <w:bookmarkStart w:id="46" w:name="_Toc77083192"/>
            <w:bookmarkStart w:id="47" w:name="_Toc44942756"/>
            <w:bookmarkStart w:id="48" w:name="_Toc21799612"/>
            <w:bookmarkStart w:id="49" w:name="_Toc21803791"/>
            <w:bookmarkStart w:id="50" w:name="_Toc524701753"/>
            <w:bookmarkStart w:id="51" w:name="_Toc524018691"/>
            <w:bookmarkStart w:id="52" w:name="_Toc524639795"/>
            <w:bookmarkStart w:id="53" w:name="_Toc117844407"/>
            <w:r>
              <w:rPr>
                <w:rFonts w:hint="default" w:ascii="Times New Roman" w:hAnsi="Times New Roman" w:eastAsia="宋体" w:cs="Times New Roman"/>
                <w:b/>
                <w:bCs/>
                <w:color w:val="auto"/>
                <w:sz w:val="21"/>
                <w:szCs w:val="21"/>
                <w:highlight w:val="none"/>
              </w:rPr>
              <w:t>区块</w:t>
            </w:r>
          </w:p>
        </w:tc>
        <w:tc>
          <w:tcPr>
            <w:tcW w:w="625" w:type="dxa"/>
            <w:vMerge w:val="restart"/>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层位</w:t>
            </w:r>
          </w:p>
        </w:tc>
        <w:tc>
          <w:tcPr>
            <w:tcW w:w="5186" w:type="dxa"/>
            <w:gridSpan w:val="6"/>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主要离子</w:t>
            </w:r>
            <w:r>
              <w:rPr>
                <w:rFonts w:hint="eastAsia"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mg/L</w:t>
            </w:r>
            <w:r>
              <w:rPr>
                <w:rFonts w:hint="eastAsia" w:ascii="Times New Roman" w:hAnsi="Times New Roman" w:eastAsia="宋体" w:cs="Times New Roman"/>
                <w:b/>
                <w:bCs/>
                <w:color w:val="auto"/>
                <w:sz w:val="21"/>
                <w:szCs w:val="21"/>
                <w:highlight w:val="none"/>
                <w:lang w:eastAsia="zh-CN"/>
              </w:rPr>
              <w:t>）</w:t>
            </w:r>
          </w:p>
        </w:tc>
        <w:tc>
          <w:tcPr>
            <w:tcW w:w="1181" w:type="dxa"/>
            <w:vMerge w:val="restart"/>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矿化度</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（mg/L）</w:t>
            </w:r>
          </w:p>
        </w:tc>
        <w:tc>
          <w:tcPr>
            <w:tcW w:w="934" w:type="dxa"/>
            <w:vMerge w:val="restart"/>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2" w:hRule="atLeast"/>
          <w:jc w:val="center"/>
        </w:trPr>
        <w:tc>
          <w:tcPr>
            <w:tcW w:w="616"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c>
          <w:tcPr>
            <w:tcW w:w="62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c>
          <w:tcPr>
            <w:tcW w:w="899" w:type="dxa"/>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HCO</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vertAlign w:val="superscript"/>
              </w:rPr>
              <w:t>-</w:t>
            </w:r>
          </w:p>
        </w:tc>
        <w:tc>
          <w:tcPr>
            <w:tcW w:w="981" w:type="dxa"/>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Cl</w:t>
            </w:r>
            <w:r>
              <w:rPr>
                <w:rFonts w:hint="default" w:ascii="Times New Roman" w:hAnsi="Times New Roman" w:eastAsia="宋体" w:cs="Times New Roman"/>
                <w:b/>
                <w:bCs/>
                <w:color w:val="auto"/>
                <w:sz w:val="21"/>
                <w:szCs w:val="21"/>
                <w:highlight w:val="none"/>
                <w:vertAlign w:val="superscript"/>
              </w:rPr>
              <w:t>-</w:t>
            </w:r>
          </w:p>
        </w:tc>
        <w:tc>
          <w:tcPr>
            <w:tcW w:w="741" w:type="dxa"/>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4</w:t>
            </w:r>
            <w:r>
              <w:rPr>
                <w:rFonts w:hint="default" w:ascii="Times New Roman" w:hAnsi="Times New Roman" w:eastAsia="宋体" w:cs="Times New Roman"/>
                <w:b/>
                <w:bCs/>
                <w:color w:val="auto"/>
                <w:sz w:val="21"/>
                <w:szCs w:val="21"/>
                <w:highlight w:val="none"/>
                <w:vertAlign w:val="superscript"/>
              </w:rPr>
              <w:t>2-</w:t>
            </w:r>
          </w:p>
        </w:tc>
        <w:tc>
          <w:tcPr>
            <w:tcW w:w="768" w:type="dxa"/>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Ca</w:t>
            </w:r>
            <w:r>
              <w:rPr>
                <w:rFonts w:hint="default" w:ascii="Times New Roman" w:hAnsi="Times New Roman" w:eastAsia="宋体" w:cs="Times New Roman"/>
                <w:b/>
                <w:bCs/>
                <w:color w:val="auto"/>
                <w:sz w:val="21"/>
                <w:szCs w:val="21"/>
                <w:highlight w:val="none"/>
                <w:vertAlign w:val="superscript"/>
              </w:rPr>
              <w:t>2+</w:t>
            </w:r>
          </w:p>
        </w:tc>
        <w:tc>
          <w:tcPr>
            <w:tcW w:w="703" w:type="dxa"/>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Mg</w:t>
            </w:r>
            <w:r>
              <w:rPr>
                <w:rFonts w:hint="default" w:ascii="Times New Roman" w:hAnsi="Times New Roman" w:eastAsia="宋体" w:cs="Times New Roman"/>
                <w:b/>
                <w:bCs/>
                <w:color w:val="auto"/>
                <w:sz w:val="21"/>
                <w:szCs w:val="21"/>
                <w:highlight w:val="none"/>
                <w:vertAlign w:val="superscript"/>
              </w:rPr>
              <w:t>2+</w:t>
            </w:r>
          </w:p>
        </w:tc>
        <w:tc>
          <w:tcPr>
            <w:tcW w:w="1094" w:type="dxa"/>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w:t>
            </w:r>
            <w:r>
              <w:rPr>
                <w:rFonts w:hint="default" w:ascii="Times New Roman" w:hAnsi="Times New Roman" w:eastAsia="宋体" w:cs="Times New Roman"/>
                <w:b/>
                <w:bCs/>
                <w:color w:val="auto"/>
                <w:sz w:val="21"/>
                <w:szCs w:val="21"/>
                <w:highlight w:val="none"/>
                <w:vertAlign w:val="superscript"/>
              </w:rPr>
              <w:t>+</w:t>
            </w:r>
            <w:r>
              <w:rPr>
                <w:rFonts w:hint="default" w:ascii="Times New Roman" w:hAnsi="Times New Roman" w:eastAsia="宋体" w:cs="Times New Roman"/>
                <w:b/>
                <w:bCs/>
                <w:color w:val="auto"/>
                <w:sz w:val="21"/>
                <w:szCs w:val="21"/>
                <w:highlight w:val="none"/>
              </w:rPr>
              <w:t>和Na</w:t>
            </w:r>
            <w:r>
              <w:rPr>
                <w:rFonts w:hint="default" w:ascii="Times New Roman" w:hAnsi="Times New Roman" w:eastAsia="宋体" w:cs="Times New Roman"/>
                <w:b/>
                <w:bCs/>
                <w:color w:val="auto"/>
                <w:sz w:val="21"/>
                <w:szCs w:val="21"/>
                <w:highlight w:val="none"/>
                <w:vertAlign w:val="superscript"/>
              </w:rPr>
              <w:t>+</w:t>
            </w:r>
          </w:p>
        </w:tc>
        <w:tc>
          <w:tcPr>
            <w:tcW w:w="1181" w:type="dxa"/>
            <w:vMerge w:val="continue"/>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c>
          <w:tcPr>
            <w:tcW w:w="93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8" w:hRule="atLeast"/>
          <w:jc w:val="center"/>
        </w:trPr>
        <w:tc>
          <w:tcPr>
            <w:tcW w:w="616" w:type="dxa"/>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rPr>
              <w:t>陆1</w:t>
            </w:r>
            <w:r>
              <w:rPr>
                <w:rFonts w:hint="default" w:ascii="Times New Roman" w:hAnsi="Times New Roman" w:eastAsia="宋体" w:cs="Times New Roman"/>
                <w:b w:val="0"/>
                <w:bCs w:val="0"/>
                <w:color w:val="auto"/>
                <w:kern w:val="0"/>
                <w:sz w:val="21"/>
                <w:szCs w:val="21"/>
                <w:highlight w:val="none"/>
                <w:lang w:val="en-US" w:eastAsia="zh-CN"/>
              </w:rPr>
              <w:t>36</w:t>
            </w:r>
          </w:p>
        </w:tc>
        <w:tc>
          <w:tcPr>
            <w:tcW w:w="625" w:type="dxa"/>
            <w:tcMar>
              <w:top w:w="15"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rPr>
              <w:t>J</w:t>
            </w:r>
            <w:r>
              <w:rPr>
                <w:rFonts w:hint="default" w:ascii="Times New Roman" w:hAnsi="Times New Roman" w:eastAsia="宋体"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vertAlign w:val="subscript"/>
              </w:rPr>
              <w:t>1</w:t>
            </w:r>
          </w:p>
        </w:tc>
        <w:tc>
          <w:tcPr>
            <w:tcW w:w="899" w:type="dxa"/>
            <w:tcMar>
              <w:top w:w="15"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146.315</w:t>
            </w:r>
          </w:p>
        </w:tc>
        <w:tc>
          <w:tcPr>
            <w:tcW w:w="981" w:type="dxa"/>
            <w:tcMar>
              <w:top w:w="15"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11595.57</w:t>
            </w:r>
          </w:p>
        </w:tc>
        <w:tc>
          <w:tcPr>
            <w:tcW w:w="741" w:type="dxa"/>
            <w:tcMar>
              <w:top w:w="15"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34.99</w:t>
            </w:r>
          </w:p>
        </w:tc>
        <w:tc>
          <w:tcPr>
            <w:tcW w:w="768" w:type="dxa"/>
            <w:tcMar>
              <w:top w:w="15"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952.15</w:t>
            </w:r>
          </w:p>
        </w:tc>
        <w:tc>
          <w:tcPr>
            <w:tcW w:w="703" w:type="dxa"/>
            <w:tcMar>
              <w:top w:w="15"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56.47</w:t>
            </w:r>
          </w:p>
        </w:tc>
        <w:tc>
          <w:tcPr>
            <w:tcW w:w="1094" w:type="dxa"/>
            <w:tcMar>
              <w:top w:w="15"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6495.09</w:t>
            </w:r>
          </w:p>
        </w:tc>
        <w:tc>
          <w:tcPr>
            <w:tcW w:w="1181" w:type="dxa"/>
            <w:tcMar>
              <w:top w:w="15"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19311.87</w:t>
            </w:r>
          </w:p>
        </w:tc>
        <w:tc>
          <w:tcPr>
            <w:tcW w:w="934" w:type="dxa"/>
            <w:tcMar>
              <w:top w:w="15"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CaC1</w:t>
            </w:r>
            <w:r>
              <w:rPr>
                <w:rFonts w:hint="default" w:ascii="Times New Roman" w:hAnsi="Times New Roman" w:eastAsia="宋体" w:cs="Times New Roman"/>
                <w:b w:val="0"/>
                <w:bCs w:val="0"/>
                <w:color w:val="auto"/>
                <w:sz w:val="21"/>
                <w:szCs w:val="21"/>
                <w:highlight w:val="none"/>
                <w:vertAlign w:val="subscript"/>
              </w:rPr>
              <w:t>2</w:t>
            </w:r>
          </w:p>
        </w:tc>
      </w:tr>
      <w:bookmarkEnd w:id="45"/>
      <w:bookmarkEnd w:id="46"/>
      <w:bookmarkEnd w:id="47"/>
      <w:bookmarkEnd w:id="48"/>
      <w:bookmarkEnd w:id="49"/>
      <w:bookmarkEnd w:id="50"/>
      <w:bookmarkEnd w:id="51"/>
      <w:bookmarkEnd w:id="52"/>
      <w:bookmarkEnd w:id="53"/>
    </w:tbl>
    <w:p>
      <w:pPr>
        <w:pStyle w:val="3"/>
        <w:spacing w:before="10" w:after="10"/>
        <w:rPr>
          <w:rFonts w:hint="default" w:ascii="Times New Roman" w:hAnsi="Times New Roman" w:eastAsia="宋体" w:cs="Times New Roman"/>
          <w:color w:val="auto"/>
        </w:rPr>
      </w:pPr>
      <w:bookmarkStart w:id="54" w:name="_Toc29980"/>
      <w:r>
        <w:rPr>
          <w:rFonts w:hint="default" w:ascii="Times New Roman" w:hAnsi="Times New Roman" w:eastAsia="宋体" w:cs="Times New Roman"/>
          <w:color w:val="auto"/>
        </w:rPr>
        <w:t>3.3工程组成</w:t>
      </w:r>
      <w:bookmarkEnd w:id="54"/>
    </w:p>
    <w:p>
      <w:pPr>
        <w:pStyle w:val="56"/>
        <w:spacing w:line="360" w:lineRule="auto"/>
        <w:rPr>
          <w:rFonts w:hint="default" w:ascii="Times New Roman" w:hAnsi="Times New Roman" w:cs="Times New Roman"/>
          <w:color w:val="auto"/>
          <w:sz w:val="24"/>
          <w:szCs w:val="24"/>
        </w:rPr>
      </w:pPr>
      <w:bookmarkStart w:id="55" w:name="_Hlk91843507"/>
      <w:r>
        <w:rPr>
          <w:rFonts w:hint="default" w:ascii="Times New Roman" w:hAnsi="Times New Roman" w:cs="Times New Roman"/>
          <w:bCs w:val="0"/>
          <w:color w:val="auto"/>
          <w:sz w:val="24"/>
          <w:szCs w:val="24"/>
        </w:rPr>
        <w:t>本项目部署</w:t>
      </w:r>
      <w:r>
        <w:rPr>
          <w:rFonts w:hint="eastAsia" w:cs="Times New Roman"/>
          <w:bCs w:val="0"/>
          <w:color w:val="auto"/>
          <w:sz w:val="24"/>
          <w:szCs w:val="24"/>
          <w:lang w:eastAsia="zh-CN"/>
        </w:rPr>
        <w:t>6口</w:t>
      </w:r>
      <w:r>
        <w:rPr>
          <w:rFonts w:hint="default" w:ascii="Times New Roman" w:hAnsi="Times New Roman" w:cs="Times New Roman"/>
          <w:bCs w:val="0"/>
          <w:color w:val="auto"/>
          <w:sz w:val="24"/>
          <w:szCs w:val="24"/>
        </w:rPr>
        <w:t>采油井，</w:t>
      </w:r>
      <w:r>
        <w:rPr>
          <w:rFonts w:hint="eastAsia" w:cs="Times New Roman"/>
          <w:bCs w:val="0"/>
          <w:color w:val="auto"/>
          <w:sz w:val="24"/>
          <w:szCs w:val="24"/>
          <w:lang w:val="en-US" w:eastAsia="zh-CN"/>
        </w:rPr>
        <w:t>2</w:t>
      </w:r>
      <w:r>
        <w:rPr>
          <w:rFonts w:hint="default" w:ascii="Times New Roman" w:hAnsi="Times New Roman" w:cs="Times New Roman"/>
          <w:bCs w:val="0"/>
          <w:color w:val="auto"/>
          <w:sz w:val="24"/>
          <w:szCs w:val="24"/>
        </w:rPr>
        <w:t>口注水井，</w:t>
      </w:r>
      <w:r>
        <w:rPr>
          <w:rFonts w:hint="eastAsia" w:cs="Times New Roman"/>
          <w:bCs w:val="0"/>
          <w:color w:val="auto"/>
          <w:sz w:val="24"/>
          <w:szCs w:val="24"/>
          <w:lang w:val="en-US" w:eastAsia="zh-CN"/>
        </w:rPr>
        <w:t>均为</w:t>
      </w:r>
      <w:r>
        <w:rPr>
          <w:rFonts w:hint="default" w:ascii="Times New Roman" w:hAnsi="Times New Roman" w:cs="Times New Roman"/>
          <w:bCs w:val="0"/>
          <w:color w:val="auto"/>
          <w:sz w:val="24"/>
          <w:szCs w:val="24"/>
        </w:rPr>
        <w:t>新钻井，</w:t>
      </w:r>
      <w:r>
        <w:rPr>
          <w:rFonts w:hint="default" w:ascii="Times New Roman" w:hAnsi="Times New Roman" w:cs="Times New Roman"/>
          <w:color w:val="auto"/>
          <w:kern w:val="0"/>
          <w:sz w:val="24"/>
          <w:szCs w:val="24"/>
        </w:rPr>
        <w:t>钻井总进尺</w:t>
      </w:r>
      <w:r>
        <w:rPr>
          <w:rFonts w:hint="eastAsia" w:cs="Times New Roman"/>
          <w:color w:val="auto"/>
          <w:kern w:val="0"/>
          <w:sz w:val="24"/>
          <w:szCs w:val="24"/>
          <w:lang w:val="en-US" w:eastAsia="zh-CN"/>
        </w:rPr>
        <w:t>1.61</w:t>
      </w:r>
      <w:r>
        <w:rPr>
          <w:rFonts w:hint="default" w:ascii="Times New Roman" w:hAnsi="Times New Roman" w:cs="Times New Roman"/>
          <w:color w:val="auto"/>
          <w:kern w:val="0"/>
          <w:sz w:val="24"/>
          <w:szCs w:val="24"/>
        </w:rPr>
        <w:t>×10</w:t>
      </w:r>
      <w:r>
        <w:rPr>
          <w:rFonts w:hint="default" w:ascii="Times New Roman" w:hAnsi="Times New Roman" w:cs="Times New Roman"/>
          <w:color w:val="auto"/>
          <w:kern w:val="0"/>
          <w:sz w:val="24"/>
          <w:szCs w:val="24"/>
          <w:vertAlign w:val="superscript"/>
        </w:rPr>
        <w:t>4</w:t>
      </w:r>
      <w:r>
        <w:rPr>
          <w:rFonts w:hint="default" w:ascii="Times New Roman" w:hAnsi="Times New Roman" w:cs="Times New Roman"/>
          <w:color w:val="auto"/>
          <w:kern w:val="0"/>
          <w:sz w:val="24"/>
          <w:szCs w:val="24"/>
        </w:rPr>
        <w:t>m，新建产能</w:t>
      </w:r>
      <w:r>
        <w:rPr>
          <w:rFonts w:hint="eastAsia" w:cs="Times New Roman"/>
          <w:color w:val="auto"/>
          <w:kern w:val="0"/>
          <w:sz w:val="24"/>
          <w:szCs w:val="24"/>
          <w:lang w:eastAsia="zh-CN"/>
        </w:rPr>
        <w:t>1.</w:t>
      </w:r>
      <w:r>
        <w:rPr>
          <w:rFonts w:hint="eastAsia" w:cs="Times New Roman"/>
          <w:color w:val="auto"/>
          <w:kern w:val="0"/>
          <w:sz w:val="24"/>
          <w:szCs w:val="24"/>
          <w:lang w:val="en-US" w:eastAsia="zh-CN"/>
        </w:rPr>
        <w:t>44</w:t>
      </w:r>
      <w:r>
        <w:rPr>
          <w:rFonts w:hint="eastAsia" w:cs="Times New Roman"/>
          <w:color w:val="auto"/>
          <w:kern w:val="0"/>
          <w:sz w:val="24"/>
          <w:szCs w:val="24"/>
          <w:lang w:eastAsia="zh-CN"/>
        </w:rPr>
        <w:t>×10</w:t>
      </w:r>
      <w:r>
        <w:rPr>
          <w:rFonts w:hint="default" w:ascii="Times New Roman" w:hAnsi="Times New Roman" w:cs="Times New Roman"/>
          <w:color w:val="auto"/>
          <w:kern w:val="0"/>
          <w:sz w:val="24"/>
          <w:szCs w:val="24"/>
          <w:vertAlign w:val="superscript"/>
        </w:rPr>
        <w:t>4</w:t>
      </w:r>
      <w:r>
        <w:rPr>
          <w:rFonts w:hint="default" w:ascii="Times New Roman" w:hAnsi="Times New Roman" w:cs="Times New Roman"/>
          <w:color w:val="auto"/>
          <w:kern w:val="0"/>
          <w:sz w:val="24"/>
          <w:szCs w:val="24"/>
        </w:rPr>
        <w:t>t</w:t>
      </w:r>
      <w:r>
        <w:rPr>
          <w:rFonts w:hint="eastAsia" w:cs="Times New Roman"/>
          <w:color w:val="auto"/>
          <w:kern w:val="0"/>
          <w:sz w:val="24"/>
          <w:szCs w:val="24"/>
          <w:lang w:val="en-US" w:eastAsia="zh-CN"/>
        </w:rPr>
        <w:t>/a</w:t>
      </w:r>
      <w:r>
        <w:rPr>
          <w:rFonts w:hint="default" w:ascii="Times New Roman" w:hAnsi="Times New Roman" w:cs="Times New Roman"/>
          <w:bCs w:val="0"/>
          <w:color w:val="auto"/>
          <w:sz w:val="24"/>
          <w:szCs w:val="24"/>
        </w:rPr>
        <w:t>，新建采油管线</w:t>
      </w:r>
      <w:r>
        <w:rPr>
          <w:rFonts w:hint="eastAsia" w:cs="Times New Roman"/>
          <w:bCs w:val="0"/>
          <w:color w:val="auto"/>
          <w:sz w:val="24"/>
          <w:szCs w:val="24"/>
          <w:lang w:eastAsia="zh-CN"/>
        </w:rPr>
        <w:t>4.2</w:t>
      </w:r>
      <w:r>
        <w:rPr>
          <w:rFonts w:hint="default" w:ascii="Times New Roman" w:hAnsi="Times New Roman" w:cs="Times New Roman"/>
          <w:bCs w:val="0"/>
          <w:color w:val="auto"/>
          <w:sz w:val="24"/>
          <w:szCs w:val="24"/>
        </w:rPr>
        <w:t>km，注水管线</w:t>
      </w:r>
      <w:r>
        <w:rPr>
          <w:rFonts w:hint="eastAsia" w:cs="Times New Roman"/>
          <w:bCs w:val="0"/>
          <w:color w:val="auto"/>
          <w:sz w:val="24"/>
          <w:szCs w:val="24"/>
          <w:lang w:eastAsia="zh-CN"/>
        </w:rPr>
        <w:t>1.7</w:t>
      </w:r>
      <w:r>
        <w:rPr>
          <w:rFonts w:hint="default" w:ascii="Times New Roman" w:hAnsi="Times New Roman" w:cs="Times New Roman"/>
          <w:bCs w:val="0"/>
          <w:color w:val="auto"/>
          <w:sz w:val="24"/>
          <w:szCs w:val="24"/>
        </w:rPr>
        <w:t>km，</w:t>
      </w:r>
      <w:r>
        <w:rPr>
          <w:rFonts w:hint="default" w:ascii="Times New Roman" w:hAnsi="Times New Roman" w:cs="Times New Roman"/>
          <w:color w:val="auto"/>
          <w:sz w:val="24"/>
          <w:szCs w:val="24"/>
          <w:shd w:val="clear" w:color="auto" w:fill="FFFFFF"/>
        </w:rPr>
        <w:t>配套建设供配电及仪表自动化等地面工程</w:t>
      </w:r>
      <w:r>
        <w:rPr>
          <w:rFonts w:hint="default" w:ascii="Times New Roman" w:hAnsi="Times New Roman" w:cs="Times New Roman"/>
          <w:bCs w:val="0"/>
          <w:color w:val="auto"/>
          <w:sz w:val="24"/>
          <w:szCs w:val="32"/>
        </w:rPr>
        <w:t>。</w:t>
      </w:r>
    </w:p>
    <w:bookmarkEnd w:id="55"/>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工程项目组成见表3.3-1。</w:t>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表3.3-1  本项目主要工程组成一览表</w:t>
      </w:r>
    </w:p>
    <w:tbl>
      <w:tblPr>
        <w:tblStyle w:val="31"/>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75"/>
        <w:gridCol w:w="367"/>
        <w:gridCol w:w="568"/>
        <w:gridCol w:w="1133"/>
        <w:gridCol w:w="827"/>
        <w:gridCol w:w="4516"/>
        <w:gridCol w:w="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blHeader/>
          <w:jc w:val="center"/>
        </w:trPr>
        <w:tc>
          <w:tcPr>
            <w:tcW w:w="475" w:type="dxa"/>
            <w:vAlign w:val="center"/>
          </w:tcPr>
          <w:p>
            <w:pPr>
              <w:pStyle w:val="47"/>
              <w:rPr>
                <w:rFonts w:hint="default" w:ascii="Times New Roman" w:hAnsi="Times New Roman" w:cs="Times New Roman"/>
                <w:b/>
                <w:bCs/>
                <w:color w:val="auto"/>
              </w:rPr>
            </w:pPr>
            <w:bookmarkStart w:id="56" w:name="_Hlk25328642"/>
            <w:bookmarkStart w:id="57" w:name="_Hlk41383849"/>
            <w:bookmarkStart w:id="58" w:name="_Hlk512468806"/>
            <w:r>
              <w:rPr>
                <w:rFonts w:hint="default" w:ascii="Times New Roman" w:hAnsi="Times New Roman" w:cs="Times New Roman"/>
                <w:b/>
                <w:bCs/>
                <w:color w:val="auto"/>
              </w:rPr>
              <w:t>类别</w:t>
            </w:r>
          </w:p>
        </w:tc>
        <w:tc>
          <w:tcPr>
            <w:tcW w:w="935" w:type="dxa"/>
            <w:gridSpan w:val="2"/>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960" w:type="dxa"/>
            <w:gridSpan w:val="2"/>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工程量</w:t>
            </w:r>
          </w:p>
        </w:tc>
        <w:tc>
          <w:tcPr>
            <w:tcW w:w="4516"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建设内容</w:t>
            </w:r>
          </w:p>
        </w:tc>
        <w:tc>
          <w:tcPr>
            <w:tcW w:w="531"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restart"/>
            <w:vAlign w:val="center"/>
          </w:tcPr>
          <w:p>
            <w:pPr>
              <w:pStyle w:val="47"/>
              <w:rPr>
                <w:rFonts w:hint="default" w:ascii="Times New Roman" w:hAnsi="Times New Roman" w:cs="Times New Roman"/>
                <w:color w:val="auto"/>
                <w:highlight w:val="yellow"/>
              </w:rPr>
            </w:pPr>
            <w:r>
              <w:rPr>
                <w:rFonts w:hint="default" w:ascii="Times New Roman" w:hAnsi="Times New Roman" w:cs="Times New Roman"/>
                <w:color w:val="auto"/>
              </w:rPr>
              <w:t>主体工程</w:t>
            </w:r>
          </w:p>
        </w:tc>
        <w:tc>
          <w:tcPr>
            <w:tcW w:w="2895" w:type="dxa"/>
            <w:gridSpan w:val="4"/>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钻前工程</w:t>
            </w:r>
          </w:p>
        </w:tc>
        <w:tc>
          <w:tcPr>
            <w:tcW w:w="45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钻井前准备工作，包括井场平整、设备基础修建等，均在井场临时占地范围内实施。</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475" w:type="dxa"/>
            <w:vMerge w:val="continue"/>
            <w:vAlign w:val="center"/>
          </w:tcPr>
          <w:p>
            <w:pPr>
              <w:pStyle w:val="47"/>
              <w:rPr>
                <w:rFonts w:hint="default" w:ascii="Times New Roman" w:hAnsi="Times New Roman" w:cs="Times New Roman"/>
                <w:color w:val="auto"/>
                <w:highlight w:val="yellow"/>
              </w:rPr>
            </w:pP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钻井工程</w:t>
            </w:r>
          </w:p>
        </w:tc>
        <w:tc>
          <w:tcPr>
            <w:tcW w:w="113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采油井</w:t>
            </w:r>
          </w:p>
        </w:tc>
        <w:tc>
          <w:tcPr>
            <w:tcW w:w="827" w:type="dxa"/>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6口</w:t>
            </w:r>
          </w:p>
        </w:tc>
        <w:tc>
          <w:tcPr>
            <w:tcW w:w="45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新钻采油井</w:t>
            </w:r>
            <w:r>
              <w:rPr>
                <w:rFonts w:hint="eastAsia" w:cs="Times New Roman"/>
                <w:color w:val="auto"/>
                <w:lang w:eastAsia="zh-CN"/>
              </w:rPr>
              <w:t>6口</w:t>
            </w:r>
            <w:r>
              <w:rPr>
                <w:rFonts w:hint="default" w:ascii="Times New Roman" w:hAnsi="Times New Roman" w:cs="Times New Roman"/>
                <w:color w:val="auto"/>
              </w:rPr>
              <w:t>，均为二开井身结构、定向井。</w:t>
            </w:r>
            <w:r>
              <w:rPr>
                <w:rFonts w:hint="eastAsia" w:cs="Times New Roman"/>
                <w:color w:val="auto"/>
                <w:lang w:val="en-US" w:eastAsia="zh-CN"/>
              </w:rPr>
              <w:t>单井设计井深2015</w:t>
            </w:r>
            <w:r>
              <w:rPr>
                <w:rFonts w:hint="default" w:ascii="Times New Roman" w:hAnsi="Times New Roman" w:cs="Times New Roman"/>
                <w:color w:val="auto"/>
              </w:rPr>
              <w:t>m，钻井施工共</w:t>
            </w:r>
            <w:r>
              <w:rPr>
                <w:rFonts w:hint="eastAsia" w:cs="Times New Roman"/>
                <w:color w:val="auto"/>
                <w:lang w:val="en-US" w:eastAsia="zh-CN"/>
              </w:rPr>
              <w:t>16</w:t>
            </w:r>
            <w:r>
              <w:rPr>
                <w:rFonts w:hint="default" w:ascii="Times New Roman" w:hAnsi="Times New Roman" w:cs="Times New Roman"/>
                <w:color w:val="auto"/>
              </w:rPr>
              <w:t>天</w:t>
            </w:r>
            <w:r>
              <w:rPr>
                <w:rFonts w:hint="eastAsia" w:cs="Times New Roman"/>
                <w:color w:val="auto"/>
                <w:lang w:eastAsia="zh-CN"/>
              </w:rPr>
              <w:t>；</w:t>
            </w:r>
            <w:r>
              <w:rPr>
                <w:rFonts w:hint="default" w:ascii="Times New Roman" w:hAnsi="Times New Roman" w:cs="Times New Roman"/>
                <w:color w:val="auto"/>
              </w:rPr>
              <w:t>地面工程施工</w:t>
            </w:r>
            <w:r>
              <w:rPr>
                <w:rFonts w:hint="eastAsia" w:cs="Times New Roman"/>
                <w:color w:val="auto"/>
                <w:lang w:val="en-US" w:eastAsia="zh-CN"/>
              </w:rPr>
              <w:t>326</w:t>
            </w:r>
            <w:r>
              <w:rPr>
                <w:rFonts w:hint="default" w:ascii="Times New Roman" w:hAnsi="Times New Roman" w:cs="Times New Roman"/>
                <w:color w:val="auto"/>
              </w:rPr>
              <w:t>天，累计施工</w:t>
            </w:r>
            <w:r>
              <w:rPr>
                <w:rFonts w:hint="eastAsia" w:cs="Times New Roman"/>
                <w:color w:val="auto"/>
                <w:lang w:val="en-US" w:eastAsia="zh-CN"/>
              </w:rPr>
              <w:t>422</w:t>
            </w:r>
            <w:r>
              <w:rPr>
                <w:rFonts w:hint="default" w:ascii="Times New Roman" w:hAnsi="Times New Roman" w:cs="Times New Roman"/>
                <w:color w:val="auto"/>
              </w:rPr>
              <w:t>天，施工人数为</w:t>
            </w:r>
            <w:r>
              <w:rPr>
                <w:rFonts w:hint="eastAsia" w:cs="Times New Roman"/>
                <w:color w:val="auto"/>
                <w:lang w:val="en-US" w:eastAsia="zh-CN"/>
              </w:rPr>
              <w:t>35</w:t>
            </w:r>
            <w:r>
              <w:rPr>
                <w:rFonts w:hint="default" w:ascii="Times New Roman" w:hAnsi="Times New Roman" w:cs="Times New Roman"/>
                <w:color w:val="auto"/>
              </w:rPr>
              <w:t>人。本项目采用水基钻井液。</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highlight w:val="yellow"/>
              </w:rPr>
            </w:pPr>
          </w:p>
        </w:tc>
        <w:tc>
          <w:tcPr>
            <w:tcW w:w="935" w:type="dxa"/>
            <w:gridSpan w:val="2"/>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修井工程</w:t>
            </w:r>
          </w:p>
        </w:tc>
        <w:tc>
          <w:tcPr>
            <w:tcW w:w="1133"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注水井</w:t>
            </w:r>
          </w:p>
        </w:tc>
        <w:tc>
          <w:tcPr>
            <w:tcW w:w="827" w:type="dxa"/>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2</w:t>
            </w:r>
            <w:r>
              <w:rPr>
                <w:rFonts w:hint="default" w:ascii="Times New Roman" w:hAnsi="Times New Roman" w:cs="Times New Roman"/>
                <w:color w:val="auto"/>
                <w:lang w:val="en-US" w:eastAsia="zh-CN"/>
              </w:rPr>
              <w:t>口</w:t>
            </w:r>
          </w:p>
        </w:tc>
        <w:tc>
          <w:tcPr>
            <w:tcW w:w="45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新钻</w:t>
            </w:r>
            <w:r>
              <w:rPr>
                <w:rFonts w:hint="eastAsia" w:cs="Times New Roman"/>
                <w:color w:val="auto"/>
                <w:lang w:val="en-US" w:eastAsia="zh-CN"/>
              </w:rPr>
              <w:t>注水井2</w:t>
            </w:r>
            <w:r>
              <w:rPr>
                <w:rFonts w:hint="default" w:ascii="Times New Roman" w:hAnsi="Times New Roman" w:cs="Times New Roman"/>
                <w:color w:val="auto"/>
              </w:rPr>
              <w:t>口，均为二开井身结构、</w:t>
            </w:r>
            <w:r>
              <w:rPr>
                <w:rFonts w:hint="eastAsia" w:ascii="Times New Roman" w:hAnsi="Times New Roman" w:cs="Times New Roman"/>
                <w:color w:val="auto"/>
                <w:lang w:val="en-US" w:eastAsia="zh-CN"/>
              </w:rPr>
              <w:t>直</w:t>
            </w:r>
            <w:r>
              <w:rPr>
                <w:rFonts w:hint="default" w:ascii="Times New Roman" w:hAnsi="Times New Roman" w:cs="Times New Roman"/>
                <w:color w:val="auto"/>
              </w:rPr>
              <w:t>井。</w:t>
            </w:r>
            <w:r>
              <w:rPr>
                <w:rFonts w:hint="eastAsia" w:cs="Times New Roman"/>
                <w:color w:val="auto"/>
                <w:lang w:val="en-US" w:eastAsia="zh-CN"/>
              </w:rPr>
              <w:t>单井设计井深2015</w:t>
            </w:r>
            <w:r>
              <w:rPr>
                <w:rFonts w:hint="default" w:ascii="Times New Roman" w:hAnsi="Times New Roman" w:cs="Times New Roman"/>
                <w:color w:val="auto"/>
              </w:rPr>
              <w:t>m，钻井施工共</w:t>
            </w:r>
            <w:r>
              <w:rPr>
                <w:rFonts w:hint="eastAsia" w:cs="Times New Roman"/>
                <w:color w:val="auto"/>
                <w:lang w:val="en-US" w:eastAsia="zh-CN"/>
              </w:rPr>
              <w:t>16</w:t>
            </w:r>
            <w:r>
              <w:rPr>
                <w:rFonts w:hint="default" w:ascii="Times New Roman" w:hAnsi="Times New Roman" w:cs="Times New Roman"/>
                <w:color w:val="auto"/>
              </w:rPr>
              <w:t>天</w:t>
            </w:r>
            <w:r>
              <w:rPr>
                <w:rFonts w:hint="eastAsia" w:cs="Times New Roman"/>
                <w:color w:val="auto"/>
                <w:lang w:eastAsia="zh-CN"/>
              </w:rPr>
              <w:t>；</w:t>
            </w:r>
            <w:r>
              <w:rPr>
                <w:rFonts w:hint="default" w:ascii="Times New Roman" w:hAnsi="Times New Roman" w:cs="Times New Roman"/>
                <w:color w:val="auto"/>
              </w:rPr>
              <w:t>地面工程施工</w:t>
            </w:r>
            <w:r>
              <w:rPr>
                <w:rFonts w:hint="eastAsia" w:cs="Times New Roman"/>
                <w:color w:val="auto"/>
                <w:lang w:val="en-US" w:eastAsia="zh-CN"/>
              </w:rPr>
              <w:t>52</w:t>
            </w:r>
            <w:r>
              <w:rPr>
                <w:rFonts w:hint="default" w:ascii="Times New Roman" w:hAnsi="Times New Roman" w:cs="Times New Roman"/>
                <w:color w:val="auto"/>
              </w:rPr>
              <w:t>天，累计施工</w:t>
            </w:r>
            <w:r>
              <w:rPr>
                <w:rFonts w:hint="eastAsia" w:cs="Times New Roman"/>
                <w:color w:val="auto"/>
                <w:lang w:val="en-US" w:eastAsia="zh-CN"/>
              </w:rPr>
              <w:t>84</w:t>
            </w:r>
            <w:r>
              <w:rPr>
                <w:rFonts w:hint="default" w:ascii="Times New Roman" w:hAnsi="Times New Roman" w:cs="Times New Roman"/>
                <w:color w:val="auto"/>
              </w:rPr>
              <w:t>天，施工人数为</w:t>
            </w:r>
            <w:r>
              <w:rPr>
                <w:rFonts w:hint="eastAsia" w:cs="Times New Roman"/>
                <w:color w:val="auto"/>
                <w:lang w:val="en-US" w:eastAsia="zh-CN"/>
              </w:rPr>
              <w:t>35</w:t>
            </w:r>
            <w:r>
              <w:rPr>
                <w:rFonts w:hint="default" w:ascii="Times New Roman" w:hAnsi="Times New Roman" w:cs="Times New Roman"/>
                <w:color w:val="auto"/>
              </w:rPr>
              <w:t>人。本项目采用水基钻井液。</w:t>
            </w:r>
          </w:p>
        </w:tc>
        <w:tc>
          <w:tcPr>
            <w:tcW w:w="531"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highlight w:val="yellow"/>
              </w:rPr>
            </w:pP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储层改造工程</w:t>
            </w:r>
          </w:p>
        </w:tc>
        <w:tc>
          <w:tcPr>
            <w:tcW w:w="1960"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射孔</w:t>
            </w:r>
          </w:p>
        </w:tc>
        <w:tc>
          <w:tcPr>
            <w:tcW w:w="45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采用等孔径射孔弹（有效孔径≥10mm）和89型射孔枪。</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highlight w:val="yellow"/>
              </w:rPr>
            </w:pP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采油工程</w:t>
            </w:r>
          </w:p>
        </w:tc>
        <w:tc>
          <w:tcPr>
            <w:tcW w:w="113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采油井井口装置</w:t>
            </w:r>
          </w:p>
        </w:tc>
        <w:tc>
          <w:tcPr>
            <w:tcW w:w="827" w:type="dxa"/>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6口</w:t>
            </w:r>
          </w:p>
        </w:tc>
        <w:tc>
          <w:tcPr>
            <w:tcW w:w="45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采油井口采用</w:t>
            </w:r>
            <w:r>
              <w:rPr>
                <w:rFonts w:hint="default" w:ascii="Times New Roman" w:hAnsi="Times New Roman" w:cs="Times New Roman"/>
                <w:color w:val="auto"/>
                <w:lang w:val="en-US" w:eastAsia="zh-CN"/>
              </w:rPr>
              <w:t>10</w:t>
            </w:r>
            <w:r>
              <w:rPr>
                <w:rFonts w:hint="default" w:ascii="Times New Roman" w:hAnsi="Times New Roman" w:cs="Times New Roman"/>
                <w:color w:val="auto"/>
              </w:rPr>
              <w:t>型抽油机，配套电机</w:t>
            </w:r>
            <w:r>
              <w:rPr>
                <w:rFonts w:hint="default" w:ascii="Times New Roman" w:hAnsi="Times New Roman" w:cs="Times New Roman"/>
                <w:color w:val="auto"/>
                <w:lang w:val="en-US" w:eastAsia="zh-CN"/>
              </w:rPr>
              <w:t>22</w:t>
            </w:r>
            <w:r>
              <w:rPr>
                <w:rFonts w:hint="default" w:ascii="Times New Roman" w:hAnsi="Times New Roman" w:cs="Times New Roman"/>
                <w:color w:val="auto"/>
              </w:rPr>
              <w:t>kW。井口设保温盒，保温盒内设0.25kW防爆电加热器，压力表置于保温盒内。</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bookmarkEnd w:id="56"/>
      <w:bookmarkEnd w:id="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bookmarkStart w:id="59" w:name="_Hlk24891032"/>
            <w:bookmarkStart w:id="60" w:name="_Hlk25515925"/>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油气集输工程</w:t>
            </w:r>
          </w:p>
        </w:tc>
        <w:tc>
          <w:tcPr>
            <w:tcW w:w="113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单井出油管线</w:t>
            </w:r>
          </w:p>
        </w:tc>
        <w:tc>
          <w:tcPr>
            <w:tcW w:w="827" w:type="dxa"/>
            <w:vAlign w:val="center"/>
          </w:tcPr>
          <w:p>
            <w:pPr>
              <w:pStyle w:val="47"/>
              <w:rPr>
                <w:rFonts w:hint="default" w:ascii="Times New Roman" w:hAnsi="Times New Roman" w:cs="Times New Roman"/>
                <w:color w:val="auto"/>
                <w:spacing w:val="-20"/>
              </w:rPr>
            </w:pPr>
            <w:r>
              <w:rPr>
                <w:rFonts w:hint="eastAsia" w:cs="Times New Roman"/>
                <w:color w:val="auto"/>
                <w:lang w:eastAsia="zh-CN"/>
              </w:rPr>
              <w:t>4.2</w:t>
            </w:r>
            <w:r>
              <w:rPr>
                <w:rFonts w:hint="default" w:ascii="Times New Roman" w:hAnsi="Times New Roman" w:cs="Times New Roman"/>
                <w:color w:val="auto"/>
              </w:rPr>
              <w:t>km</w:t>
            </w:r>
          </w:p>
        </w:tc>
        <w:tc>
          <w:tcPr>
            <w:tcW w:w="4516" w:type="dxa"/>
            <w:vAlign w:val="center"/>
          </w:tcPr>
          <w:p>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新建采油井场外单井出油管道采用DN50 2.5MPa热塑性塑料内衬玻璃钢复合管，保温埋地敷设，保温层采用30mm厚发泡保温橡塑海绵，防护层采用2mm厚聚乙烯胶粘带，管底标高-1.70m。</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8"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注水工程</w:t>
            </w:r>
          </w:p>
        </w:tc>
        <w:tc>
          <w:tcPr>
            <w:tcW w:w="113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注水井场</w:t>
            </w:r>
          </w:p>
        </w:tc>
        <w:tc>
          <w:tcPr>
            <w:tcW w:w="827" w:type="dxa"/>
            <w:vAlign w:val="center"/>
          </w:tcPr>
          <w:p>
            <w:pPr>
              <w:pStyle w:val="47"/>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口</w:t>
            </w:r>
          </w:p>
        </w:tc>
        <w:tc>
          <w:tcPr>
            <w:tcW w:w="4516" w:type="dxa"/>
            <w:vAlign w:val="center"/>
          </w:tcPr>
          <w:p>
            <w:pPr>
              <w:widowControl/>
              <w:jc w:val="left"/>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新建</w:t>
            </w:r>
            <w:r>
              <w:rPr>
                <w:rFonts w:hint="eastAsia" w:ascii="Times New Roman" w:hAnsi="Times New Roman" w:eastAsia="宋体" w:cs="Times New Roman"/>
                <w:color w:val="auto"/>
                <w:lang w:val="en-US" w:eastAsia="zh-CN"/>
              </w:rPr>
              <w:t>25</w:t>
            </w:r>
            <w:r>
              <w:rPr>
                <w:rFonts w:hint="eastAsia" w:ascii="Times New Roman" w:hAnsi="Times New Roman" w:eastAsia="宋体" w:cs="Times New Roman"/>
                <w:color w:val="auto"/>
                <w:lang w:eastAsia="zh-CN"/>
              </w:rPr>
              <w:t>MPa注水井口装置</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座，</w:t>
            </w:r>
            <w:r>
              <w:rPr>
                <w:rFonts w:hint="default" w:ascii="Times New Roman" w:hAnsi="Times New Roman" w:eastAsia="宋体" w:cs="Times New Roman"/>
                <w:color w:val="auto"/>
              </w:rPr>
              <w:t>井口设保温盒</w:t>
            </w:r>
            <w:r>
              <w:rPr>
                <w:rFonts w:hint="eastAsia" w:ascii="Times New Roman" w:hAnsi="Times New Roman" w:eastAsia="宋体" w:cs="Times New Roman"/>
                <w:color w:val="auto"/>
              </w:rPr>
              <w:t>，来水管道设止回阀和截断阀</w:t>
            </w:r>
            <w:r>
              <w:rPr>
                <w:rFonts w:hint="eastAsia" w:ascii="Times New Roman" w:hAnsi="Times New Roman" w:eastAsia="宋体" w:cs="Times New Roman"/>
                <w:color w:val="auto"/>
                <w:lang w:eastAsia="zh-CN"/>
              </w:rPr>
              <w:t>。</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8"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Merge w:val="continue"/>
            <w:vAlign w:val="center"/>
          </w:tcPr>
          <w:p>
            <w:pPr>
              <w:pStyle w:val="47"/>
              <w:rPr>
                <w:rFonts w:hint="default" w:ascii="Times New Roman" w:hAnsi="Times New Roman" w:cs="Times New Roman"/>
                <w:color w:val="auto"/>
              </w:rPr>
            </w:pPr>
          </w:p>
        </w:tc>
        <w:tc>
          <w:tcPr>
            <w:tcW w:w="113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单井注水管线</w:t>
            </w:r>
          </w:p>
        </w:tc>
        <w:tc>
          <w:tcPr>
            <w:tcW w:w="827" w:type="dxa"/>
            <w:vAlign w:val="center"/>
          </w:tcPr>
          <w:p>
            <w:pPr>
              <w:pStyle w:val="47"/>
              <w:rPr>
                <w:rFonts w:hint="default" w:ascii="Times New Roman" w:hAnsi="Times New Roman" w:cs="Times New Roman"/>
                <w:color w:val="auto"/>
              </w:rPr>
            </w:pPr>
            <w:r>
              <w:rPr>
                <w:rFonts w:hint="eastAsia" w:cs="Times New Roman"/>
                <w:color w:val="auto"/>
                <w:lang w:eastAsia="zh-CN"/>
              </w:rPr>
              <w:t>1.7</w:t>
            </w:r>
            <w:r>
              <w:rPr>
                <w:rFonts w:hint="default" w:ascii="Times New Roman" w:hAnsi="Times New Roman" w:cs="Times New Roman"/>
                <w:color w:val="auto"/>
              </w:rPr>
              <w:t>km</w:t>
            </w:r>
          </w:p>
        </w:tc>
        <w:tc>
          <w:tcPr>
            <w:tcW w:w="4516" w:type="dxa"/>
            <w:vAlign w:val="center"/>
          </w:tcPr>
          <w:p>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szCs w:val="21"/>
              </w:rPr>
              <w:t>新建单井注水管道选DN50 16MPa热塑性塑料内衬玻璃钢复合管（耐温70℃），埋地不保温敷设，管线埋深-1.80m。</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bookmarkEnd w:id="59"/>
      <w:bookmarkEnd w:id="6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公用工程</w:t>
            </w: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供配电</w:t>
            </w:r>
          </w:p>
        </w:tc>
        <w:tc>
          <w:tcPr>
            <w:tcW w:w="6476" w:type="dxa"/>
            <w:gridSpan w:val="3"/>
            <w:vAlign w:val="center"/>
          </w:tcPr>
          <w:p>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由</w:t>
            </w:r>
            <w:r>
              <w:rPr>
                <w:rFonts w:hint="eastAsia" w:ascii="Times New Roman" w:hAnsi="Times New Roman" w:eastAsia="宋体" w:cs="Times New Roman"/>
                <w:color w:val="auto"/>
                <w:kern w:val="0"/>
                <w:szCs w:val="21"/>
                <w:lang w:eastAsia="zh-CN"/>
              </w:rPr>
              <w:t>已建陆136井区已建10kV架空线路引出</w:t>
            </w:r>
            <w:r>
              <w:rPr>
                <w:rFonts w:hint="default" w:ascii="Times New Roman" w:hAnsi="Times New Roman" w:eastAsia="宋体" w:cs="Times New Roman"/>
                <w:color w:val="auto"/>
                <w:kern w:val="0"/>
                <w:szCs w:val="21"/>
              </w:rPr>
              <w:t>，新建10kV架空线选用2×JL/G1A-</w:t>
            </w:r>
            <w:r>
              <w:rPr>
                <w:rFonts w:hint="eastAsia" w:ascii="Times New Roman" w:hAnsi="Times New Roman" w:eastAsia="宋体" w:cs="Times New Roman"/>
                <w:color w:val="auto"/>
                <w:kern w:val="0"/>
                <w:szCs w:val="21"/>
                <w:lang w:eastAsia="zh-CN"/>
              </w:rPr>
              <w:t>95/20</w:t>
            </w:r>
            <w:r>
              <w:rPr>
                <w:rFonts w:hint="default" w:ascii="Times New Roman" w:hAnsi="Times New Roman" w:eastAsia="宋体" w:cs="Times New Roman"/>
                <w:color w:val="auto"/>
                <w:kern w:val="0"/>
                <w:szCs w:val="21"/>
              </w:rPr>
              <w:t>，线路长度约</w:t>
            </w:r>
            <w:r>
              <w:rPr>
                <w:rFonts w:hint="eastAsia" w:ascii="Times New Roman" w:hAnsi="Times New Roman" w:eastAsia="宋体" w:cs="Times New Roman"/>
                <w:color w:val="auto"/>
                <w:kern w:val="0"/>
                <w:szCs w:val="21"/>
                <w:lang w:val="en-US" w:eastAsia="zh-CN"/>
              </w:rPr>
              <w:t>2.5</w:t>
            </w:r>
            <w:r>
              <w:rPr>
                <w:rFonts w:hint="default" w:ascii="Times New Roman" w:hAnsi="Times New Roman" w:eastAsia="宋体" w:cs="Times New Roman"/>
                <w:color w:val="auto"/>
                <w:kern w:val="0"/>
                <w:szCs w:val="21"/>
              </w:rPr>
              <w:t>km。</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供水</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采用车载拉运方式供水，管道试压用水水源来自陆梁作业区。</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供热</w:t>
            </w:r>
          </w:p>
        </w:tc>
        <w:tc>
          <w:tcPr>
            <w:tcW w:w="6476" w:type="dxa"/>
            <w:gridSpan w:val="3"/>
            <w:vAlign w:val="center"/>
          </w:tcPr>
          <w:p>
            <w:pPr>
              <w:pStyle w:val="47"/>
              <w:rPr>
                <w:rFonts w:hint="default" w:ascii="Times New Roman" w:hAnsi="Times New Roman" w:eastAsia="宋体" w:cs="Times New Roman"/>
                <w:color w:val="auto"/>
                <w:lang w:eastAsia="zh-CN"/>
              </w:rPr>
            </w:pPr>
            <w:r>
              <w:rPr>
                <w:rFonts w:hint="default" w:ascii="Times New Roman" w:hAnsi="Times New Roman" w:cs="Times New Roman"/>
                <w:color w:val="auto"/>
              </w:rPr>
              <w:t>项目冬季不施工，不涉及供热</w:t>
            </w:r>
            <w:r>
              <w:rPr>
                <w:rFonts w:hint="default" w:ascii="Times New Roman" w:hAnsi="Times New Roman" w:cs="Times New Roman"/>
                <w:color w:val="auto"/>
                <w:lang w:eastAsia="zh-CN"/>
              </w:rPr>
              <w:t>。</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道路</w:t>
            </w:r>
          </w:p>
        </w:tc>
        <w:tc>
          <w:tcPr>
            <w:tcW w:w="6476" w:type="dxa"/>
            <w:gridSpan w:val="3"/>
            <w:vAlign w:val="center"/>
          </w:tcPr>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本项目不新建道路，利用现有已建道路。</w:t>
            </w:r>
          </w:p>
        </w:tc>
        <w:tc>
          <w:tcPr>
            <w:tcW w:w="531"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环保工程</w:t>
            </w:r>
          </w:p>
        </w:tc>
        <w:tc>
          <w:tcPr>
            <w:tcW w:w="367"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废气</w:t>
            </w:r>
          </w:p>
        </w:tc>
        <w:tc>
          <w:tcPr>
            <w:tcW w:w="56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w:t>
            </w:r>
          </w:p>
          <w:p>
            <w:pPr>
              <w:pStyle w:val="47"/>
              <w:rPr>
                <w:rFonts w:hint="default" w:ascii="Times New Roman" w:hAnsi="Times New Roman" w:cs="Times New Roman"/>
                <w:color w:val="auto"/>
              </w:rPr>
            </w:pPr>
            <w:r>
              <w:rPr>
                <w:rFonts w:hint="default" w:ascii="Times New Roman" w:hAnsi="Times New Roman" w:cs="Times New Roman"/>
                <w:color w:val="auto"/>
              </w:rPr>
              <w:t>期</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施工扬尘：材料及临时土方采用防尘布覆盖，逸散性材料运输用苫布遮盖。</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柴油发电机燃油燃烧废气：采用高效设备，定期维护，采用符合</w:t>
            </w:r>
            <w:r>
              <w:rPr>
                <w:rFonts w:hint="eastAsia" w:cs="Times New Roman"/>
                <w:color w:val="auto"/>
                <w:lang w:eastAsia="zh-CN"/>
              </w:rPr>
              <w:t>国五标准</w:t>
            </w:r>
            <w:r>
              <w:rPr>
                <w:rFonts w:hint="default" w:ascii="Times New Roman" w:hAnsi="Times New Roman" w:cs="Times New Roman"/>
                <w:color w:val="auto"/>
              </w:rPr>
              <w:t>的柴油，并添加柴油助燃剂等措施。</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车辆尾气：使用国家合格燃油，间断不连续排放。</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运营</w:t>
            </w:r>
          </w:p>
          <w:p>
            <w:pPr>
              <w:pStyle w:val="47"/>
              <w:rPr>
                <w:rFonts w:hint="default" w:ascii="Times New Roman" w:hAnsi="Times New Roman" w:cs="Times New Roman"/>
                <w:color w:val="auto"/>
              </w:rPr>
            </w:pPr>
            <w:r>
              <w:rPr>
                <w:rFonts w:hint="default" w:ascii="Times New Roman" w:hAnsi="Times New Roman" w:cs="Times New Roman"/>
                <w:color w:val="auto"/>
              </w:rPr>
              <w:t>期</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无组织排放的非甲烷总烃：本项目采用密闭集输工艺，集输过程无组织排放，加强巡检及设备的维护、检修。</w:t>
            </w:r>
          </w:p>
        </w:tc>
        <w:tc>
          <w:tcPr>
            <w:tcW w:w="531" w:type="dxa"/>
            <w:vAlign w:val="center"/>
          </w:tcPr>
          <w:p>
            <w:pPr>
              <w:pStyle w:val="47"/>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04"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伴生气：本项目采出液（气、水、油）经管线密闭集输至陆梁集中处理站处理。</w:t>
            </w:r>
          </w:p>
        </w:tc>
        <w:tc>
          <w:tcPr>
            <w:tcW w:w="531" w:type="dxa"/>
            <w:vAlign w:val="center"/>
          </w:tcPr>
          <w:p>
            <w:pPr>
              <w:pStyle w:val="47"/>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废水</w:t>
            </w:r>
          </w:p>
        </w:tc>
        <w:tc>
          <w:tcPr>
            <w:tcW w:w="56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w:t>
            </w:r>
          </w:p>
          <w:p>
            <w:pPr>
              <w:pStyle w:val="47"/>
              <w:rPr>
                <w:rFonts w:hint="default" w:ascii="Times New Roman" w:hAnsi="Times New Roman" w:cs="Times New Roman"/>
                <w:color w:val="auto"/>
              </w:rPr>
            </w:pPr>
            <w:r>
              <w:rPr>
                <w:rFonts w:hint="default" w:ascii="Times New Roman" w:hAnsi="Times New Roman" w:cs="Times New Roman"/>
                <w:color w:val="auto"/>
              </w:rPr>
              <w:t>期</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钻井废水：经“钻井泥浆不落地技术”处理后回用于钻井液配备，完井后的剩余钻井废水由钻井队</w:t>
            </w:r>
            <w:r>
              <w:rPr>
                <w:rFonts w:hint="default" w:ascii="Times New Roman" w:hAnsi="Times New Roman" w:cs="Times New Roman"/>
                <w:color w:val="auto"/>
                <w:lang w:val="en-US" w:eastAsia="zh-CN"/>
              </w:rPr>
              <w:t>委托</w:t>
            </w:r>
            <w:r>
              <w:rPr>
                <w:rFonts w:hint="default" w:ascii="Times New Roman" w:hAnsi="Times New Roman" w:cs="Times New Roman"/>
                <w:color w:val="auto"/>
              </w:rPr>
              <w:t>岩屑处置单位</w:t>
            </w:r>
            <w:r>
              <w:rPr>
                <w:rFonts w:hint="default" w:ascii="Times New Roman" w:hAnsi="Times New Roman" w:cs="Times New Roman"/>
                <w:color w:val="auto"/>
                <w:lang w:val="en-US" w:eastAsia="zh-CN"/>
              </w:rPr>
              <w:t>进行处置</w:t>
            </w:r>
            <w:r>
              <w:rPr>
                <w:rFonts w:hint="default" w:ascii="Times New Roman" w:hAnsi="Times New Roman" w:cs="Times New Roman"/>
                <w:color w:val="auto"/>
              </w:rPr>
              <w:t>。</w:t>
            </w:r>
          </w:p>
        </w:tc>
        <w:tc>
          <w:tcPr>
            <w:tcW w:w="531" w:type="dxa"/>
            <w:vAlign w:val="center"/>
          </w:tcPr>
          <w:p>
            <w:pPr>
              <w:pStyle w:val="47"/>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施工生活污水：施工期不新建生活营地，施工人员食宿依托钻井公寓，施工现场无生活污水产生。</w:t>
            </w:r>
          </w:p>
        </w:tc>
        <w:tc>
          <w:tcPr>
            <w:tcW w:w="531" w:type="dxa"/>
            <w:vAlign w:val="center"/>
          </w:tcPr>
          <w:p>
            <w:pPr>
              <w:pStyle w:val="47"/>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管道试压废水：采用</w:t>
            </w:r>
            <w:r>
              <w:rPr>
                <w:rFonts w:hint="eastAsia" w:cs="Times New Roman"/>
                <w:color w:val="auto"/>
                <w:lang w:eastAsia="zh-CN"/>
              </w:rPr>
              <w:t>新鲜水</w:t>
            </w:r>
            <w:r>
              <w:rPr>
                <w:rFonts w:hint="default" w:ascii="Times New Roman" w:hAnsi="Times New Roman" w:cs="Times New Roman"/>
                <w:color w:val="auto"/>
              </w:rPr>
              <w:t>，试压结束后用于区域绿化和洒水抑尘。</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运营</w:t>
            </w:r>
          </w:p>
          <w:p>
            <w:pPr>
              <w:pStyle w:val="47"/>
              <w:rPr>
                <w:rFonts w:hint="default" w:ascii="Times New Roman" w:hAnsi="Times New Roman" w:cs="Times New Roman"/>
                <w:color w:val="auto"/>
              </w:rPr>
            </w:pPr>
            <w:r>
              <w:rPr>
                <w:rFonts w:hint="default" w:ascii="Times New Roman" w:hAnsi="Times New Roman" w:cs="Times New Roman"/>
                <w:color w:val="auto"/>
              </w:rPr>
              <w:t>期</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井下作业废水：采用专用收集罐收集后拉至陆梁集中处理站污水处理系统处理，处理达标后用于回注油藏，不外排。</w:t>
            </w:r>
          </w:p>
        </w:tc>
        <w:tc>
          <w:tcPr>
            <w:tcW w:w="531" w:type="dxa"/>
            <w:vAlign w:val="center"/>
          </w:tcPr>
          <w:p>
            <w:pPr>
              <w:pStyle w:val="47"/>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井下作业废液（废洗井液、废压裂液）：采用专用收集罐收集后拉至陆梁集中处理站污水处理系统处理，处理达标后用于回注油藏，不外排。</w:t>
            </w:r>
          </w:p>
        </w:tc>
        <w:tc>
          <w:tcPr>
            <w:tcW w:w="531"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2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采出水：管输陆梁集中处理站污水处理系统处理，处理达标后用于回注油藏，不外排。</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噪声</w:t>
            </w:r>
          </w:p>
        </w:tc>
        <w:tc>
          <w:tcPr>
            <w:tcW w:w="56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施工期</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采用低噪声设备，定期维护，装设基础减振和设置隔声罩，合理安排施工时间，高噪声施工设备减少夜间使用或禁止使用。</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运营期</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①尽量选用低噪声设备；②采取减噪措施；③尽量将发声源集中统一布置；④切合实际地提高工艺过程自动化水平；⑤定时保养设备。</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固废</w:t>
            </w:r>
          </w:p>
        </w:tc>
        <w:tc>
          <w:tcPr>
            <w:tcW w:w="56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施工期</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岩屑经不落地系统</w:t>
            </w:r>
            <w:r>
              <w:rPr>
                <w:rFonts w:hint="eastAsia"/>
                <w:color w:val="auto"/>
                <w:lang w:val="en-US" w:eastAsia="zh-CN"/>
              </w:rPr>
              <w:t>处理</w:t>
            </w:r>
            <w:r>
              <w:rPr>
                <w:rFonts w:hint="default" w:ascii="Times New Roman" w:hAnsi="Times New Roman" w:cs="Times New Roman"/>
                <w:color w:val="auto"/>
              </w:rPr>
              <w:t>后进罐收集，交由岩屑处置单位处理。</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施工土方：施工结束后回填管堤之上，实施压实平整水土保持措施。</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废弃防渗膜、机械设备废油：直接拉运，委托有资质的单位拉运并进行无害化处置，不在井场内暂存。</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生活垃圾：施工现场设置垃圾桶，生活垃圾集中收集在垃圾桶内，定期拉运至</w:t>
            </w:r>
            <w:r>
              <w:rPr>
                <w:rFonts w:hint="default" w:ascii="Times New Roman" w:hAnsi="Times New Roman" w:cs="Times New Roman"/>
                <w:color w:val="auto"/>
                <w:lang w:val="en-US" w:eastAsia="zh-CN"/>
              </w:rPr>
              <w:t>陆梁油田</w:t>
            </w:r>
            <w:r>
              <w:rPr>
                <w:rFonts w:hint="default" w:ascii="Times New Roman" w:hAnsi="Times New Roman" w:cs="Times New Roman"/>
                <w:color w:val="auto"/>
              </w:rPr>
              <w:t>生活垃圾填埋场进行填埋处理。</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lang w:val="en-GB"/>
              </w:rPr>
            </w:pPr>
            <w:r>
              <w:rPr>
                <w:rFonts w:hint="default" w:ascii="Times New Roman" w:hAnsi="Times New Roman" w:cs="Times New Roman"/>
                <w:color w:val="auto"/>
              </w:rPr>
              <w:t>建筑垃圾：</w:t>
            </w:r>
            <w:r>
              <w:rPr>
                <w:rFonts w:hint="default" w:ascii="Times New Roman" w:hAnsi="Times New Roman" w:cs="Times New Roman"/>
                <w:color w:val="auto"/>
                <w:lang w:val="en-GB"/>
              </w:rPr>
              <w:t>施工废包装材料尽量回收利用，建筑垃圾由施工单位清运。</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运营期</w:t>
            </w:r>
          </w:p>
        </w:tc>
        <w:tc>
          <w:tcPr>
            <w:tcW w:w="6476" w:type="dxa"/>
            <w:gridSpan w:val="3"/>
            <w:vAlign w:val="center"/>
          </w:tcPr>
          <w:p>
            <w:pPr>
              <w:pStyle w:val="47"/>
              <w:rPr>
                <w:rFonts w:hint="default" w:ascii="Times New Roman" w:hAnsi="Times New Roman" w:cs="Times New Roman"/>
                <w:color w:val="auto"/>
              </w:rPr>
            </w:pPr>
            <w:r>
              <w:rPr>
                <w:rFonts w:cs="Times New Roman"/>
                <w:color w:val="auto"/>
              </w:rPr>
              <w:t>含油污泥：定期委托有危险废物处置资质的单位处置。</w:t>
            </w:r>
          </w:p>
        </w:tc>
        <w:tc>
          <w:tcPr>
            <w:tcW w:w="531" w:type="dxa"/>
            <w:vAlign w:val="center"/>
          </w:tcPr>
          <w:p>
            <w:pPr>
              <w:pStyle w:val="47"/>
              <w:rPr>
                <w:rFonts w:hint="default" w:ascii="Times New Roman" w:hAnsi="Times New Roman" w:cs="Times New Roman"/>
                <w:color w:val="auto"/>
              </w:rPr>
            </w:pPr>
            <w:r>
              <w:rPr>
                <w:rFonts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cs="Times New Roman"/>
                <w:color w:val="auto"/>
              </w:rPr>
              <w:t>落地油：井下作业时带罐作业，落地油100%回收，回收后的落地油运至陆梁集中处理站处理。</w:t>
            </w:r>
          </w:p>
        </w:tc>
        <w:tc>
          <w:tcPr>
            <w:tcW w:w="531" w:type="dxa"/>
            <w:vAlign w:val="center"/>
          </w:tcPr>
          <w:p>
            <w:pPr>
              <w:pStyle w:val="47"/>
              <w:rPr>
                <w:rFonts w:hint="default" w:ascii="Times New Roman" w:hAnsi="Times New Roman" w:cs="Times New Roman"/>
                <w:color w:val="auto"/>
              </w:rPr>
            </w:pPr>
            <w:r>
              <w:rPr>
                <w:rFonts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cs="Times New Roman"/>
                <w:color w:val="auto"/>
              </w:rPr>
              <w:t>清管废渣、废防渗膜：委托有危废处置资质单位进行处置</w:t>
            </w:r>
            <w:r>
              <w:rPr>
                <w:rFonts w:hint="eastAsia" w:cs="Times New Roman"/>
                <w:color w:val="auto"/>
              </w:rPr>
              <w:t>。</w:t>
            </w:r>
          </w:p>
        </w:tc>
        <w:tc>
          <w:tcPr>
            <w:tcW w:w="531" w:type="dxa"/>
            <w:vAlign w:val="center"/>
          </w:tcPr>
          <w:p>
            <w:pPr>
              <w:pStyle w:val="47"/>
              <w:rPr>
                <w:rFonts w:hint="default" w:ascii="Times New Roman" w:hAnsi="Times New Roman" w:cs="Times New Roman"/>
                <w:color w:val="auto"/>
              </w:rPr>
            </w:pPr>
            <w:r>
              <w:rPr>
                <w:rFonts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367" w:type="dxa"/>
            <w:vMerge w:val="continue"/>
            <w:vAlign w:val="center"/>
          </w:tcPr>
          <w:p>
            <w:pPr>
              <w:pStyle w:val="47"/>
              <w:rPr>
                <w:rFonts w:hint="default" w:ascii="Times New Roman" w:hAnsi="Times New Roman" w:cs="Times New Roman"/>
                <w:color w:val="auto"/>
              </w:rPr>
            </w:pPr>
          </w:p>
        </w:tc>
        <w:tc>
          <w:tcPr>
            <w:tcW w:w="568" w:type="dxa"/>
            <w:vMerge w:val="continue"/>
            <w:vAlign w:val="center"/>
          </w:tcPr>
          <w:p>
            <w:pPr>
              <w:pStyle w:val="47"/>
              <w:rPr>
                <w:rFonts w:hint="default" w:ascii="Times New Roman" w:hAnsi="Times New Roman" w:cs="Times New Roman"/>
                <w:color w:val="auto"/>
              </w:rPr>
            </w:pPr>
          </w:p>
        </w:tc>
        <w:tc>
          <w:tcPr>
            <w:tcW w:w="6476" w:type="dxa"/>
            <w:gridSpan w:val="3"/>
            <w:vAlign w:val="center"/>
          </w:tcPr>
          <w:p>
            <w:pPr>
              <w:pStyle w:val="47"/>
              <w:rPr>
                <w:rFonts w:hint="default" w:ascii="Times New Roman" w:hAnsi="Times New Roman" w:cs="Times New Roman"/>
                <w:color w:val="auto"/>
              </w:rPr>
            </w:pPr>
            <w:r>
              <w:rPr>
                <w:rFonts w:cs="Times New Roman"/>
                <w:color w:val="auto"/>
              </w:rPr>
              <w:t>废润滑油</w:t>
            </w:r>
            <w:r>
              <w:rPr>
                <w:rFonts w:hint="eastAsia" w:cs="Times New Roman"/>
                <w:color w:val="auto"/>
              </w:rPr>
              <w:t>：</w:t>
            </w:r>
            <w:r>
              <w:rPr>
                <w:rFonts w:cs="Times New Roman"/>
                <w:color w:val="auto"/>
              </w:rPr>
              <w:t>回收后</w:t>
            </w:r>
            <w:r>
              <w:rPr>
                <w:rFonts w:hint="eastAsia" w:cs="Times New Roman"/>
                <w:color w:val="auto"/>
              </w:rPr>
              <w:t>运至</w:t>
            </w:r>
            <w:r>
              <w:rPr>
                <w:rFonts w:cs="Times New Roman"/>
                <w:color w:val="auto"/>
              </w:rPr>
              <w:t>陆梁集中处理站</w:t>
            </w:r>
            <w:r>
              <w:rPr>
                <w:rFonts w:hint="eastAsia" w:cs="Times New Roman"/>
                <w:color w:val="auto"/>
              </w:rPr>
              <w:t>原油处理站系统</w:t>
            </w:r>
            <w:r>
              <w:rPr>
                <w:rFonts w:cs="Times New Roman"/>
                <w:color w:val="auto"/>
              </w:rPr>
              <w:t>处理</w:t>
            </w:r>
            <w:r>
              <w:rPr>
                <w:rFonts w:hint="eastAsia" w:cs="Times New Roman"/>
                <w:color w:val="auto"/>
              </w:rPr>
              <w:t>。</w:t>
            </w:r>
          </w:p>
        </w:tc>
        <w:tc>
          <w:tcPr>
            <w:tcW w:w="531" w:type="dxa"/>
            <w:vAlign w:val="center"/>
          </w:tcPr>
          <w:p>
            <w:pPr>
              <w:pStyle w:val="47"/>
              <w:rPr>
                <w:rFonts w:hint="default" w:ascii="Times New Roman" w:hAnsi="Times New Roman" w:cs="Times New Roman"/>
                <w:color w:val="auto"/>
              </w:rPr>
            </w:pPr>
            <w:r>
              <w:rPr>
                <w:rFonts w:cs="Times New Roman"/>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环境风险</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①安装防喷器和井控装置等</w:t>
            </w:r>
            <w:r>
              <w:rPr>
                <w:rFonts w:hint="default" w:ascii="Times New Roman" w:hAnsi="Times New Roman" w:cs="Times New Roman"/>
                <w:snapToGrid w:val="0"/>
                <w:color w:val="auto"/>
              </w:rPr>
              <w:t>安全措施</w:t>
            </w:r>
            <w:r>
              <w:rPr>
                <w:rFonts w:hint="default" w:ascii="Times New Roman" w:hAnsi="Times New Roman" w:cs="Times New Roman"/>
                <w:color w:val="auto"/>
              </w:rPr>
              <w:t>；②按消防规定配备灭火器、消防铁锹和其他消防器材；③井下作业配备回收罐。</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生态恢复</w:t>
            </w:r>
          </w:p>
        </w:tc>
        <w:tc>
          <w:tcPr>
            <w:tcW w:w="6476"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snapToGrid w:val="0"/>
                <w:color w:val="auto"/>
              </w:rPr>
              <w:t>①严格控制占地范围；②开挖时分层开挖、分层回填；③施工结束后，恢复地表原状，将施工迹地平整压实；④永久占地地面硬化；⑤对临时占地进行平整，实施砾石覆盖等措施。</w:t>
            </w:r>
          </w:p>
        </w:tc>
        <w:tc>
          <w:tcPr>
            <w:tcW w:w="53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依托工程</w:t>
            </w: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陆梁集中处理站</w:t>
            </w:r>
          </w:p>
        </w:tc>
        <w:tc>
          <w:tcPr>
            <w:tcW w:w="6476" w:type="dxa"/>
            <w:gridSpan w:val="3"/>
            <w:vAlign w:val="center"/>
          </w:tcPr>
          <w:p>
            <w:pPr>
              <w:widowControl/>
              <w:jc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kern w:val="0"/>
                <w:szCs w:val="21"/>
              </w:rPr>
              <w:t>陆梁集中处理站原油处理设计规模为120×10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t/a，天然气处理站设计处理规模15×10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Nm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/d；污水处理系统设计规模20000m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/d。目前实际原油处理能力75×10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t/a，天然气处理站处理规模</w:t>
            </w:r>
            <w:r>
              <w:rPr>
                <w:rFonts w:hint="eastAsia" w:ascii="Times New Roman" w:hAnsi="Times New Roman" w:eastAsia="宋体" w:cs="Times New Roman"/>
                <w:color w:val="auto"/>
                <w:kern w:val="0"/>
                <w:szCs w:val="21"/>
                <w:lang w:val="en-US" w:eastAsia="zh-CN"/>
              </w:rPr>
              <w:t>11</w:t>
            </w:r>
            <w:r>
              <w:rPr>
                <w:rFonts w:hint="default" w:ascii="Times New Roman" w:hAnsi="Times New Roman" w:eastAsia="宋体" w:cs="Times New Roman"/>
                <w:color w:val="auto"/>
                <w:kern w:val="0"/>
                <w:szCs w:val="21"/>
              </w:rPr>
              <w:t>.0×10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/d，污水处理系统处理规模</w:t>
            </w:r>
            <w:r>
              <w:rPr>
                <w:rFonts w:hint="eastAsia" w:ascii="Times New Roman" w:hAnsi="Times New Roman" w:eastAsia="宋体" w:cs="Times New Roman"/>
                <w:color w:val="auto"/>
                <w:kern w:val="0"/>
                <w:szCs w:val="21"/>
                <w:lang w:eastAsia="zh-CN"/>
              </w:rPr>
              <w:t>19370</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/d。陆梁集中处理站原油处理系统剩余量45×10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t/a，天然气处理系统剩余量</w:t>
            </w:r>
            <w:r>
              <w:rPr>
                <w:rFonts w:hint="eastAsia" w:ascii="Times New Roman" w:hAnsi="Times New Roman" w:eastAsia="宋体" w:cs="Times New Roman"/>
                <w:color w:val="auto"/>
                <w:kern w:val="0"/>
                <w:szCs w:val="21"/>
                <w:lang w:val="en-US" w:eastAsia="zh-CN"/>
              </w:rPr>
              <w:t>4</w:t>
            </w:r>
            <w:r>
              <w:rPr>
                <w:rFonts w:hint="default" w:ascii="Times New Roman" w:hAnsi="Times New Roman" w:eastAsia="宋体" w:cs="Times New Roman"/>
                <w:color w:val="auto"/>
                <w:kern w:val="0"/>
                <w:szCs w:val="21"/>
              </w:rPr>
              <w:t>.0×10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/d，污水处理系统剩余量630m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/d。本项目年产油量</w:t>
            </w:r>
            <w:r>
              <w:rPr>
                <w:rFonts w:hint="eastAsia" w:ascii="Times New Roman" w:hAnsi="Times New Roman" w:eastAsia="宋体" w:cs="Times New Roman"/>
                <w:color w:val="auto"/>
                <w:kern w:val="0"/>
                <w:szCs w:val="21"/>
                <w:lang w:eastAsia="zh-CN"/>
              </w:rPr>
              <w:t>1.44</w:t>
            </w:r>
            <w:r>
              <w:rPr>
                <w:rFonts w:hint="default" w:ascii="Times New Roman" w:hAnsi="Times New Roman" w:eastAsia="宋体" w:cs="Times New Roman"/>
                <w:color w:val="auto"/>
                <w:kern w:val="0"/>
                <w:szCs w:val="21"/>
              </w:rPr>
              <w:t>×l0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t，年产气量</w:t>
            </w:r>
            <w:r>
              <w:rPr>
                <w:rFonts w:hint="eastAsia" w:ascii="Times New Roman" w:hAnsi="Times New Roman" w:eastAsia="宋体" w:cs="Times New Roman"/>
                <w:color w:val="auto"/>
                <w:kern w:val="0"/>
                <w:szCs w:val="21"/>
                <w:lang w:val="en-US" w:eastAsia="zh-CN"/>
              </w:rPr>
              <w:t>12.58</w:t>
            </w:r>
            <w:r>
              <w:rPr>
                <w:rFonts w:hint="default" w:ascii="Times New Roman" w:hAnsi="Times New Roman" w:eastAsia="宋体" w:cs="Times New Roman"/>
                <w:color w:val="auto"/>
                <w:kern w:val="0"/>
                <w:szCs w:val="21"/>
              </w:rPr>
              <w:t>×l0</w:t>
            </w:r>
            <w:r>
              <w:rPr>
                <w:rFonts w:hint="eastAsia" w:ascii="Times New Roman" w:hAnsi="Times New Roman" w:eastAsia="宋体" w:cs="Times New Roman"/>
                <w:color w:val="auto"/>
                <w:kern w:val="0"/>
                <w:szCs w:val="21"/>
                <w:vertAlign w:val="superscript"/>
                <w:lang w:val="en-US" w:eastAsia="zh-CN"/>
              </w:rPr>
              <w:t>4</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419.3</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/d），年产水量（包含采出水</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井下作业废水、废洗井液和压裂返排液）</w:t>
            </w:r>
            <w:r>
              <w:rPr>
                <w:rFonts w:hint="eastAsia" w:ascii="Times New Roman" w:hAnsi="Times New Roman" w:eastAsia="宋体" w:cs="Times New Roman"/>
                <w:color w:val="auto"/>
                <w:kern w:val="0"/>
                <w:szCs w:val="21"/>
                <w:lang w:val="en-US" w:eastAsia="zh-CN"/>
              </w:rPr>
              <w:t>3.39</w:t>
            </w:r>
            <w:r>
              <w:rPr>
                <w:rFonts w:hint="default" w:ascii="Times New Roman" w:hAnsi="Times New Roman" w:eastAsia="宋体" w:cs="Times New Roman"/>
                <w:color w:val="auto"/>
                <w:kern w:val="0"/>
                <w:szCs w:val="21"/>
              </w:rPr>
              <w:t>×10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112.9</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/d），可满足本工程处理需求，依托可行。</w:t>
            </w:r>
          </w:p>
        </w:tc>
        <w:tc>
          <w:tcPr>
            <w:tcW w:w="531" w:type="dxa"/>
            <w:vMerge w:val="restart"/>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陆12注水站</w:t>
            </w:r>
          </w:p>
        </w:tc>
        <w:tc>
          <w:tcPr>
            <w:tcW w:w="6476" w:type="dxa"/>
            <w:gridSpan w:val="3"/>
            <w:vAlign w:val="center"/>
          </w:tcPr>
          <w:p>
            <w:pPr>
              <w:widowControl/>
              <w:jc w:val="center"/>
              <w:rPr>
                <w:rFonts w:hint="default" w:ascii="Times New Roman" w:hAnsi="Times New Roman" w:eastAsia="宋体" w:cs="Times New Roman"/>
                <w:color w:val="auto"/>
                <w:kern w:val="0"/>
                <w:szCs w:val="21"/>
              </w:rPr>
            </w:pPr>
            <w:r>
              <w:rPr>
                <w:rFonts w:hint="eastAsia" w:ascii="Times New Roman" w:eastAsia="宋体"/>
                <w:color w:val="auto"/>
                <w:sz w:val="21"/>
                <w:szCs w:val="21"/>
                <w:highlight w:val="none"/>
                <w:lang w:val="en-US" w:eastAsia="zh-CN"/>
              </w:rPr>
              <w:t>陆12注水站</w:t>
            </w:r>
            <w:r>
              <w:rPr>
                <w:rFonts w:cs="Times New Roman"/>
                <w:color w:val="auto"/>
                <w:sz w:val="21"/>
                <w:szCs w:val="21"/>
              </w:rPr>
              <w:t>16MPa高压注水系统运行现状为</w:t>
            </w:r>
            <w:r>
              <w:rPr>
                <w:rFonts w:hint="eastAsia" w:ascii="Times New Roman" w:eastAsia="宋体"/>
                <w:color w:val="auto"/>
                <w:sz w:val="21"/>
                <w:szCs w:val="21"/>
                <w:highlight w:val="none"/>
                <w:lang w:val="en-US" w:eastAsia="zh-CN"/>
              </w:rPr>
              <w:t>1480m</w:t>
            </w:r>
            <w:r>
              <w:rPr>
                <w:rFonts w:hint="eastAsia" w:ascii="Times New Roman" w:eastAsia="宋体"/>
                <w:color w:val="auto"/>
                <w:sz w:val="21"/>
                <w:szCs w:val="21"/>
                <w:highlight w:val="none"/>
                <w:vertAlign w:val="superscript"/>
                <w:lang w:val="en-US" w:eastAsia="zh-CN"/>
              </w:rPr>
              <w:t>3</w:t>
            </w:r>
            <w:r>
              <w:rPr>
                <w:rFonts w:hint="eastAsia" w:ascii="Times New Roman" w:eastAsia="宋体"/>
                <w:color w:val="auto"/>
                <w:sz w:val="21"/>
                <w:szCs w:val="21"/>
                <w:highlight w:val="none"/>
                <w:lang w:val="en-US" w:eastAsia="zh-CN"/>
              </w:rPr>
              <w:t>/d（注水泵2用1备），实际注水819m</w:t>
            </w:r>
            <w:r>
              <w:rPr>
                <w:rFonts w:hint="eastAsia" w:ascii="Times New Roman" w:eastAsia="宋体"/>
                <w:color w:val="auto"/>
                <w:sz w:val="21"/>
                <w:szCs w:val="21"/>
                <w:highlight w:val="none"/>
                <w:vertAlign w:val="superscript"/>
                <w:lang w:val="en-US" w:eastAsia="zh-CN"/>
              </w:rPr>
              <w:t>3</w:t>
            </w:r>
            <w:r>
              <w:rPr>
                <w:rFonts w:hint="eastAsia" w:ascii="Times New Roman" w:eastAsia="宋体"/>
                <w:color w:val="auto"/>
                <w:sz w:val="21"/>
                <w:szCs w:val="21"/>
                <w:highlight w:val="none"/>
                <w:lang w:val="en-US" w:eastAsia="zh-CN"/>
              </w:rPr>
              <w:t>/d</w:t>
            </w:r>
          </w:p>
        </w:tc>
        <w:tc>
          <w:tcPr>
            <w:tcW w:w="531" w:type="dxa"/>
            <w:vMerge w:val="continue"/>
            <w:vAlign w:val="center"/>
          </w:tcPr>
          <w:p>
            <w:pPr>
              <w:snapToGrid w:val="0"/>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Align w:val="center"/>
          </w:tcPr>
          <w:p>
            <w:pPr>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克拉玛依博达生态环保科技有限责任公司</w:t>
            </w:r>
          </w:p>
        </w:tc>
        <w:tc>
          <w:tcPr>
            <w:tcW w:w="6476" w:type="dxa"/>
            <w:gridSpan w:val="3"/>
            <w:vAlign w:val="center"/>
          </w:tcPr>
          <w:p>
            <w:pPr>
              <w:snapToGrid w:val="0"/>
              <w:jc w:val="center"/>
              <w:rPr>
                <w:rFonts w:hint="default" w:ascii="Times New Roman" w:hAnsi="Times New Roman" w:eastAsia="宋体" w:cs="Times New Roman"/>
                <w:snapToGrid w:val="0"/>
                <w:color w:val="auto"/>
              </w:rPr>
            </w:pPr>
            <w:r>
              <w:rPr>
                <w:rFonts w:hint="default" w:ascii="Times New Roman" w:hAnsi="Times New Roman" w:eastAsia="宋体" w:cs="Times New Roman"/>
                <w:color w:val="auto"/>
              </w:rPr>
              <w:t>运营期含油污泥委托克拉玛依博达生态环保科技有限责任公司处置。</w:t>
            </w:r>
            <w:r>
              <w:rPr>
                <w:rFonts w:hint="default" w:ascii="Times New Roman" w:hAnsi="Times New Roman" w:eastAsia="宋体" w:cs="Times New Roman"/>
                <w:bCs/>
                <w:color w:val="auto"/>
                <w:szCs w:val="21"/>
              </w:rPr>
              <w:t>克拉玛依博达生态环保科技有限责任公司的经营范围有劳务输出；收集、处置利用危险废物种类为HW08（矿物油）；污水治理及其再生利用，危货运输；容器（储油罐）清洗等。现有含油污泥处理线采用水—助溶剂萃取法对含油污泥进行无害化处理。</w:t>
            </w:r>
            <w:r>
              <w:rPr>
                <w:rFonts w:hint="default" w:ascii="Times New Roman" w:hAnsi="Times New Roman" w:cs="Times New Roman"/>
                <w:bCs/>
                <w:color w:val="auto"/>
                <w:szCs w:val="21"/>
              </w:rPr>
              <w:t>设计年处理能力为118.5×10</w:t>
            </w:r>
            <w:r>
              <w:rPr>
                <w:rFonts w:hint="default" w:ascii="Times New Roman" w:hAnsi="Times New Roman" w:cs="Times New Roman"/>
                <w:bCs/>
                <w:color w:val="auto"/>
                <w:szCs w:val="21"/>
                <w:vertAlign w:val="superscript"/>
              </w:rPr>
              <w:t>4</w:t>
            </w:r>
            <w:r>
              <w:rPr>
                <w:rFonts w:hint="default" w:ascii="Times New Roman" w:hAnsi="Times New Roman" w:cs="Times New Roman"/>
                <w:bCs/>
                <w:color w:val="auto"/>
                <w:szCs w:val="21"/>
              </w:rPr>
              <w:t>t/a，实际处理量35×10</w:t>
            </w:r>
            <w:r>
              <w:rPr>
                <w:rFonts w:hint="default" w:ascii="Times New Roman" w:hAnsi="Times New Roman" w:cs="Times New Roman"/>
                <w:bCs/>
                <w:color w:val="auto"/>
                <w:szCs w:val="21"/>
                <w:vertAlign w:val="superscript"/>
              </w:rPr>
              <w:t>4</w:t>
            </w:r>
            <w:r>
              <w:rPr>
                <w:rFonts w:hint="default" w:ascii="Times New Roman" w:hAnsi="Times New Roman" w:cs="Times New Roman"/>
                <w:bCs/>
                <w:color w:val="auto"/>
                <w:szCs w:val="21"/>
              </w:rPr>
              <w:t>t/a，剩余处理能力83.5×10</w:t>
            </w:r>
            <w:r>
              <w:rPr>
                <w:rFonts w:hint="default" w:ascii="Times New Roman" w:hAnsi="Times New Roman" w:cs="Times New Roman"/>
                <w:bCs/>
                <w:color w:val="auto"/>
                <w:szCs w:val="21"/>
                <w:vertAlign w:val="superscript"/>
              </w:rPr>
              <w:t>4</w:t>
            </w:r>
            <w:r>
              <w:rPr>
                <w:rFonts w:hint="default" w:ascii="Times New Roman" w:hAnsi="Times New Roman" w:cs="Times New Roman"/>
                <w:bCs/>
                <w:color w:val="auto"/>
                <w:szCs w:val="21"/>
              </w:rPr>
              <w:t>t/a，</w:t>
            </w:r>
            <w:r>
              <w:rPr>
                <w:rFonts w:hint="default" w:ascii="Times New Roman" w:hAnsi="Times New Roman" w:eastAsia="宋体" w:cs="Times New Roman"/>
                <w:bCs/>
                <w:color w:val="auto"/>
                <w:szCs w:val="21"/>
              </w:rPr>
              <w:t>本项目</w:t>
            </w:r>
            <w:r>
              <w:rPr>
                <w:rFonts w:hint="eastAsia" w:ascii="Times New Roman" w:hAnsi="Times New Roman" w:eastAsia="宋体" w:cs="Times New Roman"/>
                <w:bCs/>
                <w:color w:val="auto"/>
                <w:szCs w:val="21"/>
                <w:lang w:eastAsia="zh-CN"/>
              </w:rPr>
              <w:t>6口</w:t>
            </w:r>
            <w:r>
              <w:rPr>
                <w:rFonts w:hint="default" w:ascii="Times New Roman" w:hAnsi="Times New Roman" w:eastAsia="宋体" w:cs="Times New Roman"/>
                <w:bCs/>
                <w:color w:val="auto"/>
                <w:szCs w:val="21"/>
              </w:rPr>
              <w:t>采油井全部投产后预计年含油污泥最大产生量为</w:t>
            </w:r>
            <w:r>
              <w:rPr>
                <w:rFonts w:hint="eastAsia" w:ascii="Times New Roman" w:hAnsi="Times New Roman" w:eastAsia="宋体" w:cs="Times New Roman"/>
                <w:bCs/>
                <w:color w:val="auto"/>
                <w:szCs w:val="21"/>
                <w:lang w:eastAsia="zh-CN"/>
              </w:rPr>
              <w:t>130.69</w:t>
            </w:r>
            <w:r>
              <w:rPr>
                <w:rFonts w:hint="default" w:ascii="Times New Roman" w:hAnsi="Times New Roman" w:eastAsia="宋体" w:cs="Times New Roman"/>
                <w:bCs/>
                <w:color w:val="auto"/>
                <w:szCs w:val="21"/>
              </w:rPr>
              <w:t>t/a，可满足本工程处理需求，依托可行。</w:t>
            </w:r>
          </w:p>
        </w:tc>
        <w:tc>
          <w:tcPr>
            <w:tcW w:w="531" w:type="dxa"/>
            <w:vMerge w:val="continue"/>
            <w:vAlign w:val="center"/>
          </w:tcPr>
          <w:p>
            <w:pPr>
              <w:snapToGrid w:val="0"/>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75" w:type="dxa"/>
            <w:vMerge w:val="continue"/>
            <w:vAlign w:val="center"/>
          </w:tcPr>
          <w:p>
            <w:pPr>
              <w:pStyle w:val="47"/>
              <w:rPr>
                <w:rFonts w:hint="default" w:ascii="Times New Roman" w:hAnsi="Times New Roman" w:cs="Times New Roman"/>
                <w:color w:val="auto"/>
              </w:rPr>
            </w:pPr>
          </w:p>
        </w:tc>
        <w:tc>
          <w:tcPr>
            <w:tcW w:w="93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szCs w:val="21"/>
              </w:rPr>
              <w:t>陆梁油田生活垃圾填埋场</w:t>
            </w:r>
          </w:p>
        </w:tc>
        <w:tc>
          <w:tcPr>
            <w:tcW w:w="6476" w:type="dxa"/>
            <w:gridSpan w:val="3"/>
            <w:vAlign w:val="center"/>
          </w:tcPr>
          <w:p>
            <w:pPr>
              <w:widowControl/>
              <w:jc w:val="center"/>
              <w:rPr>
                <w:rFonts w:hint="default" w:ascii="Times New Roman" w:hAnsi="Times New Roman" w:eastAsia="宋体" w:cs="Times New Roman"/>
                <w:snapToGrid w:val="0"/>
                <w:color w:val="auto"/>
              </w:rPr>
            </w:pPr>
            <w:r>
              <w:rPr>
                <w:rFonts w:hint="default" w:ascii="Times New Roman" w:hAnsi="Times New Roman" w:cs="Times New Roman"/>
                <w:color w:val="auto"/>
                <w:szCs w:val="21"/>
              </w:rPr>
              <w:t>本项目钻井期生活垃圾经陆梁公寓收集后，运至陆梁油田生活垃圾填埋场处置。陆梁油田生活垃圾填埋场占地面积21000m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，场址由北向南依次为三座容积各18000m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垃圾填埋池，总容积54000m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，服务年限为10年。本项目施工期生活垃圾量约为</w:t>
            </w:r>
            <w:r>
              <w:rPr>
                <w:rFonts w:hint="eastAsia" w:ascii="Times New Roman" w:hAnsi="Times New Roman" w:cs="Times New Roman"/>
                <w:color w:val="auto"/>
                <w:szCs w:val="21"/>
                <w:lang w:val="en-US" w:eastAsia="zh-CN"/>
              </w:rPr>
              <w:t>8.86</w:t>
            </w:r>
            <w:r>
              <w:rPr>
                <w:rFonts w:hint="default" w:ascii="Times New Roman" w:hAnsi="Times New Roman" w:cs="Times New Roman"/>
                <w:color w:val="auto"/>
                <w:szCs w:val="21"/>
              </w:rPr>
              <w:t>t，产生量较少，陆梁油田生活垃圾处理工程可接收本项目钻井期生活垃圾，依托可行。</w:t>
            </w:r>
          </w:p>
        </w:tc>
        <w:tc>
          <w:tcPr>
            <w:tcW w:w="531" w:type="dxa"/>
            <w:vMerge w:val="continue"/>
            <w:vAlign w:val="center"/>
          </w:tcPr>
          <w:p>
            <w:pPr>
              <w:pStyle w:val="47"/>
              <w:rPr>
                <w:rFonts w:hint="default" w:ascii="Times New Roman" w:hAnsi="Times New Roman" w:cs="Times New Roman"/>
                <w:color w:val="auto"/>
              </w:rPr>
            </w:pPr>
          </w:p>
        </w:tc>
      </w:tr>
      <w:bookmarkEnd w:id="58"/>
    </w:tbl>
    <w:p>
      <w:pPr>
        <w:pStyle w:val="3"/>
        <w:spacing w:before="10" w:after="10"/>
        <w:rPr>
          <w:rFonts w:hint="default" w:ascii="Times New Roman" w:hAnsi="Times New Roman" w:eastAsia="宋体" w:cs="Times New Roman"/>
          <w:color w:val="auto"/>
        </w:rPr>
      </w:pPr>
      <w:bookmarkStart w:id="61" w:name="_Toc30641"/>
      <w:r>
        <w:rPr>
          <w:rFonts w:hint="default" w:ascii="Times New Roman" w:hAnsi="Times New Roman" w:eastAsia="宋体" w:cs="Times New Roman"/>
          <w:color w:val="auto"/>
        </w:rPr>
        <w:t>3.4工程方案</w:t>
      </w:r>
      <w:bookmarkEnd w:id="61"/>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3.4.1部署情况</w:t>
      </w:r>
    </w:p>
    <w:p>
      <w:pPr>
        <w:widowControl/>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eastAsia" w:ascii="Times New Roman" w:hAnsi="Times New Roman" w:eastAsia="宋体" w:cs="Times New Roman"/>
          <w:color w:val="auto"/>
          <w:sz w:val="24"/>
          <w:lang w:eastAsia="zh-CN"/>
        </w:rPr>
        <w:t>陆136井区侏罗系头屯河组</w:t>
      </w:r>
      <w:r>
        <w:rPr>
          <w:rFonts w:hint="eastAsia" w:ascii="Times New Roman" w:hAnsi="Times New Roman" w:eastAsia="宋体" w:cs="Times New Roman"/>
          <w:color w:val="auto"/>
          <w:sz w:val="24"/>
          <w:szCs w:val="24"/>
          <w:lang w:eastAsia="zh-CN"/>
        </w:rPr>
        <w:t>J</w:t>
      </w:r>
      <w:r>
        <w:rPr>
          <w:rFonts w:hint="eastAsia" w:ascii="Times New Roman" w:hAnsi="Times New Roman" w:eastAsia="宋体" w:cs="Times New Roman"/>
          <w:color w:val="auto"/>
          <w:sz w:val="24"/>
          <w:szCs w:val="24"/>
          <w:vertAlign w:val="subscript"/>
          <w:lang w:eastAsia="zh-CN"/>
        </w:rPr>
        <w:t>2</w:t>
      </w:r>
      <w:r>
        <w:rPr>
          <w:rFonts w:hint="eastAsia" w:ascii="Times New Roman" w:hAnsi="Times New Roman" w:eastAsia="宋体" w:cs="Times New Roman"/>
          <w:color w:val="auto"/>
          <w:sz w:val="24"/>
          <w:szCs w:val="24"/>
          <w:lang w:eastAsia="zh-CN"/>
        </w:rPr>
        <w:t>t</w:t>
      </w:r>
      <w:r>
        <w:rPr>
          <w:rFonts w:hint="eastAsia" w:ascii="Times New Roman" w:hAnsi="Times New Roman" w:eastAsia="宋体" w:cs="Times New Roman"/>
          <w:color w:val="auto"/>
          <w:sz w:val="24"/>
          <w:szCs w:val="24"/>
          <w:vertAlign w:val="subscript"/>
          <w:lang w:eastAsia="zh-CN"/>
        </w:rPr>
        <w:t>1</w:t>
      </w:r>
      <w:r>
        <w:rPr>
          <w:rFonts w:hint="eastAsia" w:ascii="Times New Roman" w:hAnsi="Times New Roman" w:eastAsia="宋体" w:cs="Times New Roman"/>
          <w:color w:val="auto"/>
          <w:sz w:val="24"/>
          <w:lang w:eastAsia="zh-CN"/>
        </w:rPr>
        <w:t>油藏</w:t>
      </w:r>
      <w:r>
        <w:rPr>
          <w:rFonts w:hint="default" w:ascii="Times New Roman" w:hAnsi="Times New Roman" w:eastAsia="宋体" w:cs="Times New Roman"/>
          <w:color w:val="auto"/>
          <w:sz w:val="24"/>
          <w:lang w:val="en-US" w:eastAsia="zh-CN"/>
        </w:rPr>
        <w:t>2025年实施意见</w:t>
      </w:r>
      <w:r>
        <w:rPr>
          <w:rFonts w:hint="default" w:ascii="Times New Roman" w:hAnsi="Times New Roman" w:eastAsia="宋体" w:cs="Times New Roman"/>
          <w:color w:val="auto"/>
          <w:sz w:val="24"/>
        </w:rPr>
        <w:t>》部署结果，</w:t>
      </w:r>
      <w:r>
        <w:rPr>
          <w:rFonts w:hint="eastAsia" w:ascii="Times New Roman" w:hAnsi="Times New Roman" w:eastAsia="宋体" w:cs="Times New Roman"/>
          <w:color w:val="auto"/>
          <w:kern w:val="0"/>
          <w:sz w:val="24"/>
          <w:lang w:eastAsia="zh-CN"/>
        </w:rPr>
        <w:t>陆136井区</w:t>
      </w:r>
      <w:r>
        <w:rPr>
          <w:rFonts w:hint="default" w:ascii="Times New Roman" w:hAnsi="Times New Roman" w:eastAsia="宋体" w:cs="Times New Roman"/>
          <w:color w:val="auto"/>
          <w:kern w:val="0"/>
          <w:sz w:val="24"/>
        </w:rPr>
        <w:t>2024年试验区内共部署新钻采油井</w:t>
      </w:r>
      <w:r>
        <w:rPr>
          <w:rFonts w:hint="eastAsia" w:ascii="Times New Roman" w:hAnsi="Times New Roman" w:eastAsia="宋体" w:cs="Times New Roman"/>
          <w:color w:val="auto"/>
          <w:kern w:val="0"/>
          <w:sz w:val="24"/>
          <w:lang w:eastAsia="zh-CN"/>
        </w:rPr>
        <w:t>6口</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注水井2</w:t>
      </w:r>
      <w:r>
        <w:rPr>
          <w:rFonts w:hint="default" w:ascii="Times New Roman" w:hAnsi="Times New Roman" w:eastAsia="宋体" w:cs="Times New Roman"/>
          <w:color w:val="auto"/>
          <w:kern w:val="0"/>
          <w:sz w:val="24"/>
        </w:rPr>
        <w:t>口，钻井总进尺</w:t>
      </w:r>
      <w:r>
        <w:rPr>
          <w:rFonts w:hint="eastAsia" w:ascii="Times New Roman" w:hAnsi="Times New Roman" w:eastAsia="宋体" w:cs="Times New Roman"/>
          <w:color w:val="auto"/>
          <w:kern w:val="0"/>
          <w:sz w:val="24"/>
          <w:lang w:eastAsia="zh-CN"/>
        </w:rPr>
        <w:t>1.61×10</w:t>
      </w:r>
      <w:r>
        <w:rPr>
          <w:rFonts w:hint="default" w:ascii="Times New Roman" w:hAnsi="Times New Roman" w:eastAsia="宋体" w:cs="Times New Roman"/>
          <w:color w:val="auto"/>
          <w:kern w:val="0"/>
          <w:sz w:val="24"/>
          <w:vertAlign w:val="superscript"/>
        </w:rPr>
        <w:t>4</w:t>
      </w:r>
      <w:r>
        <w:rPr>
          <w:rFonts w:hint="default" w:ascii="Times New Roman" w:hAnsi="Times New Roman" w:eastAsia="宋体" w:cs="Times New Roman"/>
          <w:color w:val="auto"/>
          <w:kern w:val="0"/>
          <w:sz w:val="24"/>
        </w:rPr>
        <w:t>m，新建产能</w:t>
      </w:r>
      <w:r>
        <w:rPr>
          <w:rFonts w:hint="eastAsia" w:ascii="Times New Roman" w:hAnsi="Times New Roman" w:eastAsia="宋体" w:cs="Times New Roman"/>
          <w:color w:val="auto"/>
          <w:kern w:val="0"/>
          <w:sz w:val="24"/>
          <w:lang w:eastAsia="zh-CN"/>
        </w:rPr>
        <w:t>1.44×10</w:t>
      </w:r>
      <w:r>
        <w:rPr>
          <w:rFonts w:hint="default" w:ascii="Times New Roman" w:hAnsi="Times New Roman" w:eastAsia="宋体" w:cs="Times New Roman"/>
          <w:color w:val="auto"/>
          <w:kern w:val="0"/>
          <w:sz w:val="24"/>
          <w:vertAlign w:val="superscript"/>
        </w:rPr>
        <w:t>4</w:t>
      </w:r>
      <w:r>
        <w:rPr>
          <w:rFonts w:hint="default" w:ascii="Times New Roman" w:hAnsi="Times New Roman" w:eastAsia="宋体" w:cs="Times New Roman"/>
          <w:color w:val="auto"/>
          <w:kern w:val="0"/>
          <w:sz w:val="24"/>
        </w:rPr>
        <w:t>t</w:t>
      </w:r>
      <w:r>
        <w:rPr>
          <w:rFonts w:hint="eastAsia" w:ascii="Times New Roman" w:hAnsi="Times New Roman" w:eastAsia="宋体" w:cs="Times New Roman"/>
          <w:color w:val="auto"/>
          <w:kern w:val="0"/>
          <w:sz w:val="24"/>
          <w:lang w:val="en-US" w:eastAsia="zh-CN"/>
        </w:rPr>
        <w:t>/a，新增注水规模2.32</w:t>
      </w:r>
      <w:r>
        <w:rPr>
          <w:rFonts w:hint="eastAsia" w:ascii="Times New Roman" w:hAnsi="Times New Roman" w:eastAsia="宋体" w:cs="Times New Roman"/>
          <w:color w:val="auto"/>
          <w:kern w:val="0"/>
          <w:sz w:val="24"/>
          <w:lang w:eastAsia="zh-CN"/>
        </w:rPr>
        <w:t>×10</w:t>
      </w:r>
      <w:r>
        <w:rPr>
          <w:rFonts w:hint="default" w:ascii="Times New Roman" w:hAnsi="Times New Roman" w:eastAsia="宋体" w:cs="Times New Roman"/>
          <w:color w:val="auto"/>
          <w:kern w:val="0"/>
          <w:sz w:val="24"/>
          <w:vertAlign w:val="superscript"/>
        </w:rPr>
        <w:t>4</w:t>
      </w:r>
      <w:r>
        <w:rPr>
          <w:rFonts w:hint="default" w:ascii="Times New Roman" w:hAnsi="Times New Roman" w:eastAsia="宋体" w:cs="Times New Roman"/>
          <w:color w:val="auto"/>
          <w:kern w:val="0"/>
          <w:sz w:val="24"/>
        </w:rPr>
        <w:t>t</w:t>
      </w:r>
      <w:r>
        <w:rPr>
          <w:rFonts w:hint="eastAsia" w:ascii="Times New Roman" w:hAnsi="Times New Roman" w:eastAsia="宋体" w:cs="Times New Roman"/>
          <w:color w:val="auto"/>
          <w:kern w:val="0"/>
          <w:sz w:val="24"/>
          <w:lang w:val="en-US" w:eastAsia="zh-CN"/>
        </w:rPr>
        <w:t>/a</w:t>
      </w:r>
      <w:r>
        <w:rPr>
          <w:rFonts w:hint="default" w:ascii="Times New Roman" w:hAnsi="Times New Roman" w:eastAsia="宋体" w:cs="Times New Roman"/>
          <w:color w:val="auto"/>
          <w:kern w:val="0"/>
          <w:sz w:val="24"/>
        </w:rPr>
        <w:t>。预测生产20年，累计产油12.1×10</w:t>
      </w:r>
      <w:r>
        <w:rPr>
          <w:rFonts w:hint="default" w:ascii="Times New Roman" w:hAnsi="Times New Roman" w:eastAsia="宋体" w:cs="Times New Roman"/>
          <w:color w:val="auto"/>
          <w:kern w:val="0"/>
          <w:sz w:val="24"/>
          <w:vertAlign w:val="superscript"/>
        </w:rPr>
        <w:t xml:space="preserve">4 </w:t>
      </w:r>
      <w:r>
        <w:rPr>
          <w:rFonts w:hint="default" w:ascii="Times New Roman" w:hAnsi="Times New Roman" w:eastAsia="宋体" w:cs="Times New Roman"/>
          <w:color w:val="auto"/>
          <w:kern w:val="0"/>
          <w:sz w:val="24"/>
        </w:rPr>
        <w:t>t，平均单井累计产油1.35×10</w:t>
      </w:r>
      <w:r>
        <w:rPr>
          <w:rFonts w:hint="default" w:ascii="Times New Roman" w:hAnsi="Times New Roman" w:eastAsia="宋体" w:cs="Times New Roman"/>
          <w:color w:val="auto"/>
          <w:kern w:val="0"/>
          <w:sz w:val="24"/>
          <w:vertAlign w:val="superscript"/>
        </w:rPr>
        <w:t>4</w:t>
      </w:r>
      <w:r>
        <w:rPr>
          <w:rFonts w:hint="default" w:ascii="Times New Roman" w:hAnsi="Times New Roman" w:eastAsia="宋体" w:cs="Times New Roman"/>
          <w:color w:val="auto"/>
          <w:kern w:val="0"/>
          <w:sz w:val="24"/>
        </w:rPr>
        <w:t>t。</w:t>
      </w:r>
    </w:p>
    <w:p>
      <w:pPr>
        <w:widowControl/>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Cs w:val="21"/>
        </w:rPr>
        <w:t xml:space="preserve">表3.4-1    </w:t>
      </w:r>
      <w:r>
        <w:rPr>
          <w:rFonts w:hint="eastAsia" w:ascii="Times New Roman" w:hAnsi="Times New Roman" w:eastAsia="宋体" w:cs="Times New Roman"/>
          <w:b/>
          <w:bCs/>
          <w:color w:val="auto"/>
          <w:szCs w:val="21"/>
          <w:lang w:eastAsia="zh-CN"/>
        </w:rPr>
        <w:t>陆136井区侏罗系头屯河组</w:t>
      </w:r>
      <w:r>
        <w:rPr>
          <w:rFonts w:hint="eastAsia" w:ascii="Times New Roman" w:hAnsi="Times New Roman" w:eastAsia="宋体" w:cs="Times New Roman"/>
          <w:b/>
          <w:bCs/>
          <w:color w:val="auto"/>
          <w:sz w:val="24"/>
          <w:szCs w:val="24"/>
          <w:lang w:eastAsia="zh-CN"/>
        </w:rPr>
        <w:t>J</w:t>
      </w:r>
      <w:r>
        <w:rPr>
          <w:rFonts w:hint="eastAsia" w:ascii="Times New Roman" w:hAnsi="Times New Roman" w:eastAsia="宋体" w:cs="Times New Roman"/>
          <w:b/>
          <w:bCs/>
          <w:color w:val="auto"/>
          <w:sz w:val="24"/>
          <w:szCs w:val="24"/>
          <w:vertAlign w:val="subscript"/>
          <w:lang w:eastAsia="zh-CN"/>
        </w:rPr>
        <w:t>2</w:t>
      </w:r>
      <w:r>
        <w:rPr>
          <w:rFonts w:hint="eastAsia" w:ascii="Times New Roman" w:hAnsi="Times New Roman" w:eastAsia="宋体" w:cs="Times New Roman"/>
          <w:b/>
          <w:bCs/>
          <w:color w:val="auto"/>
          <w:sz w:val="24"/>
          <w:szCs w:val="24"/>
          <w:lang w:eastAsia="zh-CN"/>
        </w:rPr>
        <w:t>t</w:t>
      </w:r>
      <w:r>
        <w:rPr>
          <w:rFonts w:hint="eastAsia" w:ascii="Times New Roman" w:hAnsi="Times New Roman" w:eastAsia="宋体" w:cs="Times New Roman"/>
          <w:b/>
          <w:bCs/>
          <w:color w:val="auto"/>
          <w:sz w:val="24"/>
          <w:szCs w:val="24"/>
          <w:vertAlign w:val="subscript"/>
          <w:lang w:eastAsia="zh-CN"/>
        </w:rPr>
        <w:t>1</w:t>
      </w:r>
      <w:r>
        <w:rPr>
          <w:rFonts w:hint="eastAsia" w:ascii="Times New Roman" w:hAnsi="Times New Roman" w:eastAsia="宋体" w:cs="Times New Roman"/>
          <w:b/>
          <w:bCs/>
          <w:color w:val="auto"/>
          <w:szCs w:val="21"/>
          <w:lang w:eastAsia="zh-CN"/>
        </w:rPr>
        <w:t>油藏</w:t>
      </w:r>
      <w:r>
        <w:rPr>
          <w:rFonts w:hint="default" w:ascii="Times New Roman" w:hAnsi="Times New Roman" w:eastAsia="宋体" w:cs="Times New Roman"/>
          <w:b/>
          <w:bCs/>
          <w:color w:val="auto"/>
          <w:szCs w:val="21"/>
        </w:rPr>
        <w:t>开发部署表</w:t>
      </w:r>
    </w:p>
    <w:p>
      <w:pPr>
        <w:adjustRightInd w:val="0"/>
        <w:snapToGrid w:val="0"/>
        <w:spacing w:line="360" w:lineRule="auto"/>
        <w:jc w:val="center"/>
        <w:rPr>
          <w:rFonts w:hint="default" w:ascii="Times New Roman" w:hAnsi="Times New Roman" w:eastAsia="宋体" w:cs="Times New Roman"/>
          <w:b/>
          <w:bCs/>
          <w:color w:val="auto"/>
          <w:szCs w:val="21"/>
        </w:rPr>
      </w:pPr>
    </w:p>
    <w:p>
      <w:pPr>
        <w:tabs>
          <w:tab w:val="left" w:pos="3465"/>
        </w:tabs>
        <w:spacing w:line="360" w:lineRule="auto"/>
        <w:outlineLvl w:val="2"/>
        <w:rPr>
          <w:rFonts w:hint="default" w:ascii="Times New Roman" w:hAnsi="Times New Roman" w:eastAsia="宋体" w:cs="Times New Roman"/>
          <w:b/>
          <w:color w:val="auto"/>
          <w:sz w:val="30"/>
          <w:szCs w:val="30"/>
        </w:rPr>
      </w:pPr>
      <w:bookmarkStart w:id="602" w:name="_GoBack"/>
      <w:bookmarkEnd w:id="602"/>
      <w:r>
        <w:rPr>
          <w:rFonts w:hint="default" w:ascii="Times New Roman" w:hAnsi="Times New Roman" w:eastAsia="宋体" w:cs="Times New Roman"/>
          <w:b/>
          <w:color w:val="auto"/>
          <w:sz w:val="30"/>
          <w:szCs w:val="30"/>
        </w:rPr>
        <w:t>3.4.2开发指标预测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cs="Times New Roman"/>
          <w:color w:val="auto"/>
          <w:sz w:val="24"/>
          <w:szCs w:val="24"/>
          <w:lang w:eastAsia="zh-CN"/>
        </w:rPr>
        <w:t>陆136井区侏罗系头屯河组</w:t>
      </w:r>
      <w:r>
        <w:rPr>
          <w:rFonts w:hint="default" w:ascii="Times New Roman" w:hAnsi="Times New Roman" w:cs="Times New Roman"/>
          <w:color w:val="auto"/>
          <w:sz w:val="24"/>
          <w:szCs w:val="24"/>
        </w:rPr>
        <w:t>产量指标预测详见表3.4-</w:t>
      </w:r>
      <w:r>
        <w:rPr>
          <w:rFonts w:hint="eastAsia" w:cs="Times New Roman"/>
          <w:color w:val="auto"/>
          <w:sz w:val="24"/>
          <w:szCs w:val="24"/>
          <w:lang w:val="en-US" w:eastAsia="zh-CN"/>
        </w:rPr>
        <w:t>4</w:t>
      </w:r>
      <w:r>
        <w:rPr>
          <w:rFonts w:hint="default" w:ascii="Times New Roman" w:hAnsi="Times New Roman" w:cs="Times New Roman"/>
          <w:color w:val="auto"/>
          <w:sz w:val="24"/>
          <w:szCs w:val="24"/>
        </w:rPr>
        <w:t>。</w:t>
      </w:r>
    </w:p>
    <w:p>
      <w:pPr>
        <w:autoSpaceDE w:val="0"/>
        <w:autoSpaceDN w:val="0"/>
        <w:adjustRightInd w:val="0"/>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表3.4-</w:t>
      </w:r>
      <w:r>
        <w:rPr>
          <w:rFonts w:hint="eastAsia" w:ascii="Times New Roman" w:hAnsi="Times New Roman" w:eastAsia="宋体" w:cs="Times New Roman"/>
          <w:b/>
          <w:bCs/>
          <w:color w:val="auto"/>
          <w:szCs w:val="21"/>
          <w:lang w:val="en-US" w:eastAsia="zh-CN"/>
        </w:rPr>
        <w:t>4</w:t>
      </w:r>
      <w:r>
        <w:rPr>
          <w:rFonts w:hint="default" w:ascii="Times New Roman" w:hAnsi="Times New Roman" w:eastAsia="宋体" w:cs="Times New Roman"/>
          <w:b/>
          <w:bCs/>
          <w:color w:val="auto"/>
          <w:szCs w:val="21"/>
        </w:rPr>
        <w:t xml:space="preserve">  </w:t>
      </w:r>
      <w:r>
        <w:rPr>
          <w:rFonts w:hint="eastAsia" w:ascii="Times New Roman" w:hAnsi="Times New Roman" w:eastAsia="宋体" w:cs="Times New Roman"/>
          <w:b/>
          <w:color w:val="auto"/>
          <w:lang w:eastAsia="zh-CN"/>
        </w:rPr>
        <w:t>陆136井区侏罗系头屯河组J</w:t>
      </w:r>
      <w:r>
        <w:rPr>
          <w:rFonts w:hint="eastAsia" w:ascii="Times New Roman" w:hAnsi="Times New Roman" w:eastAsia="宋体" w:cs="Times New Roman"/>
          <w:b/>
          <w:color w:val="auto"/>
          <w:vertAlign w:val="subscript"/>
          <w:lang w:eastAsia="zh-CN"/>
        </w:rPr>
        <w:t>2</w:t>
      </w:r>
      <w:r>
        <w:rPr>
          <w:rFonts w:hint="eastAsia" w:ascii="Times New Roman" w:hAnsi="Times New Roman" w:eastAsia="宋体" w:cs="Times New Roman"/>
          <w:b/>
          <w:color w:val="auto"/>
          <w:lang w:eastAsia="zh-CN"/>
        </w:rPr>
        <w:t>t</w:t>
      </w:r>
      <w:r>
        <w:rPr>
          <w:rFonts w:hint="eastAsia" w:ascii="Times New Roman" w:hAnsi="Times New Roman" w:eastAsia="宋体" w:cs="Times New Roman"/>
          <w:b/>
          <w:color w:val="auto"/>
          <w:vertAlign w:val="subscript"/>
          <w:lang w:eastAsia="zh-CN"/>
        </w:rPr>
        <w:t>1</w:t>
      </w:r>
      <w:r>
        <w:rPr>
          <w:rFonts w:hint="eastAsia" w:ascii="Times New Roman" w:hAnsi="Times New Roman" w:eastAsia="宋体" w:cs="Times New Roman"/>
          <w:b/>
          <w:color w:val="auto"/>
          <w:lang w:eastAsia="zh-CN"/>
        </w:rPr>
        <w:t>油藏</w:t>
      </w:r>
      <w:r>
        <w:rPr>
          <w:rFonts w:hint="default" w:ascii="Times New Roman" w:hAnsi="Times New Roman" w:eastAsia="宋体" w:cs="Times New Roman"/>
          <w:b/>
          <w:color w:val="auto"/>
          <w:szCs w:val="21"/>
        </w:rPr>
        <w:t>试验井开发指标预测表</w:t>
      </w:r>
    </w:p>
    <w:tbl>
      <w:tblPr>
        <w:tblStyle w:val="31"/>
        <w:tblW w:w="83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3"/>
        <w:gridCol w:w="1093"/>
        <w:gridCol w:w="1093"/>
        <w:gridCol w:w="1213"/>
        <w:gridCol w:w="821"/>
        <w:gridCol w:w="821"/>
        <w:gridCol w:w="851"/>
        <w:gridCol w:w="777"/>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ascii="Times New Roman" w:hAnsi="Times New Roman" w:eastAsia="宋体" w:cs="Times New Roman"/>
                <w:b/>
                <w:bCs/>
                <w:color w:val="auto"/>
                <w:sz w:val="21"/>
                <w:szCs w:val="21"/>
                <w:highlight w:val="none"/>
                <w:lang w:eastAsia="zh-CN" w:bidi="ar"/>
              </w:rPr>
            </w:pP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年</w:t>
            </w:r>
            <w:r>
              <w:rPr>
                <w:rFonts w:hint="eastAsia" w:ascii="Times New Roman" w:hAnsi="Times New Roman" w:eastAsia="宋体" w:cs="Times New Roman"/>
                <w:b/>
                <w:bCs/>
                <w:color w:val="auto"/>
                <w:sz w:val="21"/>
                <w:szCs w:val="21"/>
                <w:highlight w:val="none"/>
                <w:lang w:eastAsia="zh-CN"/>
              </w:rPr>
              <w:t>）</w:t>
            </w:r>
          </w:p>
        </w:tc>
        <w:tc>
          <w:tcPr>
            <w:tcW w:w="1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采油</w:t>
            </w:r>
            <w:r>
              <w:rPr>
                <w:rFonts w:hint="default" w:ascii="Times New Roman" w:hAnsi="Times New Roman" w:eastAsia="宋体" w:cs="Times New Roman"/>
                <w:b/>
                <w:bCs/>
                <w:color w:val="auto"/>
                <w:sz w:val="21"/>
                <w:szCs w:val="21"/>
                <w:highlight w:val="none"/>
              </w:rPr>
              <w:t>井数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rPr>
              <w:t>（口）</w:t>
            </w:r>
          </w:p>
        </w:tc>
        <w:tc>
          <w:tcPr>
            <w:tcW w:w="1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注水井数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val="en-US" w:eastAsia="zh-CN"/>
              </w:rPr>
              <w:t>（口）</w:t>
            </w:r>
          </w:p>
        </w:tc>
        <w:tc>
          <w:tcPr>
            <w:tcW w:w="121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年注水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kern w:val="0"/>
                <w:sz w:val="21"/>
                <w:szCs w:val="21"/>
                <w:highlight w:val="none"/>
              </w:rPr>
              <w:t>10</w:t>
            </w:r>
            <w:r>
              <w:rPr>
                <w:rFonts w:hint="default" w:ascii="Times New Roman" w:hAnsi="Times New Roman" w:eastAsia="宋体" w:cs="Times New Roman"/>
                <w:b/>
                <w:bCs/>
                <w:color w:val="auto"/>
                <w:kern w:val="0"/>
                <w:sz w:val="21"/>
                <w:szCs w:val="21"/>
                <w:highlight w:val="none"/>
                <w:vertAlign w:val="superscript"/>
              </w:rPr>
              <w:t>4</w:t>
            </w:r>
            <w:r>
              <w:rPr>
                <w:rFonts w:hint="default" w:ascii="Times New Roman" w:hAnsi="Times New Roman" w:eastAsia="宋体" w:cs="Times New Roman"/>
                <w:b/>
                <w:bCs/>
                <w:color w:val="auto"/>
                <w:kern w:val="0"/>
                <w:sz w:val="21"/>
                <w:szCs w:val="21"/>
                <w:highlight w:val="none"/>
              </w:rPr>
              <w:t>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c>
          <w:tcPr>
            <w:tcW w:w="821"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年产油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b/>
                <w:bCs/>
                <w:color w:val="auto"/>
                <w:sz w:val="21"/>
                <w:szCs w:val="21"/>
                <w:highlight w:val="none"/>
                <w:lang w:bidi="ar"/>
              </w:rPr>
            </w:pPr>
            <w:r>
              <w:rPr>
                <w:rFonts w:hint="default" w:ascii="Times New Roman" w:hAnsi="Times New Roman" w:eastAsia="宋体" w:cs="Times New Roman"/>
                <w:b/>
                <w:bCs/>
                <w:color w:val="auto"/>
                <w:kern w:val="0"/>
                <w:sz w:val="21"/>
                <w:szCs w:val="21"/>
                <w:highlight w:val="none"/>
              </w:rPr>
              <w:t>(10</w:t>
            </w:r>
            <w:r>
              <w:rPr>
                <w:rFonts w:hint="default" w:ascii="Times New Roman" w:hAnsi="Times New Roman" w:eastAsia="宋体" w:cs="Times New Roman"/>
                <w:b/>
                <w:bCs/>
                <w:color w:val="auto"/>
                <w:kern w:val="0"/>
                <w:sz w:val="21"/>
                <w:szCs w:val="21"/>
                <w:highlight w:val="none"/>
                <w:vertAlign w:val="superscript"/>
              </w:rPr>
              <w:t>4</w:t>
            </w:r>
            <w:r>
              <w:rPr>
                <w:rFonts w:hint="default" w:ascii="Times New Roman" w:hAnsi="Times New Roman" w:eastAsia="宋体" w:cs="Times New Roman"/>
                <w:b/>
                <w:bCs/>
                <w:color w:val="auto"/>
                <w:kern w:val="0"/>
                <w:sz w:val="21"/>
                <w:szCs w:val="21"/>
                <w:highlight w:val="none"/>
              </w:rPr>
              <w:t>t)</w:t>
            </w:r>
          </w:p>
        </w:tc>
        <w:tc>
          <w:tcPr>
            <w:tcW w:w="821"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年产液</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b/>
                <w:bCs/>
                <w:color w:val="auto"/>
                <w:sz w:val="21"/>
                <w:szCs w:val="21"/>
                <w:highlight w:val="none"/>
                <w:lang w:bidi="ar"/>
              </w:rPr>
            </w:pPr>
            <w:r>
              <w:rPr>
                <w:rFonts w:hint="default" w:ascii="Times New Roman" w:hAnsi="Times New Roman" w:eastAsia="宋体" w:cs="Times New Roman"/>
                <w:b/>
                <w:bCs/>
                <w:color w:val="auto"/>
                <w:kern w:val="0"/>
                <w:sz w:val="21"/>
                <w:szCs w:val="21"/>
                <w:highlight w:val="none"/>
              </w:rPr>
              <w:t>(10</w:t>
            </w:r>
            <w:r>
              <w:rPr>
                <w:rFonts w:hint="default" w:ascii="Times New Roman" w:hAnsi="Times New Roman" w:eastAsia="宋体" w:cs="Times New Roman"/>
                <w:b/>
                <w:bCs/>
                <w:color w:val="auto"/>
                <w:kern w:val="0"/>
                <w:sz w:val="21"/>
                <w:szCs w:val="21"/>
                <w:highlight w:val="none"/>
                <w:vertAlign w:val="superscript"/>
              </w:rPr>
              <w:t>4</w:t>
            </w:r>
            <w:r>
              <w:rPr>
                <w:rFonts w:hint="default" w:ascii="Times New Roman" w:hAnsi="Times New Roman" w:eastAsia="宋体" w:cs="Times New Roman"/>
                <w:b/>
                <w:bCs/>
                <w:color w:val="auto"/>
                <w:kern w:val="0"/>
                <w:sz w:val="21"/>
                <w:szCs w:val="21"/>
                <w:highlight w:val="none"/>
              </w:rPr>
              <w:t>t)</w:t>
            </w:r>
          </w:p>
        </w:tc>
        <w:tc>
          <w:tcPr>
            <w:tcW w:w="851"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年产气</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b/>
                <w:bCs/>
                <w:color w:val="auto"/>
                <w:sz w:val="21"/>
                <w:szCs w:val="21"/>
                <w:highlight w:val="none"/>
                <w:lang w:bidi="ar"/>
              </w:rPr>
            </w:pPr>
            <w:r>
              <w:rPr>
                <w:rFonts w:hint="default" w:ascii="Times New Roman" w:hAnsi="Times New Roman" w:eastAsia="宋体" w:cs="Times New Roman"/>
                <w:b/>
                <w:bCs/>
                <w:color w:val="auto"/>
                <w:kern w:val="0"/>
                <w:sz w:val="21"/>
                <w:szCs w:val="21"/>
                <w:highlight w:val="none"/>
              </w:rPr>
              <w:t>(10</w:t>
            </w:r>
            <w:r>
              <w:rPr>
                <w:rFonts w:hint="default" w:ascii="Times New Roman" w:hAnsi="Times New Roman" w:eastAsia="宋体" w:cs="Times New Roman"/>
                <w:b/>
                <w:bCs/>
                <w:color w:val="auto"/>
                <w:kern w:val="0"/>
                <w:sz w:val="21"/>
                <w:szCs w:val="21"/>
                <w:highlight w:val="none"/>
                <w:vertAlign w:val="superscript"/>
              </w:rPr>
              <w:t>4</w:t>
            </w:r>
            <w:r>
              <w:rPr>
                <w:rFonts w:hint="default" w:ascii="Times New Roman" w:hAnsi="Times New Roman" w:eastAsia="宋体" w:cs="Times New Roman"/>
                <w:b/>
                <w:bCs/>
                <w:color w:val="auto"/>
                <w:kern w:val="0"/>
                <w:sz w:val="21"/>
                <w:szCs w:val="21"/>
                <w:highlight w:val="none"/>
              </w:rPr>
              <w:t>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777"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综合</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含水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1004" w:type="dxa"/>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气油比</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eastAsia="zh-CN" w:bidi="ar"/>
              </w:rPr>
              <w:t>（</w:t>
            </w:r>
            <w:r>
              <w:rPr>
                <w:rFonts w:hint="default" w:ascii="Times New Roman" w:hAnsi="Times New Roman" w:cs="Times New Roman"/>
                <w:b/>
                <w:bCs/>
                <w:color w:val="auto"/>
                <w:sz w:val="21"/>
                <w:szCs w:val="21"/>
                <w:highlight w:val="none"/>
                <w:lang w:bidi="ar"/>
              </w:rPr>
              <w:t>m</w:t>
            </w:r>
            <w:r>
              <w:rPr>
                <w:rFonts w:hint="default" w:ascii="Times New Roman" w:hAnsi="Times New Roman" w:cs="Times New Roman"/>
                <w:b/>
                <w:bCs/>
                <w:color w:val="auto"/>
                <w:sz w:val="21"/>
                <w:szCs w:val="21"/>
                <w:highlight w:val="none"/>
                <w:vertAlign w:val="superscript"/>
                <w:lang w:bidi="ar"/>
              </w:rPr>
              <w:t>3</w:t>
            </w:r>
            <w:r>
              <w:rPr>
                <w:rFonts w:hint="default" w:ascii="Times New Roman" w:hAnsi="Times New Roman" w:cs="Times New Roman"/>
                <w:b/>
                <w:bCs/>
                <w:color w:val="auto"/>
                <w:sz w:val="21"/>
                <w:szCs w:val="21"/>
                <w:highlight w:val="none"/>
                <w:lang w:bidi="ar"/>
              </w:rPr>
              <w:t>/t</w:t>
            </w:r>
            <w:r>
              <w:rPr>
                <w:rFonts w:hint="default" w:ascii="Times New Roman" w:hAnsi="Times New Roman" w:cs="Times New Roman"/>
                <w:b/>
                <w:bCs/>
                <w:color w:val="auto"/>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1</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0.56</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0.34</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0.48</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3.36</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30.0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2</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1.97</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1.13</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1.72</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11.28</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35.0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3</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2.32</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eastAsia" w:ascii="Times New Roman" w:hAnsi="Times New Roman" w:eastAsia="宋体" w:cs="Times New Roman"/>
                <w:b w:val="0"/>
                <w:bCs w:val="0"/>
                <w:color w:val="auto"/>
                <w:kern w:val="2"/>
                <w:sz w:val="21"/>
                <w:szCs w:val="21"/>
                <w:highlight w:val="none"/>
                <w:lang w:val="en-US" w:eastAsia="zh-CN" w:bidi="ar-SA"/>
              </w:rPr>
              <w:t>1.44</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2.03</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12.58</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40.0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4</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2.04</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1.03</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1.81</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10.26</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45.0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5</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1.83</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0.85</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1.64</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8.48</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50.0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1.68</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0.71</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1.52</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7.09</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55.0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7</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1.57</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0.60</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1.44</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6.00</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60.0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8</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1.57</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0.51</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1.46</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5.14</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67.0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9</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1.85</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0.45</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1.75</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4.45</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77.5</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10</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2.14</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0.39</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2.05</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3.90</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82.5</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11</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2.37</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0.35</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2.29</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3.46</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86.0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12</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2.67</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0.31</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2.60</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3.10</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89.0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13</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2.98</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0.28</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2.92</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2.81</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91.0</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14</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3.29</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0.26</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3.23</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2.58</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92.5</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6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0"/>
                <w:sz w:val="21"/>
                <w:szCs w:val="21"/>
                <w:highlight w:val="none"/>
              </w:rPr>
              <w:t>15</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093"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13"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SA"/>
              </w:rPr>
              <w:t>3.55</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0.24</w:t>
            </w:r>
          </w:p>
        </w:tc>
        <w:tc>
          <w:tcPr>
            <w:tcW w:w="82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3.50</w:t>
            </w:r>
          </w:p>
        </w:tc>
        <w:tc>
          <w:tcPr>
            <w:tcW w:w="851" w:type="dxa"/>
            <w:noWrap/>
            <w:tcMar>
              <w:top w:w="15" w:type="dxa"/>
              <w:left w:w="15" w:type="dxa"/>
              <w:right w:w="15" w:type="dxa"/>
            </w:tcMar>
            <w:vAlign w:val="bottom"/>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2.39</w:t>
            </w:r>
          </w:p>
        </w:tc>
        <w:tc>
          <w:tcPr>
            <w:tcW w:w="777" w:type="dxa"/>
            <w:noWrap/>
            <w:tcMar>
              <w:top w:w="15" w:type="dxa"/>
              <w:left w:w="15" w:type="dxa"/>
              <w:right w:w="15" w:type="dxa"/>
            </w:tcMar>
            <w:vAlign w:val="center"/>
          </w:tcPr>
          <w:p>
            <w:pPr>
              <w:widowControl/>
              <w:adjustRightInd w:val="0"/>
              <w:snapToGrid w:val="0"/>
              <w:jc w:val="center"/>
              <w:textAlignment w:val="center"/>
              <w:rPr>
                <w:rFonts w:hint="default" w:ascii="Times New Roman" w:hAnsi="Times New Roman" w:cs="Times New Roman"/>
                <w:b w:val="0"/>
                <w:bCs w:val="0"/>
                <w:color w:val="auto"/>
                <w:sz w:val="21"/>
                <w:szCs w:val="21"/>
                <w:highlight w:val="none"/>
                <w:lang w:bidi="ar"/>
              </w:rPr>
            </w:pPr>
            <w:r>
              <w:rPr>
                <w:rFonts w:hint="default" w:ascii="Times New Roman" w:hAnsi="Times New Roman" w:eastAsia="宋体" w:cs="Times New Roman"/>
                <w:b w:val="0"/>
                <w:bCs w:val="0"/>
                <w:color w:val="auto"/>
                <w:kern w:val="2"/>
                <w:sz w:val="21"/>
                <w:szCs w:val="21"/>
                <w:highlight w:val="none"/>
                <w:lang w:val="en-US" w:eastAsia="zh-CN" w:bidi="ar-SA"/>
              </w:rPr>
              <w:t>93.5</w:t>
            </w:r>
          </w:p>
        </w:tc>
        <w:tc>
          <w:tcPr>
            <w:tcW w:w="1004" w:type="dxa"/>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9.96</w:t>
            </w:r>
          </w:p>
        </w:tc>
      </w:tr>
    </w:tbl>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3.4.3总体布局</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项目的主要建设内容包括：部署</w:t>
      </w:r>
      <w:r>
        <w:rPr>
          <w:rFonts w:hint="eastAsia" w:cs="Times New Roman"/>
          <w:bCs w:val="0"/>
          <w:color w:val="auto"/>
          <w:sz w:val="24"/>
          <w:szCs w:val="24"/>
          <w:lang w:eastAsia="zh-CN"/>
        </w:rPr>
        <w:t>6口</w:t>
      </w:r>
      <w:r>
        <w:rPr>
          <w:rFonts w:hint="default" w:ascii="Times New Roman" w:hAnsi="Times New Roman" w:cs="Times New Roman"/>
          <w:bCs w:val="0"/>
          <w:color w:val="auto"/>
          <w:sz w:val="24"/>
          <w:szCs w:val="24"/>
        </w:rPr>
        <w:t>采油井，</w:t>
      </w:r>
      <w:r>
        <w:rPr>
          <w:rFonts w:hint="eastAsia" w:cs="Times New Roman"/>
          <w:bCs w:val="0"/>
          <w:color w:val="auto"/>
          <w:sz w:val="24"/>
          <w:szCs w:val="24"/>
          <w:lang w:val="en-US" w:eastAsia="zh-CN"/>
        </w:rPr>
        <w:t>2</w:t>
      </w:r>
      <w:r>
        <w:rPr>
          <w:rFonts w:hint="default" w:ascii="Times New Roman" w:hAnsi="Times New Roman" w:cs="Times New Roman"/>
          <w:bCs w:val="0"/>
          <w:color w:val="auto"/>
          <w:sz w:val="24"/>
          <w:szCs w:val="24"/>
        </w:rPr>
        <w:t>口注水井，</w:t>
      </w:r>
      <w:r>
        <w:rPr>
          <w:rFonts w:hint="default" w:ascii="Times New Roman" w:hAnsi="Times New Roman" w:cs="Times New Roman"/>
          <w:color w:val="auto"/>
          <w:kern w:val="0"/>
          <w:sz w:val="24"/>
          <w:szCs w:val="24"/>
        </w:rPr>
        <w:t>钻井总进尺</w:t>
      </w:r>
      <w:r>
        <w:rPr>
          <w:rFonts w:hint="eastAsia" w:cs="Times New Roman"/>
          <w:color w:val="auto"/>
          <w:kern w:val="0"/>
          <w:sz w:val="24"/>
          <w:szCs w:val="24"/>
          <w:lang w:eastAsia="zh-CN"/>
        </w:rPr>
        <w:t>1.61×10</w:t>
      </w:r>
      <w:r>
        <w:rPr>
          <w:rFonts w:hint="default" w:ascii="Times New Roman" w:hAnsi="Times New Roman" w:cs="Times New Roman"/>
          <w:color w:val="auto"/>
          <w:kern w:val="0"/>
          <w:sz w:val="24"/>
          <w:szCs w:val="24"/>
          <w:vertAlign w:val="superscript"/>
        </w:rPr>
        <w:t>4</w:t>
      </w:r>
      <w:r>
        <w:rPr>
          <w:rFonts w:hint="default" w:ascii="Times New Roman" w:hAnsi="Times New Roman" w:cs="Times New Roman"/>
          <w:color w:val="auto"/>
          <w:kern w:val="0"/>
          <w:sz w:val="24"/>
          <w:szCs w:val="24"/>
        </w:rPr>
        <w:t>m，新建产能</w:t>
      </w:r>
      <w:r>
        <w:rPr>
          <w:rFonts w:hint="eastAsia" w:cs="Times New Roman"/>
          <w:color w:val="auto"/>
          <w:kern w:val="0"/>
          <w:sz w:val="24"/>
          <w:szCs w:val="24"/>
          <w:lang w:eastAsia="zh-CN"/>
        </w:rPr>
        <w:t>1.44×10</w:t>
      </w:r>
      <w:r>
        <w:rPr>
          <w:rFonts w:hint="default" w:ascii="Times New Roman" w:hAnsi="Times New Roman" w:cs="Times New Roman"/>
          <w:color w:val="auto"/>
          <w:kern w:val="0"/>
          <w:sz w:val="24"/>
          <w:szCs w:val="24"/>
          <w:vertAlign w:val="superscript"/>
        </w:rPr>
        <w:t>4</w:t>
      </w:r>
      <w:r>
        <w:rPr>
          <w:rFonts w:hint="default" w:ascii="Times New Roman" w:hAnsi="Times New Roman" w:cs="Times New Roman"/>
          <w:color w:val="auto"/>
          <w:kern w:val="0"/>
          <w:sz w:val="24"/>
          <w:szCs w:val="24"/>
        </w:rPr>
        <w:t>t</w:t>
      </w:r>
      <w:r>
        <w:rPr>
          <w:rFonts w:hint="eastAsia" w:cs="Times New Roman"/>
          <w:color w:val="auto"/>
          <w:kern w:val="0"/>
          <w:sz w:val="24"/>
          <w:szCs w:val="24"/>
          <w:lang w:val="en-US" w:eastAsia="zh-CN"/>
        </w:rPr>
        <w:t>/a</w:t>
      </w:r>
      <w:r>
        <w:rPr>
          <w:rFonts w:hint="default" w:ascii="Times New Roman" w:hAnsi="Times New Roman" w:cs="Times New Roman"/>
          <w:bCs w:val="0"/>
          <w:color w:val="auto"/>
          <w:sz w:val="24"/>
          <w:szCs w:val="24"/>
        </w:rPr>
        <w:t>，新建采油管线</w:t>
      </w:r>
      <w:r>
        <w:rPr>
          <w:rFonts w:hint="eastAsia" w:cs="Times New Roman"/>
          <w:bCs w:val="0"/>
          <w:color w:val="auto"/>
          <w:sz w:val="24"/>
          <w:szCs w:val="24"/>
          <w:lang w:eastAsia="zh-CN"/>
        </w:rPr>
        <w:t>4.2</w:t>
      </w:r>
      <w:r>
        <w:rPr>
          <w:rFonts w:hint="default" w:ascii="Times New Roman" w:hAnsi="Times New Roman" w:cs="Times New Roman"/>
          <w:bCs w:val="0"/>
          <w:color w:val="auto"/>
          <w:sz w:val="24"/>
          <w:szCs w:val="24"/>
        </w:rPr>
        <w:t>km，注水管线</w:t>
      </w:r>
      <w:r>
        <w:rPr>
          <w:rFonts w:hint="eastAsia" w:cs="Times New Roman"/>
          <w:bCs w:val="0"/>
          <w:color w:val="auto"/>
          <w:sz w:val="24"/>
          <w:szCs w:val="24"/>
          <w:lang w:eastAsia="zh-CN"/>
        </w:rPr>
        <w:t>1.7</w:t>
      </w:r>
      <w:r>
        <w:rPr>
          <w:rFonts w:hint="default" w:ascii="Times New Roman" w:hAnsi="Times New Roman" w:cs="Times New Roman"/>
          <w:bCs w:val="0"/>
          <w:color w:val="auto"/>
          <w:sz w:val="24"/>
          <w:szCs w:val="24"/>
        </w:rPr>
        <w:t>km，</w:t>
      </w:r>
      <w:r>
        <w:rPr>
          <w:rFonts w:hint="default" w:ascii="Times New Roman" w:hAnsi="Times New Roman" w:cs="Times New Roman"/>
          <w:color w:val="auto"/>
          <w:sz w:val="24"/>
          <w:szCs w:val="24"/>
          <w:shd w:val="clear" w:color="auto" w:fill="FFFFFF"/>
        </w:rPr>
        <w:t>配套建设供配电及仪表自动化等地面工程</w:t>
      </w:r>
      <w:r>
        <w:rPr>
          <w:rFonts w:hint="default" w:ascii="Times New Roman" w:hAnsi="Times New Roman" w:cs="Times New Roman"/>
          <w:bCs w:val="0"/>
          <w:color w:val="auto"/>
          <w:sz w:val="24"/>
          <w:szCs w:val="32"/>
        </w:rPr>
        <w:t>。</w:t>
      </w:r>
    </w:p>
    <w:p>
      <w:pPr>
        <w:widowControl/>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根据开发井位部署情况，</w:t>
      </w:r>
      <w:r>
        <w:rPr>
          <w:rFonts w:hint="default" w:ascii="Times New Roman" w:hAnsi="Times New Roman" w:eastAsia="宋体" w:cs="Times New Roman"/>
          <w:color w:val="auto"/>
          <w:kern w:val="0"/>
          <w:sz w:val="24"/>
        </w:rPr>
        <w:t>新建</w:t>
      </w:r>
      <w:r>
        <w:rPr>
          <w:rFonts w:hint="eastAsia" w:ascii="Times New Roman" w:hAnsi="Times New Roman" w:eastAsia="宋体" w:cs="Times New Roman"/>
          <w:color w:val="auto"/>
          <w:kern w:val="0"/>
          <w:sz w:val="24"/>
          <w:lang w:eastAsia="zh-CN"/>
        </w:rPr>
        <w:t>6口</w:t>
      </w:r>
      <w:r>
        <w:rPr>
          <w:rFonts w:hint="default" w:ascii="Times New Roman" w:hAnsi="Times New Roman" w:eastAsia="宋体" w:cs="Times New Roman"/>
          <w:color w:val="auto"/>
          <w:kern w:val="0"/>
          <w:sz w:val="24"/>
        </w:rPr>
        <w:t>采油井采用</w:t>
      </w:r>
      <w:r>
        <w:rPr>
          <w:rFonts w:hint="eastAsia" w:ascii="Times New Roman" w:hAnsi="Times New Roman" w:eastAsia="宋体" w:cs="Times New Roman"/>
          <w:color w:val="auto"/>
          <w:kern w:val="0"/>
          <w:sz w:val="24"/>
          <w:lang w:val="en-US" w:eastAsia="zh-CN"/>
        </w:rPr>
        <w:t>三</w:t>
      </w:r>
      <w:r>
        <w:rPr>
          <w:rFonts w:hint="default" w:ascii="Times New Roman" w:hAnsi="Times New Roman" w:eastAsia="宋体" w:cs="Times New Roman"/>
          <w:color w:val="auto"/>
          <w:kern w:val="0"/>
          <w:sz w:val="24"/>
        </w:rPr>
        <w:t>级布站输送工艺，即：</w:t>
      </w:r>
      <w:r>
        <w:rPr>
          <w:rFonts w:hint="eastAsia" w:ascii="Times New Roman" w:hAnsi="Times New Roman" w:eastAsia="宋体" w:cs="Times New Roman"/>
          <w:color w:val="auto"/>
          <w:kern w:val="0"/>
          <w:sz w:val="24"/>
          <w:lang w:eastAsia="zh-CN"/>
        </w:rPr>
        <w:t>井口→计量站→混输泵站→陆梁集中处理站</w:t>
      </w:r>
      <w:r>
        <w:rPr>
          <w:rFonts w:hint="default" w:ascii="Times New Roman" w:hAnsi="Times New Roman" w:eastAsia="宋体" w:cs="Times New Roman"/>
          <w:color w:val="auto"/>
          <w:kern w:val="0"/>
          <w:sz w:val="24"/>
        </w:rPr>
        <w:t>的布站方式。采油井通过新建单井出油管线至计量站，最后通过已建管线输至陆梁集中处理站。</w:t>
      </w:r>
    </w:p>
    <w:p>
      <w:pPr>
        <w:widowControl/>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kern w:val="0"/>
          <w:sz w:val="24"/>
          <w:lang w:val="en-US" w:eastAsia="zh-CN"/>
        </w:rPr>
        <w:t>新建2</w:t>
      </w:r>
      <w:r>
        <w:rPr>
          <w:rFonts w:hint="default" w:ascii="Times New Roman" w:hAnsi="Times New Roman" w:eastAsia="宋体" w:cs="Times New Roman"/>
          <w:color w:val="auto"/>
          <w:kern w:val="0"/>
          <w:sz w:val="24"/>
        </w:rPr>
        <w:t>口</w:t>
      </w:r>
      <w:r>
        <w:rPr>
          <w:rFonts w:hint="eastAsia" w:ascii="Times New Roman" w:hAnsi="Times New Roman" w:eastAsia="宋体" w:cs="Times New Roman"/>
          <w:color w:val="auto"/>
          <w:kern w:val="0"/>
          <w:sz w:val="24"/>
          <w:lang w:val="en-US" w:eastAsia="zh-CN"/>
        </w:rPr>
        <w:t>注水井</w:t>
      </w:r>
      <w:r>
        <w:rPr>
          <w:rFonts w:hint="default" w:ascii="Times New Roman" w:hAnsi="Times New Roman" w:eastAsia="宋体" w:cs="Times New Roman"/>
          <w:color w:val="auto"/>
          <w:kern w:val="0"/>
          <w:sz w:val="24"/>
        </w:rPr>
        <w:t>，注水依托</w:t>
      </w:r>
      <w:r>
        <w:rPr>
          <w:rFonts w:hint="default" w:ascii="Times New Roman" w:hAnsi="Times New Roman" w:eastAsia="宋体" w:cs="Times New Roman"/>
          <w:color w:val="auto"/>
          <w:kern w:val="0"/>
          <w:sz w:val="24"/>
          <w:lang w:val="en-US" w:eastAsia="zh-CN"/>
        </w:rPr>
        <w:t>陆15井区已建16MPa注水系统</w:t>
      </w:r>
      <w:r>
        <w:rPr>
          <w:rFonts w:hint="default" w:ascii="Times New Roman" w:hAnsi="Times New Roman" w:eastAsia="宋体" w:cs="Times New Roman"/>
          <w:color w:val="auto"/>
          <w:kern w:val="0"/>
          <w:sz w:val="24"/>
        </w:rPr>
        <w:t>。注水工艺采用“</w:t>
      </w:r>
      <w:r>
        <w:rPr>
          <w:rFonts w:hint="eastAsia" w:ascii="Times New Roman" w:hAnsi="Times New Roman" w:eastAsia="宋体" w:cs="Times New Roman"/>
          <w:color w:val="auto"/>
          <w:kern w:val="0"/>
          <w:sz w:val="24"/>
          <w:lang w:eastAsia="zh-CN"/>
        </w:rPr>
        <w:t>高压集中注水、单干管多井配注工艺</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eastAsia="zh-CN"/>
        </w:rPr>
        <w:t>即陆12注水站增压后的高压水通过注水干支线输送至配水橇（</w:t>
      </w:r>
      <w:r>
        <w:rPr>
          <w:rFonts w:hint="eastAsia" w:ascii="Times New Roman" w:hAnsi="Times New Roman" w:eastAsia="宋体" w:cs="Times New Roman"/>
          <w:color w:val="auto"/>
          <w:kern w:val="0"/>
          <w:sz w:val="24"/>
          <w:lang w:val="en-US" w:eastAsia="zh-CN"/>
        </w:rPr>
        <w:t>位于陆136-1计量站</w:t>
      </w:r>
      <w:r>
        <w:rPr>
          <w:rFonts w:hint="eastAsia" w:ascii="Times New Roman" w:hAnsi="Times New Roman" w:eastAsia="宋体" w:cs="Times New Roman"/>
          <w:color w:val="auto"/>
          <w:kern w:val="0"/>
          <w:sz w:val="24"/>
          <w:lang w:eastAsia="zh-CN"/>
        </w:rPr>
        <w:t>），通过橇内分水器向各注水单井进行配注，再通过单井管线输送至各注水井口。</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项目总平面布置</w:t>
      </w:r>
      <w:r>
        <w:rPr>
          <w:rFonts w:hint="default" w:ascii="Times New Roman" w:hAnsi="Times New Roman" w:cs="Times New Roman"/>
          <w:color w:val="auto"/>
          <w:sz w:val="24"/>
          <w:szCs w:val="24"/>
          <w:lang w:val="en-US" w:eastAsia="zh-CN"/>
        </w:rPr>
        <w:t>示意</w:t>
      </w:r>
      <w:r>
        <w:rPr>
          <w:rFonts w:hint="default" w:ascii="Times New Roman" w:hAnsi="Times New Roman" w:cs="Times New Roman"/>
          <w:color w:val="auto"/>
          <w:sz w:val="24"/>
          <w:szCs w:val="24"/>
        </w:rPr>
        <w:t>图见图3.4-1。</w:t>
      </w:r>
    </w:p>
    <w:p>
      <w:pPr>
        <w:pStyle w:val="3"/>
        <w:spacing w:before="10" w:after="10"/>
        <w:rPr>
          <w:rFonts w:hint="default" w:ascii="Times New Roman" w:hAnsi="Times New Roman" w:eastAsia="宋体" w:cs="Times New Roman"/>
          <w:color w:val="auto"/>
        </w:rPr>
      </w:pPr>
      <w:bookmarkStart w:id="62" w:name="_Toc9016"/>
      <w:r>
        <w:rPr>
          <w:rFonts w:hint="default" w:ascii="Times New Roman" w:hAnsi="Times New Roman" w:eastAsia="宋体" w:cs="Times New Roman"/>
          <w:color w:val="auto"/>
        </w:rPr>
        <w:t>3.5主要建设内容</w:t>
      </w:r>
      <w:bookmarkEnd w:id="62"/>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3.5.1钻前工程</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钻前工程主要包括井场地面平整夯实，布设安装井场设备，包括钻机、钻台，以及配料罐、泥浆泵、钢制泥浆槽等工作内容，并对设备进行调试，保证正常运行。</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钻前整理场地，按照表土保护，分区防渗工作要求，对场地进行施工，剥离表层土，平整土地后，柴油罐区、钻井液材料房属于重点防渗区，采用底层2mm厚高密度聚乙烯膜进行防渗；钻井泵、钻台、材料房做一般防渗处理，采用1.5mm土工布进行防渗。临时占地内划分作业带，建设柴油储罐基础及机房等临时工程，尽量减少临时占地。钻前整理场地，并保证全套钻井设备达到相关的安装标准。</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②钻机安装，注意保护原井口设备。</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③开钻前必须校正天车、转盘和井口，以保证三者中心偏差不大于10mm。</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④设备运转正常，安全装置灵活好用。各种仪器仪表准确灵敏好用。</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⑤设备安装</w:t>
      </w:r>
      <w:r>
        <w:rPr>
          <w:rFonts w:hint="eastAsia" w:ascii="Times New Roman" w:hAnsi="Times New Roman" w:eastAsia="宋体" w:cs="Times New Roman"/>
          <w:color w:val="auto"/>
          <w:kern w:val="0"/>
          <w:sz w:val="24"/>
          <w:lang w:eastAsia="zh-CN"/>
        </w:rPr>
        <w:t>完成</w:t>
      </w:r>
      <w:r>
        <w:rPr>
          <w:rFonts w:hint="default" w:ascii="Times New Roman" w:hAnsi="Times New Roman" w:eastAsia="宋体" w:cs="Times New Roman"/>
          <w:color w:val="auto"/>
          <w:kern w:val="0"/>
          <w:sz w:val="24"/>
        </w:rPr>
        <w:t>后，进行整机试运转，连续运转90min，各部件工作正常，性能可靠。然后进行高压循环系统试压，钻机试压25.0MPa，运转30min以上，所有管线不刺不漏，油气水路畅通。</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3.5.2钻井工程</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本次新钻</w:t>
      </w:r>
      <w:r>
        <w:rPr>
          <w:rFonts w:hint="eastAsia" w:ascii="Times New Roman" w:hAnsi="Times New Roman" w:eastAsia="宋体" w:cs="Times New Roman"/>
          <w:color w:val="auto"/>
          <w:kern w:val="0"/>
          <w:sz w:val="24"/>
          <w:lang w:eastAsia="zh-CN"/>
        </w:rPr>
        <w:t>6口</w:t>
      </w:r>
      <w:r>
        <w:rPr>
          <w:rFonts w:hint="default" w:ascii="Times New Roman" w:hAnsi="Times New Roman" w:eastAsia="宋体" w:cs="Times New Roman"/>
          <w:color w:val="auto"/>
          <w:kern w:val="0"/>
          <w:sz w:val="24"/>
        </w:rPr>
        <w:t>采油井，井型均为定向井</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新钻2口注水井，</w:t>
      </w:r>
      <w:r>
        <w:rPr>
          <w:rFonts w:hint="default" w:ascii="Times New Roman" w:hAnsi="Times New Roman" w:eastAsia="宋体" w:cs="Times New Roman"/>
          <w:color w:val="auto"/>
          <w:kern w:val="0"/>
          <w:sz w:val="24"/>
        </w:rPr>
        <w:t>井型均为</w:t>
      </w:r>
      <w:r>
        <w:rPr>
          <w:rFonts w:hint="eastAsia" w:ascii="Times New Roman" w:hAnsi="Times New Roman" w:eastAsia="宋体" w:cs="Times New Roman"/>
          <w:color w:val="auto"/>
          <w:kern w:val="0"/>
          <w:sz w:val="24"/>
          <w:lang w:val="en-US" w:eastAsia="zh-CN"/>
        </w:rPr>
        <w:t>直井</w:t>
      </w:r>
      <w:r>
        <w:rPr>
          <w:rFonts w:hint="default" w:ascii="Times New Roman" w:hAnsi="Times New Roman" w:eastAsia="宋体" w:cs="Times New Roman"/>
          <w:color w:val="auto"/>
          <w:kern w:val="0"/>
          <w:sz w:val="24"/>
        </w:rPr>
        <w:t>。井号、井身结构、设计井深及井型详见表3.5-1。</w:t>
      </w:r>
    </w:p>
    <w:p>
      <w:pPr>
        <w:adjustRightInd w:val="0"/>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表3.5-1  钻井基本参数</w:t>
      </w:r>
    </w:p>
    <w:tbl>
      <w:tblPr>
        <w:tblStyle w:val="31"/>
        <w:tblW w:w="8519" w:type="dxa"/>
        <w:tblInd w:w="0" w:type="dxa"/>
        <w:tblLayout w:type="fixed"/>
        <w:tblCellMar>
          <w:top w:w="0" w:type="dxa"/>
          <w:left w:w="108" w:type="dxa"/>
          <w:bottom w:w="0" w:type="dxa"/>
          <w:right w:w="108" w:type="dxa"/>
        </w:tblCellMar>
      </w:tblPr>
      <w:tblGrid>
        <w:gridCol w:w="808"/>
        <w:gridCol w:w="1728"/>
        <w:gridCol w:w="1098"/>
        <w:gridCol w:w="1166"/>
        <w:gridCol w:w="1892"/>
        <w:gridCol w:w="1827"/>
      </w:tblGrid>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井号</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井别</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井型</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设计井深（m）</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钻井周期（d）</w:t>
            </w:r>
          </w:p>
        </w:tc>
      </w:tr>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kern w:val="0"/>
                <w:szCs w:val="21"/>
                <w:lang w:val="en-US" w:eastAsia="zh-CN"/>
              </w:rPr>
              <w:t>LUD5604</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采油井</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定向井</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2015</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16</w:t>
            </w:r>
          </w:p>
        </w:tc>
      </w:tr>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LUD5608</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采油井</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定向井</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2015</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16</w:t>
            </w:r>
          </w:p>
        </w:tc>
      </w:tr>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3</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LUD5612</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采油井</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定向井</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2015</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16</w:t>
            </w:r>
          </w:p>
        </w:tc>
      </w:tr>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LUD5614</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采油井</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定向井</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2015</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16</w:t>
            </w:r>
          </w:p>
        </w:tc>
      </w:tr>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5</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LUD5607</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采油井</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定向井</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2015</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16</w:t>
            </w:r>
          </w:p>
        </w:tc>
      </w:tr>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LUD5615</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采油井</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定向井</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2015</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16</w:t>
            </w:r>
          </w:p>
        </w:tc>
      </w:tr>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LU5606</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注水井</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直井</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2015</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16</w:t>
            </w:r>
          </w:p>
        </w:tc>
      </w:tr>
      <w:tr>
        <w:tblPrEx>
          <w:tblLayout w:type="fixed"/>
          <w:tblCellMar>
            <w:top w:w="0" w:type="dxa"/>
            <w:left w:w="108" w:type="dxa"/>
            <w:bottom w:w="0" w:type="dxa"/>
            <w:right w:w="108" w:type="dxa"/>
          </w:tblCellMar>
        </w:tblPrEx>
        <w:trPr>
          <w:trHeight w:val="312" w:hRule="atLeast"/>
        </w:trPr>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8</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LU5613</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注水井</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直井</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2015</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16</w:t>
            </w:r>
          </w:p>
        </w:tc>
      </w:tr>
      <w:tr>
        <w:tblPrEx>
          <w:tblLayout w:type="fixed"/>
          <w:tblCellMar>
            <w:top w:w="0" w:type="dxa"/>
            <w:left w:w="108" w:type="dxa"/>
            <w:bottom w:w="0" w:type="dxa"/>
            <w:right w:w="108" w:type="dxa"/>
          </w:tblCellMar>
        </w:tblPrEx>
        <w:trPr>
          <w:trHeight w:val="312" w:hRule="atLeast"/>
        </w:trPr>
        <w:tc>
          <w:tcPr>
            <w:tcW w:w="48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合计</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16120</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128</w:t>
            </w:r>
          </w:p>
        </w:tc>
      </w:tr>
    </w:tbl>
    <w:p>
      <w:pPr>
        <w:spacing w:line="360" w:lineRule="auto"/>
        <w:outlineLvl w:val="3"/>
        <w:rPr>
          <w:rFonts w:hint="default" w:ascii="Times New Roman" w:hAnsi="Times New Roman" w:eastAsia="宋体" w:cs="Times New Roman"/>
          <w:bCs/>
          <w:snapToGrid w:val="0"/>
          <w:color w:val="auto"/>
          <w:kern w:val="0"/>
          <w:sz w:val="28"/>
          <w:szCs w:val="28"/>
          <w:lang w:val="en-US" w:eastAsia="zh-CN"/>
        </w:rPr>
      </w:pPr>
      <w:r>
        <w:rPr>
          <w:rFonts w:hint="default" w:ascii="Times New Roman" w:hAnsi="Times New Roman" w:eastAsia="宋体" w:cs="Times New Roman"/>
          <w:bCs/>
          <w:snapToGrid w:val="0"/>
          <w:color w:val="auto"/>
          <w:kern w:val="0"/>
          <w:sz w:val="28"/>
          <w:szCs w:val="28"/>
        </w:rPr>
        <w:t>3.5.2.1</w:t>
      </w:r>
      <w:r>
        <w:rPr>
          <w:rFonts w:hint="eastAsia" w:ascii="Times New Roman" w:hAnsi="Times New Roman" w:eastAsia="宋体" w:cs="Times New Roman"/>
          <w:bCs/>
          <w:snapToGrid w:val="0"/>
          <w:color w:val="auto"/>
          <w:kern w:val="0"/>
          <w:sz w:val="28"/>
          <w:szCs w:val="28"/>
          <w:lang w:val="en-US" w:eastAsia="zh-CN"/>
        </w:rPr>
        <w:t>钻井设计</w:t>
      </w:r>
    </w:p>
    <w:p>
      <w:pPr>
        <w:pStyle w:val="65"/>
        <w:adjustRightInd w:val="0"/>
        <w:snapToGrid w:val="0"/>
        <w:spacing w:line="360" w:lineRule="auto"/>
        <w:ind w:firstLine="48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eastAsia" w:ascii="Times New Roman" w:hAnsi="Times New Roman" w:eastAsia="宋体" w:cs="Times New Roman"/>
          <w:color w:val="auto"/>
          <w:lang w:val="en-US" w:eastAsia="zh-CN"/>
        </w:rPr>
        <w:t>井身结构</w:t>
      </w:r>
    </w:p>
    <w:p>
      <w:pPr>
        <w:pStyle w:val="65"/>
        <w:adjustRightInd w:val="0"/>
        <w:snapToGrid w:val="0"/>
        <w:spacing w:line="360" w:lineRule="auto"/>
        <w:ind w:firstLine="480"/>
        <w:rPr>
          <w:rFonts w:hint="default" w:ascii="Times New Roman" w:hAnsi="Times New Roman" w:eastAsia="宋体" w:cs="Times New Roman"/>
          <w:snapToGrid w:val="0"/>
          <w:color w:val="auto"/>
        </w:rPr>
      </w:pPr>
      <w:r>
        <w:rPr>
          <w:rFonts w:hint="default" w:ascii="Times New Roman" w:hAnsi="Times New Roman" w:eastAsia="宋体" w:cs="Times New Roman"/>
          <w:color w:val="auto"/>
        </w:rPr>
        <w:t>拟部署</w:t>
      </w:r>
      <w:r>
        <w:rPr>
          <w:rFonts w:hint="eastAsia" w:ascii="Times New Roman" w:hAnsi="Times New Roman" w:eastAsia="宋体" w:cs="Times New Roman"/>
          <w:color w:val="auto"/>
          <w:lang w:eastAsia="zh-CN"/>
        </w:rPr>
        <w:t>6口</w:t>
      </w:r>
      <w:r>
        <w:rPr>
          <w:rFonts w:hint="eastAsia" w:ascii="Times New Roman" w:hAnsi="Times New Roman" w:eastAsia="宋体" w:cs="Times New Roman"/>
          <w:color w:val="auto"/>
          <w:lang w:val="en-US" w:eastAsia="zh-CN"/>
        </w:rPr>
        <w:t>采油井均采用二开</w:t>
      </w:r>
      <w:r>
        <w:rPr>
          <w:rFonts w:hint="default" w:ascii="Times New Roman" w:hAnsi="Times New Roman" w:eastAsia="宋体" w:cs="Times New Roman"/>
          <w:color w:val="auto"/>
        </w:rPr>
        <w:t>定向井井身结构，</w:t>
      </w:r>
      <w:r>
        <w:rPr>
          <w:rFonts w:hint="eastAsia" w:ascii="Times New Roman" w:hAnsi="Times New Roman" w:eastAsia="宋体" w:cs="Times New Roman"/>
          <w:color w:val="auto"/>
          <w:lang w:val="en-US" w:eastAsia="zh-CN"/>
        </w:rPr>
        <w:t>2口注水井均采用二开直井井身结构，</w:t>
      </w:r>
      <w:r>
        <w:rPr>
          <w:rFonts w:hint="default" w:ascii="Times New Roman" w:hAnsi="Times New Roman" w:eastAsia="宋体" w:cs="Times New Roman"/>
          <w:color w:val="auto"/>
        </w:rPr>
        <w:t>井身结构设计见表3.5-2、图3.5-1。</w:t>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表3.5-2  井身结构设计说明</w:t>
      </w:r>
    </w:p>
    <w:tbl>
      <w:tblPr>
        <w:tblStyle w:val="31"/>
        <w:tblW w:w="85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6"/>
        <w:gridCol w:w="1104"/>
        <w:gridCol w:w="973"/>
        <w:gridCol w:w="5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6" w:type="dxa"/>
            <w:vAlign w:val="center"/>
          </w:tcPr>
          <w:p>
            <w:pPr>
              <w:pStyle w:val="43"/>
              <w:jc w:val="center"/>
              <w:rPr>
                <w:rFonts w:hint="default" w:ascii="Times New Roman" w:hAnsi="Times New Roman" w:cs="Times New Roman"/>
                <w:b/>
                <w:bCs/>
                <w:color w:val="auto"/>
              </w:rPr>
            </w:pPr>
            <w:r>
              <w:rPr>
                <w:rFonts w:hint="default" w:ascii="Times New Roman" w:hAnsi="Times New Roman" w:cs="Times New Roman"/>
                <w:b/>
                <w:bCs/>
                <w:color w:val="auto"/>
              </w:rPr>
              <w:t>开钻</w:t>
            </w:r>
          </w:p>
          <w:p>
            <w:pPr>
              <w:pStyle w:val="43"/>
              <w:jc w:val="center"/>
              <w:rPr>
                <w:rFonts w:hint="default" w:ascii="Times New Roman" w:hAnsi="Times New Roman" w:cs="Times New Roman"/>
                <w:b/>
                <w:bCs/>
                <w:color w:val="auto"/>
              </w:rPr>
            </w:pPr>
            <w:r>
              <w:rPr>
                <w:rFonts w:hint="default" w:ascii="Times New Roman" w:hAnsi="Times New Roman" w:cs="Times New Roman"/>
                <w:b/>
                <w:bCs/>
                <w:color w:val="auto"/>
              </w:rPr>
              <w:t>次数</w:t>
            </w:r>
          </w:p>
        </w:tc>
        <w:tc>
          <w:tcPr>
            <w:tcW w:w="1104" w:type="dxa"/>
            <w:vAlign w:val="center"/>
          </w:tcPr>
          <w:p>
            <w:pPr>
              <w:pStyle w:val="43"/>
              <w:jc w:val="center"/>
              <w:rPr>
                <w:rFonts w:hint="default" w:ascii="Times New Roman" w:hAnsi="Times New Roman" w:cs="Times New Roman"/>
                <w:b/>
                <w:bCs/>
                <w:color w:val="auto"/>
              </w:rPr>
            </w:pPr>
            <w:r>
              <w:rPr>
                <w:rFonts w:hint="default" w:ascii="Times New Roman" w:hAnsi="Times New Roman" w:cs="Times New Roman"/>
                <w:b/>
                <w:bCs/>
                <w:color w:val="auto"/>
              </w:rPr>
              <w:t>钻头尺寸</w:t>
            </w:r>
          </w:p>
          <w:p>
            <w:pPr>
              <w:pStyle w:val="43"/>
              <w:jc w:val="center"/>
              <w:rPr>
                <w:rFonts w:hint="default" w:ascii="Times New Roman" w:hAnsi="Times New Roman" w:cs="Times New Roman"/>
                <w:b/>
                <w:bCs/>
                <w:color w:val="auto"/>
              </w:rPr>
            </w:pPr>
            <w:r>
              <w:rPr>
                <w:rFonts w:hint="default" w:ascii="Times New Roman" w:hAnsi="Times New Roman" w:cs="Times New Roman"/>
                <w:b/>
                <w:bCs/>
                <w:color w:val="auto"/>
              </w:rPr>
              <w:t>（mm）</w:t>
            </w:r>
          </w:p>
        </w:tc>
        <w:tc>
          <w:tcPr>
            <w:tcW w:w="973" w:type="dxa"/>
            <w:vAlign w:val="center"/>
          </w:tcPr>
          <w:p>
            <w:pPr>
              <w:pStyle w:val="43"/>
              <w:jc w:val="center"/>
              <w:rPr>
                <w:rFonts w:hint="default" w:ascii="Times New Roman" w:hAnsi="Times New Roman" w:cs="Times New Roman"/>
                <w:b/>
                <w:bCs/>
                <w:color w:val="auto"/>
              </w:rPr>
            </w:pPr>
            <w:r>
              <w:rPr>
                <w:rFonts w:hint="default" w:ascii="Times New Roman" w:hAnsi="Times New Roman" w:cs="Times New Roman"/>
                <w:b/>
                <w:bCs/>
                <w:color w:val="auto"/>
              </w:rPr>
              <w:t>套管尺寸</w:t>
            </w:r>
          </w:p>
          <w:p>
            <w:pPr>
              <w:pStyle w:val="43"/>
              <w:jc w:val="center"/>
              <w:rPr>
                <w:rFonts w:hint="default" w:ascii="Times New Roman" w:hAnsi="Times New Roman" w:cs="Times New Roman"/>
                <w:b/>
                <w:bCs/>
                <w:color w:val="auto"/>
              </w:rPr>
            </w:pPr>
            <w:r>
              <w:rPr>
                <w:rFonts w:hint="default" w:ascii="Times New Roman" w:hAnsi="Times New Roman" w:cs="Times New Roman"/>
                <w:b/>
                <w:bCs/>
                <w:color w:val="auto"/>
              </w:rPr>
              <w:t>（mm）</w:t>
            </w:r>
          </w:p>
        </w:tc>
        <w:tc>
          <w:tcPr>
            <w:tcW w:w="5755" w:type="dxa"/>
            <w:vAlign w:val="center"/>
          </w:tcPr>
          <w:p>
            <w:pPr>
              <w:pStyle w:val="43"/>
              <w:jc w:val="center"/>
              <w:rPr>
                <w:rFonts w:hint="default" w:ascii="Times New Roman" w:hAnsi="Times New Roman" w:cs="Times New Roman"/>
                <w:b/>
                <w:bCs/>
                <w:color w:val="auto"/>
              </w:rPr>
            </w:pPr>
            <w:r>
              <w:rPr>
                <w:rFonts w:hint="default" w:ascii="Times New Roman" w:hAnsi="Times New Roman" w:cs="Times New Roman"/>
                <w:b/>
                <w:bCs/>
                <w:color w:val="auto"/>
              </w:rPr>
              <w:t>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8518" w:type="dxa"/>
            <w:gridSpan w:val="4"/>
            <w:vAlign w:val="center"/>
          </w:tcPr>
          <w:p>
            <w:pPr>
              <w:pStyle w:val="43"/>
              <w:jc w:val="center"/>
              <w:rPr>
                <w:rFonts w:hint="eastAsia" w:ascii="Times New Roman" w:hAnsi="Times New Roman" w:eastAsia="宋体" w:cs="Times New Roman"/>
                <w:b/>
                <w:bCs/>
                <w:color w:val="auto"/>
                <w:lang w:val="en-US" w:eastAsia="zh-CN"/>
              </w:rPr>
            </w:pPr>
            <w:r>
              <w:rPr>
                <w:rFonts w:hint="eastAsia" w:ascii="Times New Roman" w:hAnsi="Times New Roman" w:cs="Times New Roman"/>
                <w:b w:val="0"/>
                <w:bCs w:val="0"/>
                <w:color w:val="auto"/>
                <w:lang w:val="en-US" w:eastAsia="zh-CN"/>
              </w:rPr>
              <w:t>定向井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6" w:type="dxa"/>
            <w:vAlign w:val="center"/>
          </w:tcPr>
          <w:p>
            <w:pPr>
              <w:pStyle w:val="43"/>
              <w:jc w:val="center"/>
              <w:rPr>
                <w:rFonts w:hint="default" w:ascii="Times New Roman" w:hAnsi="Times New Roman" w:cs="Times New Roman"/>
                <w:color w:val="auto"/>
              </w:rPr>
            </w:pPr>
            <w:r>
              <w:rPr>
                <w:rFonts w:hint="default" w:ascii="Times New Roman" w:hAnsi="Times New Roman" w:cs="Times New Roman"/>
                <w:color w:val="auto"/>
              </w:rPr>
              <w:t>一开</w:t>
            </w:r>
          </w:p>
        </w:tc>
        <w:tc>
          <w:tcPr>
            <w:tcW w:w="1104" w:type="dxa"/>
            <w:vAlign w:val="center"/>
          </w:tcPr>
          <w:p>
            <w:pPr>
              <w:pStyle w:val="43"/>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w:sym w:font="Symbol" w:char="F046"/>
            </w:r>
            <w:r>
              <w:rPr>
                <w:rFonts w:hint="eastAsia" w:ascii="Times New Roman" w:hAnsi="Times New Roman" w:cs="Times New Roman"/>
                <w:color w:val="auto"/>
                <w:lang w:eastAsia="zh-CN"/>
              </w:rPr>
              <w:t>444.5</w:t>
            </w:r>
          </w:p>
        </w:tc>
        <w:tc>
          <w:tcPr>
            <w:tcW w:w="973" w:type="dxa"/>
            <w:vAlign w:val="center"/>
          </w:tcPr>
          <w:p>
            <w:pPr>
              <w:pStyle w:val="43"/>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w:sym w:font="Symbol" w:char="F046"/>
            </w:r>
            <w:r>
              <w:rPr>
                <w:rFonts w:hint="eastAsia" w:ascii="Times New Roman" w:hAnsi="Times New Roman" w:cs="Times New Roman"/>
                <w:color w:val="auto"/>
                <w:lang w:eastAsia="zh-CN"/>
              </w:rPr>
              <w:t>339.7</w:t>
            </w:r>
          </w:p>
        </w:tc>
        <w:tc>
          <w:tcPr>
            <w:tcW w:w="5755" w:type="dxa"/>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bCs/>
                <w:color w:val="auto"/>
                <w:spacing w:val="4"/>
                <w:szCs w:val="21"/>
              </w:rPr>
              <w:t>采用Φ</w:t>
            </w:r>
            <w:r>
              <w:rPr>
                <w:rFonts w:hint="eastAsia" w:ascii="Times New Roman" w:hAnsi="Times New Roman" w:eastAsia="宋体" w:cs="Times New Roman"/>
                <w:bCs/>
                <w:color w:val="auto"/>
                <w:spacing w:val="4"/>
                <w:szCs w:val="21"/>
                <w:lang w:eastAsia="zh-CN"/>
              </w:rPr>
              <w:t>444.5</w:t>
            </w:r>
            <w:r>
              <w:rPr>
                <w:rFonts w:hint="default" w:ascii="Times New Roman" w:hAnsi="Times New Roman" w:eastAsia="宋体" w:cs="Times New Roman"/>
                <w:bCs/>
                <w:color w:val="auto"/>
                <w:spacing w:val="4"/>
                <w:szCs w:val="21"/>
              </w:rPr>
              <w:t>.mm钻头钻</w:t>
            </w:r>
            <w:r>
              <w:rPr>
                <w:rFonts w:hint="eastAsia" w:ascii="Times New Roman" w:hAnsi="Times New Roman" w:eastAsia="宋体" w:cs="Times New Roman"/>
                <w:bCs/>
                <w:color w:val="auto"/>
                <w:spacing w:val="4"/>
                <w:szCs w:val="21"/>
                <w:lang w:val="en-US" w:eastAsia="zh-CN"/>
              </w:rPr>
              <w:t>至井深500m</w:t>
            </w:r>
            <w:r>
              <w:rPr>
                <w:rFonts w:hint="default" w:ascii="Times New Roman" w:hAnsi="Times New Roman" w:eastAsia="宋体" w:cs="Times New Roman"/>
                <w:bCs/>
                <w:color w:val="auto"/>
                <w:spacing w:val="4"/>
                <w:szCs w:val="21"/>
              </w:rPr>
              <w:t>，下入Φ</w:t>
            </w:r>
            <w:r>
              <w:rPr>
                <w:rFonts w:hint="eastAsia" w:ascii="Times New Roman" w:hAnsi="Times New Roman" w:eastAsia="宋体" w:cs="Times New Roman"/>
                <w:bCs/>
                <w:color w:val="auto"/>
                <w:spacing w:val="4"/>
                <w:szCs w:val="21"/>
                <w:lang w:eastAsia="zh-CN"/>
              </w:rPr>
              <w:t>339.7</w:t>
            </w:r>
            <w:r>
              <w:rPr>
                <w:rFonts w:hint="default" w:ascii="Times New Roman" w:hAnsi="Times New Roman" w:eastAsia="宋体" w:cs="Times New Roman"/>
                <w:bCs/>
                <w:color w:val="auto"/>
                <w:spacing w:val="4"/>
                <w:szCs w:val="21"/>
              </w:rPr>
              <w:t>mm表层套管，固井水泥浆返至地面。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6" w:type="dxa"/>
            <w:vAlign w:val="center"/>
          </w:tcPr>
          <w:p>
            <w:pPr>
              <w:pStyle w:val="43"/>
              <w:jc w:val="center"/>
              <w:rPr>
                <w:rFonts w:hint="default" w:ascii="Times New Roman" w:hAnsi="Times New Roman" w:cs="Times New Roman"/>
                <w:color w:val="auto"/>
              </w:rPr>
            </w:pPr>
            <w:r>
              <w:rPr>
                <w:rFonts w:hint="default" w:ascii="Times New Roman" w:hAnsi="Times New Roman" w:cs="Times New Roman"/>
                <w:color w:val="auto"/>
              </w:rPr>
              <w:t>二开</w:t>
            </w:r>
          </w:p>
        </w:tc>
        <w:tc>
          <w:tcPr>
            <w:tcW w:w="1104" w:type="dxa"/>
            <w:vAlign w:val="center"/>
          </w:tcPr>
          <w:p>
            <w:pPr>
              <w:pStyle w:val="43"/>
              <w:jc w:val="center"/>
              <w:rPr>
                <w:rFonts w:hint="default" w:ascii="Times New Roman" w:hAnsi="Times New Roman" w:cs="Times New Roman"/>
                <w:color w:val="auto"/>
              </w:rPr>
            </w:pPr>
            <w:r>
              <w:rPr>
                <w:rFonts w:hint="default" w:ascii="Times New Roman" w:hAnsi="Times New Roman" w:cs="Times New Roman"/>
                <w:color w:val="auto"/>
              </w:rPr>
              <w:sym w:font="Symbol" w:char="F046"/>
            </w:r>
            <w:r>
              <w:rPr>
                <w:rFonts w:hint="default" w:ascii="Times New Roman" w:hAnsi="Times New Roman" w:cs="Times New Roman"/>
                <w:color w:val="auto"/>
              </w:rPr>
              <w:t>215.9</w:t>
            </w:r>
          </w:p>
        </w:tc>
        <w:tc>
          <w:tcPr>
            <w:tcW w:w="973" w:type="dxa"/>
            <w:vAlign w:val="center"/>
          </w:tcPr>
          <w:p>
            <w:pPr>
              <w:pStyle w:val="43"/>
              <w:jc w:val="center"/>
              <w:rPr>
                <w:rFonts w:hint="default" w:ascii="Times New Roman" w:hAnsi="Times New Roman" w:cs="Times New Roman"/>
                <w:color w:val="auto"/>
              </w:rPr>
            </w:pPr>
            <w:r>
              <w:rPr>
                <w:rFonts w:hint="default" w:ascii="Times New Roman" w:hAnsi="Times New Roman" w:cs="Times New Roman"/>
                <w:color w:val="auto"/>
              </w:rPr>
              <w:sym w:font="Symbol" w:char="F046"/>
            </w:r>
            <w:r>
              <w:rPr>
                <w:rFonts w:hint="default" w:ascii="Times New Roman" w:hAnsi="Times New Roman" w:cs="Times New Roman"/>
                <w:color w:val="auto"/>
              </w:rPr>
              <w:t>139.7</w:t>
            </w:r>
          </w:p>
        </w:tc>
        <w:tc>
          <w:tcPr>
            <w:tcW w:w="5755" w:type="dxa"/>
            <w:vAlign w:val="center"/>
          </w:tcPr>
          <w:p>
            <w:pPr>
              <w:pStyle w:val="43"/>
              <w:ind w:left="198" w:leftChars="0" w:hanging="198" w:firstLineChars="0"/>
              <w:jc w:val="center"/>
              <w:rPr>
                <w:rFonts w:hint="default" w:ascii="Times New Roman" w:hAnsi="Times New Roman" w:cs="Times New Roman"/>
                <w:color w:val="auto"/>
              </w:rPr>
            </w:pPr>
            <w:r>
              <w:rPr>
                <w:rFonts w:ascii="Times New Roman" w:hAnsi="Times New Roman"/>
                <w:color w:val="auto"/>
                <w:spacing w:val="4"/>
                <w:szCs w:val="21"/>
              </w:rPr>
              <w:t>采用Φ215.9mm钻头钻至</w:t>
            </w:r>
            <w:r>
              <w:rPr>
                <w:rFonts w:ascii="Times New Roman" w:hAnsi="Times New Roman"/>
                <w:color w:val="auto"/>
                <w:szCs w:val="21"/>
              </w:rPr>
              <w:t>设计完钻井深，</w:t>
            </w:r>
            <w:r>
              <w:rPr>
                <w:rFonts w:ascii="Times New Roman" w:hAnsi="Times New Roman"/>
                <w:color w:val="auto"/>
                <w:spacing w:val="4"/>
                <w:szCs w:val="21"/>
              </w:rPr>
              <w:t>下入Φ139.7mm油层套管，固井水泥浆返至地面。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8518" w:type="dxa"/>
            <w:gridSpan w:val="4"/>
            <w:vAlign w:val="center"/>
          </w:tcPr>
          <w:p>
            <w:pPr>
              <w:pStyle w:val="43"/>
              <w:jc w:val="center"/>
              <w:rPr>
                <w:rFonts w:hint="eastAsia" w:ascii="Times New Roman" w:hAnsi="Times New Roman" w:eastAsia="宋体" w:cs="Times New Roman"/>
                <w:bCs/>
                <w:color w:val="auto"/>
                <w:spacing w:val="4"/>
                <w:szCs w:val="21"/>
                <w:lang w:val="en-US" w:eastAsia="zh-CN"/>
              </w:rPr>
            </w:pPr>
            <w:r>
              <w:rPr>
                <w:rFonts w:hint="eastAsia" w:ascii="Times New Roman" w:hAnsi="Times New Roman" w:cs="Times New Roman"/>
                <w:bCs/>
                <w:color w:val="auto"/>
                <w:spacing w:val="4"/>
                <w:szCs w:val="21"/>
                <w:lang w:val="en-US" w:eastAsia="zh-CN"/>
              </w:rPr>
              <w:t>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6" w:type="dxa"/>
            <w:vAlign w:val="center"/>
          </w:tcPr>
          <w:p>
            <w:pPr>
              <w:pStyle w:val="43"/>
              <w:ind w:left="198" w:leftChars="0" w:hanging="198" w:firstLineChars="0"/>
              <w:jc w:val="center"/>
              <w:rPr>
                <w:rFonts w:hint="default" w:ascii="Times New Roman" w:hAnsi="Times New Roman" w:cs="Times New Roman"/>
                <w:color w:val="auto"/>
              </w:rPr>
            </w:pPr>
            <w:r>
              <w:rPr>
                <w:rFonts w:hint="default" w:ascii="Times New Roman" w:hAnsi="Times New Roman" w:cs="Times New Roman"/>
                <w:color w:val="auto"/>
              </w:rPr>
              <w:t>一开</w:t>
            </w:r>
          </w:p>
        </w:tc>
        <w:tc>
          <w:tcPr>
            <w:tcW w:w="1104" w:type="dxa"/>
            <w:vAlign w:val="center"/>
          </w:tcPr>
          <w:p>
            <w:pPr>
              <w:pStyle w:val="43"/>
              <w:ind w:left="198" w:leftChars="0" w:hanging="198" w:firstLineChars="0"/>
              <w:jc w:val="center"/>
              <w:rPr>
                <w:rFonts w:hint="default" w:ascii="Times New Roman" w:hAnsi="Times New Roman" w:cs="Times New Roman"/>
                <w:color w:val="auto"/>
              </w:rPr>
            </w:pPr>
            <w:r>
              <w:rPr>
                <w:rFonts w:hint="default" w:ascii="Times New Roman" w:hAnsi="Times New Roman" w:cs="Times New Roman"/>
                <w:color w:val="auto"/>
              </w:rPr>
              <w:sym w:font="Symbol" w:char="F046"/>
            </w:r>
            <w:r>
              <w:rPr>
                <w:rFonts w:hint="eastAsia" w:ascii="Times New Roman" w:hAnsi="Times New Roman" w:cs="Times New Roman"/>
                <w:color w:val="auto"/>
                <w:lang w:eastAsia="zh-CN"/>
              </w:rPr>
              <w:t>444.5</w:t>
            </w:r>
          </w:p>
        </w:tc>
        <w:tc>
          <w:tcPr>
            <w:tcW w:w="973" w:type="dxa"/>
            <w:vAlign w:val="center"/>
          </w:tcPr>
          <w:p>
            <w:pPr>
              <w:pStyle w:val="43"/>
              <w:ind w:left="198" w:leftChars="0" w:hanging="198" w:firstLineChars="0"/>
              <w:jc w:val="center"/>
              <w:rPr>
                <w:rFonts w:hint="default" w:ascii="Times New Roman" w:hAnsi="Times New Roman" w:cs="Times New Roman"/>
                <w:color w:val="auto"/>
              </w:rPr>
            </w:pPr>
            <w:r>
              <w:rPr>
                <w:rFonts w:hint="default" w:ascii="Times New Roman" w:hAnsi="Times New Roman" w:cs="Times New Roman"/>
                <w:color w:val="auto"/>
              </w:rPr>
              <w:sym w:font="Symbol" w:char="F046"/>
            </w:r>
            <w:r>
              <w:rPr>
                <w:rFonts w:hint="eastAsia" w:ascii="Times New Roman" w:hAnsi="Times New Roman" w:cs="Times New Roman"/>
                <w:color w:val="auto"/>
                <w:lang w:eastAsia="zh-CN"/>
              </w:rPr>
              <w:t>339.7</w:t>
            </w:r>
          </w:p>
        </w:tc>
        <w:tc>
          <w:tcPr>
            <w:tcW w:w="5755" w:type="dxa"/>
            <w:vAlign w:val="center"/>
          </w:tcPr>
          <w:p>
            <w:pPr>
              <w:jc w:val="center"/>
              <w:rPr>
                <w:rFonts w:hint="default" w:ascii="Times New Roman" w:hAnsi="Times New Roman" w:cs="Times New Roman"/>
                <w:bCs/>
                <w:color w:val="auto"/>
                <w:spacing w:val="4"/>
                <w:szCs w:val="21"/>
              </w:rPr>
            </w:pPr>
            <w:r>
              <w:rPr>
                <w:rFonts w:hint="default" w:ascii="Times New Roman" w:hAnsi="Times New Roman" w:eastAsia="宋体" w:cs="Times New Roman"/>
                <w:bCs/>
                <w:color w:val="auto"/>
                <w:spacing w:val="4"/>
                <w:szCs w:val="21"/>
              </w:rPr>
              <w:t>采用Φ</w:t>
            </w:r>
            <w:r>
              <w:rPr>
                <w:rFonts w:hint="eastAsia" w:ascii="Times New Roman" w:hAnsi="Times New Roman" w:eastAsia="宋体" w:cs="Times New Roman"/>
                <w:bCs/>
                <w:color w:val="auto"/>
                <w:spacing w:val="4"/>
                <w:szCs w:val="21"/>
                <w:lang w:eastAsia="zh-CN"/>
              </w:rPr>
              <w:t>444.5</w:t>
            </w:r>
            <w:r>
              <w:rPr>
                <w:rFonts w:hint="default" w:ascii="Times New Roman" w:hAnsi="Times New Roman" w:eastAsia="宋体" w:cs="Times New Roman"/>
                <w:bCs/>
                <w:color w:val="auto"/>
                <w:spacing w:val="4"/>
                <w:szCs w:val="21"/>
              </w:rPr>
              <w:t>.mm钻头钻</w:t>
            </w:r>
            <w:r>
              <w:rPr>
                <w:rFonts w:hint="eastAsia" w:ascii="Times New Roman" w:hAnsi="Times New Roman" w:eastAsia="宋体" w:cs="Times New Roman"/>
                <w:bCs/>
                <w:color w:val="auto"/>
                <w:spacing w:val="4"/>
                <w:szCs w:val="21"/>
                <w:lang w:val="en-US" w:eastAsia="zh-CN"/>
              </w:rPr>
              <w:t>至井深500m</w:t>
            </w:r>
            <w:r>
              <w:rPr>
                <w:rFonts w:hint="default" w:ascii="Times New Roman" w:hAnsi="Times New Roman" w:eastAsia="宋体" w:cs="Times New Roman"/>
                <w:bCs/>
                <w:color w:val="auto"/>
                <w:spacing w:val="4"/>
                <w:szCs w:val="21"/>
              </w:rPr>
              <w:t>，下入Φ</w:t>
            </w:r>
            <w:r>
              <w:rPr>
                <w:rFonts w:hint="eastAsia" w:ascii="Times New Roman" w:hAnsi="Times New Roman" w:eastAsia="宋体" w:cs="Times New Roman"/>
                <w:bCs/>
                <w:color w:val="auto"/>
                <w:spacing w:val="4"/>
                <w:szCs w:val="21"/>
                <w:lang w:eastAsia="zh-CN"/>
              </w:rPr>
              <w:t>339.7</w:t>
            </w:r>
            <w:r>
              <w:rPr>
                <w:rFonts w:hint="default" w:ascii="Times New Roman" w:hAnsi="Times New Roman" w:eastAsia="宋体" w:cs="Times New Roman"/>
                <w:bCs/>
                <w:color w:val="auto"/>
                <w:spacing w:val="4"/>
                <w:szCs w:val="21"/>
              </w:rPr>
              <w:t>mm表层套管，固井水泥浆返至地面。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6" w:type="dxa"/>
            <w:vAlign w:val="center"/>
          </w:tcPr>
          <w:p>
            <w:pPr>
              <w:pStyle w:val="43"/>
              <w:ind w:left="198" w:leftChars="0" w:hanging="198" w:firstLineChars="0"/>
              <w:jc w:val="center"/>
              <w:rPr>
                <w:rFonts w:hint="default" w:ascii="Times New Roman" w:hAnsi="Times New Roman" w:cs="Times New Roman"/>
                <w:color w:val="auto"/>
              </w:rPr>
            </w:pPr>
            <w:r>
              <w:rPr>
                <w:rFonts w:hint="default" w:ascii="Times New Roman" w:hAnsi="Times New Roman" w:cs="Times New Roman"/>
                <w:color w:val="auto"/>
              </w:rPr>
              <w:t>二开</w:t>
            </w:r>
          </w:p>
        </w:tc>
        <w:tc>
          <w:tcPr>
            <w:tcW w:w="1104" w:type="dxa"/>
            <w:vAlign w:val="center"/>
          </w:tcPr>
          <w:p>
            <w:pPr>
              <w:pStyle w:val="43"/>
              <w:ind w:left="198" w:leftChars="0" w:hanging="198" w:firstLineChars="0"/>
              <w:jc w:val="center"/>
              <w:rPr>
                <w:rFonts w:hint="default" w:ascii="Times New Roman" w:hAnsi="Times New Roman" w:cs="Times New Roman"/>
                <w:color w:val="auto"/>
              </w:rPr>
            </w:pPr>
            <w:r>
              <w:rPr>
                <w:rFonts w:hint="default" w:ascii="Times New Roman" w:hAnsi="Times New Roman" w:cs="Times New Roman"/>
                <w:color w:val="auto"/>
              </w:rPr>
              <w:sym w:font="Symbol" w:char="F046"/>
            </w:r>
            <w:r>
              <w:rPr>
                <w:rFonts w:hint="default" w:ascii="Times New Roman" w:hAnsi="Times New Roman" w:cs="Times New Roman"/>
                <w:color w:val="auto"/>
              </w:rPr>
              <w:t>215.9</w:t>
            </w:r>
          </w:p>
        </w:tc>
        <w:tc>
          <w:tcPr>
            <w:tcW w:w="973" w:type="dxa"/>
            <w:vAlign w:val="center"/>
          </w:tcPr>
          <w:p>
            <w:pPr>
              <w:pStyle w:val="43"/>
              <w:ind w:left="198" w:leftChars="0" w:hanging="198" w:firstLineChars="0"/>
              <w:jc w:val="center"/>
              <w:rPr>
                <w:rFonts w:hint="default" w:ascii="Times New Roman" w:hAnsi="Times New Roman" w:cs="Times New Roman"/>
                <w:color w:val="auto"/>
              </w:rPr>
            </w:pPr>
            <w:r>
              <w:rPr>
                <w:rFonts w:hint="default" w:ascii="Times New Roman" w:hAnsi="Times New Roman" w:cs="Times New Roman"/>
                <w:color w:val="auto"/>
              </w:rPr>
              <w:sym w:font="Symbol" w:char="F046"/>
            </w:r>
            <w:r>
              <w:rPr>
                <w:rFonts w:hint="default" w:ascii="Times New Roman" w:hAnsi="Times New Roman" w:cs="Times New Roman"/>
                <w:color w:val="auto"/>
              </w:rPr>
              <w:t>139.7</w:t>
            </w:r>
          </w:p>
        </w:tc>
        <w:tc>
          <w:tcPr>
            <w:tcW w:w="5755" w:type="dxa"/>
            <w:vAlign w:val="center"/>
          </w:tcPr>
          <w:p>
            <w:pPr>
              <w:pStyle w:val="43"/>
              <w:ind w:left="198" w:leftChars="0" w:hanging="198" w:firstLineChars="0"/>
              <w:jc w:val="center"/>
              <w:rPr>
                <w:rFonts w:hint="default" w:ascii="Times New Roman" w:hAnsi="Times New Roman" w:cs="Times New Roman"/>
                <w:bCs/>
                <w:color w:val="auto"/>
                <w:spacing w:val="4"/>
                <w:szCs w:val="21"/>
              </w:rPr>
            </w:pPr>
            <w:r>
              <w:rPr>
                <w:rFonts w:ascii="Times New Roman" w:hAnsi="Times New Roman"/>
                <w:color w:val="auto"/>
                <w:spacing w:val="4"/>
                <w:szCs w:val="21"/>
              </w:rPr>
              <w:t>采用Φ215.9mm钻头钻至</w:t>
            </w:r>
            <w:r>
              <w:rPr>
                <w:rFonts w:ascii="Times New Roman" w:hAnsi="Times New Roman"/>
                <w:color w:val="auto"/>
                <w:szCs w:val="21"/>
              </w:rPr>
              <w:t>设计完钻井深，</w:t>
            </w:r>
            <w:r>
              <w:rPr>
                <w:rFonts w:ascii="Times New Roman" w:hAnsi="Times New Roman"/>
                <w:color w:val="auto"/>
                <w:spacing w:val="4"/>
                <w:szCs w:val="21"/>
              </w:rPr>
              <w:t>下入Φ139.7mm油层套管，固井水泥浆返至地面。</w:t>
            </w:r>
          </w:p>
        </w:tc>
      </w:tr>
    </w:tbl>
    <w:p>
      <w:pPr>
        <w:pStyle w:val="33"/>
        <w:jc w:val="both"/>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（2）井控</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为防止井喷事故发生，钻井施工单位做好HSE应急预案，采取必要的井控措施，预防或避免井喷事故造成环境污染。井口装置见图3.5-2。</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nil"/>
              <w:left w:val="nil"/>
              <w:bottom w:val="nil"/>
              <w:right w:val="nil"/>
            </w:tcBorders>
          </w:tcPr>
          <w:p>
            <w:pPr>
              <w:adjustRightInd w:val="0"/>
              <w:snapToGrid w:val="0"/>
              <w:spacing w:line="360" w:lineRule="auto"/>
              <w:jc w:val="center"/>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drawing>
                <wp:inline distT="0" distB="0" distL="114300" distR="114300">
                  <wp:extent cx="2592070" cy="2339975"/>
                  <wp:effectExtent l="0" t="0" r="17780" b="3175"/>
                  <wp:docPr id="317" name="图片 19" descr="{316938DC-8325-4990-A496-19CDFE11B4D9}"/>
                  <wp:cNvGraphicFramePr/>
                  <a:graphic xmlns:a="http://schemas.openxmlformats.org/drawingml/2006/main">
                    <a:graphicData uri="http://schemas.openxmlformats.org/drawingml/2006/picture">
                      <pic:pic xmlns:pic="http://schemas.openxmlformats.org/drawingml/2006/picture">
                        <pic:nvPicPr>
                          <pic:cNvPr id="317" name="图片 19" descr="{316938DC-8325-4990-A496-19CDFE11B4D9}"/>
                          <pic:cNvPicPr/>
                        </pic:nvPicPr>
                        <pic:blipFill>
                          <a:blip r:embed="rId18" cstate="print"/>
                          <a:stretch>
                            <a:fillRect/>
                          </a:stretch>
                        </pic:blipFill>
                        <pic:spPr>
                          <a:xfrm>
                            <a:off x="0" y="0"/>
                            <a:ext cx="2592070" cy="2339975"/>
                          </a:xfrm>
                          <a:prstGeom prst="rect">
                            <a:avLst/>
                          </a:prstGeom>
                          <a:noFill/>
                          <a:ln>
                            <a:noFill/>
                          </a:ln>
                        </pic:spPr>
                      </pic:pic>
                    </a:graphicData>
                  </a:graphic>
                </wp:inline>
              </w:drawing>
            </w:r>
          </w:p>
        </w:tc>
        <w:tc>
          <w:tcPr>
            <w:tcW w:w="4261" w:type="dxa"/>
            <w:tcBorders>
              <w:top w:val="nil"/>
              <w:left w:val="nil"/>
              <w:bottom w:val="nil"/>
              <w:right w:val="nil"/>
            </w:tcBorders>
          </w:tcPr>
          <w:p>
            <w:pPr>
              <w:adjustRightInd w:val="0"/>
              <w:snapToGrid w:val="0"/>
              <w:spacing w:line="360" w:lineRule="auto"/>
              <w:jc w:val="center"/>
              <w:rPr>
                <w:rFonts w:hint="default" w:ascii="Times New Roman" w:hAnsi="Times New Roman" w:eastAsia="宋体" w:cs="Times New Roman"/>
                <w:color w:val="auto"/>
                <w:spacing w:val="4"/>
              </w:rPr>
            </w:pPr>
            <w:r>
              <w:rPr>
                <w:rFonts w:hint="default" w:ascii="Times New Roman" w:hAnsi="Times New Roman" w:eastAsia="宋体" w:cs="Times New Roman"/>
                <w:color w:val="auto"/>
              </w:rPr>
              <w:drawing>
                <wp:inline distT="0" distB="0" distL="114300" distR="114300">
                  <wp:extent cx="2592070" cy="2339975"/>
                  <wp:effectExtent l="0" t="0" r="17780" b="3175"/>
                  <wp:docPr id="1" name="图片 16"/>
                  <wp:cNvGraphicFramePr/>
                  <a:graphic xmlns:a="http://schemas.openxmlformats.org/drawingml/2006/main">
                    <a:graphicData uri="http://schemas.openxmlformats.org/drawingml/2006/picture">
                      <pic:pic xmlns:pic="http://schemas.openxmlformats.org/drawingml/2006/picture">
                        <pic:nvPicPr>
                          <pic:cNvPr id="1" name="图片 16"/>
                          <pic:cNvPicPr/>
                        </pic:nvPicPr>
                        <pic:blipFill>
                          <a:blip r:embed="rId19" cstate="print"/>
                          <a:stretch>
                            <a:fillRect/>
                          </a:stretch>
                        </pic:blipFill>
                        <pic:spPr>
                          <a:xfrm>
                            <a:off x="0" y="0"/>
                            <a:ext cx="2592070" cy="2339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nil"/>
              <w:left w:val="nil"/>
              <w:bottom w:val="nil"/>
              <w:right w:val="nil"/>
            </w:tcBorders>
          </w:tcPr>
          <w:p>
            <w:pPr>
              <w:adjustRightInd w:val="0"/>
              <w:snapToGrid w:val="0"/>
              <w:spacing w:line="360" w:lineRule="auto"/>
              <w:jc w:val="center"/>
              <w:rPr>
                <w:rFonts w:hint="default" w:ascii="Times New Roman" w:hAnsi="Times New Roman" w:eastAsia="宋体" w:cs="Times New Roman"/>
                <w:color w:val="auto"/>
                <w:spacing w:val="4"/>
              </w:rPr>
            </w:pPr>
            <w:r>
              <w:rPr>
                <w:rFonts w:hint="default" w:ascii="Times New Roman" w:hAnsi="Times New Roman" w:eastAsia="宋体" w:cs="Times New Roman"/>
                <w:b/>
                <w:bCs/>
                <w:color w:val="auto"/>
                <w:szCs w:val="21"/>
              </w:rPr>
              <w:t>一开井口装置示意图</w:t>
            </w:r>
          </w:p>
        </w:tc>
        <w:tc>
          <w:tcPr>
            <w:tcW w:w="4261" w:type="dxa"/>
            <w:tcBorders>
              <w:top w:val="nil"/>
              <w:left w:val="nil"/>
              <w:bottom w:val="nil"/>
              <w:right w:val="nil"/>
            </w:tcBorders>
          </w:tcPr>
          <w:p>
            <w:pPr>
              <w:adjustRightInd w:val="0"/>
              <w:snapToGrid w:val="0"/>
              <w:spacing w:line="360" w:lineRule="auto"/>
              <w:jc w:val="center"/>
              <w:rPr>
                <w:rFonts w:hint="default" w:ascii="Times New Roman" w:hAnsi="Times New Roman" w:eastAsia="宋体" w:cs="Times New Roman"/>
                <w:color w:val="auto"/>
                <w:spacing w:val="4"/>
              </w:rPr>
            </w:pPr>
            <w:r>
              <w:rPr>
                <w:rFonts w:hint="default" w:ascii="Times New Roman" w:hAnsi="Times New Roman" w:eastAsia="宋体" w:cs="Times New Roman"/>
                <w:b/>
                <w:bCs/>
                <w:color w:val="auto"/>
                <w:szCs w:val="21"/>
              </w:rPr>
              <w:t>二开井口装置示意图</w:t>
            </w:r>
          </w:p>
        </w:tc>
      </w:tr>
    </w:tbl>
    <w:p>
      <w:pPr>
        <w:adjustRightInd w:val="0"/>
        <w:snapToGrid w:val="0"/>
        <w:spacing w:line="360" w:lineRule="auto"/>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图3.5-2  井口装置</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（3）固井工程</w:t>
      </w:r>
    </w:p>
    <w:p>
      <w:pPr>
        <w:pStyle w:val="33"/>
        <w:spacing w:line="360" w:lineRule="auto"/>
        <w:ind w:firstLine="480" w:firstLineChars="200"/>
        <w:jc w:val="left"/>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1）固井工艺</w:t>
      </w:r>
    </w:p>
    <w:p>
      <w:pPr>
        <w:snapToGrid w:val="0"/>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①</w:t>
      </w:r>
      <w:r>
        <w:rPr>
          <w:rFonts w:hint="default" w:ascii="Times New Roman" w:hAnsi="Times New Roman" w:eastAsia="宋体" w:cs="Times New Roman"/>
          <w:color w:val="auto"/>
          <w:spacing w:val="4"/>
          <w:sz w:val="24"/>
        </w:rPr>
        <w:t>Ф</w:t>
      </w:r>
      <w:r>
        <w:rPr>
          <w:rFonts w:hint="eastAsia" w:ascii="Times New Roman" w:hAnsi="Times New Roman" w:eastAsia="宋体" w:cs="Times New Roman"/>
          <w:color w:val="auto"/>
          <w:spacing w:val="4"/>
          <w:sz w:val="24"/>
          <w:lang w:eastAsia="zh-CN"/>
        </w:rPr>
        <w:t>339.7</w:t>
      </w:r>
      <w:r>
        <w:rPr>
          <w:rFonts w:hint="default" w:ascii="Times New Roman" w:hAnsi="Times New Roman" w:eastAsia="宋体" w:cs="Times New Roman"/>
          <w:color w:val="auto"/>
          <w:spacing w:val="4"/>
          <w:sz w:val="24"/>
        </w:rPr>
        <w:t>mm表层套管下入深度</w:t>
      </w:r>
      <w:r>
        <w:rPr>
          <w:rFonts w:hint="eastAsia" w:ascii="Times New Roman" w:hAnsi="Times New Roman" w:eastAsia="宋体" w:cs="Times New Roman"/>
          <w:color w:val="auto"/>
          <w:spacing w:val="4"/>
          <w:sz w:val="24"/>
          <w:lang w:val="en-US" w:eastAsia="zh-CN"/>
        </w:rPr>
        <w:t>50</w:t>
      </w:r>
      <w:r>
        <w:rPr>
          <w:rFonts w:hint="default" w:ascii="Times New Roman" w:hAnsi="Times New Roman" w:eastAsia="宋体" w:cs="Times New Roman"/>
          <w:color w:val="auto"/>
          <w:spacing w:val="4"/>
          <w:sz w:val="24"/>
        </w:rPr>
        <w:t>0m，采用G级水泥常规固井，水泥浆返至地面。</w:t>
      </w:r>
    </w:p>
    <w:p>
      <w:pPr>
        <w:snapToGrid w:val="0"/>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②</w:t>
      </w:r>
      <w:r>
        <w:rPr>
          <w:rFonts w:hint="default" w:ascii="Times New Roman" w:hAnsi="Times New Roman" w:eastAsia="宋体" w:cs="Times New Roman"/>
          <w:color w:val="auto"/>
          <w:spacing w:val="4"/>
          <w:sz w:val="24"/>
        </w:rPr>
        <w:t>Ф139.7mm油层套管下至完钻井深，采用超低密度+自愈合低密度水泥浆体系常规固井，水泥浆返至地面。备用双级固井。</w:t>
      </w:r>
    </w:p>
    <w:p>
      <w:pPr>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2）套管柱设计</w:t>
      </w:r>
    </w:p>
    <w:p>
      <w:pPr>
        <w:adjustRightInd w:val="0"/>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表3.5-3  套管柱设计</w:t>
      </w:r>
    </w:p>
    <w:tbl>
      <w:tblPr>
        <w:tblStyle w:val="31"/>
        <w:tblW w:w="835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56"/>
        <w:gridCol w:w="658"/>
        <w:gridCol w:w="917"/>
        <w:gridCol w:w="598"/>
        <w:gridCol w:w="546"/>
        <w:gridCol w:w="651"/>
        <w:gridCol w:w="655"/>
        <w:gridCol w:w="655"/>
        <w:gridCol w:w="656"/>
        <w:gridCol w:w="703"/>
        <w:gridCol w:w="527"/>
        <w:gridCol w:w="616"/>
        <w:gridCol w:w="6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cantSplit/>
          <w:trHeight w:val="624" w:hRule="atLeast"/>
          <w:jc w:val="center"/>
        </w:trPr>
        <w:tc>
          <w:tcPr>
            <w:tcW w:w="556"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套管</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程序</w:t>
            </w:r>
          </w:p>
        </w:tc>
        <w:tc>
          <w:tcPr>
            <w:tcW w:w="658"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套管</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外径</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(mm)</w:t>
            </w:r>
          </w:p>
        </w:tc>
        <w:tc>
          <w:tcPr>
            <w:tcW w:w="917"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井段</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(m)</w:t>
            </w:r>
          </w:p>
        </w:tc>
        <w:tc>
          <w:tcPr>
            <w:tcW w:w="598"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钢级</w:t>
            </w:r>
          </w:p>
        </w:tc>
        <w:tc>
          <w:tcPr>
            <w:tcW w:w="546"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壁厚</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(mm)</w:t>
            </w:r>
          </w:p>
        </w:tc>
        <w:tc>
          <w:tcPr>
            <w:tcW w:w="651"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扣型</w:t>
            </w:r>
          </w:p>
        </w:tc>
        <w:tc>
          <w:tcPr>
            <w:tcW w:w="655"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累重t</w:t>
            </w:r>
          </w:p>
        </w:tc>
        <w:tc>
          <w:tcPr>
            <w:tcW w:w="655"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抗挤</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强度MPa</w:t>
            </w:r>
          </w:p>
        </w:tc>
        <w:tc>
          <w:tcPr>
            <w:tcW w:w="656"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安全</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系数</w:t>
            </w:r>
          </w:p>
        </w:tc>
        <w:tc>
          <w:tcPr>
            <w:tcW w:w="703"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抗内压</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强度MPa</w:t>
            </w:r>
          </w:p>
        </w:tc>
        <w:tc>
          <w:tcPr>
            <w:tcW w:w="527"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安全系数</w:t>
            </w:r>
          </w:p>
        </w:tc>
        <w:tc>
          <w:tcPr>
            <w:tcW w:w="616"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抗拉</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强度kN</w:t>
            </w:r>
          </w:p>
        </w:tc>
        <w:tc>
          <w:tcPr>
            <w:tcW w:w="617" w:type="dxa"/>
            <w:vAlign w:val="center"/>
          </w:tcPr>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安全</w:t>
            </w:r>
          </w:p>
          <w:p>
            <w:pPr>
              <w:snapToGrid w:val="0"/>
              <w:jc w:val="center"/>
              <w:rPr>
                <w:rFonts w:hint="default" w:ascii="Times New Roman" w:hAnsi="Times New Roman" w:eastAsia="宋体" w:cs="Times New Roman"/>
                <w:b/>
                <w:bCs/>
                <w:snapToGrid w:val="0"/>
                <w:color w:val="auto"/>
                <w:kern w:val="0"/>
                <w:szCs w:val="21"/>
              </w:rPr>
            </w:pPr>
            <w:r>
              <w:rPr>
                <w:rFonts w:hint="default" w:ascii="Times New Roman" w:hAnsi="Times New Roman" w:eastAsia="宋体" w:cs="Times New Roman"/>
                <w:b/>
                <w:bCs/>
                <w:snapToGrid w:val="0"/>
                <w:color w:val="auto"/>
                <w:kern w:val="0"/>
                <w:szCs w:val="21"/>
              </w:rPr>
              <w:t>系数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cantSplit/>
          <w:trHeight w:val="385" w:hRule="atLeast"/>
          <w:jc w:val="center"/>
        </w:trPr>
        <w:tc>
          <w:tcPr>
            <w:tcW w:w="556"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表套</w:t>
            </w:r>
          </w:p>
        </w:tc>
        <w:tc>
          <w:tcPr>
            <w:tcW w:w="658" w:type="dxa"/>
            <w:vAlign w:val="center"/>
          </w:tcPr>
          <w:p>
            <w:pPr>
              <w:snapToGrid w:val="0"/>
              <w:jc w:val="center"/>
              <w:rPr>
                <w:rFonts w:hint="eastAsia" w:ascii="Times New Roman" w:hAnsi="Times New Roman" w:eastAsia="宋体" w:cs="Times New Roman"/>
                <w:snapToGrid w:val="0"/>
                <w:color w:val="auto"/>
                <w:kern w:val="0"/>
                <w:szCs w:val="21"/>
                <w:lang w:eastAsia="zh-CN"/>
              </w:rPr>
            </w:pPr>
            <w:r>
              <w:rPr>
                <w:rFonts w:hint="eastAsia" w:ascii="Times New Roman" w:hAnsi="Times New Roman" w:eastAsia="宋体" w:cs="Times New Roman"/>
                <w:snapToGrid w:val="0"/>
                <w:color w:val="auto"/>
                <w:kern w:val="0"/>
                <w:szCs w:val="21"/>
                <w:lang w:eastAsia="zh-CN"/>
              </w:rPr>
              <w:t>339.7</w:t>
            </w:r>
          </w:p>
        </w:tc>
        <w:tc>
          <w:tcPr>
            <w:tcW w:w="917"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0~</w:t>
            </w:r>
            <w:r>
              <w:rPr>
                <w:rFonts w:hint="eastAsia" w:ascii="Times New Roman" w:hAnsi="Times New Roman" w:eastAsia="宋体" w:cs="Times New Roman"/>
                <w:snapToGrid w:val="0"/>
                <w:color w:val="auto"/>
                <w:kern w:val="0"/>
                <w:szCs w:val="21"/>
                <w:lang w:val="en-US" w:eastAsia="zh-CN"/>
              </w:rPr>
              <w:t>50</w:t>
            </w:r>
            <w:r>
              <w:rPr>
                <w:rFonts w:hint="default" w:ascii="Times New Roman" w:hAnsi="Times New Roman" w:eastAsia="宋体" w:cs="Times New Roman"/>
                <w:snapToGrid w:val="0"/>
                <w:color w:val="auto"/>
                <w:kern w:val="0"/>
                <w:szCs w:val="21"/>
              </w:rPr>
              <w:t>0</w:t>
            </w:r>
          </w:p>
        </w:tc>
        <w:tc>
          <w:tcPr>
            <w:tcW w:w="598"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J55</w:t>
            </w:r>
          </w:p>
        </w:tc>
        <w:tc>
          <w:tcPr>
            <w:tcW w:w="546"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10.03</w:t>
            </w:r>
          </w:p>
        </w:tc>
        <w:tc>
          <w:tcPr>
            <w:tcW w:w="651"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BCSG</w:t>
            </w:r>
          </w:p>
        </w:tc>
        <w:tc>
          <w:tcPr>
            <w:tcW w:w="655"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26.79</w:t>
            </w:r>
          </w:p>
        </w:tc>
        <w:tc>
          <w:tcPr>
            <w:tcW w:w="655"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kern w:val="0"/>
                <w:szCs w:val="21"/>
              </w:rPr>
              <w:t>17.7</w:t>
            </w:r>
          </w:p>
        </w:tc>
        <w:tc>
          <w:tcPr>
            <w:tcW w:w="656"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3.34</w:t>
            </w:r>
          </w:p>
        </w:tc>
        <w:tc>
          <w:tcPr>
            <w:tcW w:w="703"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kern w:val="0"/>
                <w:szCs w:val="21"/>
              </w:rPr>
              <w:t>27.2</w:t>
            </w:r>
          </w:p>
        </w:tc>
        <w:tc>
          <w:tcPr>
            <w:tcW w:w="527"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kern w:val="0"/>
                <w:szCs w:val="21"/>
              </w:rPr>
              <w:t>2.72</w:t>
            </w:r>
          </w:p>
        </w:tc>
        <w:tc>
          <w:tcPr>
            <w:tcW w:w="616"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kern w:val="0"/>
                <w:szCs w:val="21"/>
              </w:rPr>
              <w:t>2801</w:t>
            </w:r>
          </w:p>
        </w:tc>
        <w:tc>
          <w:tcPr>
            <w:tcW w:w="617"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kern w:val="0"/>
                <w:szCs w:val="21"/>
              </w:rPr>
              <w:t>10.67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cantSplit/>
          <w:trHeight w:val="347" w:hRule="atLeast"/>
          <w:jc w:val="center"/>
        </w:trPr>
        <w:tc>
          <w:tcPr>
            <w:tcW w:w="556"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油套</w:t>
            </w:r>
          </w:p>
        </w:tc>
        <w:tc>
          <w:tcPr>
            <w:tcW w:w="658"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139.7</w:t>
            </w:r>
          </w:p>
        </w:tc>
        <w:tc>
          <w:tcPr>
            <w:tcW w:w="917" w:type="dxa"/>
            <w:vAlign w:val="center"/>
          </w:tcPr>
          <w:p>
            <w:pPr>
              <w:snapToGrid w:val="0"/>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rPr>
              <w:t>0~2</w:t>
            </w:r>
            <w:r>
              <w:rPr>
                <w:rFonts w:hint="eastAsia" w:ascii="Times New Roman" w:hAnsi="Times New Roman" w:eastAsia="宋体" w:cs="Times New Roman"/>
                <w:snapToGrid w:val="0"/>
                <w:color w:val="auto"/>
                <w:kern w:val="0"/>
                <w:szCs w:val="21"/>
                <w:lang w:val="en-US" w:eastAsia="zh-CN"/>
              </w:rPr>
              <w:t>015</w:t>
            </w:r>
          </w:p>
        </w:tc>
        <w:tc>
          <w:tcPr>
            <w:tcW w:w="598"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N80</w:t>
            </w:r>
          </w:p>
        </w:tc>
        <w:tc>
          <w:tcPr>
            <w:tcW w:w="546"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7.72</w:t>
            </w:r>
          </w:p>
        </w:tc>
        <w:tc>
          <w:tcPr>
            <w:tcW w:w="651"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LCSG</w:t>
            </w:r>
          </w:p>
        </w:tc>
        <w:tc>
          <w:tcPr>
            <w:tcW w:w="655" w:type="dxa"/>
            <w:vAlign w:val="center"/>
          </w:tcPr>
          <w:p>
            <w:pPr>
              <w:snapToGrid w:val="0"/>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59.48</w:t>
            </w:r>
          </w:p>
        </w:tc>
        <w:tc>
          <w:tcPr>
            <w:tcW w:w="655"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kern w:val="0"/>
                <w:szCs w:val="21"/>
              </w:rPr>
              <w:t>43.4</w:t>
            </w:r>
          </w:p>
        </w:tc>
        <w:tc>
          <w:tcPr>
            <w:tcW w:w="656"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1.71</w:t>
            </w:r>
          </w:p>
        </w:tc>
        <w:tc>
          <w:tcPr>
            <w:tcW w:w="703"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kern w:val="0"/>
                <w:szCs w:val="21"/>
              </w:rPr>
              <w:t>53.3</w:t>
            </w:r>
          </w:p>
        </w:tc>
        <w:tc>
          <w:tcPr>
            <w:tcW w:w="527"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1.84</w:t>
            </w:r>
          </w:p>
        </w:tc>
        <w:tc>
          <w:tcPr>
            <w:tcW w:w="616"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color w:val="auto"/>
                <w:kern w:val="0"/>
                <w:szCs w:val="21"/>
              </w:rPr>
              <w:t>1546</w:t>
            </w:r>
          </w:p>
        </w:tc>
        <w:tc>
          <w:tcPr>
            <w:tcW w:w="617" w:type="dxa"/>
            <w:vAlign w:val="center"/>
          </w:tcPr>
          <w:p>
            <w:pPr>
              <w:widowControl/>
              <w:jc w:val="center"/>
              <w:textAlignment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2.65</w:t>
            </w:r>
          </w:p>
        </w:tc>
      </w:tr>
    </w:tbl>
    <w:p>
      <w:pPr>
        <w:pStyle w:val="33"/>
        <w:spacing w:line="360" w:lineRule="auto"/>
        <w:ind w:firstLine="480" w:firstLineChars="200"/>
        <w:jc w:val="left"/>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3）水泥浆体系设计</w:t>
      </w:r>
    </w:p>
    <w:p>
      <w:pPr>
        <w:pStyle w:val="79"/>
        <w:adjustRightInd w:val="0"/>
        <w:snapToGrid w:val="0"/>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①表层套管</w:t>
      </w:r>
    </w:p>
    <w:p>
      <w:pPr>
        <w:spacing w:line="360" w:lineRule="auto"/>
        <w:ind w:firstLine="480" w:firstLineChars="200"/>
        <w:rPr>
          <w:rFonts w:hint="default" w:ascii="Times New Roman" w:hAnsi="Times New Roman" w:eastAsia="宋体" w:cs="Times New Roman"/>
          <w:color w:val="auto"/>
          <w:sz w:val="24"/>
        </w:rPr>
      </w:pPr>
      <w:bookmarkStart w:id="63" w:name="_Toc396859590"/>
      <w:r>
        <w:rPr>
          <w:rFonts w:hint="default" w:ascii="Times New Roman" w:hAnsi="Times New Roman" w:eastAsia="宋体" w:cs="Times New Roman"/>
          <w:color w:val="auto"/>
          <w:sz w:val="24"/>
        </w:rPr>
        <w:t>水泥浆配方：G级＋4.0%DS-B＋44%H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O</w:t>
      </w:r>
      <w:bookmarkEnd w:id="63"/>
    </w:p>
    <w:p>
      <w:pPr>
        <w:widowControl/>
        <w:snapToGrid w:val="0"/>
        <w:spacing w:line="360" w:lineRule="auto"/>
        <w:ind w:firstLine="496" w:firstLineChars="200"/>
        <w:rPr>
          <w:rFonts w:hint="default" w:ascii="Times New Roman" w:hAnsi="Times New Roman" w:eastAsia="宋体" w:cs="Times New Roman"/>
          <w:bCs/>
          <w:color w:val="auto"/>
          <w:spacing w:val="-4"/>
          <w:kern w:val="0"/>
          <w:sz w:val="24"/>
        </w:rPr>
      </w:pPr>
      <w:r>
        <w:rPr>
          <w:rFonts w:hint="default" w:ascii="Times New Roman" w:hAnsi="Times New Roman" w:eastAsia="宋体" w:cs="Times New Roman"/>
          <w:color w:val="auto"/>
          <w:spacing w:val="4"/>
          <w:sz w:val="24"/>
        </w:rPr>
        <w:t>水泥浆性能：</w:t>
      </w:r>
      <w:r>
        <w:rPr>
          <w:rFonts w:hint="default" w:ascii="Times New Roman" w:hAnsi="Times New Roman" w:eastAsia="宋体" w:cs="Times New Roman"/>
          <w:bCs/>
          <w:color w:val="auto"/>
          <w:spacing w:val="-4"/>
          <w:kern w:val="0"/>
          <w:sz w:val="24"/>
        </w:rPr>
        <w:t>密度1.90g/cm</w:t>
      </w:r>
      <w:r>
        <w:rPr>
          <w:rFonts w:hint="default" w:ascii="Times New Roman" w:hAnsi="Times New Roman" w:eastAsia="宋体" w:cs="Times New Roman"/>
          <w:bCs/>
          <w:color w:val="auto"/>
          <w:spacing w:val="-4"/>
          <w:kern w:val="0"/>
          <w:sz w:val="24"/>
          <w:vertAlign w:val="superscript"/>
        </w:rPr>
        <w:t>3</w:t>
      </w:r>
      <w:r>
        <w:rPr>
          <w:rFonts w:hint="default" w:ascii="Times New Roman" w:hAnsi="Times New Roman" w:eastAsia="宋体" w:cs="Times New Roman"/>
          <w:bCs/>
          <w:color w:val="auto"/>
          <w:spacing w:val="-4"/>
          <w:kern w:val="0"/>
          <w:sz w:val="24"/>
        </w:rPr>
        <w:t xml:space="preserve">              稠化时间90min</w:t>
      </w:r>
    </w:p>
    <w:p>
      <w:pPr>
        <w:snapToGrid w:val="0"/>
        <w:spacing w:line="360" w:lineRule="auto"/>
        <w:ind w:firstLine="1960" w:firstLineChars="845"/>
        <w:rPr>
          <w:rFonts w:hint="default" w:ascii="Times New Roman" w:hAnsi="Times New Roman" w:eastAsia="宋体" w:cs="Times New Roman"/>
          <w:bCs/>
          <w:color w:val="auto"/>
          <w:spacing w:val="-4"/>
          <w:kern w:val="0"/>
          <w:sz w:val="24"/>
        </w:rPr>
      </w:pPr>
      <w:r>
        <w:rPr>
          <w:rFonts w:hint="default" w:ascii="Times New Roman" w:hAnsi="Times New Roman" w:eastAsia="宋体" w:cs="Times New Roman"/>
          <w:bCs/>
          <w:color w:val="auto"/>
          <w:spacing w:val="-4"/>
          <w:kern w:val="0"/>
          <w:sz w:val="24"/>
        </w:rPr>
        <w:t>抗压强度8h&gt;3.5MPa   24h&gt;7MPa</w:t>
      </w:r>
    </w:p>
    <w:p>
      <w:pPr>
        <w:pStyle w:val="80"/>
        <w:adjustRightInd w:val="0"/>
        <w:spacing w:before="0" w:after="0" w:line="360" w:lineRule="auto"/>
        <w:ind w:firstLine="464" w:firstLineChars="200"/>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②油层套管</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水泥浆配方：</w:t>
      </w:r>
    </w:p>
    <w:p>
      <w:pPr>
        <w:pStyle w:val="15"/>
        <w:spacing w:line="360" w:lineRule="auto"/>
        <w:ind w:left="0" w:right="0" w:firstLine="420"/>
        <w:jc w:val="both"/>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砂浆</w:t>
      </w:r>
      <w:r>
        <w:rPr>
          <w:rFonts w:hint="default" w:ascii="Times New Roman" w:hAnsi="Times New Roman" w:eastAsia="宋体" w:cs="Times New Roman"/>
          <w:color w:val="auto"/>
          <w:sz w:val="24"/>
          <w:szCs w:val="24"/>
        </w:rPr>
        <w:t>：G级＋35％Y8000＋18％WG＋5％SNP＋8%SWT-2+6.4%超细水泥＋[4％ST900L+0.7%ST400S＋0.8％CF40S＋0.2％ST200R＋0.5％ST500L]</w:t>
      </w:r>
      <w:r>
        <w:rPr>
          <w:rFonts w:hint="default" w:ascii="Times New Roman" w:hAnsi="Times New Roman" w:eastAsia="宋体" w:cs="Times New Roman"/>
          <w:color w:val="auto"/>
          <w:sz w:val="24"/>
          <w:szCs w:val="24"/>
          <w:vertAlign w:val="subscript"/>
        </w:rPr>
        <w:t>湿混</w:t>
      </w:r>
      <w:r>
        <w:rPr>
          <w:rFonts w:hint="default" w:ascii="Times New Roman" w:hAnsi="Times New Roman" w:eastAsia="宋体" w:cs="Times New Roman"/>
          <w:color w:val="auto"/>
          <w:sz w:val="24"/>
          <w:szCs w:val="24"/>
        </w:rPr>
        <w:t>＋98％H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pStyle w:val="15"/>
        <w:spacing w:line="360" w:lineRule="auto"/>
        <w:ind w:left="0" w:right="0" w:firstLine="42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水泥浆性能：密度1.30g/cm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稠化时间：210min</w:t>
      </w:r>
    </w:p>
    <w:p>
      <w:pPr>
        <w:pStyle w:val="15"/>
        <w:spacing w:line="360" w:lineRule="auto"/>
        <w:ind w:left="0" w:right="0" w:firstLine="1920" w:firstLineChars="8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失水&lt;50ml</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24h强度&gt;3.5MPa</w:t>
      </w:r>
    </w:p>
    <w:p>
      <w:pPr>
        <w:pStyle w:val="15"/>
        <w:spacing w:line="360" w:lineRule="auto"/>
        <w:ind w:left="0" w:right="0" w:firstLine="42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中间浆：G级＋35％Y8000＋18％WG＋5％SNP＋8%SWT-2+6.4%超细水泥＋[4％ST900L+0.7%ST400S＋0.8％CF40S＋0.15％ST200R＋0.5％ST500L]湿混＋98％H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pStyle w:val="15"/>
        <w:spacing w:line="360" w:lineRule="auto"/>
        <w:ind w:left="0" w:right="0" w:firstLine="42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水泥浆性能：密度1.30g/cm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稠化时间：180min</w:t>
      </w:r>
    </w:p>
    <w:p>
      <w:pPr>
        <w:pStyle w:val="15"/>
        <w:spacing w:line="360" w:lineRule="auto"/>
        <w:ind w:left="0" w:right="0" w:firstLine="42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失水&lt;50ml</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 xml:space="preserve">              24h强度&gt;3.5MPa</w:t>
      </w:r>
    </w:p>
    <w:p>
      <w:pPr>
        <w:pStyle w:val="15"/>
        <w:spacing w:line="360" w:lineRule="auto"/>
        <w:ind w:left="0" w:right="0" w:firstLine="42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尾浆：G级＋20％WZ＋10％WG＋2％SNP＋4％SWT-2＋[8％ST800L＋5％BCF201S＋4％ST900L＋0.8％CF40S＋0.1％ST200R＋0.1％ST500L]</w:t>
      </w:r>
      <w:r>
        <w:rPr>
          <w:rFonts w:hint="default" w:ascii="Times New Roman" w:hAnsi="Times New Roman" w:eastAsia="宋体" w:cs="Times New Roman"/>
          <w:color w:val="auto"/>
          <w:sz w:val="24"/>
          <w:szCs w:val="24"/>
          <w:vertAlign w:val="subscript"/>
        </w:rPr>
        <w:t>湿混</w:t>
      </w:r>
      <w:r>
        <w:rPr>
          <w:rFonts w:hint="default" w:ascii="Times New Roman" w:hAnsi="Times New Roman" w:eastAsia="宋体" w:cs="Times New Roman"/>
          <w:color w:val="auto"/>
          <w:sz w:val="24"/>
          <w:szCs w:val="24"/>
        </w:rPr>
        <w:t>＋69％H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pStyle w:val="15"/>
        <w:spacing w:line="360" w:lineRule="auto"/>
        <w:ind w:left="0" w:right="0" w:firstLine="42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水泥浆性能：密度1.50g/cm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稠化时间：150min</w:t>
      </w:r>
    </w:p>
    <w:p>
      <w:pPr>
        <w:spacing w:line="360" w:lineRule="auto"/>
        <w:ind w:firstLine="480" w:firstLineChars="200"/>
        <w:outlineLvl w:val="3"/>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失水&lt;50ml</w:t>
      </w:r>
      <w:r>
        <w:rPr>
          <w:rFonts w:hint="default" w:ascii="Times New Roman" w:hAnsi="Times New Roman" w:eastAsia="宋体" w:cs="Times New Roman"/>
          <w:color w:val="auto"/>
          <w:sz w:val="24"/>
        </w:rPr>
        <w:tab/>
      </w:r>
      <w:r>
        <w:rPr>
          <w:rFonts w:hint="default" w:ascii="Times New Roman" w:hAnsi="Times New Roman" w:eastAsia="宋体" w:cs="Times New Roman"/>
          <w:color w:val="auto"/>
          <w:sz w:val="24"/>
        </w:rPr>
        <w:tab/>
      </w:r>
      <w:r>
        <w:rPr>
          <w:rFonts w:hint="default" w:ascii="Times New Roman" w:hAnsi="Times New Roman" w:eastAsia="宋体" w:cs="Times New Roman"/>
          <w:color w:val="auto"/>
          <w:sz w:val="24"/>
        </w:rPr>
        <w:tab/>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rPr>
        <w:tab/>
      </w:r>
      <w:r>
        <w:rPr>
          <w:rFonts w:hint="default" w:ascii="Times New Roman" w:hAnsi="Times New Roman" w:eastAsia="宋体" w:cs="Times New Roman"/>
          <w:color w:val="auto"/>
          <w:sz w:val="24"/>
        </w:rPr>
        <w:t>24h强度&gt;14MPa</w:t>
      </w:r>
    </w:p>
    <w:p>
      <w:pPr>
        <w:spacing w:line="360" w:lineRule="auto"/>
        <w:outlineLvl w:val="3"/>
        <w:rPr>
          <w:rFonts w:hint="default" w:ascii="Times New Roman" w:hAnsi="Times New Roman" w:eastAsia="宋体" w:cs="Times New Roman"/>
          <w:bCs/>
          <w:snapToGrid w:val="0"/>
          <w:color w:val="auto"/>
          <w:kern w:val="0"/>
          <w:sz w:val="28"/>
          <w:szCs w:val="28"/>
        </w:rPr>
      </w:pPr>
      <w:r>
        <w:rPr>
          <w:rFonts w:hint="default" w:ascii="Times New Roman" w:hAnsi="Times New Roman" w:eastAsia="宋体" w:cs="Times New Roman"/>
          <w:bCs/>
          <w:snapToGrid w:val="0"/>
          <w:color w:val="auto"/>
          <w:kern w:val="0"/>
          <w:sz w:val="28"/>
          <w:szCs w:val="28"/>
        </w:rPr>
        <w:t>3.5.2.2钻井设备</w:t>
      </w:r>
    </w:p>
    <w:p>
      <w:pPr>
        <w:spacing w:line="360" w:lineRule="auto"/>
        <w:ind w:left="420" w:left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本项目单井钻井主要设备见表3.5-4。</w:t>
      </w:r>
      <w:bookmarkStart w:id="64" w:name="_Hlk47473670"/>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表3.5-4  钻井主要设备配置（单井）</w:t>
      </w:r>
    </w:p>
    <w:bookmarkEnd w:id="64"/>
    <w:tbl>
      <w:tblPr>
        <w:tblStyle w:val="31"/>
        <w:tblW w:w="8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795"/>
        <w:gridCol w:w="322"/>
        <w:gridCol w:w="332"/>
        <w:gridCol w:w="1388"/>
        <w:gridCol w:w="1800"/>
        <w:gridCol w:w="790"/>
        <w:gridCol w:w="885"/>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jc w:val="center"/>
        </w:trPr>
        <w:tc>
          <w:tcPr>
            <w:tcW w:w="792"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2837" w:type="dxa"/>
            <w:gridSpan w:val="4"/>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    称</w:t>
            </w:r>
          </w:p>
        </w:tc>
        <w:tc>
          <w:tcPr>
            <w:tcW w:w="1800"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型 号</w:t>
            </w:r>
          </w:p>
        </w:tc>
        <w:tc>
          <w:tcPr>
            <w:tcW w:w="790"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载荷</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(kN)</w:t>
            </w:r>
          </w:p>
        </w:tc>
        <w:tc>
          <w:tcPr>
            <w:tcW w:w="885"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功率</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(kW)</w:t>
            </w:r>
          </w:p>
        </w:tc>
        <w:tc>
          <w:tcPr>
            <w:tcW w:w="1403"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w:t>
            </w:r>
          </w:p>
        </w:tc>
        <w:tc>
          <w:tcPr>
            <w:tcW w:w="2837"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   机</w:t>
            </w:r>
          </w:p>
        </w:tc>
        <w:tc>
          <w:tcPr>
            <w:tcW w:w="180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ZJ30</w:t>
            </w:r>
          </w:p>
        </w:tc>
        <w:tc>
          <w:tcPr>
            <w:tcW w:w="79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1700</w:t>
            </w: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tcBorders>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w:t>
            </w:r>
          </w:p>
        </w:tc>
        <w:tc>
          <w:tcPr>
            <w:tcW w:w="2837" w:type="dxa"/>
            <w:gridSpan w:val="4"/>
            <w:tcBorders>
              <w:bottom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   架</w:t>
            </w:r>
          </w:p>
        </w:tc>
        <w:tc>
          <w:tcPr>
            <w:tcW w:w="1800" w:type="dxa"/>
            <w:tcBorders>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JJ170/32-KS</w:t>
            </w:r>
          </w:p>
        </w:tc>
        <w:tc>
          <w:tcPr>
            <w:tcW w:w="790" w:type="dxa"/>
            <w:tcBorders>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1700</w:t>
            </w:r>
          </w:p>
        </w:tc>
        <w:tc>
          <w:tcPr>
            <w:tcW w:w="885" w:type="dxa"/>
            <w:tcBorders>
              <w:bottom w:val="single" w:color="auto" w:sz="4" w:space="0"/>
            </w:tcBorders>
            <w:vAlign w:val="center"/>
          </w:tcPr>
          <w:p>
            <w:pPr>
              <w:jc w:val="center"/>
              <w:rPr>
                <w:rFonts w:hint="default" w:ascii="Times New Roman" w:hAnsi="Times New Roman" w:eastAsia="宋体" w:cs="Times New Roman"/>
                <w:color w:val="auto"/>
                <w:szCs w:val="21"/>
              </w:rPr>
            </w:pPr>
          </w:p>
        </w:tc>
        <w:tc>
          <w:tcPr>
            <w:tcW w:w="1403" w:type="dxa"/>
            <w:tcBorders>
              <w:bottom w:val="single" w:color="auto" w:sz="4" w:space="0"/>
            </w:tcBorders>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w:t>
            </w:r>
          </w:p>
        </w:tc>
        <w:tc>
          <w:tcPr>
            <w:tcW w:w="79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提升系统</w:t>
            </w: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绞车</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JC30</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天车</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TC-170</w:t>
            </w:r>
          </w:p>
        </w:tc>
        <w:tc>
          <w:tcPr>
            <w:tcW w:w="79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1700</w:t>
            </w: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游车</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YC-170</w:t>
            </w:r>
          </w:p>
        </w:tc>
        <w:tc>
          <w:tcPr>
            <w:tcW w:w="79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1700</w:t>
            </w: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大钩</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DG-170</w:t>
            </w:r>
          </w:p>
        </w:tc>
        <w:tc>
          <w:tcPr>
            <w:tcW w:w="79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1700</w:t>
            </w: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水龙头</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XSL-170</w:t>
            </w:r>
          </w:p>
        </w:tc>
        <w:tc>
          <w:tcPr>
            <w:tcW w:w="79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1700</w:t>
            </w: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tcBorders>
              <w:bottom w:val="single" w:color="auto" w:sz="4" w:space="0"/>
            </w:tcBorders>
            <w:vAlign w:val="center"/>
          </w:tcPr>
          <w:p>
            <w:pPr>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w:t>
            </w:r>
          </w:p>
        </w:tc>
        <w:tc>
          <w:tcPr>
            <w:tcW w:w="2837" w:type="dxa"/>
            <w:gridSpan w:val="4"/>
            <w:tcBorders>
              <w:bottom w:val="single" w:color="auto" w:sz="4" w:space="0"/>
            </w:tcBorders>
            <w:vAlign w:val="center"/>
          </w:tcPr>
          <w:p>
            <w:pPr>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顶部驱动装置</w:t>
            </w:r>
          </w:p>
        </w:tc>
        <w:tc>
          <w:tcPr>
            <w:tcW w:w="1800" w:type="dxa"/>
            <w:tcBorders>
              <w:bottom w:val="single" w:color="auto" w:sz="4" w:space="0"/>
            </w:tcBorders>
            <w:vAlign w:val="center"/>
          </w:tcPr>
          <w:p>
            <w:pPr>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DQ70D</w:t>
            </w:r>
          </w:p>
        </w:tc>
        <w:tc>
          <w:tcPr>
            <w:tcW w:w="790" w:type="dxa"/>
            <w:tcBorders>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1700</w:t>
            </w:r>
          </w:p>
        </w:tc>
        <w:tc>
          <w:tcPr>
            <w:tcW w:w="885" w:type="dxa"/>
            <w:tcBorders>
              <w:bottom w:val="single" w:color="auto" w:sz="4" w:space="0"/>
            </w:tcBorders>
            <w:vAlign w:val="center"/>
          </w:tcPr>
          <w:p>
            <w:pPr>
              <w:spacing w:before="40" w:after="40"/>
              <w:jc w:val="center"/>
              <w:rPr>
                <w:rFonts w:hint="default" w:ascii="Times New Roman" w:hAnsi="Times New Roman" w:eastAsia="宋体" w:cs="Times New Roman"/>
                <w:color w:val="auto"/>
                <w:szCs w:val="21"/>
              </w:rPr>
            </w:pPr>
          </w:p>
        </w:tc>
        <w:tc>
          <w:tcPr>
            <w:tcW w:w="1403" w:type="dxa"/>
            <w:tcBorders>
              <w:bottom w:val="single" w:color="auto" w:sz="4" w:space="0"/>
            </w:tcBorders>
            <w:vAlign w:val="center"/>
          </w:tcPr>
          <w:p>
            <w:pPr>
              <w:spacing w:before="40" w:after="40"/>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tcBorders>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五</w:t>
            </w:r>
          </w:p>
        </w:tc>
        <w:tc>
          <w:tcPr>
            <w:tcW w:w="2837" w:type="dxa"/>
            <w:gridSpan w:val="4"/>
            <w:tcBorders>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转  盘</w:t>
            </w:r>
          </w:p>
        </w:tc>
        <w:tc>
          <w:tcPr>
            <w:tcW w:w="1800" w:type="dxa"/>
            <w:tcBorders>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ZP520</w:t>
            </w:r>
          </w:p>
        </w:tc>
        <w:tc>
          <w:tcPr>
            <w:tcW w:w="790" w:type="dxa"/>
            <w:tcBorders>
              <w:bottom w:val="single" w:color="auto" w:sz="4" w:space="0"/>
            </w:tcBorders>
            <w:vAlign w:val="center"/>
          </w:tcPr>
          <w:p>
            <w:pPr>
              <w:jc w:val="center"/>
              <w:rPr>
                <w:rFonts w:hint="default" w:ascii="Times New Roman" w:hAnsi="Times New Roman" w:eastAsia="宋体" w:cs="Times New Roman"/>
                <w:color w:val="auto"/>
                <w:szCs w:val="21"/>
              </w:rPr>
            </w:pPr>
          </w:p>
        </w:tc>
        <w:tc>
          <w:tcPr>
            <w:tcW w:w="885" w:type="dxa"/>
            <w:tcBorders>
              <w:bottom w:val="single" w:color="auto" w:sz="4" w:space="0"/>
            </w:tcBorders>
            <w:vAlign w:val="center"/>
          </w:tcPr>
          <w:p>
            <w:pPr>
              <w:jc w:val="center"/>
              <w:rPr>
                <w:rFonts w:hint="default" w:ascii="Times New Roman" w:hAnsi="Times New Roman" w:eastAsia="宋体" w:cs="Times New Roman"/>
                <w:color w:val="auto"/>
                <w:szCs w:val="21"/>
              </w:rPr>
            </w:pPr>
          </w:p>
        </w:tc>
        <w:tc>
          <w:tcPr>
            <w:tcW w:w="1403" w:type="dxa"/>
            <w:tcBorders>
              <w:bottom w:val="single" w:color="auto" w:sz="4" w:space="0"/>
            </w:tcBorders>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六</w:t>
            </w:r>
          </w:p>
        </w:tc>
        <w:tc>
          <w:tcPr>
            <w:tcW w:w="79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循环系统配置</w:t>
            </w: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钻井泵1#</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F-1300</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969</w:t>
            </w: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钻井泵2#</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F-1300</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969</w:t>
            </w: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高压管汇</w:t>
            </w:r>
          </w:p>
        </w:tc>
        <w:tc>
          <w:tcPr>
            <w:tcW w:w="1800" w:type="dxa"/>
            <w:vAlign w:val="center"/>
          </w:tcPr>
          <w:p>
            <w:pPr>
              <w:jc w:val="center"/>
              <w:rPr>
                <w:rFonts w:hint="default" w:ascii="Times New Roman" w:hAnsi="Times New Roman" w:eastAsia="宋体" w:cs="Times New Roman"/>
                <w:color w:val="auto"/>
                <w:szCs w:val="21"/>
              </w:rPr>
            </w:pP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pacing w:val="-20"/>
                <w:szCs w:val="21"/>
              </w:rPr>
            </w:pPr>
            <w:r>
              <w:rPr>
                <w:rFonts w:hint="default" w:ascii="Times New Roman" w:hAnsi="Times New Roman" w:eastAsia="宋体" w:cs="Times New Roman"/>
                <w:color w:val="auto"/>
                <w:szCs w:val="21"/>
              </w:rPr>
              <w:t>52MPa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钻井液罐</w:t>
            </w:r>
          </w:p>
        </w:tc>
        <w:tc>
          <w:tcPr>
            <w:tcW w:w="180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13000×3000×2500</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20"/>
                <w:szCs w:val="21"/>
              </w:rPr>
              <w:t>总容量：</w:t>
            </w:r>
            <w:r>
              <w:rPr>
                <w:rFonts w:hint="default" w:ascii="Times New Roman" w:hAnsi="Times New Roman" w:eastAsia="宋体" w:cs="Times New Roman"/>
                <w:color w:val="auto"/>
                <w:szCs w:val="21"/>
              </w:rPr>
              <w:t>196m</w:t>
            </w:r>
            <w:r>
              <w:rPr>
                <w:rFonts w:hint="default" w:ascii="Times New Roman" w:hAnsi="Times New Roman" w:eastAsia="宋体"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tcBorders>
              <w:bottom w:val="single" w:color="auto" w:sz="4" w:space="0"/>
            </w:tcBorders>
            <w:vAlign w:val="center"/>
          </w:tcPr>
          <w:p>
            <w:pPr>
              <w:jc w:val="center"/>
              <w:rPr>
                <w:rFonts w:hint="default" w:ascii="Times New Roman" w:hAnsi="Times New Roman" w:eastAsia="宋体" w:cs="Times New Roman"/>
                <w:color w:val="auto"/>
                <w:szCs w:val="21"/>
              </w:rPr>
            </w:pPr>
          </w:p>
        </w:tc>
        <w:tc>
          <w:tcPr>
            <w:tcW w:w="795" w:type="dxa"/>
            <w:vMerge w:val="continue"/>
            <w:tcBorders>
              <w:bottom w:val="single" w:color="auto" w:sz="4" w:space="0"/>
            </w:tcBorders>
            <w:vAlign w:val="center"/>
          </w:tcPr>
          <w:p>
            <w:pPr>
              <w:jc w:val="center"/>
              <w:rPr>
                <w:rFonts w:hint="default" w:ascii="Times New Roman" w:hAnsi="Times New Roman" w:eastAsia="宋体" w:cs="Times New Roman"/>
                <w:color w:val="auto"/>
                <w:szCs w:val="21"/>
              </w:rPr>
            </w:pPr>
          </w:p>
        </w:tc>
        <w:tc>
          <w:tcPr>
            <w:tcW w:w="2042" w:type="dxa"/>
            <w:gridSpan w:val="3"/>
            <w:tcBorders>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搅拌器</w:t>
            </w:r>
          </w:p>
        </w:tc>
        <w:tc>
          <w:tcPr>
            <w:tcW w:w="180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NJ-7.5</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restart"/>
            <w:tcBorders>
              <w:top w:val="single" w:color="auto" w:sz="4" w:space="0"/>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七</w:t>
            </w:r>
          </w:p>
        </w:tc>
        <w:tc>
          <w:tcPr>
            <w:tcW w:w="795" w:type="dxa"/>
            <w:vMerge w:val="restart"/>
            <w:tcBorders>
              <w:top w:val="single" w:color="auto" w:sz="4" w:space="0"/>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钻机动力系统</w:t>
            </w:r>
          </w:p>
        </w:tc>
        <w:tc>
          <w:tcPr>
            <w:tcW w:w="2042" w:type="dxa"/>
            <w:gridSpan w:val="3"/>
            <w:tcBorders>
              <w:top w:val="single" w:color="auto" w:sz="4" w:space="0"/>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柴油机1#</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CAT3406C</w:t>
            </w:r>
          </w:p>
        </w:tc>
        <w:tc>
          <w:tcPr>
            <w:tcW w:w="790" w:type="dxa"/>
            <w:vAlign w:val="center"/>
          </w:tcPr>
          <w:p>
            <w:pPr>
              <w:spacing w:line="245" w:lineRule="auto"/>
              <w:jc w:val="center"/>
              <w:rPr>
                <w:rFonts w:hint="default" w:ascii="Times New Roman" w:hAnsi="Times New Roman" w:eastAsia="宋体" w:cs="Times New Roman"/>
                <w:color w:val="auto"/>
                <w:szCs w:val="21"/>
              </w:rPr>
            </w:pPr>
          </w:p>
        </w:tc>
        <w:tc>
          <w:tcPr>
            <w:tcW w:w="885"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&gt;1200</w:t>
            </w: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tcBorders>
              <w:top w:val="single" w:color="auto" w:sz="4" w:space="0"/>
              <w:bottom w:val="single" w:color="auto" w:sz="4" w:space="0"/>
            </w:tcBorders>
            <w:vAlign w:val="center"/>
          </w:tcPr>
          <w:p>
            <w:pPr>
              <w:jc w:val="center"/>
              <w:rPr>
                <w:rFonts w:hint="default" w:ascii="Times New Roman" w:hAnsi="Times New Roman" w:eastAsia="宋体" w:cs="Times New Roman"/>
                <w:color w:val="auto"/>
                <w:szCs w:val="21"/>
              </w:rPr>
            </w:pPr>
          </w:p>
        </w:tc>
        <w:tc>
          <w:tcPr>
            <w:tcW w:w="795" w:type="dxa"/>
            <w:vMerge w:val="continue"/>
            <w:tcBorders>
              <w:top w:val="single" w:color="auto" w:sz="4" w:space="0"/>
              <w:bottom w:val="single" w:color="auto" w:sz="4" w:space="0"/>
            </w:tcBorders>
            <w:vAlign w:val="center"/>
          </w:tcPr>
          <w:p>
            <w:pPr>
              <w:jc w:val="center"/>
              <w:rPr>
                <w:rFonts w:hint="default" w:ascii="Times New Roman" w:hAnsi="Times New Roman" w:eastAsia="宋体" w:cs="Times New Roman"/>
                <w:color w:val="auto"/>
                <w:szCs w:val="21"/>
              </w:rPr>
            </w:pPr>
          </w:p>
        </w:tc>
        <w:tc>
          <w:tcPr>
            <w:tcW w:w="2042" w:type="dxa"/>
            <w:gridSpan w:val="3"/>
            <w:tcBorders>
              <w:top w:val="single" w:color="auto" w:sz="4" w:space="0"/>
              <w:bottom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柴油机2#</w:t>
            </w:r>
          </w:p>
        </w:tc>
        <w:tc>
          <w:tcPr>
            <w:tcW w:w="1800"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CAT3406C</w:t>
            </w:r>
          </w:p>
        </w:tc>
        <w:tc>
          <w:tcPr>
            <w:tcW w:w="790" w:type="dxa"/>
            <w:vAlign w:val="center"/>
          </w:tcPr>
          <w:p>
            <w:pPr>
              <w:spacing w:line="245" w:lineRule="auto"/>
              <w:jc w:val="center"/>
              <w:rPr>
                <w:rFonts w:hint="default" w:ascii="Times New Roman" w:hAnsi="Times New Roman" w:eastAsia="宋体" w:cs="Times New Roman"/>
                <w:color w:val="auto"/>
                <w:szCs w:val="21"/>
              </w:rPr>
            </w:pPr>
          </w:p>
        </w:tc>
        <w:tc>
          <w:tcPr>
            <w:tcW w:w="885" w:type="dxa"/>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&gt;1200</w:t>
            </w: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八                                                                      </w:t>
            </w:r>
          </w:p>
        </w:tc>
        <w:tc>
          <w:tcPr>
            <w:tcW w:w="79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发电</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机组</w:t>
            </w: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发电机1#</w:t>
            </w:r>
          </w:p>
        </w:tc>
        <w:tc>
          <w:tcPr>
            <w:tcW w:w="1800" w:type="dxa"/>
            <w:vAlign w:val="center"/>
          </w:tcPr>
          <w:p>
            <w:pPr>
              <w:spacing w:before="62" w:after="62"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Vovol</w:t>
            </w:r>
          </w:p>
        </w:tc>
        <w:tc>
          <w:tcPr>
            <w:tcW w:w="790" w:type="dxa"/>
            <w:vAlign w:val="center"/>
          </w:tcPr>
          <w:p>
            <w:pPr>
              <w:spacing w:before="62" w:after="62" w:line="245" w:lineRule="auto"/>
              <w:jc w:val="center"/>
              <w:rPr>
                <w:rFonts w:hint="default" w:ascii="Times New Roman" w:hAnsi="Times New Roman" w:eastAsia="宋体" w:cs="Times New Roman"/>
                <w:color w:val="auto"/>
                <w:szCs w:val="21"/>
              </w:rPr>
            </w:pPr>
          </w:p>
        </w:tc>
        <w:tc>
          <w:tcPr>
            <w:tcW w:w="885" w:type="dxa"/>
            <w:vAlign w:val="center"/>
          </w:tcPr>
          <w:p>
            <w:pPr>
              <w:spacing w:before="62" w:after="62"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w:t>
            </w: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发电机2#</w:t>
            </w:r>
          </w:p>
        </w:tc>
        <w:tc>
          <w:tcPr>
            <w:tcW w:w="1800" w:type="dxa"/>
            <w:vAlign w:val="center"/>
          </w:tcPr>
          <w:p>
            <w:pPr>
              <w:spacing w:before="62" w:after="62"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4"/>
                <w:szCs w:val="21"/>
              </w:rPr>
              <w:t>Vovol</w:t>
            </w:r>
          </w:p>
        </w:tc>
        <w:tc>
          <w:tcPr>
            <w:tcW w:w="790" w:type="dxa"/>
            <w:vAlign w:val="center"/>
          </w:tcPr>
          <w:p>
            <w:pPr>
              <w:spacing w:before="62" w:after="62" w:line="245" w:lineRule="auto"/>
              <w:jc w:val="center"/>
              <w:rPr>
                <w:rFonts w:hint="default" w:ascii="Times New Roman" w:hAnsi="Times New Roman" w:eastAsia="宋体" w:cs="Times New Roman"/>
                <w:color w:val="auto"/>
                <w:szCs w:val="21"/>
              </w:rPr>
            </w:pPr>
          </w:p>
        </w:tc>
        <w:tc>
          <w:tcPr>
            <w:tcW w:w="885" w:type="dxa"/>
            <w:vAlign w:val="center"/>
          </w:tcPr>
          <w:p>
            <w:pPr>
              <w:spacing w:before="62" w:after="62"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w:t>
            </w:r>
          </w:p>
        </w:tc>
        <w:tc>
          <w:tcPr>
            <w:tcW w:w="140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MCC房</w:t>
            </w:r>
          </w:p>
        </w:tc>
        <w:tc>
          <w:tcPr>
            <w:tcW w:w="180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HH70LDB</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九</w:t>
            </w:r>
          </w:p>
        </w:tc>
        <w:tc>
          <w:tcPr>
            <w:tcW w:w="79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钻机控制系统</w:t>
            </w: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自动压风机</w:t>
            </w:r>
          </w:p>
        </w:tc>
        <w:tc>
          <w:tcPr>
            <w:tcW w:w="180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4"/>
                <w:szCs w:val="21"/>
              </w:rPr>
              <w:t>SPE306X</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电动压风机</w:t>
            </w:r>
          </w:p>
        </w:tc>
        <w:tc>
          <w:tcPr>
            <w:tcW w:w="180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4"/>
                <w:szCs w:val="21"/>
              </w:rPr>
              <w:t>SPE306X</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十</w:t>
            </w:r>
          </w:p>
        </w:tc>
        <w:tc>
          <w:tcPr>
            <w:tcW w:w="79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固控</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系统</w:t>
            </w: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振动筛1#</w:t>
            </w:r>
          </w:p>
        </w:tc>
        <w:tc>
          <w:tcPr>
            <w:tcW w:w="1800" w:type="dxa"/>
            <w:vMerge w:val="restart"/>
            <w:vAlign w:val="center"/>
          </w:tcPr>
          <w:p>
            <w:pPr>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pacing w:val="4"/>
                <w:szCs w:val="21"/>
              </w:rPr>
              <w:t>J1/A-2/E48-90F-3TA</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振动筛2#</w:t>
            </w:r>
          </w:p>
        </w:tc>
        <w:tc>
          <w:tcPr>
            <w:tcW w:w="1800" w:type="dxa"/>
            <w:vMerge w:val="continue"/>
            <w:vAlign w:val="center"/>
          </w:tcPr>
          <w:p>
            <w:pPr>
              <w:spacing w:before="40" w:after="40"/>
              <w:jc w:val="center"/>
              <w:rPr>
                <w:rFonts w:hint="default" w:ascii="Times New Roman" w:hAnsi="Times New Roman" w:eastAsia="宋体" w:cs="Times New Roman"/>
                <w:color w:val="auto"/>
                <w:szCs w:val="21"/>
              </w:rPr>
            </w:pP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Merge w:val="continue"/>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除砂器</w:t>
            </w:r>
          </w:p>
        </w:tc>
        <w:tc>
          <w:tcPr>
            <w:tcW w:w="1800" w:type="dxa"/>
            <w:vAlign w:val="center"/>
          </w:tcPr>
          <w:p>
            <w:pPr>
              <w:spacing w:before="40" w:after="20"/>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pacing w:val="4"/>
                <w:szCs w:val="21"/>
              </w:rPr>
              <w:t>RCZ200</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2.2</w:t>
            </w:r>
          </w:p>
        </w:tc>
        <w:tc>
          <w:tcPr>
            <w:tcW w:w="1403" w:type="dxa"/>
            <w:vAlign w:val="center"/>
          </w:tcPr>
          <w:p>
            <w:pPr>
              <w:spacing w:before="20" w:after="20"/>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pacing w:val="4"/>
                <w:szCs w:val="21"/>
              </w:rPr>
              <w:t>210m</w:t>
            </w:r>
            <w:r>
              <w:rPr>
                <w:rFonts w:hint="default" w:ascii="Times New Roman" w:hAnsi="Times New Roman" w:eastAsia="宋体" w:cs="Times New Roman"/>
                <w:color w:val="auto"/>
                <w:spacing w:val="4"/>
                <w:szCs w:val="21"/>
                <w:vertAlign w:val="superscript"/>
              </w:rPr>
              <w:t>3</w:t>
            </w:r>
            <w:r>
              <w:rPr>
                <w:rFonts w:hint="default" w:ascii="Times New Roman" w:hAnsi="Times New Roman" w:eastAsia="宋体" w:cs="Times New Roman"/>
                <w:color w:val="auto"/>
                <w:spacing w:val="4"/>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792" w:type="dxa"/>
            <w:vMerge w:val="continue"/>
            <w:vAlign w:val="center"/>
          </w:tcPr>
          <w:p>
            <w:pPr>
              <w:jc w:val="center"/>
              <w:rPr>
                <w:rFonts w:hint="default" w:ascii="Times New Roman" w:hAnsi="Times New Roman" w:eastAsia="宋体" w:cs="Times New Roman"/>
                <w:color w:val="auto"/>
                <w:szCs w:val="21"/>
              </w:rPr>
            </w:pPr>
          </w:p>
        </w:tc>
        <w:tc>
          <w:tcPr>
            <w:tcW w:w="795" w:type="dxa"/>
            <w:vMerge w:val="continue"/>
            <w:vAlign w:val="center"/>
          </w:tcPr>
          <w:p>
            <w:pPr>
              <w:jc w:val="center"/>
              <w:rPr>
                <w:rFonts w:hint="default" w:ascii="Times New Roman" w:hAnsi="Times New Roman" w:eastAsia="宋体" w:cs="Times New Roman"/>
                <w:color w:val="auto"/>
                <w:szCs w:val="21"/>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除泥器</w:t>
            </w:r>
          </w:p>
        </w:tc>
        <w:tc>
          <w:tcPr>
            <w:tcW w:w="1800" w:type="dxa"/>
            <w:vAlign w:val="center"/>
          </w:tcPr>
          <w:p>
            <w:pPr>
              <w:spacing w:before="40" w:after="20"/>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pacing w:val="4"/>
                <w:szCs w:val="21"/>
              </w:rPr>
              <w:t>RCZ200</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spacing w:before="62" w:after="6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4"/>
                <w:szCs w:val="21"/>
              </w:rPr>
              <w:t>200~250m</w:t>
            </w:r>
            <w:r>
              <w:rPr>
                <w:rFonts w:hint="default" w:ascii="Times New Roman" w:hAnsi="Times New Roman" w:eastAsia="宋体" w:cs="Times New Roman"/>
                <w:color w:val="auto"/>
                <w:spacing w:val="4"/>
                <w:szCs w:val="21"/>
                <w:vertAlign w:val="superscript"/>
              </w:rPr>
              <w:t>3</w:t>
            </w:r>
            <w:r>
              <w:rPr>
                <w:rFonts w:hint="default" w:ascii="Times New Roman" w:hAnsi="Times New Roman" w:eastAsia="宋体" w:cs="Times New Roman"/>
                <w:color w:val="auto"/>
                <w:spacing w:val="4"/>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792" w:type="dxa"/>
            <w:vMerge w:val="continue"/>
            <w:vAlign w:val="center"/>
          </w:tcPr>
          <w:p>
            <w:pPr>
              <w:jc w:val="center"/>
              <w:rPr>
                <w:rFonts w:hint="default" w:ascii="Times New Roman" w:hAnsi="Times New Roman" w:eastAsia="宋体" w:cs="Times New Roman"/>
                <w:color w:val="auto"/>
              </w:rPr>
            </w:pPr>
          </w:p>
        </w:tc>
        <w:tc>
          <w:tcPr>
            <w:tcW w:w="795" w:type="dxa"/>
            <w:vMerge w:val="continue"/>
            <w:vAlign w:val="center"/>
          </w:tcPr>
          <w:p>
            <w:pPr>
              <w:jc w:val="center"/>
              <w:rPr>
                <w:rFonts w:hint="default" w:ascii="Times New Roman" w:hAnsi="Times New Roman" w:eastAsia="宋体" w:cs="Times New Roman"/>
                <w:color w:val="auto"/>
              </w:rPr>
            </w:pPr>
          </w:p>
        </w:tc>
        <w:tc>
          <w:tcPr>
            <w:tcW w:w="2042"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离心机</w:t>
            </w:r>
          </w:p>
        </w:tc>
        <w:tc>
          <w:tcPr>
            <w:tcW w:w="1800" w:type="dxa"/>
            <w:vAlign w:val="center"/>
          </w:tcPr>
          <w:p>
            <w:pPr>
              <w:spacing w:before="62" w:after="6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LW450</w:t>
            </w:r>
            <w:r>
              <w:rPr>
                <w:rFonts w:hint="default" w:ascii="Times New Roman" w:hAnsi="Times New Roman" w:eastAsia="宋体" w:cs="Times New Roman"/>
                <w:color w:val="auto"/>
                <w:spacing w:val="4"/>
                <w:szCs w:val="21"/>
              </w:rPr>
              <w:t>×842-N</w:t>
            </w:r>
          </w:p>
        </w:tc>
        <w:tc>
          <w:tcPr>
            <w:tcW w:w="790" w:type="dxa"/>
            <w:vAlign w:val="center"/>
          </w:tcPr>
          <w:p>
            <w:pPr>
              <w:jc w:val="center"/>
              <w:rPr>
                <w:rFonts w:hint="default" w:ascii="Times New Roman" w:hAnsi="Times New Roman" w:eastAsia="宋体" w:cs="Times New Roman"/>
                <w:color w:val="auto"/>
                <w:szCs w:val="21"/>
              </w:rPr>
            </w:pPr>
          </w:p>
        </w:tc>
        <w:tc>
          <w:tcPr>
            <w:tcW w:w="885" w:type="dxa"/>
            <w:vAlign w:val="center"/>
          </w:tcPr>
          <w:p>
            <w:pPr>
              <w:jc w:val="center"/>
              <w:rPr>
                <w:rFonts w:hint="default" w:ascii="Times New Roman" w:hAnsi="Times New Roman" w:eastAsia="宋体" w:cs="Times New Roman"/>
                <w:color w:val="auto"/>
                <w:szCs w:val="21"/>
              </w:rPr>
            </w:pPr>
          </w:p>
        </w:tc>
        <w:tc>
          <w:tcPr>
            <w:tcW w:w="1403" w:type="dxa"/>
            <w:vAlign w:val="center"/>
          </w:tcPr>
          <w:p>
            <w:pPr>
              <w:spacing w:before="62" w:after="6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4"/>
                <w:szCs w:val="21"/>
              </w:rPr>
              <w:t>40m</w:t>
            </w:r>
            <w:r>
              <w:rPr>
                <w:rFonts w:hint="default" w:ascii="Times New Roman" w:hAnsi="Times New Roman" w:eastAsia="宋体" w:cs="Times New Roman"/>
                <w:color w:val="auto"/>
                <w:spacing w:val="4"/>
                <w:szCs w:val="21"/>
                <w:vertAlign w:val="superscript"/>
              </w:rPr>
              <w:t>3</w:t>
            </w:r>
            <w:r>
              <w:rPr>
                <w:rFonts w:hint="default" w:ascii="Times New Roman" w:hAnsi="Times New Roman" w:eastAsia="宋体" w:cs="Times New Roman"/>
                <w:color w:val="auto"/>
                <w:spacing w:val="4"/>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restart"/>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十一</w:t>
            </w:r>
          </w:p>
        </w:tc>
        <w:tc>
          <w:tcPr>
            <w:tcW w:w="795" w:type="dxa"/>
            <w:vMerge w:val="restart"/>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加重</w:t>
            </w:r>
          </w:p>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装置</w:t>
            </w:r>
          </w:p>
        </w:tc>
        <w:tc>
          <w:tcPr>
            <w:tcW w:w="2042" w:type="dxa"/>
            <w:gridSpan w:val="3"/>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加重漏斗</w:t>
            </w:r>
          </w:p>
        </w:tc>
        <w:tc>
          <w:tcPr>
            <w:tcW w:w="1800" w:type="dxa"/>
            <w:vAlign w:val="center"/>
          </w:tcPr>
          <w:p>
            <w:pPr>
              <w:adjustRightInd w:val="0"/>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150NSP</w:t>
            </w:r>
          </w:p>
        </w:tc>
        <w:tc>
          <w:tcPr>
            <w:tcW w:w="790" w:type="dxa"/>
            <w:vAlign w:val="center"/>
          </w:tcPr>
          <w:p>
            <w:pPr>
              <w:adjustRightInd w:val="0"/>
              <w:snapToGrid w:val="0"/>
              <w:spacing w:before="40" w:after="40"/>
              <w:jc w:val="center"/>
              <w:rPr>
                <w:rFonts w:hint="default" w:ascii="Times New Roman" w:hAnsi="Times New Roman" w:eastAsia="宋体" w:cs="Times New Roman"/>
                <w:color w:val="auto"/>
                <w:szCs w:val="21"/>
              </w:rPr>
            </w:pPr>
          </w:p>
        </w:tc>
        <w:tc>
          <w:tcPr>
            <w:tcW w:w="885" w:type="dxa"/>
            <w:vAlign w:val="center"/>
          </w:tcPr>
          <w:p>
            <w:pPr>
              <w:snapToGrid w:val="0"/>
              <w:spacing w:before="40" w:after="40"/>
              <w:jc w:val="center"/>
              <w:rPr>
                <w:rFonts w:hint="default" w:ascii="Times New Roman" w:hAnsi="Times New Roman" w:eastAsia="宋体" w:cs="Times New Roman"/>
                <w:color w:val="auto"/>
                <w:szCs w:val="21"/>
              </w:rPr>
            </w:pPr>
          </w:p>
        </w:tc>
        <w:tc>
          <w:tcPr>
            <w:tcW w:w="1403" w:type="dxa"/>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continue"/>
            <w:vAlign w:val="center"/>
          </w:tcPr>
          <w:p>
            <w:pPr>
              <w:adjustRightInd w:val="0"/>
              <w:snapToGrid w:val="0"/>
              <w:spacing w:before="40" w:after="40"/>
              <w:jc w:val="center"/>
              <w:rPr>
                <w:rFonts w:hint="default" w:ascii="Times New Roman" w:hAnsi="Times New Roman" w:eastAsia="宋体" w:cs="Times New Roman"/>
                <w:color w:val="auto"/>
                <w:szCs w:val="21"/>
              </w:rPr>
            </w:pPr>
          </w:p>
        </w:tc>
        <w:tc>
          <w:tcPr>
            <w:tcW w:w="795" w:type="dxa"/>
            <w:vMerge w:val="continue"/>
            <w:vAlign w:val="center"/>
          </w:tcPr>
          <w:p>
            <w:pPr>
              <w:adjustRightInd w:val="0"/>
              <w:snapToGrid w:val="0"/>
              <w:spacing w:before="40" w:after="40"/>
              <w:jc w:val="center"/>
              <w:rPr>
                <w:rFonts w:hint="default" w:ascii="Times New Roman" w:hAnsi="Times New Roman" w:eastAsia="宋体" w:cs="Times New Roman"/>
                <w:color w:val="auto"/>
                <w:szCs w:val="21"/>
              </w:rPr>
            </w:pPr>
          </w:p>
        </w:tc>
        <w:tc>
          <w:tcPr>
            <w:tcW w:w="2042" w:type="dxa"/>
            <w:gridSpan w:val="3"/>
            <w:vAlign w:val="center"/>
          </w:tcPr>
          <w:p>
            <w:pPr>
              <w:adjustRightInd w:val="0"/>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电动加重泵</w:t>
            </w:r>
          </w:p>
        </w:tc>
        <w:tc>
          <w:tcPr>
            <w:tcW w:w="1800" w:type="dxa"/>
            <w:vAlign w:val="center"/>
          </w:tcPr>
          <w:p>
            <w:pPr>
              <w:adjustRightInd w:val="0"/>
              <w:snapToGrid w:val="0"/>
              <w:spacing w:before="40" w:after="40"/>
              <w:jc w:val="center"/>
              <w:rPr>
                <w:rFonts w:hint="default" w:ascii="Times New Roman" w:hAnsi="Times New Roman" w:eastAsia="宋体" w:cs="Times New Roman"/>
                <w:color w:val="auto"/>
                <w:szCs w:val="21"/>
              </w:rPr>
            </w:pPr>
          </w:p>
        </w:tc>
        <w:tc>
          <w:tcPr>
            <w:tcW w:w="790" w:type="dxa"/>
            <w:vAlign w:val="center"/>
          </w:tcPr>
          <w:p>
            <w:pPr>
              <w:adjustRightInd w:val="0"/>
              <w:snapToGrid w:val="0"/>
              <w:spacing w:before="40" w:after="40"/>
              <w:jc w:val="center"/>
              <w:rPr>
                <w:rFonts w:hint="default" w:ascii="Times New Roman" w:hAnsi="Times New Roman" w:eastAsia="宋体" w:cs="Times New Roman"/>
                <w:color w:val="auto"/>
                <w:szCs w:val="21"/>
              </w:rPr>
            </w:pPr>
          </w:p>
        </w:tc>
        <w:tc>
          <w:tcPr>
            <w:tcW w:w="885" w:type="dxa"/>
            <w:vAlign w:val="center"/>
          </w:tcPr>
          <w:p>
            <w:pPr>
              <w:snapToGrid w:val="0"/>
              <w:spacing w:before="40" w:after="40"/>
              <w:jc w:val="center"/>
              <w:rPr>
                <w:rFonts w:hint="default" w:ascii="Times New Roman" w:hAnsi="Times New Roman" w:eastAsia="宋体" w:cs="Times New Roman"/>
                <w:color w:val="auto"/>
                <w:szCs w:val="21"/>
              </w:rPr>
            </w:pPr>
          </w:p>
        </w:tc>
        <w:tc>
          <w:tcPr>
            <w:tcW w:w="1403" w:type="dxa"/>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restart"/>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十二</w:t>
            </w:r>
          </w:p>
        </w:tc>
        <w:tc>
          <w:tcPr>
            <w:tcW w:w="795" w:type="dxa"/>
            <w:vMerge w:val="restart"/>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井控系统</w:t>
            </w:r>
          </w:p>
        </w:tc>
        <w:tc>
          <w:tcPr>
            <w:tcW w:w="322" w:type="dxa"/>
            <w:vMerge w:val="restart"/>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二开</w:t>
            </w:r>
          </w:p>
        </w:tc>
        <w:tc>
          <w:tcPr>
            <w:tcW w:w="332"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或</w:t>
            </w:r>
          </w:p>
        </w:tc>
        <w:tc>
          <w:tcPr>
            <w:tcW w:w="1388"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环形防喷器</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FH35-35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795"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32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332" w:type="dxa"/>
            <w:vMerge w:val="continue"/>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1388"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单闸板防喷器</w:t>
            </w:r>
          </w:p>
        </w:tc>
        <w:tc>
          <w:tcPr>
            <w:tcW w:w="180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FZ35-35</w:t>
            </w:r>
          </w:p>
        </w:tc>
        <w:tc>
          <w:tcPr>
            <w:tcW w:w="79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795"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32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双闸板防喷器</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2FZ35-35</w:t>
            </w:r>
          </w:p>
        </w:tc>
        <w:tc>
          <w:tcPr>
            <w:tcW w:w="7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795"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32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节流管汇</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JG-35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795"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32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17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压井管汇</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pacing w:val="4"/>
                <w:szCs w:val="21"/>
              </w:rPr>
            </w:pPr>
            <w:r>
              <w:rPr>
                <w:rFonts w:hint="default" w:ascii="Times New Roman" w:hAnsi="Times New Roman" w:eastAsia="宋体" w:cs="Times New Roman"/>
                <w:color w:val="auto"/>
                <w:szCs w:val="21"/>
              </w:rPr>
              <w:t>YG-35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795"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2042" w:type="dxa"/>
            <w:gridSpan w:val="3"/>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控制装置</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4"/>
                <w:szCs w:val="21"/>
              </w:rPr>
              <w:t>FKQ3204</w:t>
            </w:r>
          </w:p>
        </w:tc>
        <w:tc>
          <w:tcPr>
            <w:tcW w:w="7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55" w:hRule="atLeast"/>
          <w:jc w:val="center"/>
        </w:trPr>
        <w:tc>
          <w:tcPr>
            <w:tcW w:w="79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795"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2042" w:type="dxa"/>
            <w:gridSpan w:val="3"/>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液气分离器</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YFQ1200</w:t>
            </w:r>
          </w:p>
        </w:tc>
        <w:tc>
          <w:tcPr>
            <w:tcW w:w="7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55" w:hRule="atLeast"/>
          <w:jc w:val="center"/>
        </w:trPr>
        <w:tc>
          <w:tcPr>
            <w:tcW w:w="79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rPr>
            </w:pPr>
          </w:p>
        </w:tc>
        <w:tc>
          <w:tcPr>
            <w:tcW w:w="795"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rPr>
            </w:pPr>
          </w:p>
        </w:tc>
        <w:tc>
          <w:tcPr>
            <w:tcW w:w="2042" w:type="dxa"/>
            <w:gridSpan w:val="3"/>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防爆排风扇</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bottom w:val="single" w:color="auto" w:sz="4" w:space="0"/>
              <w:right w:val="single" w:color="auto" w:sz="4" w:space="0"/>
            </w:tcBorders>
            <w:vAlign w:val="center"/>
          </w:tcPr>
          <w:p>
            <w:pPr>
              <w:spacing w:line="245"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restart"/>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十三</w:t>
            </w:r>
          </w:p>
        </w:tc>
        <w:tc>
          <w:tcPr>
            <w:tcW w:w="795" w:type="dxa"/>
            <w:vMerge w:val="restart"/>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仪器</w:t>
            </w:r>
          </w:p>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仪表</w:t>
            </w:r>
          </w:p>
        </w:tc>
        <w:tc>
          <w:tcPr>
            <w:tcW w:w="2042" w:type="dxa"/>
            <w:gridSpan w:val="3"/>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钻井参数仪表</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八参数仪ZCJY</w:t>
            </w:r>
          </w:p>
        </w:tc>
        <w:tc>
          <w:tcPr>
            <w:tcW w:w="790" w:type="dxa"/>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795" w:type="dxa"/>
            <w:vMerge w:val="continue"/>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2042" w:type="dxa"/>
            <w:gridSpan w:val="3"/>
            <w:tcBorders>
              <w:top w:val="single" w:color="auto" w:sz="4" w:space="0"/>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测斜仪</w:t>
            </w:r>
          </w:p>
        </w:tc>
        <w:tc>
          <w:tcPr>
            <w:tcW w:w="1800" w:type="dxa"/>
            <w:tcBorders>
              <w:top w:val="single" w:color="auto" w:sz="4" w:space="0"/>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自浮式单点测斜仪</w:t>
            </w:r>
          </w:p>
        </w:tc>
        <w:tc>
          <w:tcPr>
            <w:tcW w:w="790" w:type="dxa"/>
            <w:tcBorders>
              <w:top w:val="single" w:color="auto" w:sz="4" w:space="0"/>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tcBorders>
              <w:left w:val="single" w:color="auto" w:sz="4" w:space="0"/>
              <w:right w:val="single" w:color="auto" w:sz="4" w:space="0"/>
            </w:tcBorders>
            <w:vAlign w:val="center"/>
          </w:tcPr>
          <w:p>
            <w:pPr>
              <w:spacing w:before="62" w:after="6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十四</w:t>
            </w:r>
          </w:p>
        </w:tc>
        <w:tc>
          <w:tcPr>
            <w:tcW w:w="795"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防硫</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设备</w:t>
            </w:r>
          </w:p>
        </w:tc>
        <w:tc>
          <w:tcPr>
            <w:tcW w:w="2042" w:type="dxa"/>
            <w:gridSpan w:val="3"/>
            <w:tcBorders>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便携式硫化氢监测仪</w:t>
            </w:r>
          </w:p>
        </w:tc>
        <w:tc>
          <w:tcPr>
            <w:tcW w:w="1800" w:type="dxa"/>
            <w:tcBorders>
              <w:top w:val="single" w:color="auto" w:sz="4" w:space="0"/>
              <w:left w:val="single" w:color="auto" w:sz="4" w:space="0"/>
              <w:right w:val="single" w:color="auto" w:sz="4" w:space="0"/>
            </w:tcBorders>
            <w:vAlign w:val="center"/>
          </w:tcPr>
          <w:p>
            <w:pPr>
              <w:rPr>
                <w:rFonts w:hint="default" w:ascii="Times New Roman" w:hAnsi="Times New Roman" w:eastAsia="宋体" w:cs="Times New Roman"/>
                <w:color w:val="auto"/>
                <w:szCs w:val="21"/>
              </w:rPr>
            </w:pPr>
          </w:p>
        </w:tc>
        <w:tc>
          <w:tcPr>
            <w:tcW w:w="79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Cs w:val="21"/>
              </w:rPr>
            </w:pPr>
          </w:p>
        </w:tc>
        <w:tc>
          <w:tcPr>
            <w:tcW w:w="1403" w:type="dxa"/>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十五</w:t>
            </w:r>
          </w:p>
        </w:tc>
        <w:tc>
          <w:tcPr>
            <w:tcW w:w="2837" w:type="dxa"/>
            <w:gridSpan w:val="4"/>
            <w:tcBorders>
              <w:left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液压大钳</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ZQ203/125</w:t>
            </w:r>
          </w:p>
        </w:tc>
        <w:tc>
          <w:tcPr>
            <w:tcW w:w="790" w:type="dxa"/>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snapToGrid w:val="0"/>
              <w:spacing w:before="40" w:after="4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1套</w:t>
            </w:r>
          </w:p>
        </w:tc>
        <w:tc>
          <w:tcPr>
            <w:tcW w:w="1403" w:type="dxa"/>
            <w:tcBorders>
              <w:top w:val="single" w:color="auto" w:sz="4" w:space="0"/>
              <w:left w:val="single" w:color="auto" w:sz="4" w:space="0"/>
              <w:bottom w:val="single" w:color="auto" w:sz="4" w:space="0"/>
              <w:right w:val="single" w:color="auto" w:sz="4" w:space="0"/>
            </w:tcBorders>
          </w:tcPr>
          <w:p>
            <w:pPr>
              <w:snapToGrid w:val="0"/>
              <w:spacing w:before="40" w:after="40"/>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十六</w:t>
            </w:r>
          </w:p>
        </w:tc>
        <w:tc>
          <w:tcPr>
            <w:tcW w:w="2837" w:type="dxa"/>
            <w:gridSpan w:val="4"/>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不落地系统</w:t>
            </w:r>
          </w:p>
        </w:tc>
        <w:tc>
          <w:tcPr>
            <w:tcW w:w="180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lang w:val="en-US" w:eastAsia="zh-CN"/>
              </w:rPr>
              <w:t>1</w:t>
            </w:r>
            <w:r>
              <w:rPr>
                <w:rFonts w:hint="default" w:ascii="Times New Roman" w:hAnsi="Times New Roman" w:cs="Times New Roman"/>
                <w:color w:val="auto"/>
              </w:rPr>
              <w:t>套</w:t>
            </w:r>
          </w:p>
        </w:tc>
        <w:tc>
          <w:tcPr>
            <w:tcW w:w="1403"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十七</w:t>
            </w:r>
          </w:p>
        </w:tc>
        <w:tc>
          <w:tcPr>
            <w:tcW w:w="2837" w:type="dxa"/>
            <w:gridSpan w:val="4"/>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净化罐</w:t>
            </w:r>
          </w:p>
        </w:tc>
        <w:tc>
          <w:tcPr>
            <w:tcW w:w="180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40m</w:t>
            </w:r>
            <w:r>
              <w:rPr>
                <w:rFonts w:hint="default" w:ascii="Times New Roman" w:hAnsi="Times New Roman" w:cs="Times New Roman"/>
                <w:color w:val="auto"/>
                <w:vertAlign w:val="superscript"/>
              </w:rPr>
              <w:t>3</w:t>
            </w:r>
          </w:p>
        </w:tc>
        <w:tc>
          <w:tcPr>
            <w:tcW w:w="79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4个</w:t>
            </w:r>
          </w:p>
        </w:tc>
        <w:tc>
          <w:tcPr>
            <w:tcW w:w="1403"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十八</w:t>
            </w:r>
          </w:p>
        </w:tc>
        <w:tc>
          <w:tcPr>
            <w:tcW w:w="2837" w:type="dxa"/>
            <w:gridSpan w:val="4"/>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套装水罐</w:t>
            </w:r>
          </w:p>
        </w:tc>
        <w:tc>
          <w:tcPr>
            <w:tcW w:w="180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60m</w:t>
            </w:r>
            <w:r>
              <w:rPr>
                <w:rFonts w:hint="default" w:ascii="Times New Roman" w:hAnsi="Times New Roman" w:cs="Times New Roman"/>
                <w:color w:val="auto"/>
                <w:vertAlign w:val="superscript"/>
              </w:rPr>
              <w:t>3</w:t>
            </w:r>
          </w:p>
        </w:tc>
        <w:tc>
          <w:tcPr>
            <w:tcW w:w="79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1个</w:t>
            </w:r>
          </w:p>
        </w:tc>
        <w:tc>
          <w:tcPr>
            <w:tcW w:w="1403"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十九</w:t>
            </w:r>
          </w:p>
        </w:tc>
        <w:tc>
          <w:tcPr>
            <w:tcW w:w="2837" w:type="dxa"/>
            <w:gridSpan w:val="4"/>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油水罐</w:t>
            </w:r>
          </w:p>
        </w:tc>
        <w:tc>
          <w:tcPr>
            <w:tcW w:w="180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40m</w:t>
            </w:r>
            <w:r>
              <w:rPr>
                <w:rFonts w:hint="default" w:ascii="Times New Roman" w:hAnsi="Times New Roman" w:cs="Times New Roman"/>
                <w:color w:val="auto"/>
                <w:vertAlign w:val="superscript"/>
              </w:rPr>
              <w:t>3</w:t>
            </w:r>
          </w:p>
        </w:tc>
        <w:tc>
          <w:tcPr>
            <w:tcW w:w="79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3个</w:t>
            </w:r>
          </w:p>
        </w:tc>
        <w:tc>
          <w:tcPr>
            <w:tcW w:w="1403"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二十</w:t>
            </w:r>
          </w:p>
        </w:tc>
        <w:tc>
          <w:tcPr>
            <w:tcW w:w="2837" w:type="dxa"/>
            <w:gridSpan w:val="4"/>
            <w:tcBorders>
              <w:left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柴油罐</w:t>
            </w:r>
          </w:p>
        </w:tc>
        <w:tc>
          <w:tcPr>
            <w:tcW w:w="180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20m</w:t>
            </w:r>
            <w:r>
              <w:rPr>
                <w:rFonts w:hint="default" w:ascii="Times New Roman" w:hAnsi="Times New Roman" w:cs="Times New Roman"/>
                <w:color w:val="auto"/>
                <w:vertAlign w:val="superscript"/>
              </w:rPr>
              <w:t>3</w:t>
            </w:r>
          </w:p>
        </w:tc>
        <w:tc>
          <w:tcPr>
            <w:tcW w:w="79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rPr>
              <w:t>1个</w:t>
            </w:r>
          </w:p>
        </w:tc>
        <w:tc>
          <w:tcPr>
            <w:tcW w:w="1403"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2" w:hRule="atLeast"/>
          <w:jc w:val="center"/>
        </w:trPr>
        <w:tc>
          <w:tcPr>
            <w:tcW w:w="792" w:type="dxa"/>
            <w:tcBorders>
              <w:left w:val="single" w:color="auto" w:sz="4" w:space="0"/>
              <w:bottom w:val="single" w:color="auto" w:sz="4" w:space="0"/>
              <w:right w:val="single" w:color="auto" w:sz="4" w:space="0"/>
            </w:tcBorders>
            <w:vAlign w:val="center"/>
          </w:tcPr>
          <w:p>
            <w:pPr>
              <w:pStyle w:val="43"/>
              <w:jc w:val="both"/>
              <w:rPr>
                <w:rFonts w:hint="default" w:ascii="Times New Roman" w:hAnsi="Times New Roman" w:cs="Times New Roman"/>
                <w:color w:val="auto"/>
              </w:rPr>
            </w:pPr>
            <w:r>
              <w:rPr>
                <w:rFonts w:hint="default" w:ascii="Times New Roman" w:hAnsi="Times New Roman" w:cs="Times New Roman"/>
                <w:color w:val="auto"/>
              </w:rPr>
              <w:t>二十一</w:t>
            </w:r>
          </w:p>
        </w:tc>
        <w:tc>
          <w:tcPr>
            <w:tcW w:w="2837" w:type="dxa"/>
            <w:gridSpan w:val="4"/>
            <w:tcBorders>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岩屑储罐</w:t>
            </w:r>
          </w:p>
        </w:tc>
        <w:tc>
          <w:tcPr>
            <w:tcW w:w="180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rPr>
            </w:pPr>
            <w:r>
              <w:rPr>
                <w:rFonts w:hint="default" w:ascii="Times New Roman" w:hAnsi="Times New Roman" w:cs="Times New Roman"/>
                <w:color w:val="auto"/>
              </w:rPr>
              <w:t>60m</w:t>
            </w:r>
            <w:r>
              <w:rPr>
                <w:rFonts w:hint="default" w:ascii="Times New Roman" w:hAnsi="Times New Roman" w:cs="Times New Roman"/>
                <w:color w:val="auto"/>
                <w:vertAlign w:val="superscript"/>
              </w:rPr>
              <w:t>3</w:t>
            </w:r>
          </w:p>
        </w:tc>
        <w:tc>
          <w:tcPr>
            <w:tcW w:w="790"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rPr>
            </w:pPr>
            <w:r>
              <w:rPr>
                <w:rFonts w:hint="default" w:ascii="Times New Roman" w:hAnsi="Times New Roman" w:cs="Times New Roman"/>
                <w:color w:val="auto"/>
              </w:rPr>
              <w:t>8个</w:t>
            </w:r>
          </w:p>
        </w:tc>
        <w:tc>
          <w:tcPr>
            <w:tcW w:w="1403" w:type="dxa"/>
            <w:tcBorders>
              <w:top w:val="single" w:color="auto" w:sz="4" w:space="0"/>
              <w:left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p>
        </w:tc>
      </w:tr>
    </w:tbl>
    <w:p>
      <w:pPr>
        <w:spacing w:line="360" w:lineRule="auto"/>
        <w:outlineLvl w:val="3"/>
        <w:rPr>
          <w:rFonts w:hint="default" w:ascii="Times New Roman" w:hAnsi="Times New Roman" w:eastAsia="宋体" w:cs="Times New Roman"/>
          <w:bCs/>
          <w:snapToGrid w:val="0"/>
          <w:color w:val="auto"/>
          <w:kern w:val="0"/>
          <w:sz w:val="28"/>
          <w:szCs w:val="28"/>
        </w:rPr>
      </w:pPr>
      <w:r>
        <w:rPr>
          <w:rFonts w:hint="default" w:ascii="Times New Roman" w:hAnsi="Times New Roman" w:eastAsia="宋体" w:cs="Times New Roman"/>
          <w:bCs/>
          <w:snapToGrid w:val="0"/>
          <w:color w:val="auto"/>
          <w:kern w:val="0"/>
          <w:sz w:val="28"/>
          <w:szCs w:val="28"/>
        </w:rPr>
        <w:t>3.5.2.3钻井液体系</w:t>
      </w:r>
    </w:p>
    <w:p>
      <w:pPr>
        <w:pStyle w:val="33"/>
        <w:spacing w:line="360" w:lineRule="auto"/>
        <w:ind w:firstLine="480" w:firstLineChars="200"/>
        <w:jc w:val="both"/>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根据钻井工程设计，本项目使用水基钻井液，新配钻井液用量为：单井一开钻井液使用量约97m</w:t>
      </w:r>
      <w:r>
        <w:rPr>
          <w:rFonts w:hint="default" w:ascii="Times New Roman" w:hAnsi="Times New Roman" w:eastAsia="宋体" w:cs="Times New Roman"/>
          <w:b w:val="0"/>
          <w:bCs/>
          <w:color w:val="auto"/>
          <w:vertAlign w:val="superscript"/>
        </w:rPr>
        <w:t>3</w:t>
      </w:r>
      <w:r>
        <w:rPr>
          <w:rFonts w:hint="default" w:ascii="Times New Roman" w:hAnsi="Times New Roman" w:eastAsia="宋体" w:cs="Times New Roman"/>
          <w:b w:val="0"/>
          <w:bCs/>
          <w:color w:val="auto"/>
        </w:rPr>
        <w:t>，二开钻井液使用量约</w:t>
      </w:r>
      <w:r>
        <w:rPr>
          <w:rFonts w:hint="eastAsia" w:ascii="Times New Roman" w:hAnsi="Times New Roman" w:eastAsia="宋体" w:cs="Times New Roman"/>
          <w:b w:val="0"/>
          <w:bCs/>
          <w:color w:val="auto"/>
          <w:lang w:val="en-US" w:eastAsia="zh-CN"/>
        </w:rPr>
        <w:t>183</w:t>
      </w:r>
      <w:r>
        <w:rPr>
          <w:rFonts w:hint="default" w:ascii="Times New Roman" w:hAnsi="Times New Roman" w:eastAsia="宋体" w:cs="Times New Roman"/>
          <w:b w:val="0"/>
          <w:bCs/>
          <w:color w:val="auto"/>
        </w:rPr>
        <w:t>m</w:t>
      </w:r>
      <w:r>
        <w:rPr>
          <w:rFonts w:hint="default" w:ascii="Times New Roman" w:hAnsi="Times New Roman" w:eastAsia="宋体" w:cs="Times New Roman"/>
          <w:b w:val="0"/>
          <w:bCs/>
          <w:color w:val="auto"/>
          <w:vertAlign w:val="superscript"/>
        </w:rPr>
        <w:t>3</w:t>
      </w:r>
      <w:r>
        <w:rPr>
          <w:rFonts w:hint="default" w:ascii="Times New Roman" w:hAnsi="Times New Roman" w:eastAsia="宋体" w:cs="Times New Roman"/>
          <w:b w:val="0"/>
          <w:bCs/>
          <w:color w:val="auto"/>
        </w:rPr>
        <w:t>。则本项目钻井液用量为</w:t>
      </w:r>
      <w:r>
        <w:rPr>
          <w:rFonts w:hint="eastAsia" w:ascii="Times New Roman" w:hAnsi="Times New Roman" w:eastAsia="宋体" w:cs="Times New Roman"/>
          <w:b w:val="0"/>
          <w:bCs/>
          <w:color w:val="auto"/>
          <w:lang w:eastAsia="zh-CN"/>
        </w:rPr>
        <w:t>2240</w:t>
      </w:r>
      <w:r>
        <w:rPr>
          <w:rFonts w:hint="default" w:ascii="Times New Roman" w:hAnsi="Times New Roman" w:eastAsia="宋体" w:cs="Times New Roman"/>
          <w:b w:val="0"/>
          <w:bCs/>
          <w:color w:val="auto"/>
        </w:rPr>
        <w:t>m</w:t>
      </w:r>
      <w:r>
        <w:rPr>
          <w:rFonts w:hint="default" w:ascii="Times New Roman" w:hAnsi="Times New Roman" w:eastAsia="宋体" w:cs="Times New Roman"/>
          <w:b w:val="0"/>
          <w:bCs/>
          <w:color w:val="auto"/>
          <w:vertAlign w:val="superscript"/>
        </w:rPr>
        <w:t>3</w:t>
      </w:r>
      <w:r>
        <w:rPr>
          <w:rFonts w:hint="default" w:ascii="Times New Roman" w:hAnsi="Times New Roman" w:eastAsia="宋体" w:cs="Times New Roman"/>
          <w:b w:val="0"/>
          <w:bCs/>
          <w:color w:val="auto"/>
        </w:rPr>
        <w:t>。</w:t>
      </w:r>
    </w:p>
    <w:p>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1）一开钻井液</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①钻井液体系：</w:t>
      </w:r>
      <w:r>
        <w:rPr>
          <w:rFonts w:hint="default" w:ascii="Times New Roman" w:hAnsi="Times New Roman" w:eastAsia="宋体" w:cs="Times New Roman"/>
          <w:color w:val="auto"/>
          <w:spacing w:val="-4"/>
          <w:sz w:val="24"/>
        </w:rPr>
        <w:t>坂土-CMC钻井液</w:t>
      </w:r>
    </w:p>
    <w:p>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②配方：</w:t>
      </w:r>
      <w:r>
        <w:rPr>
          <w:rFonts w:hint="default" w:ascii="Times New Roman" w:hAnsi="Times New Roman" w:eastAsia="宋体" w:cs="Times New Roman"/>
          <w:color w:val="auto"/>
          <w:spacing w:val="-4"/>
          <w:sz w:val="24"/>
        </w:rPr>
        <w:t>6%</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8%坂土+0.2%</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0.4%Na</w:t>
      </w:r>
      <w:r>
        <w:rPr>
          <w:rFonts w:hint="default" w:ascii="Times New Roman" w:hAnsi="Times New Roman" w:eastAsia="宋体" w:cs="Times New Roman"/>
          <w:color w:val="auto"/>
          <w:spacing w:val="-4"/>
          <w:sz w:val="24"/>
          <w:vertAlign w:val="subscript"/>
        </w:rPr>
        <w:t>2</w:t>
      </w:r>
      <w:r>
        <w:rPr>
          <w:rFonts w:hint="default" w:ascii="Times New Roman" w:hAnsi="Times New Roman" w:eastAsia="宋体" w:cs="Times New Roman"/>
          <w:color w:val="auto"/>
          <w:spacing w:val="-4"/>
          <w:sz w:val="24"/>
        </w:rPr>
        <w:t>CO</w:t>
      </w:r>
      <w:r>
        <w:rPr>
          <w:rFonts w:hint="default" w:ascii="Times New Roman" w:hAnsi="Times New Roman" w:eastAsia="宋体" w:cs="Times New Roman"/>
          <w:color w:val="auto"/>
          <w:spacing w:val="-4"/>
          <w:sz w:val="24"/>
          <w:vertAlign w:val="subscript"/>
        </w:rPr>
        <w:t>3</w:t>
      </w:r>
      <w:r>
        <w:rPr>
          <w:rFonts w:hint="default" w:ascii="Times New Roman" w:hAnsi="Times New Roman" w:eastAsia="宋体" w:cs="Times New Roman"/>
          <w:color w:val="auto"/>
          <w:spacing w:val="-4"/>
          <w:sz w:val="24"/>
        </w:rPr>
        <w:t>+0.2%</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0.4%CMC（中）</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color w:val="auto"/>
          <w:spacing w:val="-4"/>
          <w:sz w:val="24"/>
        </w:rPr>
        <w:t>钻井液性能：密度1.05</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1.20g/cm</w:t>
      </w:r>
      <w:r>
        <w:rPr>
          <w:rFonts w:hint="default" w:ascii="Times New Roman" w:hAnsi="Times New Roman" w:eastAsia="宋体" w:cs="Times New Roman"/>
          <w:color w:val="auto"/>
          <w:spacing w:val="-4"/>
          <w:sz w:val="24"/>
          <w:vertAlign w:val="superscript"/>
        </w:rPr>
        <w:t>3</w:t>
      </w:r>
      <w:r>
        <w:rPr>
          <w:rFonts w:hint="default" w:ascii="Times New Roman" w:hAnsi="Times New Roman" w:eastAsia="宋体" w:cs="Times New Roman"/>
          <w:color w:val="auto"/>
          <w:spacing w:val="-4"/>
          <w:sz w:val="24"/>
        </w:rPr>
        <w:t>，粘度60</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100s。</w:t>
      </w:r>
    </w:p>
    <w:p>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2）二开钻井液</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①钻井液体系：</w:t>
      </w:r>
      <w:r>
        <w:rPr>
          <w:rFonts w:hint="default" w:ascii="Times New Roman" w:hAnsi="Times New Roman" w:eastAsia="宋体" w:cs="Times New Roman"/>
          <w:color w:val="auto"/>
          <w:spacing w:val="-4"/>
          <w:sz w:val="24"/>
        </w:rPr>
        <w:t>聚合物钻井液体系</w:t>
      </w:r>
    </w:p>
    <w:p>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②配方：</w:t>
      </w:r>
    </w:p>
    <w:p>
      <w:pPr>
        <w:spacing w:line="360" w:lineRule="auto"/>
        <w:ind w:firstLine="504" w:firstLineChars="200"/>
        <w:jc w:val="both"/>
        <w:rPr>
          <w:rFonts w:hint="default" w:ascii="Times New Roman" w:hAnsi="Times New Roman" w:eastAsia="宋体" w:cs="Times New Roman"/>
          <w:color w:val="auto"/>
          <w:w w:val="105"/>
          <w:sz w:val="24"/>
        </w:rPr>
      </w:pPr>
      <w:r>
        <w:rPr>
          <w:rFonts w:hint="default" w:ascii="Times New Roman" w:hAnsi="Times New Roman" w:eastAsia="宋体" w:cs="Times New Roman"/>
          <w:bCs/>
          <w:color w:val="auto"/>
          <w:w w:val="105"/>
          <w:sz w:val="24"/>
        </w:rPr>
        <w:t>4%坂土+0.2%Na</w:t>
      </w:r>
      <w:r>
        <w:rPr>
          <w:rFonts w:hint="default" w:ascii="Times New Roman" w:hAnsi="Times New Roman" w:eastAsia="宋体" w:cs="Times New Roman"/>
          <w:bCs/>
          <w:color w:val="auto"/>
          <w:w w:val="105"/>
          <w:sz w:val="24"/>
          <w:vertAlign w:val="subscript"/>
        </w:rPr>
        <w:t>2</w:t>
      </w:r>
      <w:r>
        <w:rPr>
          <w:rFonts w:hint="default" w:ascii="Times New Roman" w:hAnsi="Times New Roman" w:eastAsia="宋体" w:cs="Times New Roman"/>
          <w:bCs/>
          <w:color w:val="auto"/>
          <w:w w:val="105"/>
          <w:sz w:val="24"/>
        </w:rPr>
        <w:t>CO</w:t>
      </w:r>
      <w:r>
        <w:rPr>
          <w:rFonts w:hint="default" w:ascii="Times New Roman" w:hAnsi="Times New Roman" w:eastAsia="宋体" w:cs="Times New Roman"/>
          <w:bCs/>
          <w:color w:val="auto"/>
          <w:w w:val="105"/>
          <w:sz w:val="24"/>
          <w:vertAlign w:val="subscript"/>
        </w:rPr>
        <w:t>3</w:t>
      </w:r>
      <w:r>
        <w:rPr>
          <w:rFonts w:hint="default" w:ascii="Times New Roman" w:hAnsi="Times New Roman" w:eastAsia="宋体" w:cs="Times New Roman"/>
          <w:bCs/>
          <w:color w:val="auto"/>
          <w:w w:val="105"/>
          <w:sz w:val="24"/>
        </w:rPr>
        <w:t>+0.5%NaOH+0.5%</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0.7%SP-8+0.5%</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0.7%PMHA-2+1%</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2%HY-2+0.5%复配铵盐+2%</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3%阳离子乳化沥青+3%</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4%YB-1+1%YB-3+2%超细碳酸钙+1%WC-1+1%液体润滑剂+重晶石</w:t>
      </w:r>
    </w:p>
    <w:p>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③钻井液性能指标见表3.5-5。</w:t>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表3.5-5  二开钻井液性能指标</w:t>
      </w:r>
    </w:p>
    <w:tbl>
      <w:tblPr>
        <w:tblStyle w:val="31"/>
        <w:tblW w:w="8417"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264"/>
        <w:gridCol w:w="988"/>
        <w:gridCol w:w="920"/>
        <w:gridCol w:w="886"/>
        <w:gridCol w:w="834"/>
        <w:gridCol w:w="1131"/>
        <w:gridCol w:w="1170"/>
        <w:gridCol w:w="12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trHeight w:val="723" w:hRule="atLeast"/>
          <w:jc w:val="center"/>
        </w:trPr>
        <w:tc>
          <w:tcPr>
            <w:tcW w:w="1264"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密度</w:t>
            </w:r>
          </w:p>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（g/cm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988"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粘度</w:t>
            </w:r>
          </w:p>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（s）</w:t>
            </w:r>
          </w:p>
        </w:tc>
        <w:tc>
          <w:tcPr>
            <w:tcW w:w="920"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失水</w:t>
            </w:r>
          </w:p>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（ml）</w:t>
            </w:r>
          </w:p>
        </w:tc>
        <w:tc>
          <w:tcPr>
            <w:tcW w:w="886"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泥饼</w:t>
            </w:r>
          </w:p>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（mm）</w:t>
            </w:r>
          </w:p>
        </w:tc>
        <w:tc>
          <w:tcPr>
            <w:tcW w:w="834"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pH</w:t>
            </w:r>
          </w:p>
        </w:tc>
        <w:tc>
          <w:tcPr>
            <w:tcW w:w="1131"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塑性粘度</w:t>
            </w:r>
          </w:p>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（mPa</w:t>
            </w:r>
            <w:r>
              <w:rPr>
                <w:rFonts w:hint="default" w:ascii="Times New Roman" w:hAnsi="Times New Roman" w:eastAsia="宋体" w:cs="Times New Roman"/>
                <w:b/>
                <w:bCs/>
                <w:color w:val="auto"/>
                <w:szCs w:val="21"/>
              </w:rPr>
              <w:sym w:font="Symbol" w:char="00D7"/>
            </w:r>
            <w:r>
              <w:rPr>
                <w:rFonts w:hint="default" w:ascii="Times New Roman" w:hAnsi="Times New Roman" w:eastAsia="宋体" w:cs="Times New Roman"/>
                <w:b/>
                <w:bCs/>
                <w:color w:val="auto"/>
                <w:szCs w:val="21"/>
              </w:rPr>
              <w:t xml:space="preserve"> s）</w:t>
            </w:r>
          </w:p>
        </w:tc>
        <w:tc>
          <w:tcPr>
            <w:tcW w:w="1170"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动切力</w:t>
            </w:r>
          </w:p>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（Pa）</w:t>
            </w:r>
          </w:p>
        </w:tc>
        <w:tc>
          <w:tcPr>
            <w:tcW w:w="1224"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静切力</w:t>
            </w:r>
          </w:p>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（Pa）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trHeight w:val="641" w:hRule="atLeast"/>
          <w:jc w:val="center"/>
        </w:trPr>
        <w:tc>
          <w:tcPr>
            <w:tcW w:w="1264" w:type="dxa"/>
            <w:vAlign w:val="center"/>
          </w:tcPr>
          <w:p>
            <w:pPr>
              <w:pStyle w:val="44"/>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t>1.07</w:t>
            </w:r>
            <w:r>
              <w:rPr>
                <w:rFonts w:hint="default" w:ascii="Times New Roman" w:hAnsi="Times New Roman" w:cs="Times New Roman"/>
                <w:b w:val="0"/>
                <w:bCs/>
                <w:color w:val="auto"/>
                <w:sz w:val="21"/>
                <w:szCs w:val="21"/>
              </w:rPr>
              <w:sym w:font="Symbol" w:char="007E"/>
            </w:r>
            <w:r>
              <w:rPr>
                <w:rFonts w:hint="default" w:ascii="Times New Roman" w:hAnsi="Times New Roman" w:cs="Times New Roman"/>
                <w:b w:val="0"/>
                <w:bCs/>
                <w:color w:val="auto"/>
                <w:sz w:val="21"/>
                <w:szCs w:val="21"/>
              </w:rPr>
              <w:t>1.15</w:t>
            </w:r>
          </w:p>
        </w:tc>
        <w:tc>
          <w:tcPr>
            <w:tcW w:w="988" w:type="dxa"/>
            <w:vAlign w:val="center"/>
          </w:tcPr>
          <w:p>
            <w:pPr>
              <w:pStyle w:val="44"/>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t>40</w:t>
            </w:r>
            <w:r>
              <w:rPr>
                <w:rFonts w:hint="default" w:ascii="Times New Roman" w:hAnsi="Times New Roman" w:cs="Times New Roman"/>
                <w:b w:val="0"/>
                <w:bCs/>
                <w:color w:val="auto"/>
                <w:sz w:val="21"/>
                <w:szCs w:val="21"/>
              </w:rPr>
              <w:sym w:font="Symbol" w:char="007E"/>
            </w:r>
            <w:r>
              <w:rPr>
                <w:rFonts w:hint="default" w:ascii="Times New Roman" w:hAnsi="Times New Roman" w:cs="Times New Roman"/>
                <w:b w:val="0"/>
                <w:bCs/>
                <w:color w:val="auto"/>
                <w:sz w:val="21"/>
                <w:szCs w:val="21"/>
              </w:rPr>
              <w:t>75</w:t>
            </w:r>
          </w:p>
        </w:tc>
        <w:tc>
          <w:tcPr>
            <w:tcW w:w="920" w:type="dxa"/>
            <w:vAlign w:val="center"/>
          </w:tcPr>
          <w:p>
            <w:pPr>
              <w:pStyle w:val="44"/>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sym w:font="Symbol" w:char="F0A3"/>
            </w:r>
            <w:r>
              <w:rPr>
                <w:rFonts w:hint="default" w:ascii="Times New Roman" w:hAnsi="Times New Roman" w:cs="Times New Roman"/>
                <w:b w:val="0"/>
                <w:bCs/>
                <w:color w:val="auto"/>
                <w:sz w:val="21"/>
                <w:szCs w:val="21"/>
              </w:rPr>
              <w:t>5</w:t>
            </w:r>
          </w:p>
        </w:tc>
        <w:tc>
          <w:tcPr>
            <w:tcW w:w="886" w:type="dxa"/>
            <w:vAlign w:val="center"/>
          </w:tcPr>
          <w:p>
            <w:pPr>
              <w:pStyle w:val="44"/>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sym w:font="Symbol" w:char="F0A3"/>
            </w:r>
            <w:r>
              <w:rPr>
                <w:rFonts w:hint="default" w:ascii="Times New Roman" w:hAnsi="Times New Roman" w:cs="Times New Roman"/>
                <w:b w:val="0"/>
                <w:bCs/>
                <w:color w:val="auto"/>
                <w:sz w:val="21"/>
                <w:szCs w:val="21"/>
              </w:rPr>
              <w:t>0.5</w:t>
            </w:r>
          </w:p>
        </w:tc>
        <w:tc>
          <w:tcPr>
            <w:tcW w:w="834" w:type="dxa"/>
            <w:vAlign w:val="center"/>
          </w:tcPr>
          <w:p>
            <w:pPr>
              <w:pStyle w:val="44"/>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t>8</w:t>
            </w:r>
            <w:r>
              <w:rPr>
                <w:rFonts w:hint="default" w:ascii="Times New Roman" w:hAnsi="Times New Roman" w:cs="Times New Roman"/>
                <w:b w:val="0"/>
                <w:bCs/>
                <w:color w:val="auto"/>
                <w:sz w:val="21"/>
                <w:szCs w:val="21"/>
              </w:rPr>
              <w:sym w:font="Symbol" w:char="007E"/>
            </w:r>
            <w:r>
              <w:rPr>
                <w:rFonts w:hint="default" w:ascii="Times New Roman" w:hAnsi="Times New Roman" w:cs="Times New Roman"/>
                <w:b w:val="0"/>
                <w:bCs/>
                <w:color w:val="auto"/>
                <w:sz w:val="21"/>
                <w:szCs w:val="21"/>
              </w:rPr>
              <w:t>10</w:t>
            </w:r>
          </w:p>
        </w:tc>
        <w:tc>
          <w:tcPr>
            <w:tcW w:w="1131" w:type="dxa"/>
            <w:vAlign w:val="center"/>
          </w:tcPr>
          <w:p>
            <w:pPr>
              <w:pStyle w:val="44"/>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t>12</w:t>
            </w:r>
            <w:r>
              <w:rPr>
                <w:rFonts w:hint="default" w:ascii="Times New Roman" w:hAnsi="Times New Roman" w:cs="Times New Roman"/>
                <w:b w:val="0"/>
                <w:bCs/>
                <w:color w:val="auto"/>
                <w:sz w:val="21"/>
                <w:szCs w:val="21"/>
              </w:rPr>
              <w:sym w:font="Symbol" w:char="007E"/>
            </w:r>
            <w:r>
              <w:rPr>
                <w:rFonts w:hint="default" w:ascii="Times New Roman" w:hAnsi="Times New Roman" w:cs="Times New Roman"/>
                <w:b w:val="0"/>
                <w:bCs/>
                <w:color w:val="auto"/>
                <w:sz w:val="21"/>
                <w:szCs w:val="21"/>
              </w:rPr>
              <w:t>30</w:t>
            </w:r>
          </w:p>
        </w:tc>
        <w:tc>
          <w:tcPr>
            <w:tcW w:w="1170" w:type="dxa"/>
            <w:vAlign w:val="center"/>
          </w:tcPr>
          <w:p>
            <w:pPr>
              <w:pStyle w:val="44"/>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t>5</w:t>
            </w:r>
            <w:r>
              <w:rPr>
                <w:rFonts w:hint="default" w:ascii="Times New Roman" w:hAnsi="Times New Roman" w:cs="Times New Roman"/>
                <w:b w:val="0"/>
                <w:bCs/>
                <w:color w:val="auto"/>
                <w:sz w:val="21"/>
                <w:szCs w:val="21"/>
              </w:rPr>
              <w:sym w:font="Symbol" w:char="007E"/>
            </w:r>
            <w:r>
              <w:rPr>
                <w:rFonts w:hint="default" w:ascii="Times New Roman" w:hAnsi="Times New Roman" w:cs="Times New Roman"/>
                <w:b w:val="0"/>
                <w:bCs/>
                <w:color w:val="auto"/>
                <w:sz w:val="21"/>
                <w:szCs w:val="21"/>
              </w:rPr>
              <w:t>12</w:t>
            </w:r>
          </w:p>
        </w:tc>
        <w:tc>
          <w:tcPr>
            <w:tcW w:w="1224" w:type="dxa"/>
            <w:vAlign w:val="center"/>
          </w:tcPr>
          <w:p>
            <w:pPr>
              <w:pStyle w:val="44"/>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t>1~3/2~7</w:t>
            </w:r>
          </w:p>
        </w:tc>
      </w:tr>
    </w:tbl>
    <w:p>
      <w:pPr>
        <w:widowControl/>
        <w:jc w:val="left"/>
        <w:outlineLvl w:val="3"/>
        <w:rPr>
          <w:rFonts w:hint="default" w:ascii="Times New Roman" w:hAnsi="Times New Roman" w:eastAsia="宋体" w:cs="Times New Roman"/>
          <w:bCs/>
          <w:snapToGrid w:val="0"/>
          <w:color w:val="auto"/>
          <w:kern w:val="0"/>
          <w:sz w:val="28"/>
          <w:szCs w:val="28"/>
        </w:rPr>
      </w:pPr>
      <w:r>
        <w:rPr>
          <w:rFonts w:hint="default" w:ascii="Times New Roman" w:hAnsi="Times New Roman" w:eastAsia="宋体" w:cs="Times New Roman"/>
          <w:bCs/>
          <w:snapToGrid w:val="0"/>
          <w:color w:val="auto"/>
          <w:kern w:val="0"/>
          <w:sz w:val="28"/>
          <w:szCs w:val="28"/>
        </w:rPr>
        <w:t>3.5.2.4</w:t>
      </w:r>
      <w:r>
        <w:rPr>
          <w:rFonts w:hint="default" w:ascii="Times New Roman" w:hAnsi="Times New Roman" w:eastAsia="宋体" w:cs="Times New Roman"/>
          <w:bCs/>
          <w:snapToGrid w:val="0"/>
          <w:color w:val="auto"/>
          <w:kern w:val="0"/>
          <w:sz w:val="28"/>
          <w:szCs w:val="28"/>
          <w:lang w:val="en-US" w:eastAsia="zh-CN"/>
        </w:rPr>
        <w:t>钻井液/钻井泥浆、压裂返排液配置用水</w:t>
      </w:r>
    </w:p>
    <w:p>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本项目钻井液/钻井泥浆不在井场配置，直接由钻井液公司配置完成后拉运至井场使用。压裂返排液优先使用陆梁联合站处理后的回注水，在联合站内配置完成后直接拉运至井场使用，不在现场配置。</w:t>
      </w:r>
    </w:p>
    <w:p>
      <w:pPr>
        <w:widowControl/>
        <w:jc w:val="left"/>
        <w:outlineLvl w:val="3"/>
        <w:rPr>
          <w:rFonts w:hint="default" w:ascii="Times New Roman" w:hAnsi="Times New Roman" w:eastAsia="宋体" w:cs="Times New Roman"/>
          <w:bCs/>
          <w:snapToGrid w:val="0"/>
          <w:color w:val="auto"/>
          <w:kern w:val="0"/>
          <w:sz w:val="28"/>
          <w:szCs w:val="28"/>
        </w:rPr>
      </w:pPr>
      <w:r>
        <w:rPr>
          <w:rFonts w:hint="default" w:ascii="Times New Roman" w:hAnsi="Times New Roman" w:eastAsia="宋体" w:cs="Times New Roman"/>
          <w:bCs/>
          <w:snapToGrid w:val="0"/>
          <w:color w:val="auto"/>
          <w:kern w:val="0"/>
          <w:sz w:val="28"/>
          <w:szCs w:val="28"/>
        </w:rPr>
        <w:t>3.5.2</w:t>
      </w:r>
      <w:r>
        <w:rPr>
          <w:rFonts w:hint="eastAsia" w:ascii="Times New Roman" w:hAnsi="Times New Roman" w:eastAsia="宋体" w:cs="Times New Roman"/>
          <w:bCs/>
          <w:snapToGrid w:val="0"/>
          <w:color w:val="auto"/>
          <w:kern w:val="0"/>
          <w:sz w:val="28"/>
          <w:szCs w:val="28"/>
          <w:lang w:val="en-US" w:eastAsia="zh-CN"/>
        </w:rPr>
        <w:t>.5</w:t>
      </w:r>
      <w:r>
        <w:rPr>
          <w:rFonts w:hint="default" w:ascii="Times New Roman" w:hAnsi="Times New Roman" w:eastAsia="宋体" w:cs="Times New Roman"/>
          <w:bCs/>
          <w:snapToGrid w:val="0"/>
          <w:color w:val="auto"/>
          <w:kern w:val="0"/>
          <w:sz w:val="28"/>
          <w:szCs w:val="28"/>
        </w:rPr>
        <w:t>钻井周期</w:t>
      </w:r>
    </w:p>
    <w:p>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根据钻井方案，单井钻井周期累计1</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天。</w:t>
      </w:r>
    </w:p>
    <w:p>
      <w:pPr>
        <w:spacing w:line="360" w:lineRule="auto"/>
        <w:outlineLvl w:val="3"/>
        <w:rPr>
          <w:rFonts w:hint="default" w:ascii="Times New Roman" w:hAnsi="Times New Roman" w:eastAsia="宋体" w:cs="Times New Roman"/>
          <w:bCs/>
          <w:snapToGrid w:val="0"/>
          <w:color w:val="auto"/>
          <w:kern w:val="0"/>
          <w:sz w:val="28"/>
          <w:szCs w:val="28"/>
        </w:rPr>
      </w:pPr>
      <w:r>
        <w:rPr>
          <w:rFonts w:hint="default" w:ascii="Times New Roman" w:hAnsi="Times New Roman" w:eastAsia="宋体" w:cs="Times New Roman"/>
          <w:bCs/>
          <w:snapToGrid w:val="0"/>
          <w:color w:val="auto"/>
          <w:kern w:val="0"/>
          <w:sz w:val="28"/>
          <w:szCs w:val="28"/>
        </w:rPr>
        <w:t>3.5.2.</w:t>
      </w:r>
      <w:r>
        <w:rPr>
          <w:rFonts w:hint="eastAsia" w:ascii="Times New Roman" w:hAnsi="Times New Roman" w:eastAsia="宋体" w:cs="Times New Roman"/>
          <w:bCs/>
          <w:snapToGrid w:val="0"/>
          <w:color w:val="auto"/>
          <w:kern w:val="0"/>
          <w:sz w:val="28"/>
          <w:szCs w:val="28"/>
          <w:lang w:val="en-US" w:eastAsia="zh-CN"/>
        </w:rPr>
        <w:t>6</w:t>
      </w:r>
      <w:r>
        <w:rPr>
          <w:rFonts w:hint="default" w:ascii="Times New Roman" w:hAnsi="Times New Roman" w:eastAsia="宋体" w:cs="Times New Roman"/>
          <w:bCs/>
          <w:snapToGrid w:val="0"/>
          <w:color w:val="auto"/>
          <w:kern w:val="0"/>
          <w:sz w:val="28"/>
          <w:szCs w:val="28"/>
        </w:rPr>
        <w:t>井场平面布置</w:t>
      </w:r>
    </w:p>
    <w:p>
      <w:pPr>
        <w:spacing w:line="360" w:lineRule="auto"/>
        <w:ind w:firstLine="480" w:firstLineChars="200"/>
        <w:jc w:val="left"/>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项目的布置本着结构简单、流程合理的原则进行布局。</w:t>
      </w:r>
      <w:r>
        <w:rPr>
          <w:rFonts w:hint="default" w:ascii="Times New Roman" w:hAnsi="Times New Roman" w:eastAsia="宋体" w:cs="Times New Roman"/>
          <w:color w:val="auto"/>
          <w:sz w:val="24"/>
        </w:rPr>
        <w:t>井场布置有值班房、材料房、配电房、录井房、钻井液不落地设备等，单井</w:t>
      </w:r>
      <w:r>
        <w:rPr>
          <w:rFonts w:hint="default" w:ascii="Times New Roman" w:hAnsi="Times New Roman" w:eastAsia="宋体" w:cs="Times New Roman"/>
          <w:snapToGrid w:val="0"/>
          <w:color w:val="auto"/>
          <w:sz w:val="24"/>
        </w:rPr>
        <w:t>钻井平面布置图详见图3.5-3。</w:t>
      </w:r>
    </w:p>
    <w:p>
      <w:pPr>
        <w:spacing w:line="360" w:lineRule="auto"/>
        <w:jc w:val="left"/>
        <w:rPr>
          <w:rFonts w:hint="default" w:ascii="Times New Roman" w:hAnsi="Times New Roman" w:eastAsia="宋体" w:cs="Times New Roman"/>
          <w:bCs/>
          <w:color w:val="auto"/>
          <w:szCs w:val="21"/>
        </w:rPr>
      </w:pPr>
      <w:r>
        <w:rPr>
          <w:color w:val="auto"/>
          <w:sz w:val="24"/>
        </w:rPr>
        <mc:AlternateContent>
          <mc:Choice Requires="wpg">
            <w:drawing>
              <wp:anchor distT="0" distB="0" distL="114300" distR="114300" simplePos="0" relativeHeight="251675648" behindDoc="0" locked="0" layoutInCell="1" allowOverlap="1">
                <wp:simplePos x="0" y="0"/>
                <wp:positionH relativeFrom="column">
                  <wp:posOffset>1486535</wp:posOffset>
                </wp:positionH>
                <wp:positionV relativeFrom="paragraph">
                  <wp:posOffset>295275</wp:posOffset>
                </wp:positionV>
                <wp:extent cx="3664585" cy="3359150"/>
                <wp:effectExtent l="5080" t="4445" r="0" b="0"/>
                <wp:wrapNone/>
                <wp:docPr id="19" name="组合 19"/>
                <wp:cNvGraphicFramePr/>
                <a:graphic xmlns:a="http://schemas.openxmlformats.org/drawingml/2006/main">
                  <a:graphicData uri="http://schemas.microsoft.com/office/word/2010/wordprocessingGroup">
                    <wpg:wgp>
                      <wpg:cNvGrpSpPr/>
                      <wpg:grpSpPr>
                        <a:xfrm>
                          <a:off x="0" y="0"/>
                          <a:ext cx="3664585" cy="3359150"/>
                          <a:chOff x="4424" y="1310208"/>
                          <a:chExt cx="5771" cy="5290"/>
                        </a:xfrm>
                      </wpg:grpSpPr>
                      <wps:wsp>
                        <wps:cNvPr id="17" name="文本框 17"/>
                        <wps:cNvSpPr txBox="1"/>
                        <wps:spPr>
                          <a:xfrm>
                            <a:off x="4424" y="1310208"/>
                            <a:ext cx="312" cy="340"/>
                          </a:xfrm>
                          <a:prstGeom prst="rect">
                            <a:avLst/>
                          </a:prstGeom>
                          <a:solidFill>
                            <a:schemeClr val="accent3">
                              <a:lumMod val="40000"/>
                              <a:lumOff val="60000"/>
                              <a:alpha val="5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00" w:lineRule="exact"/>
                                <w:ind w:left="-105" w:leftChars="-50" w:right="-105" w:rightChars="-50"/>
                                <w:jc w:val="center"/>
                                <w:textAlignment w:val="auto"/>
                                <w:rPr>
                                  <w:rFonts w:hint="default" w:eastAsiaTheme="minorEastAsia"/>
                                  <w:lang w:val="en-US" w:eastAsia="zh-CN"/>
                                </w:rPr>
                              </w:pPr>
                              <w:r>
                                <w:rPr>
                                  <w:rFonts w:hint="default" w:ascii="Times New Roman" w:hAnsi="Times New Roman" w:cs="Times New Roman"/>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9455" y="1315158"/>
                            <a:ext cx="740" cy="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00" w:lineRule="exact"/>
                                <w:ind w:left="-105" w:leftChars="-50" w:right="-105" w:rightChars="-50"/>
                                <w:jc w:val="center"/>
                                <w:textAlignment w:val="auto"/>
                                <w:rPr>
                                  <w:rFonts w:hint="default" w:eastAsiaTheme="minorEastAsia"/>
                                  <w:b w:val="0"/>
                                  <w:bCs w:val="0"/>
                                  <w:sz w:val="15"/>
                                  <w:szCs w:val="15"/>
                                  <w:lang w:val="en-US" w:eastAsia="zh-CN"/>
                                </w:rPr>
                              </w:pPr>
                              <w:r>
                                <w:rPr>
                                  <w:rFonts w:hint="default" w:ascii="Times New Roman" w:hAnsi="Times New Roman" w:cs="Times New Roman"/>
                                  <w:b w:val="0"/>
                                  <w:bCs w:val="0"/>
                                  <w:sz w:val="15"/>
                                  <w:szCs w:val="15"/>
                                  <w:lang w:val="en-US" w:eastAsia="zh-CN"/>
                                </w:rPr>
                                <w:t>21</w:t>
                              </w:r>
                              <w:r>
                                <w:rPr>
                                  <w:rFonts w:hint="eastAsia" w:ascii="Times New Roman" w:hAnsi="Times New Roman" w:cs="Times New Roman"/>
                                  <w:b w:val="0"/>
                                  <w:bCs w:val="0"/>
                                  <w:sz w:val="15"/>
                                  <w:szCs w:val="15"/>
                                  <w:lang w:val="en-US" w:eastAsia="zh-CN"/>
                                </w:rPr>
                                <w:t>.柴油罐</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7.05pt;margin-top:23.25pt;height:264.5pt;width:288.55pt;z-index:251675648;mso-width-relative:page;mso-height-relative:page;" coordorigin="4424,1310208" coordsize="5771,5290" o:gfxdata="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OVoh4doAAAAKAQAADwAAAAAAAAABACAAAAAiAAAAZHJz&#10;L2Rvd25yZXYueG1sUEsBAhQAFAAAAAgAh07iQOaeqeMfAwAAfggAAA4AAAAAAAAAAQAgAAAAKQEA&#10;AGRycy9lMm9Eb2MueG1sUEsFBgAAAAAGAAYAWQEAALoGAAAAAA==&#10;">
                <o:lock v:ext="edit" aspectratio="f"/>
                <v:shape id="_x0000_s1026" o:spid="_x0000_s1026" o:spt="202" type="#_x0000_t202" style="position:absolute;left:4424;top:1310208;height:340;width:312;" fillcolor="#FEE695 [1302]" filled="t" stroked="t" coordsize="21600,21600" o:gfxdata="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Wp4VvQAA&#10;ANsAAAAPAAAAAAAAAAEAIAAAACIAAABkcnMvZG93bnJldi54bWxQSwECFAAUAAAACACHTuJAMy8F&#10;njsAAAA5AAAAEAAAAAAAAAABACAAAAAMAQAAZHJzL3NoYXBleG1sLnhtbFBLBQYAAAAABgAGAFsB&#10;AAC2AwAAAAA=&#10;">
                  <v:fill on="t" opacity="32768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ind w:left="-105" w:leftChars="-50" w:right="-105" w:rightChars="-50"/>
                          <w:jc w:val="center"/>
                          <w:textAlignment w:val="auto"/>
                          <w:rPr>
                            <w:rFonts w:hint="default" w:eastAsiaTheme="minorEastAsia"/>
                            <w:lang w:val="en-US" w:eastAsia="zh-CN"/>
                          </w:rPr>
                        </w:pPr>
                        <w:r>
                          <w:rPr>
                            <w:rFonts w:hint="default" w:ascii="Times New Roman" w:hAnsi="Times New Roman" w:cs="Times New Roman"/>
                            <w:lang w:val="en-US" w:eastAsia="zh-CN"/>
                          </w:rPr>
                          <w:t>21</w:t>
                        </w:r>
                      </w:p>
                    </w:txbxContent>
                  </v:textbox>
                </v:shape>
                <v:shape id="_x0000_s1026" o:spid="_x0000_s1026" o:spt="202" type="#_x0000_t202" style="position:absolute;left:9455;top:1315158;height:340;width:740;"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ind w:left="-105" w:leftChars="-50" w:right="-105" w:rightChars="-50"/>
                          <w:jc w:val="center"/>
                          <w:textAlignment w:val="auto"/>
                          <w:rPr>
                            <w:rFonts w:hint="default" w:eastAsiaTheme="minorEastAsia"/>
                            <w:b w:val="0"/>
                            <w:bCs w:val="0"/>
                            <w:sz w:val="15"/>
                            <w:szCs w:val="15"/>
                            <w:lang w:val="en-US" w:eastAsia="zh-CN"/>
                          </w:rPr>
                        </w:pPr>
                        <w:r>
                          <w:rPr>
                            <w:rFonts w:hint="default" w:ascii="Times New Roman" w:hAnsi="Times New Roman" w:cs="Times New Roman"/>
                            <w:b w:val="0"/>
                            <w:bCs w:val="0"/>
                            <w:sz w:val="15"/>
                            <w:szCs w:val="15"/>
                            <w:lang w:val="en-US" w:eastAsia="zh-CN"/>
                          </w:rPr>
                          <w:t>21</w:t>
                        </w:r>
                        <w:r>
                          <w:rPr>
                            <w:rFonts w:hint="eastAsia" w:ascii="Times New Roman" w:hAnsi="Times New Roman" w:cs="Times New Roman"/>
                            <w:b w:val="0"/>
                            <w:bCs w:val="0"/>
                            <w:sz w:val="15"/>
                            <w:szCs w:val="15"/>
                            <w:lang w:val="en-US" w:eastAsia="zh-CN"/>
                          </w:rPr>
                          <w:t>.柴油罐</w:t>
                        </w:r>
                      </w:p>
                    </w:txbxContent>
                  </v:textbox>
                </v:shape>
              </v:group>
            </w:pict>
          </mc:Fallback>
        </mc:AlternateContent>
      </w:r>
      <w:r>
        <w:rPr>
          <w:rFonts w:hint="default" w:ascii="Times New Roman" w:hAnsi="Times New Roman" w:eastAsia="宋体" w:cs="Times New Roman"/>
          <w:color w:val="auto"/>
        </w:rPr>
        <w:drawing>
          <wp:inline distT="0" distB="0" distL="114300" distR="114300">
            <wp:extent cx="5213350" cy="3651885"/>
            <wp:effectExtent l="0" t="0" r="6350" b="5715"/>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20" cstate="print"/>
                    <a:stretch>
                      <a:fillRect/>
                    </a:stretch>
                  </pic:blipFill>
                  <pic:spPr>
                    <a:xfrm>
                      <a:off x="0" y="0"/>
                      <a:ext cx="5213350" cy="3651885"/>
                    </a:xfrm>
                    <a:prstGeom prst="rect">
                      <a:avLst/>
                    </a:prstGeom>
                    <a:noFill/>
                    <a:ln>
                      <a:noFill/>
                    </a:ln>
                  </pic:spPr>
                </pic:pic>
              </a:graphicData>
            </a:graphic>
          </wp:inline>
        </w:drawing>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图3.5-3  单井钻井井场布局示意图</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3.5.3储层改造工程</w:t>
      </w:r>
    </w:p>
    <w:p>
      <w:pPr>
        <w:spacing w:line="360" w:lineRule="auto"/>
        <w:ind w:firstLine="480" w:firstLineChars="200"/>
        <w:rPr>
          <w:rFonts w:hint="default" w:ascii="Times New Roman" w:hAnsi="Times New Roman" w:eastAsia="宋体" w:cs="Times New Roman"/>
          <w:color w:val="auto"/>
          <w:kern w:val="0"/>
          <w:sz w:val="24"/>
          <w:lang w:val="en-US" w:eastAsia="zh-CN"/>
        </w:rPr>
      </w:pPr>
      <w:r>
        <w:rPr>
          <w:rFonts w:ascii="Times New Roman" w:hAnsi="Times New Roman" w:cs="Times New Roman"/>
          <w:color w:val="auto"/>
          <w:kern w:val="0"/>
          <w:sz w:val="24"/>
        </w:rPr>
        <w:t>根据建设单位提供资料，</w:t>
      </w:r>
      <w:r>
        <w:rPr>
          <w:rFonts w:hint="default" w:ascii="Times New Roman" w:hAnsi="Times New Roman" w:eastAsia="宋体" w:cs="Times New Roman"/>
          <w:color w:val="auto"/>
          <w:kern w:val="0"/>
          <w:sz w:val="24"/>
        </w:rPr>
        <w:t>本项目采用可溶桥塞分段+分簇射孔工艺进行分段改造。</w:t>
      </w:r>
      <w:r>
        <w:rPr>
          <w:rFonts w:hint="default" w:ascii="Times New Roman" w:hAnsi="Times New Roman" w:eastAsia="宋体" w:cs="Times New Roman"/>
          <w:color w:val="auto"/>
          <w:kern w:val="0"/>
          <w:sz w:val="24"/>
          <w:lang w:val="en-US" w:eastAsia="zh-CN"/>
        </w:rPr>
        <w:t>不涉及压裂和酸化。</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（1）射孔工艺</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采用等孔径射孔弹（有效孔径≥10mm）和89型射孔枪。</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1）首段采用趾端阀，若无法开启，则采用连续油管传输射孔，射孔2簇，每簇射开1.0m，16孔/簇，60°相位角，螺旋布孔。</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2）其余各段采用电缆泵送桥塞射孔联作工艺，主体单段6~8簇，等孔径射孔。0.5～0.8m/簇，3~5孔/簇，4、5孔/簇时射孔相位角为60°，螺旋布孔方式。</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（2）分段分簇：簇间距5～10m，第1段2簇，其余每段6~8簇，段长40～80m。</w:t>
      </w:r>
    </w:p>
    <w:p>
      <w:pPr>
        <w:tabs>
          <w:tab w:val="left" w:pos="3465"/>
        </w:tabs>
        <w:spacing w:line="360" w:lineRule="auto"/>
        <w:outlineLvl w:val="2"/>
        <w:rPr>
          <w:rFonts w:ascii="Times New Roman" w:hAnsi="Times New Roman" w:eastAsia="黑体" w:cs="Times New Roman"/>
          <w:b/>
          <w:color w:val="auto"/>
          <w:sz w:val="30"/>
          <w:szCs w:val="30"/>
        </w:rPr>
      </w:pPr>
      <w:r>
        <w:rPr>
          <w:rFonts w:ascii="Times New Roman" w:hAnsi="Times New Roman" w:eastAsia="黑体" w:cs="Times New Roman"/>
          <w:b/>
          <w:color w:val="auto"/>
          <w:sz w:val="30"/>
          <w:szCs w:val="30"/>
        </w:rPr>
        <w:t>3.5.4采油工程</w:t>
      </w:r>
    </w:p>
    <w:p>
      <w:pPr>
        <w:pStyle w:val="66"/>
        <w:spacing w:line="360" w:lineRule="auto"/>
        <w:rPr>
          <w:rFonts w:cs="Times New Roman"/>
          <w:color w:val="auto"/>
        </w:rPr>
      </w:pPr>
      <w:r>
        <w:rPr>
          <w:rFonts w:cs="Times New Roman"/>
          <w:color w:val="auto"/>
        </w:rPr>
        <w:t>3.5.4.1采油井场</w:t>
      </w:r>
    </w:p>
    <w:p>
      <w:pPr>
        <w:spacing w:line="360" w:lineRule="auto"/>
        <w:ind w:firstLine="480" w:firstLineChars="200"/>
        <w:rPr>
          <w:rFonts w:ascii="Times New Roman" w:hAnsi="Times New Roman" w:cs="Times New Roman"/>
          <w:color w:val="auto"/>
          <w:sz w:val="24"/>
          <w:szCs w:val="32"/>
        </w:rPr>
      </w:pPr>
      <w:r>
        <w:rPr>
          <w:rFonts w:ascii="Times New Roman" w:hAnsi="Times New Roman" w:eastAsia="宋体" w:cs="Times New Roman"/>
          <w:color w:val="auto"/>
          <w:kern w:val="0"/>
          <w:sz w:val="24"/>
        </w:rPr>
        <w:t>本工程新建采油井场</w:t>
      </w:r>
      <w:r>
        <w:rPr>
          <w:rFonts w:hint="eastAsia" w:ascii="Times New Roman" w:hAnsi="Times New Roman" w:eastAsia="宋体" w:cs="Times New Roman"/>
          <w:color w:val="auto"/>
          <w:kern w:val="0"/>
          <w:sz w:val="24"/>
        </w:rPr>
        <w:t>6</w:t>
      </w:r>
      <w:r>
        <w:rPr>
          <w:rFonts w:ascii="Times New Roman" w:hAnsi="Times New Roman" w:eastAsia="宋体" w:cs="Times New Roman"/>
          <w:color w:val="auto"/>
          <w:kern w:val="0"/>
          <w:sz w:val="24"/>
        </w:rPr>
        <w:t>座，</w:t>
      </w:r>
      <w:r>
        <w:rPr>
          <w:rFonts w:hint="eastAsia" w:ascii="Times New Roman" w:hAnsi="Times New Roman" w:eastAsia="宋体" w:cs="Times New Roman"/>
          <w:color w:val="auto"/>
          <w:kern w:val="0"/>
          <w:sz w:val="24"/>
          <w:lang w:eastAsia="zh-CN"/>
        </w:rPr>
        <w:t>采油井口采用10型抽油机</w:t>
      </w:r>
      <w:r>
        <w:rPr>
          <w:rFonts w:ascii="Times New Roman" w:hAnsi="Times New Roman" w:eastAsia="宋体" w:cs="Times New Roman"/>
          <w:color w:val="auto"/>
          <w:kern w:val="0"/>
          <w:sz w:val="24"/>
        </w:rPr>
        <w:t>，配套</w:t>
      </w:r>
      <w:r>
        <w:rPr>
          <w:rFonts w:hint="eastAsia" w:ascii="Times New Roman" w:hAnsi="Times New Roman" w:eastAsia="宋体" w:cs="Times New Roman"/>
          <w:color w:val="auto"/>
          <w:kern w:val="0"/>
          <w:sz w:val="24"/>
          <w:lang w:eastAsia="zh-CN"/>
        </w:rPr>
        <w:t>电机功率22kW</w:t>
      </w:r>
      <w:r>
        <w:rPr>
          <w:rFonts w:ascii="Times New Roman" w:hAnsi="Times New Roman" w:eastAsia="宋体" w:cs="Times New Roman"/>
          <w:color w:val="auto"/>
          <w:kern w:val="0"/>
          <w:sz w:val="24"/>
        </w:rPr>
        <w:t>，井口设置保温盒保温，保温盒内设0.25kW防爆电加热器，压力表置于保温盒内。设置清蜡和热洗接口，同时设置安全标志牌，采油井口</w:t>
      </w:r>
      <w:r>
        <w:rPr>
          <w:rFonts w:ascii="Times New Roman" w:hAnsi="Times New Roman" w:cs="Times New Roman"/>
          <w:color w:val="auto"/>
          <w:sz w:val="24"/>
          <w:szCs w:val="32"/>
        </w:rPr>
        <w:t>按照《石油天然气工业 钻井和采油设备 井口装置和采油树》（GB/T 22513）标准井口进行设计，油井举升工艺满足控套防气采油需要。</w:t>
      </w:r>
    </w:p>
    <w:p>
      <w:pPr>
        <w:tabs>
          <w:tab w:val="left" w:pos="3465"/>
        </w:tabs>
        <w:spacing w:line="360" w:lineRule="auto"/>
        <w:outlineLvl w:val="3"/>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3.5.4.</w:t>
      </w:r>
      <w:r>
        <w:rPr>
          <w:rFonts w:hint="eastAsia" w:ascii="Times New Roman" w:hAnsi="Times New Roman" w:eastAsia="宋体" w:cs="Times New Roman"/>
          <w:color w:val="auto"/>
          <w:sz w:val="28"/>
          <w:szCs w:val="28"/>
          <w:lang w:val="en-US" w:eastAsia="zh-CN"/>
        </w:rPr>
        <w:t>2</w:t>
      </w:r>
      <w:r>
        <w:rPr>
          <w:rFonts w:ascii="Times New Roman" w:hAnsi="Times New Roman" w:eastAsia="宋体" w:cs="Times New Roman"/>
          <w:color w:val="auto"/>
          <w:sz w:val="28"/>
          <w:szCs w:val="28"/>
        </w:rPr>
        <w:t>采油工艺</w:t>
      </w:r>
    </w:p>
    <w:p>
      <w:pPr>
        <w:numPr>
          <w:ilvl w:val="0"/>
          <w:numId w:val="4"/>
        </w:numPr>
        <w:spacing w:line="360" w:lineRule="auto"/>
        <w:ind w:firstLine="480"/>
        <w:rPr>
          <w:rFonts w:ascii="Times New Roman" w:hAnsi="Times New Roman" w:cs="Times New Roman"/>
          <w:color w:val="auto"/>
          <w:sz w:val="24"/>
          <w:szCs w:val="32"/>
        </w:rPr>
      </w:pPr>
      <w:r>
        <w:rPr>
          <w:rFonts w:ascii="Times New Roman" w:hAnsi="Times New Roman" w:cs="Times New Roman"/>
          <w:color w:val="auto"/>
          <w:sz w:val="24"/>
          <w:szCs w:val="32"/>
        </w:rPr>
        <w:t>井口装置：</w:t>
      </w:r>
      <w:r>
        <w:rPr>
          <w:rFonts w:hint="eastAsia" w:ascii="Times New Roman" w:hAnsi="Times New Roman" w:cs="Times New Roman"/>
          <w:color w:val="auto"/>
          <w:sz w:val="24"/>
          <w:szCs w:val="32"/>
        </w:rPr>
        <w:t>KY25/65</w:t>
      </w:r>
      <w:r>
        <w:rPr>
          <w:rFonts w:ascii="Times New Roman" w:hAnsi="Times New Roman" w:cs="Times New Roman"/>
          <w:color w:val="auto"/>
          <w:sz w:val="24"/>
          <w:szCs w:val="32"/>
        </w:rPr>
        <w:t>、承压</w:t>
      </w:r>
      <w:r>
        <w:rPr>
          <w:rFonts w:hint="eastAsia" w:ascii="Times New Roman" w:hAnsi="Times New Roman" w:cs="Times New Roman"/>
          <w:color w:val="auto"/>
          <w:sz w:val="24"/>
          <w:szCs w:val="32"/>
          <w:lang w:val="en-US" w:eastAsia="zh-CN"/>
        </w:rPr>
        <w:t>2</w:t>
      </w:r>
      <w:r>
        <w:rPr>
          <w:rFonts w:ascii="Times New Roman" w:hAnsi="Times New Roman" w:cs="Times New Roman"/>
          <w:color w:val="auto"/>
          <w:sz w:val="24"/>
          <w:szCs w:val="32"/>
        </w:rPr>
        <w:t>5MPa采油井口，井口装置要求气密封合格；</w:t>
      </w:r>
    </w:p>
    <w:p>
      <w:pPr>
        <w:widowControl/>
        <w:spacing w:line="360" w:lineRule="auto"/>
        <w:ind w:firstLine="480" w:firstLineChars="200"/>
        <w:jc w:val="left"/>
        <w:rPr>
          <w:rFonts w:ascii="Times New Roman" w:hAnsi="Times New Roman" w:cs="Times New Roman"/>
          <w:color w:val="auto"/>
          <w:sz w:val="24"/>
          <w:szCs w:val="32"/>
        </w:rPr>
      </w:pPr>
      <w:r>
        <w:rPr>
          <w:rFonts w:ascii="Times New Roman" w:hAnsi="Times New Roman" w:cs="Times New Roman"/>
          <w:color w:val="auto"/>
          <w:sz w:val="24"/>
          <w:szCs w:val="32"/>
        </w:rPr>
        <w:t>（2）采油方式：</w:t>
      </w:r>
      <w:r>
        <w:rPr>
          <w:rFonts w:ascii="Times New Roman" w:hAnsi="Times New Roman" w:eastAsia="宋体" w:cs="Times New Roman"/>
          <w:color w:val="auto"/>
          <w:kern w:val="0"/>
          <w:sz w:val="24"/>
          <w:lang w:bidi="ar"/>
        </w:rPr>
        <w:t>采用抽油机举升方式采油</w:t>
      </w:r>
      <w:r>
        <w:rPr>
          <w:rFonts w:hint="eastAsia" w:ascii="Times New Roman" w:hAnsi="Times New Roman" w:eastAsia="宋体" w:cs="Times New Roman"/>
          <w:color w:val="auto"/>
          <w:kern w:val="0"/>
          <w:sz w:val="24"/>
          <w:lang w:val="en-US" w:eastAsia="zh-CN" w:bidi="ar"/>
        </w:rPr>
        <w:t>，</w:t>
      </w:r>
      <w:r>
        <w:rPr>
          <w:b w:val="0"/>
          <w:bCs w:val="0"/>
          <w:color w:val="auto"/>
          <w:sz w:val="24"/>
        </w:rPr>
        <w:t>采用</w:t>
      </w:r>
      <w:r>
        <w:rPr>
          <w:rFonts w:hint="eastAsia"/>
          <w:b w:val="0"/>
          <w:bCs w:val="0"/>
          <w:color w:val="auto"/>
          <w:sz w:val="24"/>
          <w:lang w:val="en-US" w:eastAsia="zh-CN"/>
        </w:rPr>
        <w:t>10</w:t>
      </w:r>
      <w:r>
        <w:rPr>
          <w:rFonts w:hint="eastAsia"/>
          <w:b w:val="0"/>
          <w:bCs w:val="0"/>
          <w:color w:val="auto"/>
          <w:sz w:val="24"/>
        </w:rPr>
        <w:t>型节能抽油机</w:t>
      </w:r>
      <w:r>
        <w:rPr>
          <w:rFonts w:ascii="Times New Roman" w:hAnsi="Times New Roman" w:eastAsia="宋体" w:cs="Times New Roman"/>
          <w:color w:val="auto"/>
          <w:kern w:val="0"/>
          <w:sz w:val="24"/>
          <w:lang w:bidi="ar"/>
        </w:rPr>
        <w:t>。</w:t>
      </w:r>
    </w:p>
    <w:p>
      <w:pPr>
        <w:spacing w:line="360" w:lineRule="auto"/>
        <w:ind w:firstLine="480" w:firstLineChars="200"/>
        <w:rPr>
          <w:rFonts w:ascii="Times New Roman" w:hAnsi="Times New Roman" w:cs="Times New Roman"/>
          <w:color w:val="auto"/>
          <w:sz w:val="24"/>
          <w:szCs w:val="32"/>
        </w:rPr>
      </w:pPr>
      <w:r>
        <w:rPr>
          <w:rFonts w:ascii="Times New Roman" w:hAnsi="Times New Roman" w:cs="Times New Roman"/>
          <w:color w:val="auto"/>
          <w:sz w:val="24"/>
          <w:szCs w:val="32"/>
        </w:rPr>
        <w:t>（3）举升工艺：采用有杆泵防气防腐一体化举升工艺</w:t>
      </w:r>
      <w:r>
        <w:rPr>
          <w:rFonts w:ascii="Times New Roman" w:hAnsi="Times New Roman" w:cs="Times New Roman"/>
          <w:color w:val="auto"/>
          <w:sz w:val="24"/>
          <w:szCs w:val="32"/>
          <w:lang w:val="zh-CN"/>
        </w:rPr>
        <w:t>，满足高气液</w:t>
      </w:r>
      <w:r>
        <w:rPr>
          <w:rFonts w:ascii="Times New Roman" w:hAnsi="Times New Roman" w:cs="Times New Roman"/>
          <w:color w:val="auto"/>
          <w:sz w:val="24"/>
          <w:szCs w:val="32"/>
        </w:rPr>
        <w:t>比</w:t>
      </w:r>
      <w:r>
        <w:rPr>
          <w:rFonts w:ascii="Times New Roman" w:hAnsi="Times New Roman" w:cs="Times New Roman"/>
          <w:color w:val="auto"/>
          <w:sz w:val="24"/>
          <w:szCs w:val="32"/>
          <w:lang w:val="zh-CN"/>
        </w:rPr>
        <w:t>常态化生产需求，在泵下安装气液分离器（气锚）将气体分离进入环空，</w:t>
      </w:r>
      <w:r>
        <w:rPr>
          <w:rFonts w:ascii="Times New Roman" w:hAnsi="Times New Roman" w:cs="Times New Roman"/>
          <w:color w:val="auto"/>
          <w:sz w:val="24"/>
          <w:szCs w:val="32"/>
        </w:rPr>
        <w:t>在</w:t>
      </w:r>
      <w:r>
        <w:rPr>
          <w:rFonts w:ascii="Times New Roman" w:hAnsi="Times New Roman" w:cs="Times New Roman"/>
          <w:color w:val="auto"/>
          <w:sz w:val="24"/>
          <w:szCs w:val="32"/>
          <w:lang w:val="zh-CN"/>
        </w:rPr>
        <w:t>井口</w:t>
      </w:r>
      <w:r>
        <w:rPr>
          <w:rFonts w:ascii="Times New Roman" w:hAnsi="Times New Roman" w:cs="Times New Roman"/>
          <w:color w:val="auto"/>
          <w:sz w:val="24"/>
          <w:szCs w:val="32"/>
        </w:rPr>
        <w:t>安装定压控套</w:t>
      </w:r>
      <w:r>
        <w:rPr>
          <w:rFonts w:ascii="Times New Roman" w:hAnsi="Times New Roman" w:cs="Times New Roman"/>
          <w:color w:val="auto"/>
          <w:sz w:val="24"/>
          <w:szCs w:val="32"/>
          <w:lang w:val="zh-CN"/>
        </w:rPr>
        <w:t>阀，将</w:t>
      </w:r>
      <w:r>
        <w:rPr>
          <w:rFonts w:ascii="Times New Roman" w:hAnsi="Times New Roman" w:cs="Times New Roman"/>
          <w:color w:val="auto"/>
          <w:sz w:val="24"/>
          <w:szCs w:val="32"/>
        </w:rPr>
        <w:t>油套</w:t>
      </w:r>
      <w:r>
        <w:rPr>
          <w:rFonts w:ascii="Times New Roman" w:hAnsi="Times New Roman" w:cs="Times New Roman"/>
          <w:color w:val="auto"/>
          <w:sz w:val="24"/>
          <w:szCs w:val="32"/>
          <w:lang w:val="zh-CN"/>
        </w:rPr>
        <w:t>环空的气体导入</w:t>
      </w:r>
      <w:r>
        <w:rPr>
          <w:rFonts w:ascii="Times New Roman" w:hAnsi="Times New Roman" w:cs="Times New Roman"/>
          <w:color w:val="auto"/>
          <w:sz w:val="24"/>
          <w:szCs w:val="32"/>
        </w:rPr>
        <w:t>采出管线</w:t>
      </w:r>
      <w:r>
        <w:rPr>
          <w:rFonts w:ascii="Times New Roman" w:hAnsi="Times New Roman" w:cs="Times New Roman"/>
          <w:color w:val="auto"/>
          <w:sz w:val="24"/>
          <w:szCs w:val="32"/>
          <w:lang w:val="zh-CN"/>
        </w:rPr>
        <w:t>，</w:t>
      </w:r>
      <w:r>
        <w:rPr>
          <w:rFonts w:ascii="Times New Roman" w:hAnsi="Times New Roman" w:cs="Times New Roman"/>
          <w:color w:val="auto"/>
          <w:sz w:val="24"/>
          <w:szCs w:val="32"/>
        </w:rPr>
        <w:t>防止套压过高</w:t>
      </w:r>
      <w:r>
        <w:rPr>
          <w:rFonts w:ascii="Times New Roman" w:hAnsi="Times New Roman" w:cs="Times New Roman"/>
          <w:color w:val="auto"/>
          <w:sz w:val="24"/>
          <w:szCs w:val="32"/>
          <w:lang w:val="zh-CN"/>
        </w:rPr>
        <w:t>，</w:t>
      </w:r>
      <w:r>
        <w:rPr>
          <w:rFonts w:ascii="Times New Roman" w:hAnsi="Times New Roman" w:cs="Times New Roman"/>
          <w:color w:val="auto"/>
          <w:sz w:val="24"/>
          <w:szCs w:val="32"/>
        </w:rPr>
        <w:t>抽油杆和抽油泵采用防腐材质，配套高效防腐气锚，部分腐蚀严重井配套油管内衬工艺。</w:t>
      </w:r>
    </w:p>
    <w:p>
      <w:pPr>
        <w:spacing w:line="360" w:lineRule="auto"/>
        <w:ind w:firstLine="480" w:firstLineChars="200"/>
        <w:rPr>
          <w:rFonts w:ascii="Times New Roman" w:hAnsi="Times New Roman" w:eastAsia="宋体" w:cs="Times New Roman"/>
          <w:color w:val="auto"/>
          <w:kern w:val="0"/>
          <w:sz w:val="24"/>
        </w:rPr>
      </w:pPr>
      <w:r>
        <w:rPr>
          <w:rFonts w:ascii="Times New Roman" w:hAnsi="Times New Roman" w:cs="Times New Roman"/>
          <w:color w:val="auto"/>
          <w:sz w:val="24"/>
          <w:szCs w:val="32"/>
        </w:rPr>
        <w:t>（4）采油井防腐：采用油套环空添加缓蚀剂+局部耐腐蚀材料。</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3.5.</w:t>
      </w:r>
      <w:r>
        <w:rPr>
          <w:rFonts w:hint="eastAsia" w:ascii="Times New Roman" w:hAnsi="Times New Roman" w:eastAsia="宋体" w:cs="Times New Roman"/>
          <w:b/>
          <w:color w:val="auto"/>
          <w:sz w:val="30"/>
          <w:szCs w:val="30"/>
          <w:lang w:val="en-US" w:eastAsia="zh-CN"/>
        </w:rPr>
        <w:t>5</w:t>
      </w:r>
      <w:r>
        <w:rPr>
          <w:rFonts w:hint="default" w:ascii="Times New Roman" w:hAnsi="Times New Roman" w:eastAsia="宋体" w:cs="Times New Roman"/>
          <w:b/>
          <w:color w:val="auto"/>
          <w:sz w:val="30"/>
          <w:szCs w:val="30"/>
        </w:rPr>
        <w:t>油气集输工程</w:t>
      </w:r>
    </w:p>
    <w:p>
      <w:pPr>
        <w:pStyle w:val="66"/>
        <w:spacing w:line="360" w:lineRule="auto"/>
        <w:rPr>
          <w:rFonts w:hint="default" w:ascii="Times New Roman" w:hAnsi="Times New Roman" w:cs="Times New Roman"/>
          <w:color w:val="auto"/>
        </w:rPr>
      </w:pPr>
      <w:r>
        <w:rPr>
          <w:rFonts w:hint="default" w:ascii="Times New Roman" w:hAnsi="Times New Roman" w:cs="Times New Roman"/>
          <w:color w:val="auto"/>
        </w:rPr>
        <w:t>3.5.</w:t>
      </w:r>
      <w:r>
        <w:rPr>
          <w:rFonts w:hint="eastAsia" w:cs="Times New Roman"/>
          <w:color w:val="auto"/>
          <w:lang w:val="en-US" w:eastAsia="zh-CN"/>
        </w:rPr>
        <w:t>5</w:t>
      </w:r>
      <w:r>
        <w:rPr>
          <w:rFonts w:hint="default" w:ascii="Times New Roman" w:hAnsi="Times New Roman" w:cs="Times New Roman"/>
          <w:color w:val="auto"/>
        </w:rPr>
        <w:t>.</w:t>
      </w:r>
      <w:r>
        <w:rPr>
          <w:rFonts w:hint="eastAsia" w:cs="Times New Roman"/>
          <w:color w:val="auto"/>
          <w:lang w:val="en-US" w:eastAsia="zh-CN"/>
        </w:rPr>
        <w:t>1</w:t>
      </w:r>
      <w:r>
        <w:rPr>
          <w:rFonts w:hint="default" w:ascii="Times New Roman" w:hAnsi="Times New Roman" w:cs="Times New Roman"/>
          <w:color w:val="auto"/>
        </w:rPr>
        <w:t>一体化选井计量装置</w:t>
      </w:r>
    </w:p>
    <w:p>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本工程</w:t>
      </w:r>
      <w:r>
        <w:rPr>
          <w:rFonts w:hint="eastAsia" w:ascii="Times New Roman" w:hAnsi="Times New Roman" w:cs="Times New Roman"/>
          <w:b w:val="0"/>
          <w:bCs w:val="0"/>
          <w:color w:val="auto"/>
          <w:sz w:val="24"/>
          <w:lang w:val="en-US" w:eastAsia="zh-CN"/>
        </w:rPr>
        <w:t>采油井就近接入已建计量站</w:t>
      </w:r>
      <w:r>
        <w:rPr>
          <w:rFonts w:hint="default" w:ascii="Times New Roman" w:hAnsi="Times New Roman" w:eastAsia="宋体" w:cs="Times New Roman"/>
          <w:color w:val="auto"/>
          <w:kern w:val="0"/>
          <w:sz w:val="24"/>
        </w:rPr>
        <w:t>。新建采油井进站情况见表3.5-</w:t>
      </w:r>
      <w:r>
        <w:rPr>
          <w:rFonts w:hint="eastAsia" w:ascii="Times New Roman" w:hAnsi="Times New Roman" w:eastAsia="宋体" w:cs="Times New Roman"/>
          <w:color w:val="auto"/>
          <w:kern w:val="0"/>
          <w:sz w:val="24"/>
          <w:lang w:val="en-US" w:eastAsia="zh-CN"/>
        </w:rPr>
        <w:t>6</w:t>
      </w:r>
      <w:r>
        <w:rPr>
          <w:rFonts w:hint="default" w:ascii="Times New Roman" w:hAnsi="Times New Roman" w:eastAsia="宋体" w:cs="Times New Roman"/>
          <w:color w:val="auto"/>
          <w:kern w:val="0"/>
          <w:sz w:val="24"/>
        </w:rPr>
        <w:t>。</w:t>
      </w:r>
    </w:p>
    <w:p>
      <w:pPr>
        <w:pStyle w:val="15"/>
        <w:spacing w:line="360" w:lineRule="auto"/>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1"/>
          <w:szCs w:val="21"/>
        </w:rPr>
        <w:t>表3.5-</w:t>
      </w:r>
      <w:r>
        <w:rPr>
          <w:rFonts w:hint="eastAsia" w:eastAsia="宋体" w:cs="Times New Roman"/>
          <w:b/>
          <w:bCs/>
          <w:color w:val="auto"/>
          <w:kern w:val="0"/>
          <w:sz w:val="21"/>
          <w:szCs w:val="21"/>
          <w:lang w:val="en-US" w:eastAsia="zh-CN"/>
        </w:rPr>
        <w:t>6</w:t>
      </w:r>
      <w:r>
        <w:rPr>
          <w:rFonts w:hint="default" w:ascii="Times New Roman" w:hAnsi="Times New Roman" w:eastAsia="宋体" w:cs="Times New Roman"/>
          <w:b/>
          <w:bCs/>
          <w:color w:val="auto"/>
          <w:kern w:val="0"/>
          <w:sz w:val="21"/>
          <w:szCs w:val="21"/>
        </w:rPr>
        <w:t xml:space="preserve">    新建采油井进站情况一览表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300"/>
        <w:gridCol w:w="1312"/>
        <w:gridCol w:w="2337"/>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9"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已建计量站号</w:t>
            </w:r>
          </w:p>
        </w:tc>
        <w:tc>
          <w:tcPr>
            <w:tcW w:w="1300"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剩余空头数（个）</w:t>
            </w:r>
          </w:p>
        </w:tc>
        <w:tc>
          <w:tcPr>
            <w:tcW w:w="1312"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接入油井数（口）</w:t>
            </w:r>
          </w:p>
        </w:tc>
        <w:tc>
          <w:tcPr>
            <w:tcW w:w="2337"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接入的新建采油井井号</w:t>
            </w:r>
          </w:p>
        </w:tc>
        <w:tc>
          <w:tcPr>
            <w:tcW w:w="1994"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9" w:type="dxa"/>
            <w:vAlign w:val="center"/>
          </w:tcPr>
          <w:p>
            <w:pPr>
              <w:widowControl/>
              <w:jc w:val="center"/>
              <w:rPr>
                <w:rFonts w:hint="default" w:ascii="Times New Roman" w:hAnsi="Times New Roman" w:eastAsia="宋体" w:cs="Times New Roman"/>
                <w:color w:val="auto"/>
                <w:szCs w:val="21"/>
              </w:rPr>
            </w:pPr>
            <w:r>
              <w:rPr>
                <w:rFonts w:hint="eastAsia" w:ascii="Times New Roman" w:hAnsi="Times New Roman" w:eastAsia="宋体" w:cs="Times New Roman"/>
                <w:b w:val="0"/>
                <w:bCs w:val="0"/>
                <w:color w:val="auto"/>
                <w:szCs w:val="21"/>
                <w:lang w:val="en-US" w:eastAsia="zh-CN"/>
              </w:rPr>
              <w:t>陆</w:t>
            </w:r>
            <w:r>
              <w:rPr>
                <w:rFonts w:hint="eastAsia" w:ascii="Times New Roman" w:hAnsi="Times New Roman" w:cs="Times New Roman"/>
                <w:b w:val="0"/>
                <w:bCs w:val="0"/>
                <w:color w:val="auto"/>
                <w:szCs w:val="21"/>
                <w:lang w:val="en-US" w:eastAsia="zh-CN"/>
              </w:rPr>
              <w:t>136-1计量站</w:t>
            </w:r>
          </w:p>
        </w:tc>
        <w:tc>
          <w:tcPr>
            <w:tcW w:w="1300" w:type="dxa"/>
            <w:vAlign w:val="center"/>
          </w:tcPr>
          <w:p>
            <w:pPr>
              <w:pStyle w:val="66"/>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7</w:t>
            </w:r>
          </w:p>
        </w:tc>
        <w:tc>
          <w:tcPr>
            <w:tcW w:w="1312" w:type="dxa"/>
            <w:vAlign w:val="center"/>
          </w:tcPr>
          <w:p>
            <w:pPr>
              <w:pStyle w:val="66"/>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2337" w:type="dxa"/>
            <w:vAlign w:val="center"/>
          </w:tcPr>
          <w:p>
            <w:pPr>
              <w:pStyle w:val="66"/>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LUD5604、LUD5608</w:t>
            </w:r>
          </w:p>
          <w:p>
            <w:pPr>
              <w:pStyle w:val="66"/>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LUD5612、LUD5614</w:t>
            </w:r>
          </w:p>
          <w:p>
            <w:pPr>
              <w:pStyle w:val="66"/>
              <w:jc w:val="center"/>
              <w:rPr>
                <w:rFonts w:hint="default" w:eastAsia="宋体"/>
                <w:b w:val="0"/>
                <w:bCs w:val="0"/>
                <w:color w:val="auto"/>
                <w:kern w:val="0"/>
                <w:szCs w:val="21"/>
                <w:highlight w:val="none"/>
                <w:lang w:val="en-US" w:eastAsia="zh-CN"/>
              </w:rPr>
            </w:pPr>
            <w:r>
              <w:rPr>
                <w:rFonts w:hint="eastAsia" w:ascii="Times New Roman" w:hAnsi="Times New Roman" w:eastAsia="宋体" w:cs="Times New Roman"/>
                <w:color w:val="auto"/>
                <w:sz w:val="21"/>
                <w:szCs w:val="21"/>
                <w:lang w:val="en-US" w:eastAsia="zh-CN"/>
              </w:rPr>
              <w:t>LUD5607、LUD5615</w:t>
            </w:r>
          </w:p>
        </w:tc>
        <w:tc>
          <w:tcPr>
            <w:tcW w:w="1994" w:type="dxa"/>
            <w:vAlign w:val="center"/>
          </w:tcPr>
          <w:p>
            <w:pPr>
              <w:widowControl/>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12井式计量橇</w:t>
            </w:r>
          </w:p>
        </w:tc>
      </w:tr>
    </w:tbl>
    <w:p>
      <w:pPr>
        <w:widowControl/>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流程简述：单井来液进入一体化自动选井计量装置，不需要计量的单井气液直接进入集油管道，需要计量的单井来气液通过选井计量后，与未计量的各单井来气液混合，经过集油支线输送到陆梁集中处理站。</w:t>
      </w:r>
    </w:p>
    <w:p>
      <w:pPr>
        <w:pStyle w:val="66"/>
        <w:spacing w:line="360" w:lineRule="auto"/>
        <w:rPr>
          <w:rFonts w:hint="default" w:ascii="Times New Roman" w:hAnsi="Times New Roman" w:cs="Times New Roman"/>
          <w:color w:val="auto"/>
        </w:rPr>
      </w:pPr>
      <w:r>
        <w:rPr>
          <w:rFonts w:hint="default" w:ascii="Times New Roman" w:hAnsi="Times New Roman" w:cs="Times New Roman"/>
          <w:color w:val="auto"/>
        </w:rPr>
        <w:t>3.5.</w:t>
      </w:r>
      <w:r>
        <w:rPr>
          <w:rFonts w:hint="eastAsia" w:cs="Times New Roman"/>
          <w:color w:val="auto"/>
          <w:lang w:val="en-US" w:eastAsia="zh-CN"/>
        </w:rPr>
        <w:t>5.2</w:t>
      </w:r>
      <w:r>
        <w:rPr>
          <w:rFonts w:hint="default" w:ascii="Times New Roman" w:hAnsi="Times New Roman" w:cs="Times New Roman"/>
          <w:color w:val="auto"/>
        </w:rPr>
        <w:t>油气集输</w:t>
      </w:r>
    </w:p>
    <w:p>
      <w:pPr>
        <w:pStyle w:val="33"/>
        <w:spacing w:line="360" w:lineRule="auto"/>
        <w:ind w:firstLine="480" w:firstLineChars="200"/>
        <w:jc w:val="both"/>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1）集输工艺</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目前陆</w:t>
      </w:r>
      <w:r>
        <w:rPr>
          <w:rFonts w:hint="eastAsia" w:ascii="Times New Roman" w:hAnsi="Times New Roman" w:eastAsia="宋体" w:cs="Times New Roman"/>
          <w:color w:val="auto"/>
          <w:kern w:val="0"/>
          <w:sz w:val="24"/>
          <w:lang w:val="en-US" w:eastAsia="zh-CN"/>
        </w:rPr>
        <w:t>136</w:t>
      </w:r>
      <w:r>
        <w:rPr>
          <w:rFonts w:hint="default" w:ascii="Times New Roman" w:hAnsi="Times New Roman" w:eastAsia="宋体" w:cs="Times New Roman"/>
          <w:color w:val="auto"/>
          <w:kern w:val="0"/>
          <w:sz w:val="24"/>
        </w:rPr>
        <w:t>井区已建完善的集输系统，本工程新建</w:t>
      </w:r>
      <w:r>
        <w:rPr>
          <w:rFonts w:hint="eastAsia" w:ascii="Times New Roman" w:hAnsi="Times New Roman" w:eastAsia="宋体" w:cs="Times New Roman"/>
          <w:color w:val="auto"/>
          <w:kern w:val="0"/>
          <w:sz w:val="24"/>
          <w:lang w:eastAsia="zh-CN"/>
        </w:rPr>
        <w:t>6口</w:t>
      </w:r>
      <w:r>
        <w:rPr>
          <w:rFonts w:hint="default" w:ascii="Times New Roman" w:hAnsi="Times New Roman" w:eastAsia="宋体" w:cs="Times New Roman"/>
          <w:color w:val="auto"/>
          <w:kern w:val="0"/>
          <w:sz w:val="24"/>
        </w:rPr>
        <w:t>采油井依托已建系统实现密闭集输。根据对陆</w:t>
      </w:r>
      <w:r>
        <w:rPr>
          <w:rFonts w:hint="eastAsia" w:ascii="Times New Roman" w:hAnsi="Times New Roman" w:eastAsia="宋体" w:cs="Times New Roman"/>
          <w:color w:val="auto"/>
          <w:kern w:val="0"/>
          <w:sz w:val="24"/>
          <w:lang w:val="en-US" w:eastAsia="zh-CN"/>
        </w:rPr>
        <w:t>136</w:t>
      </w:r>
      <w:r>
        <w:rPr>
          <w:rFonts w:hint="default" w:ascii="Times New Roman" w:hAnsi="Times New Roman" w:eastAsia="宋体" w:cs="Times New Roman"/>
          <w:color w:val="auto"/>
          <w:kern w:val="0"/>
          <w:sz w:val="24"/>
        </w:rPr>
        <w:t>井区已建集输系统现状的分析，结合新建采油井部署位置，新建</w:t>
      </w:r>
      <w:r>
        <w:rPr>
          <w:rFonts w:hint="eastAsia" w:ascii="Times New Roman" w:hAnsi="Times New Roman" w:eastAsia="宋体" w:cs="Times New Roman"/>
          <w:color w:val="auto"/>
          <w:kern w:val="0"/>
          <w:sz w:val="24"/>
          <w:lang w:eastAsia="zh-CN"/>
        </w:rPr>
        <w:t>6口</w:t>
      </w:r>
      <w:r>
        <w:rPr>
          <w:rFonts w:hint="default" w:ascii="Times New Roman" w:hAnsi="Times New Roman" w:eastAsia="宋体" w:cs="Times New Roman"/>
          <w:color w:val="auto"/>
          <w:kern w:val="0"/>
          <w:sz w:val="24"/>
        </w:rPr>
        <w:t>采油井采用</w:t>
      </w:r>
      <w:r>
        <w:rPr>
          <w:rFonts w:hint="eastAsia" w:ascii="Times New Roman" w:hAnsi="Times New Roman" w:eastAsia="宋体" w:cs="Times New Roman"/>
          <w:color w:val="auto"/>
          <w:kern w:val="0"/>
          <w:sz w:val="24"/>
          <w:lang w:eastAsia="zh-CN"/>
        </w:rPr>
        <w:t>三级布站</w:t>
      </w:r>
      <w:r>
        <w:rPr>
          <w:rFonts w:hint="default" w:ascii="Times New Roman" w:hAnsi="Times New Roman" w:eastAsia="宋体" w:cs="Times New Roman"/>
          <w:color w:val="auto"/>
          <w:kern w:val="0"/>
          <w:sz w:val="24"/>
        </w:rPr>
        <w:t>输送工艺，即：</w:t>
      </w:r>
      <w:r>
        <w:rPr>
          <w:rFonts w:hint="eastAsia" w:ascii="Times New Roman" w:hAnsi="Times New Roman" w:eastAsia="宋体" w:cs="Times New Roman"/>
          <w:color w:val="auto"/>
          <w:kern w:val="0"/>
          <w:sz w:val="24"/>
          <w:lang w:eastAsia="zh-CN"/>
        </w:rPr>
        <w:t>井口→计量站→混输泵站→陆梁集中处理站</w:t>
      </w:r>
      <w:r>
        <w:rPr>
          <w:rFonts w:hint="default" w:ascii="Times New Roman" w:hAnsi="Times New Roman" w:eastAsia="宋体" w:cs="Times New Roman"/>
          <w:color w:val="auto"/>
          <w:kern w:val="0"/>
          <w:sz w:val="24"/>
        </w:rPr>
        <w:t>。</w:t>
      </w:r>
    </w:p>
    <w:p>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2）集输管线</w:t>
      </w:r>
    </w:p>
    <w:p>
      <w:pPr>
        <w:pStyle w:val="33"/>
        <w:spacing w:line="360" w:lineRule="auto"/>
        <w:ind w:firstLine="480" w:firstLineChars="200"/>
        <w:jc w:val="left"/>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①新建单井出油管道采用DN50 2.5MPa热塑性塑料内衬玻璃钢复合管，长度</w:t>
      </w:r>
      <w:r>
        <w:rPr>
          <w:rFonts w:hint="eastAsia" w:ascii="Times New Roman" w:hAnsi="Times New Roman" w:eastAsia="宋体" w:cs="Times New Roman"/>
          <w:b w:val="0"/>
          <w:color w:val="auto"/>
          <w:lang w:eastAsia="zh-CN"/>
        </w:rPr>
        <w:t>4.2</w:t>
      </w:r>
      <w:r>
        <w:rPr>
          <w:rFonts w:hint="default" w:ascii="Times New Roman" w:hAnsi="Times New Roman" w:eastAsia="宋体" w:cs="Times New Roman"/>
          <w:b w:val="0"/>
          <w:color w:val="auto"/>
        </w:rPr>
        <w:t>km，保温埋地敷设，保温层为30mm厚发泡保温橡塑海绵，防护层采用2mm厚聚乙烯胶黏带，管底标高-1.70m。</w:t>
      </w:r>
    </w:p>
    <w:p>
      <w:pPr>
        <w:pStyle w:val="33"/>
        <w:spacing w:line="360" w:lineRule="auto"/>
        <w:ind w:firstLine="480" w:firstLineChars="200"/>
        <w:jc w:val="left"/>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②管道穿越油区简易路采用大开挖方式，并设套管保护，穿越完毕后恢复原有路面。</w:t>
      </w:r>
    </w:p>
    <w:p>
      <w:pPr>
        <w:pStyle w:val="33"/>
        <w:spacing w:line="360" w:lineRule="auto"/>
        <w:ind w:firstLine="480" w:firstLineChars="200"/>
        <w:jc w:val="both"/>
        <w:rPr>
          <w:rFonts w:hint="default" w:ascii="Times New Roman" w:hAnsi="Times New Roman" w:eastAsia="宋体" w:cs="Times New Roman"/>
          <w:b w:val="0"/>
          <w:color w:val="auto"/>
          <w:highlight w:val="green"/>
        </w:rPr>
      </w:pPr>
      <w:r>
        <w:rPr>
          <w:rFonts w:hint="default" w:ascii="Times New Roman" w:hAnsi="Times New Roman" w:eastAsia="宋体" w:cs="Times New Roman"/>
          <w:b w:val="0"/>
          <w:color w:val="auto"/>
        </w:rPr>
        <w:t>本工程油气集输部分主要工程量详见表3.5-</w:t>
      </w:r>
      <w:r>
        <w:rPr>
          <w:rFonts w:hint="eastAsia" w:ascii="Times New Roman" w:hAnsi="Times New Roman" w:eastAsia="宋体" w:cs="Times New Roman"/>
          <w:b w:val="0"/>
          <w:color w:val="auto"/>
          <w:lang w:val="en-US" w:eastAsia="zh-CN"/>
        </w:rPr>
        <w:t>7</w:t>
      </w:r>
      <w:r>
        <w:rPr>
          <w:rFonts w:hint="default" w:ascii="Times New Roman" w:hAnsi="Times New Roman" w:eastAsia="宋体" w:cs="Times New Roman"/>
          <w:b w:val="0"/>
          <w:color w:val="auto"/>
        </w:rPr>
        <w:t>。集输管线平面布置图见图3.4-</w:t>
      </w:r>
      <w:r>
        <w:rPr>
          <w:rFonts w:hint="eastAsia" w:ascii="Times New Roman" w:hAnsi="Times New Roman" w:eastAsia="宋体" w:cs="Times New Roman"/>
          <w:b w:val="0"/>
          <w:color w:val="auto"/>
          <w:lang w:val="en-US" w:eastAsia="zh-CN"/>
        </w:rPr>
        <w:t>1</w:t>
      </w:r>
      <w:r>
        <w:rPr>
          <w:rFonts w:hint="default" w:ascii="Times New Roman" w:hAnsi="Times New Roman" w:eastAsia="宋体" w:cs="Times New Roman"/>
          <w:b w:val="0"/>
          <w:color w:val="auto"/>
        </w:rPr>
        <w:t>。</w:t>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w:t>
      </w:r>
      <w:r>
        <w:rPr>
          <w:rFonts w:hint="eastAsia" w:ascii="Times New Roman" w:hAnsi="Times New Roman" w:eastAsia="宋体" w:cs="Times New Roman"/>
          <w:b/>
          <w:bCs/>
          <w:color w:val="auto"/>
          <w:szCs w:val="21"/>
          <w:lang w:val="en-US" w:eastAsia="zh-CN"/>
        </w:rPr>
        <w:t>7</w:t>
      </w:r>
      <w:r>
        <w:rPr>
          <w:rFonts w:hint="default" w:ascii="Times New Roman" w:hAnsi="Times New Roman" w:eastAsia="宋体" w:cs="Times New Roman"/>
          <w:b/>
          <w:bCs/>
          <w:color w:val="auto"/>
          <w:szCs w:val="21"/>
        </w:rPr>
        <w:t xml:space="preserve">  油气集输部分主要工程量一览表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692"/>
        <w:gridCol w:w="1338"/>
        <w:gridCol w:w="1083"/>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0"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3692"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项目名称</w:t>
            </w:r>
          </w:p>
        </w:tc>
        <w:tc>
          <w:tcPr>
            <w:tcW w:w="1338"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单位</w:t>
            </w:r>
          </w:p>
        </w:tc>
        <w:tc>
          <w:tcPr>
            <w:tcW w:w="1083"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数量</w:t>
            </w:r>
          </w:p>
        </w:tc>
        <w:tc>
          <w:tcPr>
            <w:tcW w:w="1619"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90" w:type="dxa"/>
            <w:vAlign w:val="center"/>
          </w:tcPr>
          <w:p>
            <w:pPr>
              <w:pStyle w:val="33"/>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w:t>
            </w:r>
          </w:p>
        </w:tc>
        <w:tc>
          <w:tcPr>
            <w:tcW w:w="3692"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25MPa DN50 不保温油嘴加热采油井场</w:t>
            </w:r>
          </w:p>
        </w:tc>
        <w:tc>
          <w:tcPr>
            <w:tcW w:w="1338" w:type="dxa"/>
            <w:vAlign w:val="center"/>
          </w:tcPr>
          <w:p>
            <w:pPr>
              <w:pStyle w:val="33"/>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座</w:t>
            </w:r>
          </w:p>
        </w:tc>
        <w:tc>
          <w:tcPr>
            <w:tcW w:w="1083" w:type="dxa"/>
            <w:vAlign w:val="center"/>
          </w:tcPr>
          <w:p>
            <w:pPr>
              <w:pStyle w:val="33"/>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6</w:t>
            </w:r>
          </w:p>
        </w:tc>
        <w:tc>
          <w:tcPr>
            <w:tcW w:w="1619" w:type="dxa"/>
            <w:vAlign w:val="center"/>
          </w:tcPr>
          <w:p>
            <w:pPr>
              <w:pStyle w:val="33"/>
              <w:jc w:val="center"/>
              <w:rPr>
                <w:rFonts w:hint="default" w:ascii="Times New Roman" w:hAnsi="Times New Roman" w:eastAsia="宋体" w:cs="Times New Roman"/>
                <w:b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0" w:type="dxa"/>
            <w:vAlign w:val="center"/>
          </w:tcPr>
          <w:p>
            <w:pPr>
              <w:pStyle w:val="33"/>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w:t>
            </w:r>
          </w:p>
        </w:tc>
        <w:tc>
          <w:tcPr>
            <w:tcW w:w="3692"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10型抽油机（电机功率：</w:t>
            </w:r>
            <w:r>
              <w:rPr>
                <w:rFonts w:hint="eastAsia" w:ascii="Times New Roman" w:hAnsi="Times New Roman" w:eastAsia="宋体" w:cs="Times New Roman"/>
                <w:color w:val="auto"/>
                <w:kern w:val="0"/>
                <w:sz w:val="21"/>
                <w:szCs w:val="21"/>
                <w:lang w:eastAsia="zh-CN"/>
              </w:rPr>
              <w:t>22kW</w:t>
            </w:r>
            <w:r>
              <w:rPr>
                <w:rFonts w:hint="default" w:ascii="Times New Roman" w:hAnsi="Times New Roman" w:eastAsia="宋体" w:cs="Times New Roman"/>
                <w:color w:val="auto"/>
                <w:kern w:val="0"/>
                <w:sz w:val="21"/>
                <w:szCs w:val="21"/>
              </w:rPr>
              <w:t>）</w:t>
            </w:r>
          </w:p>
        </w:tc>
        <w:tc>
          <w:tcPr>
            <w:tcW w:w="1338" w:type="dxa"/>
            <w:vAlign w:val="center"/>
          </w:tcPr>
          <w:p>
            <w:pPr>
              <w:pStyle w:val="33"/>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座</w:t>
            </w:r>
          </w:p>
        </w:tc>
        <w:tc>
          <w:tcPr>
            <w:tcW w:w="1083" w:type="dxa"/>
            <w:vAlign w:val="center"/>
          </w:tcPr>
          <w:p>
            <w:pPr>
              <w:pStyle w:val="33"/>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6</w:t>
            </w:r>
          </w:p>
        </w:tc>
        <w:tc>
          <w:tcPr>
            <w:tcW w:w="1619" w:type="dxa"/>
            <w:vAlign w:val="center"/>
          </w:tcPr>
          <w:p>
            <w:pPr>
              <w:pStyle w:val="33"/>
              <w:jc w:val="center"/>
              <w:rPr>
                <w:rFonts w:hint="default" w:ascii="Times New Roman" w:hAnsi="Times New Roman" w:eastAsia="宋体" w:cs="Times New Roman"/>
                <w:b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0" w:type="dxa"/>
            <w:vAlign w:val="center"/>
          </w:tcPr>
          <w:p>
            <w:pPr>
              <w:pStyle w:val="33"/>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3</w:t>
            </w:r>
          </w:p>
        </w:tc>
        <w:tc>
          <w:tcPr>
            <w:tcW w:w="3692" w:type="dxa"/>
            <w:shd w:val="clear" w:color="auto" w:fill="auto"/>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DN50 2.5MPa 热塑性塑料内衬玻璃钢复合管</w:t>
            </w:r>
          </w:p>
        </w:tc>
        <w:tc>
          <w:tcPr>
            <w:tcW w:w="1338" w:type="dxa"/>
            <w:shd w:val="clear" w:color="auto" w:fill="auto"/>
            <w:vAlign w:val="center"/>
          </w:tcPr>
          <w:p>
            <w:pPr>
              <w:pStyle w:val="33"/>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km</w:t>
            </w:r>
          </w:p>
        </w:tc>
        <w:tc>
          <w:tcPr>
            <w:tcW w:w="1083" w:type="dxa"/>
            <w:shd w:val="clear" w:color="auto" w:fill="auto"/>
            <w:vAlign w:val="center"/>
          </w:tcPr>
          <w:p>
            <w:pPr>
              <w:pStyle w:val="33"/>
              <w:jc w:val="center"/>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sz w:val="21"/>
                <w:szCs w:val="21"/>
                <w:lang w:eastAsia="zh-CN"/>
              </w:rPr>
              <w:t>4.2</w:t>
            </w:r>
          </w:p>
        </w:tc>
        <w:tc>
          <w:tcPr>
            <w:tcW w:w="1619" w:type="dxa"/>
            <w:shd w:val="clear" w:color="auto" w:fill="auto"/>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单井出油管道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0" w:type="dxa"/>
            <w:vAlign w:val="center"/>
          </w:tcPr>
          <w:p>
            <w:pPr>
              <w:pStyle w:val="33"/>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4</w:t>
            </w:r>
          </w:p>
        </w:tc>
        <w:tc>
          <w:tcPr>
            <w:tcW w:w="3692" w:type="dxa"/>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20kw电加热器</w:t>
            </w:r>
          </w:p>
        </w:tc>
        <w:tc>
          <w:tcPr>
            <w:tcW w:w="1338" w:type="dxa"/>
            <w:vAlign w:val="center"/>
          </w:tcPr>
          <w:p>
            <w:pPr>
              <w:pStyle w:val="33"/>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台</w:t>
            </w:r>
          </w:p>
        </w:tc>
        <w:tc>
          <w:tcPr>
            <w:tcW w:w="1083" w:type="dxa"/>
            <w:vAlign w:val="center"/>
          </w:tcPr>
          <w:p>
            <w:pPr>
              <w:pStyle w:val="33"/>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6</w:t>
            </w:r>
          </w:p>
        </w:tc>
        <w:tc>
          <w:tcPr>
            <w:tcW w:w="1619" w:type="dxa"/>
            <w:vAlign w:val="center"/>
          </w:tcPr>
          <w:p>
            <w:pPr>
              <w:widowControl/>
              <w:jc w:val="center"/>
              <w:rPr>
                <w:rFonts w:hint="default" w:ascii="Times New Roman" w:hAnsi="Times New Roman" w:eastAsia="宋体" w:cs="Times New Roman"/>
                <w:color w:val="auto"/>
                <w:sz w:val="21"/>
                <w:szCs w:val="21"/>
              </w:rPr>
            </w:pPr>
          </w:p>
        </w:tc>
      </w:tr>
    </w:tbl>
    <w:p>
      <w:pPr>
        <w:rPr>
          <w:rFonts w:hint="default" w:ascii="Times New Roman" w:hAnsi="Times New Roman" w:cs="Times New Roman"/>
          <w:color w:val="auto"/>
          <w:lang w:val="en-US" w:eastAsia="zh-CN"/>
        </w:rPr>
      </w:pP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3.5.</w:t>
      </w:r>
      <w:r>
        <w:rPr>
          <w:rFonts w:hint="eastAsia" w:ascii="Times New Roman" w:hAnsi="Times New Roman" w:eastAsia="宋体" w:cs="Times New Roman"/>
          <w:b/>
          <w:color w:val="auto"/>
          <w:sz w:val="30"/>
          <w:szCs w:val="30"/>
          <w:lang w:val="en-US" w:eastAsia="zh-CN"/>
        </w:rPr>
        <w:t>6</w:t>
      </w:r>
      <w:r>
        <w:rPr>
          <w:rFonts w:hint="default" w:ascii="Times New Roman" w:hAnsi="Times New Roman" w:eastAsia="宋体" w:cs="Times New Roman"/>
          <w:b/>
          <w:color w:val="auto"/>
          <w:sz w:val="30"/>
          <w:szCs w:val="30"/>
        </w:rPr>
        <w:t>注水工程</w:t>
      </w: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3.5.</w:t>
      </w: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.1注水井场</w:t>
      </w:r>
    </w:p>
    <w:p>
      <w:pPr>
        <w:widowControl/>
        <w:spacing w:line="360" w:lineRule="auto"/>
        <w:ind w:firstLine="480" w:firstLineChars="200"/>
        <w:jc w:val="left"/>
        <w:rPr>
          <w:rFonts w:hint="default" w:ascii="Times New Roman" w:hAnsi="Times New Roman" w:eastAsia="宋体" w:cs="Times New Roman"/>
          <w:color w:val="auto"/>
        </w:rPr>
      </w:pPr>
      <w:r>
        <w:rPr>
          <w:rFonts w:hint="eastAsia" w:ascii="Times New Roman" w:hAnsi="Times New Roman" w:eastAsia="宋体" w:cs="Times New Roman"/>
          <w:color w:val="auto"/>
          <w:kern w:val="0"/>
          <w:sz w:val="24"/>
          <w:lang w:eastAsia="zh-CN"/>
        </w:rPr>
        <w:t>陆136井区</w:t>
      </w:r>
      <w:r>
        <w:rPr>
          <w:rFonts w:hint="default" w:ascii="Times New Roman" w:hAnsi="Times New Roman" w:eastAsia="宋体" w:cs="Times New Roman"/>
          <w:color w:val="auto"/>
          <w:kern w:val="0"/>
          <w:sz w:val="24"/>
        </w:rPr>
        <w:t>新建16MPa注水井场</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座。流程描述如下：配水间来水经过单井注水管道注入井口。注水井口设保温盒，保温盒内单井注水管道设止回阀，防止高压水倒流；采油树设置油套管连通管，通过采油树高压阀门控制可实现注水井口正洗反洗、正注反注的工艺要求。注水井场工艺安装采用标准化设计，选用图集通注18101。</w:t>
      </w: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3.5.</w:t>
      </w: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.2配水撬</w:t>
      </w:r>
    </w:p>
    <w:p>
      <w:pPr>
        <w:widowControl/>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本次部署的</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口注</w:t>
      </w:r>
      <w:r>
        <w:rPr>
          <w:rFonts w:hint="eastAsia" w:ascii="Times New Roman" w:hAnsi="Times New Roman" w:eastAsia="宋体" w:cs="Times New Roman"/>
          <w:color w:val="auto"/>
          <w:kern w:val="0"/>
          <w:sz w:val="24"/>
          <w:lang w:val="en-US" w:eastAsia="zh-CN"/>
        </w:rPr>
        <w:t>水</w:t>
      </w:r>
      <w:r>
        <w:rPr>
          <w:rFonts w:hint="default" w:ascii="Times New Roman" w:hAnsi="Times New Roman" w:eastAsia="宋体" w:cs="Times New Roman"/>
          <w:color w:val="auto"/>
          <w:kern w:val="0"/>
          <w:sz w:val="24"/>
        </w:rPr>
        <w:t>井均在</w:t>
      </w:r>
      <w:r>
        <w:rPr>
          <w:rFonts w:hint="default" w:ascii="Times New Roman" w:hAnsi="Times New Roman" w:eastAsia="宋体" w:cs="Times New Roman"/>
          <w:color w:val="auto"/>
          <w:kern w:val="0"/>
          <w:sz w:val="24"/>
          <w:lang w:val="en-US" w:eastAsia="zh-CN"/>
        </w:rPr>
        <w:t>陆136-1</w:t>
      </w:r>
      <w:r>
        <w:rPr>
          <w:rFonts w:hint="default" w:ascii="Times New Roman" w:hAnsi="Times New Roman" w:eastAsia="宋体" w:cs="Times New Roman"/>
          <w:color w:val="auto"/>
          <w:kern w:val="0"/>
          <w:sz w:val="24"/>
        </w:rPr>
        <w:t>号计量配水站管辖范围内，单井进配水撬情况见表3.5-</w:t>
      </w:r>
      <w:r>
        <w:rPr>
          <w:rFonts w:hint="eastAsia" w:ascii="Times New Roman" w:hAnsi="Times New Roman" w:eastAsia="宋体" w:cs="Times New Roman"/>
          <w:color w:val="auto"/>
          <w:kern w:val="0"/>
          <w:sz w:val="24"/>
          <w:lang w:val="en-US" w:eastAsia="zh-CN"/>
        </w:rPr>
        <w:t>8</w:t>
      </w:r>
      <w:r>
        <w:rPr>
          <w:rFonts w:hint="default" w:ascii="Times New Roman" w:hAnsi="Times New Roman" w:eastAsia="宋体" w:cs="Times New Roman"/>
          <w:color w:val="auto"/>
          <w:kern w:val="0"/>
          <w:sz w:val="24"/>
        </w:rPr>
        <w:t>。</w:t>
      </w:r>
    </w:p>
    <w:p>
      <w:pPr>
        <w:pStyle w:val="15"/>
        <w:spacing w:afterLines="50"/>
        <w:ind w:left="-108" w:right="-62"/>
        <w:rPr>
          <w:rFonts w:hint="default" w:ascii="Times New Roman" w:hAnsi="Times New Roman" w:eastAsia="宋体" w:cs="Times New Roman"/>
          <w:b/>
          <w:bCs/>
          <w:color w:val="auto"/>
          <w:sz w:val="21"/>
          <w:szCs w:val="22"/>
        </w:rPr>
      </w:pPr>
      <w:r>
        <w:rPr>
          <w:rFonts w:hint="default" w:ascii="Times New Roman" w:hAnsi="Times New Roman" w:eastAsia="宋体" w:cs="Times New Roman"/>
          <w:b/>
          <w:bCs/>
          <w:color w:val="auto"/>
          <w:sz w:val="21"/>
          <w:szCs w:val="22"/>
        </w:rPr>
        <w:t>表3.5-</w:t>
      </w:r>
      <w:r>
        <w:rPr>
          <w:rFonts w:hint="eastAsia" w:eastAsia="宋体" w:cs="Times New Roman"/>
          <w:b/>
          <w:bCs/>
          <w:color w:val="auto"/>
          <w:sz w:val="21"/>
          <w:szCs w:val="22"/>
          <w:lang w:val="en-US" w:eastAsia="zh-CN"/>
        </w:rPr>
        <w:t xml:space="preserve">8 </w:t>
      </w:r>
      <w:r>
        <w:rPr>
          <w:rFonts w:hint="default" w:ascii="Times New Roman" w:hAnsi="Times New Roman" w:eastAsia="宋体" w:cs="Times New Roman"/>
          <w:b/>
          <w:bCs/>
          <w:color w:val="auto"/>
          <w:sz w:val="21"/>
          <w:szCs w:val="22"/>
        </w:rPr>
        <w:t xml:space="preserve">   单井进配水撬情况一览表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300"/>
        <w:gridCol w:w="1312"/>
        <w:gridCol w:w="2337"/>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9"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站号</w:t>
            </w:r>
          </w:p>
        </w:tc>
        <w:tc>
          <w:tcPr>
            <w:tcW w:w="1300"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剩余空头数（个）</w:t>
            </w:r>
          </w:p>
        </w:tc>
        <w:tc>
          <w:tcPr>
            <w:tcW w:w="1312"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接入井数（口）</w:t>
            </w:r>
          </w:p>
        </w:tc>
        <w:tc>
          <w:tcPr>
            <w:tcW w:w="2337"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接入的新建</w:t>
            </w:r>
            <w:r>
              <w:rPr>
                <w:rFonts w:hint="eastAsia" w:ascii="Times New Roman" w:hAnsi="Times New Roman" w:cs="Times New Roman"/>
                <w:b/>
                <w:bCs/>
                <w:color w:val="auto"/>
                <w:sz w:val="21"/>
                <w:szCs w:val="21"/>
                <w:lang w:val="en-US" w:eastAsia="zh-CN"/>
              </w:rPr>
              <w:t>注水井井</w:t>
            </w:r>
            <w:r>
              <w:rPr>
                <w:rFonts w:hint="default" w:ascii="Times New Roman" w:hAnsi="Times New Roman" w:cs="Times New Roman"/>
                <w:b/>
                <w:bCs/>
                <w:color w:val="auto"/>
                <w:sz w:val="21"/>
                <w:szCs w:val="21"/>
              </w:rPr>
              <w:t>号</w:t>
            </w:r>
          </w:p>
        </w:tc>
        <w:tc>
          <w:tcPr>
            <w:tcW w:w="1994" w:type="dxa"/>
            <w:vAlign w:val="center"/>
          </w:tcPr>
          <w:p>
            <w:pPr>
              <w:pStyle w:val="6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9" w:type="dxa"/>
            <w:vAlign w:val="center"/>
          </w:tcPr>
          <w:p>
            <w:pPr>
              <w:widowControl/>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b w:val="0"/>
                <w:bCs w:val="0"/>
                <w:color w:val="auto"/>
                <w:szCs w:val="21"/>
                <w:lang w:val="en-US" w:eastAsia="zh-CN"/>
              </w:rPr>
              <w:t>陆</w:t>
            </w:r>
            <w:r>
              <w:rPr>
                <w:rFonts w:hint="eastAsia" w:ascii="Times New Roman" w:hAnsi="Times New Roman" w:cs="Times New Roman"/>
                <w:b w:val="0"/>
                <w:bCs w:val="0"/>
                <w:color w:val="auto"/>
                <w:szCs w:val="21"/>
                <w:lang w:val="en-US" w:eastAsia="zh-CN"/>
              </w:rPr>
              <w:t>136-1</w:t>
            </w:r>
          </w:p>
        </w:tc>
        <w:tc>
          <w:tcPr>
            <w:tcW w:w="1300" w:type="dxa"/>
            <w:vAlign w:val="center"/>
          </w:tcPr>
          <w:p>
            <w:pPr>
              <w:pStyle w:val="66"/>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p>
        </w:tc>
        <w:tc>
          <w:tcPr>
            <w:tcW w:w="1312" w:type="dxa"/>
            <w:vAlign w:val="center"/>
          </w:tcPr>
          <w:p>
            <w:pPr>
              <w:pStyle w:val="66"/>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2337" w:type="dxa"/>
            <w:vAlign w:val="center"/>
          </w:tcPr>
          <w:p>
            <w:pPr>
              <w:pStyle w:val="66"/>
              <w:jc w:val="center"/>
              <w:rPr>
                <w:rFonts w:hint="default" w:eastAsia="宋体"/>
                <w:b w:val="0"/>
                <w:bCs w:val="0"/>
                <w:color w:val="auto"/>
                <w:kern w:val="0"/>
                <w:szCs w:val="21"/>
                <w:highlight w:val="none"/>
                <w:lang w:val="en-US" w:eastAsia="zh-CN"/>
              </w:rPr>
            </w:pPr>
            <w:r>
              <w:rPr>
                <w:rFonts w:hint="eastAsia" w:ascii="Times New Roman" w:hAnsi="Times New Roman" w:eastAsia="宋体" w:cs="Times New Roman"/>
                <w:color w:val="auto"/>
                <w:sz w:val="21"/>
                <w:szCs w:val="21"/>
                <w:lang w:val="en-US" w:eastAsia="zh-CN"/>
              </w:rPr>
              <w:t>LU5606、LU5613</w:t>
            </w:r>
          </w:p>
        </w:tc>
        <w:tc>
          <w:tcPr>
            <w:tcW w:w="1994" w:type="dxa"/>
            <w:vAlign w:val="center"/>
          </w:tcPr>
          <w:p>
            <w:pPr>
              <w:widowControl/>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lang w:val="en-US" w:eastAsia="zh-CN"/>
              </w:rPr>
              <w:t>井式</w:t>
            </w:r>
            <w:r>
              <w:rPr>
                <w:rFonts w:hint="eastAsia" w:ascii="Times New Roman" w:hAnsi="Times New Roman" w:eastAsia="宋体" w:cs="Times New Roman"/>
                <w:color w:val="auto"/>
                <w:szCs w:val="21"/>
                <w:lang w:val="en-US" w:eastAsia="zh-CN"/>
              </w:rPr>
              <w:t>配水撬</w:t>
            </w:r>
          </w:p>
        </w:tc>
      </w:tr>
    </w:tbl>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工艺流程描述如下：</w:t>
      </w:r>
      <w:r>
        <w:rPr>
          <w:rFonts w:hint="default" w:ascii="Times New Roman" w:hAnsi="Times New Roman" w:eastAsia="宋体" w:cs="Times New Roman"/>
          <w:color w:val="auto"/>
          <w:kern w:val="0"/>
          <w:sz w:val="24"/>
        </w:rPr>
        <w:t>增压后的水输送至6井式配水撬，通过撬内分水器向各注水单井进行配注，</w:t>
      </w:r>
      <w:r>
        <w:rPr>
          <w:rFonts w:hint="eastAsia" w:ascii="Times New Roman" w:hAnsi="Times New Roman" w:eastAsia="宋体" w:cs="Times New Roman"/>
          <w:color w:val="auto"/>
          <w:kern w:val="0"/>
          <w:sz w:val="24"/>
          <w:lang w:val="en-US" w:eastAsia="zh-CN"/>
        </w:rPr>
        <w:t>再</w:t>
      </w:r>
      <w:r>
        <w:rPr>
          <w:rFonts w:hint="default" w:ascii="Times New Roman" w:hAnsi="Times New Roman" w:eastAsia="宋体" w:cs="Times New Roman"/>
          <w:color w:val="auto"/>
          <w:kern w:val="0"/>
          <w:sz w:val="24"/>
        </w:rPr>
        <w:t>去各单井管道上设置恒流配水装置、在线流量计量远传及压力检测远传。</w:t>
      </w:r>
    </w:p>
    <w:p>
      <w:pPr>
        <w:pStyle w:val="16"/>
        <w:spacing w:line="360" w:lineRule="auto"/>
        <w:ind w:left="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3.5.</w:t>
      </w: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.3集油区注水管网</w:t>
      </w:r>
    </w:p>
    <w:p>
      <w:pPr>
        <w:pStyle w:val="15"/>
        <w:numPr>
          <w:ilvl w:val="0"/>
          <w:numId w:val="5"/>
        </w:numPr>
        <w:spacing w:line="360" w:lineRule="auto"/>
        <w:ind w:firstLine="480" w:firstLineChars="200"/>
        <w:jc w:val="both"/>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注水方案</w:t>
      </w:r>
    </w:p>
    <w:p>
      <w:pPr>
        <w:widowControl/>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本次部署</w:t>
      </w:r>
      <w:r>
        <w:rPr>
          <w:rFonts w:hint="eastAsia" w:ascii="Times New Roman" w:hAnsi="Times New Roman" w:eastAsia="宋体" w:cs="Times New Roman"/>
          <w:color w:val="auto"/>
          <w:kern w:val="0"/>
          <w:sz w:val="24"/>
          <w:lang w:val="en-US" w:eastAsia="zh-CN"/>
        </w:rPr>
        <w:t>注水井2口</w:t>
      </w:r>
      <w:r>
        <w:rPr>
          <w:rFonts w:hint="default" w:ascii="Times New Roman" w:hAnsi="Times New Roman" w:eastAsia="宋体" w:cs="Times New Roman"/>
          <w:color w:val="auto"/>
          <w:kern w:val="0"/>
          <w:sz w:val="24"/>
        </w:rPr>
        <w:t>。注水依托</w:t>
      </w:r>
      <w:r>
        <w:rPr>
          <w:rFonts w:hint="default" w:ascii="Times New Roman" w:hAnsi="Times New Roman" w:eastAsia="宋体" w:cs="Times New Roman"/>
          <w:color w:val="auto"/>
          <w:kern w:val="0"/>
          <w:sz w:val="24"/>
          <w:lang w:val="en-US" w:eastAsia="zh-CN"/>
        </w:rPr>
        <w:t>陆15井区已建16MPa注水系统</w:t>
      </w:r>
      <w:r>
        <w:rPr>
          <w:rFonts w:hint="default" w:ascii="Times New Roman" w:hAnsi="Times New Roman" w:eastAsia="宋体" w:cs="Times New Roman"/>
          <w:color w:val="auto"/>
          <w:kern w:val="0"/>
          <w:sz w:val="24"/>
        </w:rPr>
        <w:t>。注水工艺采用“</w:t>
      </w:r>
      <w:r>
        <w:rPr>
          <w:rFonts w:hint="eastAsia" w:ascii="Times New Roman" w:hAnsi="Times New Roman" w:eastAsia="宋体" w:cs="Times New Roman"/>
          <w:color w:val="auto"/>
          <w:kern w:val="0"/>
          <w:sz w:val="24"/>
          <w:lang w:eastAsia="zh-CN"/>
        </w:rPr>
        <w:t>高压集中注水、单干管多井配注工艺</w:t>
      </w:r>
      <w:r>
        <w:rPr>
          <w:rFonts w:hint="default" w:ascii="Times New Roman" w:hAnsi="Times New Roman" w:eastAsia="宋体" w:cs="Times New Roman"/>
          <w:color w:val="auto"/>
          <w:kern w:val="0"/>
          <w:sz w:val="24"/>
        </w:rPr>
        <w:t>”，即陆12注水站增压后的高压水通过注水干支线输送至配水橇，通过橇内分水器向各注水单井进行配注，再通过单井管线输送至各注水井口。</w:t>
      </w:r>
    </w:p>
    <w:p>
      <w:pPr>
        <w:pStyle w:val="16"/>
        <w:spacing w:line="360" w:lineRule="auto"/>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2）注水管线</w:t>
      </w:r>
    </w:p>
    <w:p>
      <w:pPr>
        <w:pStyle w:val="33"/>
        <w:spacing w:line="360" w:lineRule="auto"/>
        <w:ind w:firstLine="480" w:firstLineChars="200"/>
        <w:jc w:val="left"/>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①新建单井注水管道采用DN50 16MPa热塑性塑料内衬玻璃钢复合管（耐温70℃），长度</w:t>
      </w:r>
      <w:r>
        <w:rPr>
          <w:rFonts w:hint="eastAsia" w:ascii="Times New Roman" w:hAnsi="Times New Roman" w:eastAsia="宋体" w:cs="Times New Roman"/>
          <w:b w:val="0"/>
          <w:color w:val="auto"/>
          <w:lang w:eastAsia="zh-CN"/>
        </w:rPr>
        <w:t>1.7</w:t>
      </w:r>
      <w:r>
        <w:rPr>
          <w:rFonts w:hint="default" w:ascii="Times New Roman" w:hAnsi="Times New Roman" w:eastAsia="宋体" w:cs="Times New Roman"/>
          <w:b w:val="0"/>
          <w:color w:val="auto"/>
        </w:rPr>
        <w:t>km，保温埋地敷设，管底标高-1.80m。</w:t>
      </w:r>
    </w:p>
    <w:p>
      <w:pPr>
        <w:pStyle w:val="33"/>
        <w:spacing w:line="360" w:lineRule="auto"/>
        <w:ind w:firstLine="480" w:firstLineChars="200"/>
        <w:jc w:val="left"/>
        <w:rPr>
          <w:rFonts w:hint="default" w:ascii="Times New Roman" w:hAnsi="Times New Roman" w:eastAsia="宋体" w:cs="Times New Roman"/>
          <w:b w:val="0"/>
          <w:color w:val="auto"/>
        </w:rPr>
      </w:pPr>
      <w:r>
        <w:rPr>
          <w:rFonts w:hint="default" w:ascii="Times New Roman" w:hAnsi="Times New Roman" w:eastAsia="宋体" w:cs="Times New Roman"/>
          <w:b w:val="0"/>
          <w:color w:val="auto"/>
        </w:rPr>
        <w:t>②管道穿越油区简易路采用大开挖方式，并设套管保护，穿越完毕后恢复原有路面。</w:t>
      </w:r>
    </w:p>
    <w:p>
      <w:pPr>
        <w:pStyle w:val="33"/>
        <w:spacing w:line="360" w:lineRule="auto"/>
        <w:ind w:firstLine="480" w:firstLineChars="200"/>
        <w:jc w:val="both"/>
        <w:rPr>
          <w:rFonts w:hint="default" w:ascii="Times New Roman" w:hAnsi="Times New Roman" w:eastAsia="宋体" w:cs="Times New Roman"/>
          <w:b w:val="0"/>
          <w:color w:val="auto"/>
          <w:highlight w:val="green"/>
        </w:rPr>
      </w:pPr>
      <w:r>
        <w:rPr>
          <w:rFonts w:hint="default" w:ascii="Times New Roman" w:hAnsi="Times New Roman" w:eastAsia="宋体" w:cs="Times New Roman"/>
          <w:b w:val="0"/>
          <w:color w:val="auto"/>
        </w:rPr>
        <w:t>本工程油田注水部分主要工程量详见表3.5-</w:t>
      </w:r>
      <w:r>
        <w:rPr>
          <w:rFonts w:hint="eastAsia" w:ascii="Times New Roman" w:hAnsi="Times New Roman" w:eastAsia="宋体" w:cs="Times New Roman"/>
          <w:b w:val="0"/>
          <w:color w:val="auto"/>
          <w:lang w:val="en-US" w:eastAsia="zh-CN"/>
        </w:rPr>
        <w:t>9</w:t>
      </w:r>
      <w:r>
        <w:rPr>
          <w:rFonts w:hint="default" w:ascii="Times New Roman" w:hAnsi="Times New Roman" w:eastAsia="宋体" w:cs="Times New Roman"/>
          <w:b w:val="0"/>
          <w:color w:val="auto"/>
        </w:rPr>
        <w:t>。集输管线平面布置图见图3.4-</w:t>
      </w:r>
      <w:r>
        <w:rPr>
          <w:rFonts w:hint="eastAsia" w:ascii="Times New Roman" w:hAnsi="Times New Roman" w:eastAsia="宋体" w:cs="Times New Roman"/>
          <w:b w:val="0"/>
          <w:color w:val="auto"/>
          <w:lang w:val="en-US" w:eastAsia="zh-CN"/>
        </w:rPr>
        <w:t>1</w:t>
      </w:r>
      <w:r>
        <w:rPr>
          <w:rFonts w:hint="default" w:ascii="Times New Roman" w:hAnsi="Times New Roman" w:eastAsia="宋体" w:cs="Times New Roman"/>
          <w:b w:val="0"/>
          <w:color w:val="auto"/>
        </w:rPr>
        <w:t>。</w:t>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w:t>
      </w:r>
      <w:r>
        <w:rPr>
          <w:rFonts w:hint="eastAsia" w:ascii="Times New Roman" w:hAnsi="Times New Roman" w:eastAsia="宋体" w:cs="Times New Roman"/>
          <w:b/>
          <w:bCs/>
          <w:color w:val="auto"/>
          <w:szCs w:val="21"/>
          <w:lang w:val="en-US" w:eastAsia="zh-CN"/>
        </w:rPr>
        <w:t>9</w:t>
      </w:r>
      <w:r>
        <w:rPr>
          <w:rFonts w:hint="default" w:ascii="Times New Roman" w:hAnsi="Times New Roman" w:eastAsia="宋体" w:cs="Times New Roman"/>
          <w:b/>
          <w:bCs/>
          <w:color w:val="auto"/>
          <w:szCs w:val="21"/>
        </w:rPr>
        <w:t xml:space="preserve">  注水部分主要工程量一览表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692"/>
        <w:gridCol w:w="1338"/>
        <w:gridCol w:w="1083"/>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0"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3692"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项目名称</w:t>
            </w:r>
          </w:p>
        </w:tc>
        <w:tc>
          <w:tcPr>
            <w:tcW w:w="1338"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单位</w:t>
            </w:r>
          </w:p>
        </w:tc>
        <w:tc>
          <w:tcPr>
            <w:tcW w:w="1083"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数量</w:t>
            </w:r>
          </w:p>
        </w:tc>
        <w:tc>
          <w:tcPr>
            <w:tcW w:w="1619" w:type="dxa"/>
            <w:vAlign w:val="center"/>
          </w:tcPr>
          <w:p>
            <w:pPr>
              <w:pStyle w:val="3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0" w:type="dxa"/>
            <w:vAlign w:val="center"/>
          </w:tcPr>
          <w:p>
            <w:pPr>
              <w:pStyle w:val="33"/>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w:t>
            </w:r>
          </w:p>
        </w:tc>
        <w:tc>
          <w:tcPr>
            <w:tcW w:w="3692" w:type="dxa"/>
            <w:vAlign w:val="center"/>
          </w:tcPr>
          <w:p>
            <w:pPr>
              <w:widowControl/>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25</w:t>
            </w:r>
            <w:r>
              <w:rPr>
                <w:rFonts w:hint="default" w:ascii="Times New Roman" w:hAnsi="Times New Roman" w:eastAsia="宋体" w:cs="Times New Roman"/>
                <w:color w:val="auto"/>
                <w:kern w:val="0"/>
                <w:sz w:val="21"/>
                <w:szCs w:val="21"/>
              </w:rPr>
              <w:t>MPa注水井口</w:t>
            </w:r>
            <w:r>
              <w:rPr>
                <w:rFonts w:hint="eastAsia" w:ascii="Times New Roman" w:hAnsi="Times New Roman" w:eastAsia="宋体" w:cs="Times New Roman"/>
                <w:color w:val="auto"/>
                <w:kern w:val="0"/>
                <w:sz w:val="21"/>
                <w:szCs w:val="21"/>
                <w:lang w:val="en-US" w:eastAsia="zh-CN"/>
              </w:rPr>
              <w:t>装置</w:t>
            </w:r>
          </w:p>
        </w:tc>
        <w:tc>
          <w:tcPr>
            <w:tcW w:w="1338" w:type="dxa"/>
            <w:vAlign w:val="center"/>
          </w:tcPr>
          <w:p>
            <w:pPr>
              <w:pStyle w:val="33"/>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座</w:t>
            </w:r>
          </w:p>
        </w:tc>
        <w:tc>
          <w:tcPr>
            <w:tcW w:w="1083" w:type="dxa"/>
            <w:vAlign w:val="center"/>
          </w:tcPr>
          <w:p>
            <w:pPr>
              <w:pStyle w:val="33"/>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2</w:t>
            </w:r>
          </w:p>
        </w:tc>
        <w:tc>
          <w:tcPr>
            <w:tcW w:w="1619" w:type="dxa"/>
            <w:vAlign w:val="center"/>
          </w:tcPr>
          <w:p>
            <w:pPr>
              <w:widowControl/>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通注1810</w:t>
            </w:r>
            <w:r>
              <w:rPr>
                <w:rFonts w:hint="eastAsia" w:ascii="Times New Roman" w:hAnsi="Times New Roman" w:eastAsia="宋体" w:cs="Times New Roman"/>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0" w:type="dxa"/>
            <w:vAlign w:val="center"/>
          </w:tcPr>
          <w:p>
            <w:pPr>
              <w:pStyle w:val="33"/>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w:t>
            </w:r>
          </w:p>
        </w:tc>
        <w:tc>
          <w:tcPr>
            <w:tcW w:w="3692"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DN50 16MPa热塑性塑料内衬玻璃钢复合管（耐温70℃）</w:t>
            </w:r>
          </w:p>
        </w:tc>
        <w:tc>
          <w:tcPr>
            <w:tcW w:w="1338" w:type="dxa"/>
            <w:vAlign w:val="center"/>
          </w:tcPr>
          <w:p>
            <w:pPr>
              <w:pStyle w:val="33"/>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km</w:t>
            </w:r>
          </w:p>
        </w:tc>
        <w:tc>
          <w:tcPr>
            <w:tcW w:w="1083" w:type="dxa"/>
            <w:vAlign w:val="center"/>
          </w:tcPr>
          <w:p>
            <w:pPr>
              <w:pStyle w:val="33"/>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eastAsia="zh-CN"/>
              </w:rPr>
              <w:t>1.7</w:t>
            </w:r>
          </w:p>
        </w:tc>
        <w:tc>
          <w:tcPr>
            <w:tcW w:w="1619" w:type="dxa"/>
            <w:vAlign w:val="center"/>
          </w:tcPr>
          <w:p>
            <w:pPr>
              <w:pStyle w:val="33"/>
              <w:rPr>
                <w:rFonts w:hint="default" w:ascii="Times New Roman" w:hAnsi="Times New Roman" w:eastAsia="宋体" w:cs="Times New Roman"/>
                <w:b w:val="0"/>
                <w:color w:val="auto"/>
                <w:sz w:val="21"/>
                <w:szCs w:val="21"/>
              </w:rPr>
            </w:pPr>
          </w:p>
        </w:tc>
      </w:tr>
    </w:tbl>
    <w:p>
      <w:pPr>
        <w:pStyle w:val="16"/>
        <w:spacing w:line="360" w:lineRule="auto"/>
        <w:ind w:left="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3.5.</w:t>
      </w: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lang w:val="en-US" w:eastAsia="zh-CN"/>
        </w:rPr>
        <w:t>4陆12注水站</w:t>
      </w:r>
    </w:p>
    <w:p>
      <w:pPr>
        <w:pStyle w:val="33"/>
        <w:spacing w:line="360" w:lineRule="auto"/>
        <w:ind w:firstLine="480" w:firstLineChars="200"/>
        <w:jc w:val="left"/>
        <w:rPr>
          <w:rFonts w:hint="default" w:ascii="Times New Roman" w:hAnsi="Times New Roman" w:eastAsia="宋体" w:cs="Times New Roman"/>
          <w:b w:val="0"/>
          <w:color w:val="auto"/>
        </w:rPr>
      </w:pPr>
      <w:r>
        <w:rPr>
          <w:rFonts w:hint="default" w:ascii="Times New Roman" w:hAnsi="Times New Roman" w:eastAsia="宋体" w:cs="Times New Roman"/>
          <w:b w:val="0"/>
          <w:color w:val="auto"/>
          <w:lang w:val="en-US" w:eastAsia="zh-CN"/>
        </w:rPr>
        <w:t>陆15、陆136井区注水由陆12注水站管辖。</w:t>
      </w:r>
      <w:r>
        <w:rPr>
          <w:rFonts w:hint="eastAsia" w:ascii="Times New Roman" w:hAnsi="Times New Roman" w:eastAsia="宋体" w:cs="Times New Roman"/>
          <w:b w:val="0"/>
          <w:color w:val="auto"/>
          <w:lang w:val="en-US" w:eastAsia="zh-CN"/>
        </w:rPr>
        <w:t>本项目依托</w:t>
      </w:r>
      <w:r>
        <w:rPr>
          <w:rFonts w:hint="default" w:ascii="Times New Roman" w:hAnsi="Times New Roman" w:eastAsia="宋体" w:cs="Times New Roman"/>
          <w:b w:val="0"/>
          <w:color w:val="auto"/>
          <w:lang w:val="en-US" w:eastAsia="zh-CN"/>
        </w:rPr>
        <w:t>陆12注水站</w:t>
      </w:r>
      <w:r>
        <w:rPr>
          <w:rFonts w:hint="eastAsia" w:ascii="Times New Roman" w:hAnsi="Times New Roman" w:eastAsia="宋体" w:cs="Times New Roman"/>
          <w:b w:val="0"/>
          <w:color w:val="auto"/>
          <w:lang w:val="en-US" w:eastAsia="zh-CN"/>
        </w:rPr>
        <w:t>，该站</w:t>
      </w:r>
      <w:r>
        <w:rPr>
          <w:rFonts w:hint="default" w:ascii="Times New Roman" w:hAnsi="Times New Roman" w:eastAsia="宋体" w:cs="Times New Roman"/>
          <w:b w:val="0"/>
          <w:color w:val="auto"/>
          <w:lang w:val="en-US" w:eastAsia="zh-CN"/>
        </w:rPr>
        <w:t>已建注水泵3台，注水能力1480m</w:t>
      </w:r>
      <w:r>
        <w:rPr>
          <w:rFonts w:hint="default" w:ascii="Times New Roman" w:hAnsi="Times New Roman" w:eastAsia="宋体" w:cs="Times New Roman"/>
          <w:b w:val="0"/>
          <w:color w:val="auto"/>
          <w:vertAlign w:val="superscript"/>
          <w:lang w:val="en-US" w:eastAsia="zh-CN"/>
        </w:rPr>
        <w:t>3</w:t>
      </w:r>
      <w:r>
        <w:rPr>
          <w:rFonts w:hint="default" w:ascii="Times New Roman" w:hAnsi="Times New Roman" w:eastAsia="宋体" w:cs="Times New Roman"/>
          <w:b w:val="0"/>
          <w:color w:val="auto"/>
          <w:lang w:val="en-US" w:eastAsia="zh-CN"/>
        </w:rPr>
        <w:t>/d，设计注水压力16MPa，实际注水量819m</w:t>
      </w:r>
      <w:r>
        <w:rPr>
          <w:rFonts w:hint="default" w:ascii="Times New Roman" w:hAnsi="Times New Roman" w:eastAsia="宋体" w:cs="Times New Roman"/>
          <w:b w:val="0"/>
          <w:color w:val="auto"/>
          <w:vertAlign w:val="superscript"/>
          <w:lang w:val="en-US" w:eastAsia="zh-CN"/>
        </w:rPr>
        <w:t>3</w:t>
      </w:r>
      <w:r>
        <w:rPr>
          <w:rFonts w:hint="default" w:ascii="Times New Roman" w:hAnsi="Times New Roman" w:eastAsia="宋体" w:cs="Times New Roman"/>
          <w:b w:val="0"/>
          <w:color w:val="auto"/>
          <w:lang w:val="en-US" w:eastAsia="zh-CN"/>
        </w:rPr>
        <w:t>/d，注水泵运行压力15.5MPa</w:t>
      </w:r>
      <w:r>
        <w:rPr>
          <w:rFonts w:hint="eastAsia" w:ascii="Times New Roman" w:hAnsi="Times New Roman" w:eastAsia="宋体" w:cs="Times New Roman"/>
          <w:b w:val="0"/>
          <w:color w:val="auto"/>
          <w:lang w:val="en-US" w:eastAsia="zh-CN"/>
        </w:rPr>
        <w:t>。</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3.5.</w:t>
      </w:r>
      <w:r>
        <w:rPr>
          <w:rFonts w:hint="eastAsia" w:ascii="Times New Roman" w:hAnsi="Times New Roman" w:eastAsia="宋体" w:cs="Times New Roman"/>
          <w:b/>
          <w:color w:val="auto"/>
          <w:sz w:val="30"/>
          <w:szCs w:val="30"/>
          <w:lang w:val="en-US" w:eastAsia="zh-CN"/>
        </w:rPr>
        <w:t>7</w:t>
      </w:r>
      <w:r>
        <w:rPr>
          <w:rFonts w:hint="default" w:ascii="Times New Roman" w:hAnsi="Times New Roman" w:eastAsia="宋体" w:cs="Times New Roman"/>
          <w:b/>
          <w:color w:val="auto"/>
          <w:sz w:val="30"/>
          <w:szCs w:val="30"/>
        </w:rPr>
        <w:t>主要指标</w:t>
      </w:r>
    </w:p>
    <w:p>
      <w:pPr>
        <w:spacing w:line="360" w:lineRule="auto"/>
        <w:outlineLvl w:val="3"/>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3.5.</w:t>
      </w:r>
      <w:r>
        <w:rPr>
          <w:rFonts w:hint="eastAsia" w:ascii="Times New Roman" w:hAnsi="Times New Roman" w:eastAsia="宋体" w:cs="Times New Roman"/>
          <w:color w:val="auto"/>
          <w:kern w:val="0"/>
          <w:sz w:val="28"/>
          <w:szCs w:val="28"/>
          <w:lang w:val="en-US" w:eastAsia="zh-CN"/>
        </w:rPr>
        <w:t>7</w:t>
      </w:r>
      <w:r>
        <w:rPr>
          <w:rFonts w:hint="default" w:ascii="Times New Roman" w:hAnsi="Times New Roman" w:eastAsia="宋体" w:cs="Times New Roman"/>
          <w:color w:val="auto"/>
          <w:kern w:val="0"/>
          <w:sz w:val="28"/>
          <w:szCs w:val="28"/>
        </w:rPr>
        <w:t>.1技术经济指标</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本项目主要经济技术指标见表3.5-1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w:t>
      </w:r>
    </w:p>
    <w:p>
      <w:pPr>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表3.5-1</w:t>
      </w:r>
      <w:r>
        <w:rPr>
          <w:rFonts w:hint="eastAsia" w:ascii="Times New Roman" w:hAnsi="Times New Roman" w:eastAsia="宋体" w:cs="Times New Roman"/>
          <w:b/>
          <w:bCs/>
          <w:color w:val="auto"/>
          <w:kern w:val="0"/>
          <w:szCs w:val="21"/>
          <w:lang w:val="en-US" w:eastAsia="zh-CN"/>
        </w:rPr>
        <w:t>0</w:t>
      </w:r>
      <w:r>
        <w:rPr>
          <w:rFonts w:hint="default" w:ascii="Times New Roman" w:hAnsi="Times New Roman" w:eastAsia="宋体" w:cs="Times New Roman"/>
          <w:b/>
          <w:bCs/>
          <w:color w:val="auto"/>
          <w:kern w:val="0"/>
          <w:szCs w:val="21"/>
        </w:rPr>
        <w:t xml:space="preserve">  本项目主要经济技术指标表</w:t>
      </w:r>
    </w:p>
    <w:tbl>
      <w:tblPr>
        <w:tblStyle w:val="3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954"/>
        <w:gridCol w:w="1853"/>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52" w:type="dxa"/>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2807" w:type="dxa"/>
            <w:gridSpan w:val="2"/>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项目</w:t>
            </w:r>
          </w:p>
        </w:tc>
        <w:tc>
          <w:tcPr>
            <w:tcW w:w="2130" w:type="dxa"/>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单位</w:t>
            </w:r>
          </w:p>
        </w:tc>
        <w:tc>
          <w:tcPr>
            <w:tcW w:w="2130" w:type="dxa"/>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807" w:type="dxa"/>
            <w:gridSpan w:val="2"/>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动用资源储量</w:t>
            </w:r>
          </w:p>
        </w:tc>
        <w:tc>
          <w:tcPr>
            <w:tcW w:w="2130"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t/a</w:t>
            </w:r>
          </w:p>
        </w:tc>
        <w:tc>
          <w:tcPr>
            <w:tcW w:w="2130" w:type="dxa"/>
            <w:vAlign w:val="center"/>
          </w:tcPr>
          <w:p>
            <w:pPr>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1.44×10</w:t>
            </w:r>
            <w:r>
              <w:rPr>
                <w:rFonts w:hint="default" w:ascii="Times New Roman" w:hAnsi="Times New Roman" w:eastAsia="宋体" w:cs="Times New Roman"/>
                <w:color w:val="auto"/>
                <w:kern w:val="0"/>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1452"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2807" w:type="dxa"/>
            <w:gridSpan w:val="2"/>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设计井数</w:t>
            </w:r>
          </w:p>
        </w:tc>
        <w:tc>
          <w:tcPr>
            <w:tcW w:w="2130"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口</w:t>
            </w:r>
          </w:p>
        </w:tc>
        <w:tc>
          <w:tcPr>
            <w:tcW w:w="2130" w:type="dxa"/>
            <w:vAlign w:val="center"/>
          </w:tcPr>
          <w:p>
            <w:pPr>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2807" w:type="dxa"/>
            <w:gridSpan w:val="2"/>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管道长度</w:t>
            </w:r>
          </w:p>
        </w:tc>
        <w:tc>
          <w:tcPr>
            <w:tcW w:w="2130"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km</w:t>
            </w:r>
          </w:p>
        </w:tc>
        <w:tc>
          <w:tcPr>
            <w:tcW w:w="2130" w:type="dxa"/>
            <w:vAlign w:val="center"/>
          </w:tcPr>
          <w:p>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452"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2807" w:type="dxa"/>
            <w:gridSpan w:val="2"/>
            <w:vAlign w:val="center"/>
          </w:tcPr>
          <w:p>
            <w:pPr>
              <w:widowControl/>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水基钻井液</w:t>
            </w:r>
          </w:p>
        </w:tc>
        <w:tc>
          <w:tcPr>
            <w:tcW w:w="2130"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p>
        </w:tc>
        <w:tc>
          <w:tcPr>
            <w:tcW w:w="2130" w:type="dxa"/>
            <w:vAlign w:val="center"/>
          </w:tcPr>
          <w:p>
            <w:pPr>
              <w:widowControl/>
              <w:spacing w:line="300" w:lineRule="exact"/>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2807" w:type="dxa"/>
            <w:gridSpan w:val="2"/>
            <w:vAlign w:val="center"/>
          </w:tcPr>
          <w:p>
            <w:pPr>
              <w:widowControl/>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柴油</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w:t>
            </w:r>
          </w:p>
        </w:tc>
        <w:tc>
          <w:tcPr>
            <w:tcW w:w="2130" w:type="dxa"/>
            <w:vAlign w:val="center"/>
          </w:tcPr>
          <w:p>
            <w:pPr>
              <w:widowControl/>
              <w:spacing w:line="300" w:lineRule="exact"/>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954" w:type="dxa"/>
            <w:vMerge w:val="restart"/>
            <w:vAlign w:val="center"/>
          </w:tcPr>
          <w:p>
            <w:pPr>
              <w:widowControl/>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工程占地</w:t>
            </w:r>
          </w:p>
        </w:tc>
        <w:tc>
          <w:tcPr>
            <w:tcW w:w="1853" w:type="dxa"/>
            <w:vAlign w:val="center"/>
          </w:tcPr>
          <w:p>
            <w:pPr>
              <w:widowControl/>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永久占地</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2130" w:type="dxa"/>
            <w:vAlign w:val="center"/>
          </w:tcPr>
          <w:p>
            <w:pPr>
              <w:widowControl/>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954" w:type="dxa"/>
            <w:vMerge w:val="continue"/>
            <w:vAlign w:val="center"/>
          </w:tcPr>
          <w:p>
            <w:pPr>
              <w:widowControl/>
              <w:spacing w:line="300" w:lineRule="exact"/>
              <w:jc w:val="center"/>
              <w:rPr>
                <w:rFonts w:hint="default" w:ascii="Times New Roman" w:hAnsi="Times New Roman" w:eastAsia="宋体" w:cs="Times New Roman"/>
                <w:color w:val="auto"/>
                <w:szCs w:val="21"/>
              </w:rPr>
            </w:pPr>
          </w:p>
        </w:tc>
        <w:tc>
          <w:tcPr>
            <w:tcW w:w="1853" w:type="dxa"/>
            <w:vAlign w:val="center"/>
          </w:tcPr>
          <w:p>
            <w:pPr>
              <w:widowControl/>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临时占地</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2130" w:type="dxa"/>
            <w:vAlign w:val="center"/>
          </w:tcPr>
          <w:p>
            <w:pPr>
              <w:widowControl/>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92046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2807" w:type="dxa"/>
            <w:gridSpan w:val="2"/>
            <w:vAlign w:val="center"/>
          </w:tcPr>
          <w:p>
            <w:pPr>
              <w:widowControl/>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万元</w:t>
            </w:r>
          </w:p>
        </w:tc>
        <w:tc>
          <w:tcPr>
            <w:tcW w:w="2130" w:type="dxa"/>
            <w:vAlign w:val="center"/>
          </w:tcPr>
          <w:p>
            <w:pPr>
              <w:widowControl/>
              <w:spacing w:line="300" w:lineRule="exac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2625.58</w:t>
            </w:r>
          </w:p>
        </w:tc>
      </w:tr>
    </w:tbl>
    <w:p>
      <w:pPr>
        <w:spacing w:line="360" w:lineRule="auto"/>
        <w:outlineLvl w:val="3"/>
        <w:rPr>
          <w:rFonts w:hint="default" w:ascii="Times New Roman" w:hAnsi="Times New Roman" w:eastAsia="宋体" w:cs="Times New Roman"/>
          <w:color w:val="auto"/>
          <w:kern w:val="0"/>
          <w:sz w:val="28"/>
          <w:szCs w:val="28"/>
          <w:lang w:val="zh-CN"/>
        </w:rPr>
      </w:pPr>
      <w:r>
        <w:rPr>
          <w:rFonts w:hint="default" w:ascii="Times New Roman" w:hAnsi="Times New Roman" w:eastAsia="宋体" w:cs="Times New Roman"/>
          <w:color w:val="auto"/>
          <w:kern w:val="0"/>
          <w:sz w:val="28"/>
          <w:szCs w:val="28"/>
        </w:rPr>
        <w:t>3.5.</w:t>
      </w:r>
      <w:r>
        <w:rPr>
          <w:rFonts w:hint="eastAsia" w:ascii="Times New Roman" w:hAnsi="Times New Roman" w:eastAsia="宋体" w:cs="Times New Roman"/>
          <w:color w:val="auto"/>
          <w:kern w:val="0"/>
          <w:sz w:val="28"/>
          <w:szCs w:val="28"/>
          <w:lang w:val="en-US" w:eastAsia="zh-CN"/>
        </w:rPr>
        <w:t>7</w:t>
      </w:r>
      <w:r>
        <w:rPr>
          <w:rFonts w:hint="default" w:ascii="Times New Roman" w:hAnsi="Times New Roman" w:eastAsia="宋体" w:cs="Times New Roman"/>
          <w:color w:val="auto"/>
          <w:kern w:val="0"/>
          <w:sz w:val="28"/>
          <w:szCs w:val="28"/>
        </w:rPr>
        <w:t>.2</w:t>
      </w:r>
      <w:r>
        <w:rPr>
          <w:rFonts w:hint="default" w:ascii="Times New Roman" w:hAnsi="Times New Roman" w:eastAsia="宋体" w:cs="Times New Roman"/>
          <w:color w:val="auto"/>
          <w:kern w:val="0"/>
          <w:sz w:val="28"/>
          <w:szCs w:val="28"/>
          <w:lang w:val="zh-CN"/>
        </w:rPr>
        <w:t>占地情况</w:t>
      </w:r>
    </w:p>
    <w:p>
      <w:pPr>
        <w:pStyle w:val="65"/>
        <w:spacing w:line="360" w:lineRule="auto"/>
        <w:ind w:firstLine="480"/>
        <w:rPr>
          <w:rFonts w:hint="default" w:ascii="Times New Roman" w:hAnsi="Times New Roman" w:eastAsia="宋体" w:cs="Times New Roman"/>
          <w:color w:val="auto"/>
        </w:rPr>
      </w:pPr>
      <w:bookmarkStart w:id="65" w:name="_Hlk31657906"/>
      <w:bookmarkStart w:id="66" w:name="_Hlk505533533"/>
      <w:bookmarkStart w:id="67" w:name="_Hlk21622184"/>
      <w:r>
        <w:rPr>
          <w:rFonts w:hint="default" w:ascii="Times New Roman" w:hAnsi="Times New Roman" w:eastAsia="宋体" w:cs="Times New Roman"/>
          <w:color w:val="auto"/>
        </w:rPr>
        <w:t>本工程</w:t>
      </w:r>
      <w:bookmarkStart w:id="68" w:name="_Hlk31714034"/>
      <w:r>
        <w:rPr>
          <w:rFonts w:hint="default" w:ascii="Times New Roman" w:hAnsi="Times New Roman" w:eastAsia="宋体" w:cs="Times New Roman"/>
          <w:color w:val="auto"/>
        </w:rPr>
        <w:t>总占地面积为</w:t>
      </w:r>
      <w:bookmarkStart w:id="69" w:name="_Hlk505791733"/>
      <w:r>
        <w:rPr>
          <w:rFonts w:hint="eastAsia" w:ascii="Times New Roman" w:hAnsi="Times New Roman" w:eastAsia="宋体" w:cs="Times New Roman"/>
          <w:color w:val="auto"/>
          <w:lang w:val="en-US" w:eastAsia="zh-CN"/>
        </w:rPr>
        <w:t>97200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，其中</w:t>
      </w:r>
      <w:bookmarkStart w:id="70" w:name="_Hlk505592510"/>
      <w:r>
        <w:rPr>
          <w:rFonts w:hint="default" w:ascii="Times New Roman" w:hAnsi="Times New Roman" w:eastAsia="宋体" w:cs="Times New Roman"/>
          <w:color w:val="auto"/>
        </w:rPr>
        <w:t>永久占地</w:t>
      </w:r>
      <w:r>
        <w:rPr>
          <w:rFonts w:hint="eastAsia" w:ascii="Times New Roman" w:hAnsi="Times New Roman" w:eastAsia="宋体" w:cs="Times New Roman"/>
          <w:color w:val="auto"/>
          <w:lang w:eastAsia="zh-CN"/>
        </w:rPr>
        <w:t>5154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，临时占地</w:t>
      </w:r>
      <w:r>
        <w:rPr>
          <w:rFonts w:hint="eastAsia" w:ascii="Times New Roman" w:hAnsi="Times New Roman" w:eastAsia="宋体" w:cs="Times New Roman"/>
          <w:color w:val="auto"/>
          <w:lang w:val="en-US" w:eastAsia="zh-CN"/>
        </w:rPr>
        <w:t>92046</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bookmarkEnd w:id="69"/>
      <w:bookmarkEnd w:id="70"/>
      <w:r>
        <w:rPr>
          <w:rFonts w:hint="default" w:ascii="Times New Roman" w:hAnsi="Times New Roman" w:eastAsia="宋体" w:cs="Times New Roman"/>
          <w:color w:val="auto"/>
        </w:rPr>
        <w:t>。</w:t>
      </w:r>
      <w:bookmarkEnd w:id="68"/>
      <w:r>
        <w:rPr>
          <w:rFonts w:hint="default" w:ascii="Times New Roman" w:hAnsi="Times New Roman" w:eastAsia="宋体" w:cs="Times New Roman"/>
          <w:color w:val="auto"/>
        </w:rPr>
        <w:t>占</w:t>
      </w:r>
      <w:bookmarkEnd w:id="65"/>
      <w:r>
        <w:rPr>
          <w:rFonts w:hint="default" w:ascii="Times New Roman" w:hAnsi="Times New Roman" w:eastAsia="宋体" w:cs="Times New Roman"/>
          <w:color w:val="auto"/>
        </w:rPr>
        <w:t>地类型为</w:t>
      </w:r>
      <w:r>
        <w:rPr>
          <w:rFonts w:hint="eastAsia" w:ascii="Times New Roman" w:hAnsi="Times New Roman" w:eastAsia="宋体" w:cs="Times New Roman"/>
          <w:color w:val="auto"/>
          <w:lang w:eastAsia="zh-CN"/>
        </w:rPr>
        <w:t>沙地</w:t>
      </w:r>
      <w:r>
        <w:rPr>
          <w:rFonts w:hint="default" w:ascii="Times New Roman" w:hAnsi="Times New Roman" w:eastAsia="宋体" w:cs="Times New Roman"/>
          <w:color w:val="auto"/>
        </w:rPr>
        <w:t>，占地面积详见表3.5-1</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。在施工期间，场地平整及</w:t>
      </w:r>
      <w:r>
        <w:rPr>
          <w:rFonts w:hint="eastAsia" w:ascii="Times New Roman" w:hAnsi="Times New Roman" w:eastAsia="宋体" w:cs="Times New Roman"/>
          <w:color w:val="auto"/>
          <w:lang w:val="en-US" w:eastAsia="zh-CN"/>
        </w:rPr>
        <w:t>管线</w:t>
      </w:r>
      <w:r>
        <w:rPr>
          <w:rFonts w:hint="default" w:ascii="Times New Roman" w:hAnsi="Times New Roman" w:eastAsia="宋体" w:cs="Times New Roman"/>
          <w:color w:val="auto"/>
        </w:rPr>
        <w:t>敷设等活动将会使地表活化，并对植被造成一定程度的破坏，加剧水土流失。</w:t>
      </w:r>
      <w:r>
        <w:rPr>
          <w:rFonts w:hint="eastAsia" w:ascii="Times New Roman" w:hAnsi="Times New Roman" w:cs="Times New Roman"/>
          <w:color w:val="auto"/>
          <w:lang w:val="en-US" w:eastAsia="zh-CN"/>
        </w:rPr>
        <w:t>本项目</w:t>
      </w:r>
      <w:r>
        <w:rPr>
          <w:rFonts w:hint="eastAsia" w:ascii="Times New Roman" w:hAnsi="Times New Roman" w:cs="Times New Roman"/>
          <w:color w:val="auto"/>
        </w:rPr>
        <w:t>征地</w:t>
      </w:r>
      <w:r>
        <w:rPr>
          <w:rFonts w:hint="eastAsia" w:ascii="Times New Roman" w:hAnsi="Times New Roman" w:cs="Times New Roman"/>
          <w:color w:val="auto"/>
          <w:lang w:val="en-US" w:eastAsia="zh-CN"/>
        </w:rPr>
        <w:t>手续为</w:t>
      </w:r>
      <w:r>
        <w:rPr>
          <w:rFonts w:hint="eastAsia" w:ascii="Times New Roman" w:hAnsi="Times New Roman" w:cs="Times New Roman"/>
          <w:color w:val="auto"/>
        </w:rPr>
        <w:t>钻井和地面分开办理，</w:t>
      </w:r>
      <w:r>
        <w:rPr>
          <w:rFonts w:hint="eastAsia" w:ascii="Times New Roman" w:hAnsi="Times New Roman" w:cs="Times New Roman"/>
          <w:color w:val="auto"/>
          <w:lang w:val="en-US" w:eastAsia="zh-CN"/>
        </w:rPr>
        <w:t>目前</w:t>
      </w:r>
      <w:r>
        <w:rPr>
          <w:rFonts w:hint="eastAsia" w:ascii="Times New Roman" w:hAnsi="Times New Roman" w:cs="Times New Roman"/>
          <w:color w:val="auto"/>
        </w:rPr>
        <w:t>钻井的征地</w:t>
      </w:r>
      <w:r>
        <w:rPr>
          <w:rFonts w:hint="eastAsia" w:ascii="Times New Roman" w:hAnsi="Times New Roman" w:cs="Times New Roman"/>
          <w:color w:val="auto"/>
          <w:lang w:val="en-US" w:eastAsia="zh-CN"/>
        </w:rPr>
        <w:t>手续正在办理中，</w:t>
      </w:r>
      <w:r>
        <w:rPr>
          <w:rFonts w:hint="eastAsia" w:ascii="Times New Roman" w:hAnsi="Times New Roman" w:cs="Times New Roman"/>
          <w:color w:val="auto"/>
        </w:rPr>
        <w:t>地面征地部分尚未启动</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后续根据项目进展情况开展地面征地手续办理工作。项目施工需在取得征地手续后方可施行。</w:t>
      </w:r>
    </w:p>
    <w:bookmarkEnd w:id="66"/>
    <w:p>
      <w:pPr>
        <w:adjustRightInd w:val="0"/>
        <w:snapToGrid w:val="0"/>
        <w:spacing w:afterLines="50"/>
        <w:jc w:val="center"/>
        <w:rPr>
          <w:rFonts w:hint="default" w:ascii="Times New Roman" w:hAnsi="Times New Roman" w:eastAsia="宋体" w:cs="Times New Roman"/>
          <w:b/>
          <w:bCs/>
          <w:color w:val="auto"/>
          <w:szCs w:val="21"/>
        </w:rPr>
      </w:pPr>
    </w:p>
    <w:p>
      <w:pPr>
        <w:adjustRightInd w:val="0"/>
        <w:snapToGrid w:val="0"/>
        <w:spacing w:afterLines="50"/>
        <w:jc w:val="center"/>
        <w:rPr>
          <w:rFonts w:hint="default" w:ascii="Times New Roman" w:hAnsi="Times New Roman" w:eastAsia="宋体" w:cs="Times New Roman"/>
          <w:b/>
          <w:bCs/>
          <w:color w:val="auto"/>
          <w:szCs w:val="21"/>
        </w:rPr>
      </w:pPr>
    </w:p>
    <w:p>
      <w:pPr>
        <w:adjustRightInd w:val="0"/>
        <w:snapToGrid w:val="0"/>
        <w:spacing w:afterLines="50"/>
        <w:jc w:val="center"/>
        <w:rPr>
          <w:rFonts w:hint="default" w:ascii="Times New Roman" w:hAnsi="Times New Roman" w:eastAsia="宋体" w:cs="Times New Roman"/>
          <w:b/>
          <w:bCs/>
          <w:color w:val="auto"/>
          <w:szCs w:val="21"/>
        </w:rPr>
      </w:pP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表3.5-1</w:t>
      </w:r>
      <w:r>
        <w:rPr>
          <w:rFonts w:hint="eastAsia" w:ascii="Times New Roman" w:hAnsi="Times New Roman" w:eastAsia="宋体" w:cs="Times New Roman"/>
          <w:b/>
          <w:bCs/>
          <w:color w:val="auto"/>
          <w:szCs w:val="21"/>
          <w:lang w:val="en-US" w:eastAsia="zh-CN"/>
        </w:rPr>
        <w:t>1</w:t>
      </w:r>
      <w:r>
        <w:rPr>
          <w:rFonts w:hint="default" w:ascii="Times New Roman" w:hAnsi="Times New Roman" w:eastAsia="宋体" w:cs="Times New Roman"/>
          <w:b/>
          <w:bCs/>
          <w:color w:val="auto"/>
          <w:szCs w:val="21"/>
        </w:rPr>
        <w:t xml:space="preserve">  本工程占地概况一览表</w:t>
      </w:r>
    </w:p>
    <w:tbl>
      <w:tblPr>
        <w:tblStyle w:val="31"/>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89"/>
        <w:gridCol w:w="684"/>
        <w:gridCol w:w="701"/>
        <w:gridCol w:w="948"/>
        <w:gridCol w:w="843"/>
        <w:gridCol w:w="753"/>
        <w:gridCol w:w="711"/>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61" w:type="dxa"/>
            <w:gridSpan w:val="2"/>
            <w:vMerge w:val="restart"/>
            <w:tcMar>
              <w:left w:w="28" w:type="dxa"/>
              <w:right w:w="28" w:type="dxa"/>
            </w:tcMar>
            <w:vAlign w:val="center"/>
          </w:tcPr>
          <w:p>
            <w:pPr>
              <w:pStyle w:val="58"/>
              <w:rPr>
                <w:rFonts w:hint="default" w:ascii="Times New Roman" w:hAnsi="Times New Roman" w:cs="Times New Roman"/>
                <w:b/>
                <w:bCs/>
                <w:color w:val="auto"/>
                <w:sz w:val="21"/>
              </w:rPr>
            </w:pPr>
            <w:bookmarkStart w:id="71" w:name="_Hlk31712936"/>
            <w:r>
              <w:rPr>
                <w:rFonts w:hint="default" w:ascii="Times New Roman" w:hAnsi="Times New Roman" w:cs="Times New Roman"/>
                <w:b/>
                <w:bCs/>
                <w:color w:val="auto"/>
                <w:sz w:val="21"/>
              </w:rPr>
              <w:t>分区</w:t>
            </w:r>
          </w:p>
        </w:tc>
        <w:tc>
          <w:tcPr>
            <w:tcW w:w="684" w:type="dxa"/>
            <w:vMerge w:val="restart"/>
            <w:tcMar>
              <w:left w:w="28" w:type="dxa"/>
              <w:right w:w="28" w:type="dxa"/>
            </w:tcMar>
            <w:vAlign w:val="center"/>
          </w:tcPr>
          <w:p>
            <w:pPr>
              <w:pStyle w:val="58"/>
              <w:rPr>
                <w:rFonts w:hint="default" w:ascii="Times New Roman" w:hAnsi="Times New Roman" w:cs="Times New Roman"/>
                <w:b/>
                <w:bCs/>
                <w:color w:val="auto"/>
                <w:sz w:val="21"/>
              </w:rPr>
            </w:pPr>
            <w:r>
              <w:rPr>
                <w:rFonts w:hint="default" w:ascii="Times New Roman" w:hAnsi="Times New Roman" w:cs="Times New Roman"/>
                <w:b/>
                <w:bCs/>
                <w:color w:val="auto"/>
                <w:sz w:val="21"/>
              </w:rPr>
              <w:t>单位</w:t>
            </w:r>
          </w:p>
        </w:tc>
        <w:tc>
          <w:tcPr>
            <w:tcW w:w="701" w:type="dxa"/>
            <w:vMerge w:val="restart"/>
            <w:tcMar>
              <w:left w:w="28" w:type="dxa"/>
              <w:right w:w="28" w:type="dxa"/>
            </w:tcMar>
            <w:vAlign w:val="center"/>
          </w:tcPr>
          <w:p>
            <w:pPr>
              <w:pStyle w:val="58"/>
              <w:rPr>
                <w:rFonts w:hint="default" w:ascii="Times New Roman" w:hAnsi="Times New Roman" w:cs="Times New Roman"/>
                <w:b/>
                <w:bCs/>
                <w:color w:val="auto"/>
                <w:sz w:val="21"/>
              </w:rPr>
            </w:pPr>
            <w:r>
              <w:rPr>
                <w:rFonts w:hint="default" w:ascii="Times New Roman" w:hAnsi="Times New Roman" w:cs="Times New Roman"/>
                <w:b/>
                <w:bCs/>
                <w:color w:val="auto"/>
                <w:sz w:val="21"/>
              </w:rPr>
              <w:t>工程量</w:t>
            </w:r>
          </w:p>
        </w:tc>
        <w:tc>
          <w:tcPr>
            <w:tcW w:w="948" w:type="dxa"/>
            <w:vMerge w:val="restart"/>
            <w:tcMar>
              <w:left w:w="28" w:type="dxa"/>
              <w:right w:w="28" w:type="dxa"/>
            </w:tcMar>
            <w:vAlign w:val="center"/>
          </w:tcPr>
          <w:p>
            <w:pPr>
              <w:pStyle w:val="58"/>
              <w:rPr>
                <w:rFonts w:hint="default" w:ascii="Times New Roman" w:hAnsi="Times New Roman" w:cs="Times New Roman"/>
                <w:b/>
                <w:bCs/>
                <w:color w:val="auto"/>
                <w:sz w:val="21"/>
              </w:rPr>
            </w:pPr>
            <w:r>
              <w:rPr>
                <w:rFonts w:hint="default" w:ascii="Times New Roman" w:hAnsi="Times New Roman" w:cs="Times New Roman"/>
                <w:b/>
                <w:bCs/>
                <w:color w:val="auto"/>
                <w:sz w:val="21"/>
              </w:rPr>
              <w:t>总占地面积（m</w:t>
            </w:r>
            <w:r>
              <w:rPr>
                <w:rFonts w:hint="default" w:ascii="Times New Roman" w:hAnsi="Times New Roman" w:cs="Times New Roman"/>
                <w:b/>
                <w:bCs/>
                <w:color w:val="auto"/>
                <w:sz w:val="21"/>
                <w:vertAlign w:val="superscript"/>
              </w:rPr>
              <w:t>2</w:t>
            </w:r>
            <w:r>
              <w:rPr>
                <w:rFonts w:hint="default" w:ascii="Times New Roman" w:hAnsi="Times New Roman" w:cs="Times New Roman"/>
                <w:b/>
                <w:bCs/>
                <w:color w:val="auto"/>
                <w:sz w:val="21"/>
              </w:rPr>
              <w:t>）</w:t>
            </w:r>
          </w:p>
        </w:tc>
        <w:tc>
          <w:tcPr>
            <w:tcW w:w="1596" w:type="dxa"/>
            <w:gridSpan w:val="2"/>
            <w:tcMar>
              <w:left w:w="28" w:type="dxa"/>
              <w:right w:w="28" w:type="dxa"/>
            </w:tcMar>
            <w:vAlign w:val="center"/>
          </w:tcPr>
          <w:p>
            <w:pPr>
              <w:pStyle w:val="58"/>
              <w:rPr>
                <w:rFonts w:hint="default" w:ascii="Times New Roman" w:hAnsi="Times New Roman" w:cs="Times New Roman"/>
                <w:b/>
                <w:bCs/>
                <w:color w:val="auto"/>
                <w:sz w:val="21"/>
              </w:rPr>
            </w:pPr>
            <w:r>
              <w:rPr>
                <w:rFonts w:hint="default" w:ascii="Times New Roman" w:hAnsi="Times New Roman" w:cs="Times New Roman"/>
                <w:b/>
                <w:bCs/>
                <w:color w:val="auto"/>
                <w:sz w:val="21"/>
              </w:rPr>
              <w:t>占地性质（m</w:t>
            </w:r>
            <w:r>
              <w:rPr>
                <w:rFonts w:hint="default" w:ascii="Times New Roman" w:hAnsi="Times New Roman" w:cs="Times New Roman"/>
                <w:b/>
                <w:bCs/>
                <w:color w:val="auto"/>
                <w:sz w:val="21"/>
                <w:vertAlign w:val="superscript"/>
              </w:rPr>
              <w:t>2</w:t>
            </w:r>
            <w:r>
              <w:rPr>
                <w:rFonts w:hint="default" w:ascii="Times New Roman" w:hAnsi="Times New Roman" w:cs="Times New Roman"/>
                <w:b/>
                <w:bCs/>
                <w:color w:val="auto"/>
                <w:sz w:val="21"/>
              </w:rPr>
              <w:t>）</w:t>
            </w:r>
          </w:p>
        </w:tc>
        <w:tc>
          <w:tcPr>
            <w:tcW w:w="711" w:type="dxa"/>
            <w:vMerge w:val="restart"/>
            <w:vAlign w:val="center"/>
          </w:tcPr>
          <w:p>
            <w:pPr>
              <w:pStyle w:val="58"/>
              <w:rPr>
                <w:rFonts w:hint="default" w:ascii="Times New Roman" w:hAnsi="Times New Roman" w:cs="Times New Roman"/>
                <w:b/>
                <w:bCs/>
                <w:color w:val="auto"/>
                <w:sz w:val="21"/>
              </w:rPr>
            </w:pPr>
            <w:r>
              <w:rPr>
                <w:rFonts w:hint="default" w:ascii="Times New Roman" w:hAnsi="Times New Roman" w:cs="Times New Roman"/>
                <w:b/>
                <w:bCs/>
                <w:color w:val="auto"/>
                <w:sz w:val="21"/>
              </w:rPr>
              <w:t>占地类型</w:t>
            </w:r>
          </w:p>
        </w:tc>
        <w:tc>
          <w:tcPr>
            <w:tcW w:w="2356" w:type="dxa"/>
            <w:vMerge w:val="restart"/>
            <w:tcMar>
              <w:left w:w="28" w:type="dxa"/>
              <w:right w:w="28" w:type="dxa"/>
            </w:tcMar>
            <w:vAlign w:val="center"/>
          </w:tcPr>
          <w:p>
            <w:pPr>
              <w:pStyle w:val="58"/>
              <w:rPr>
                <w:rFonts w:hint="default" w:ascii="Times New Roman" w:hAnsi="Times New Roman" w:cs="Times New Roman"/>
                <w:b/>
                <w:bCs/>
                <w:color w:val="auto"/>
                <w:sz w:val="21"/>
              </w:rPr>
            </w:pPr>
            <w:r>
              <w:rPr>
                <w:rFonts w:hint="default" w:ascii="Times New Roman" w:hAnsi="Times New Roman" w:cs="Times New Roman"/>
                <w:b/>
                <w:bCs/>
                <w:color w:val="auto"/>
                <w:sz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361" w:type="dxa"/>
            <w:gridSpan w:val="2"/>
            <w:vMerge w:val="continue"/>
            <w:tcMar>
              <w:left w:w="28" w:type="dxa"/>
              <w:right w:w="28" w:type="dxa"/>
            </w:tcMar>
            <w:vAlign w:val="center"/>
          </w:tcPr>
          <w:p>
            <w:pPr>
              <w:pStyle w:val="58"/>
              <w:rPr>
                <w:rFonts w:hint="default" w:ascii="Times New Roman" w:hAnsi="Times New Roman" w:cs="Times New Roman"/>
                <w:color w:val="auto"/>
                <w:sz w:val="21"/>
              </w:rPr>
            </w:pPr>
          </w:p>
        </w:tc>
        <w:tc>
          <w:tcPr>
            <w:tcW w:w="684" w:type="dxa"/>
            <w:vMerge w:val="continue"/>
            <w:tcMar>
              <w:left w:w="28" w:type="dxa"/>
              <w:right w:w="28" w:type="dxa"/>
            </w:tcMar>
            <w:vAlign w:val="center"/>
          </w:tcPr>
          <w:p>
            <w:pPr>
              <w:pStyle w:val="58"/>
              <w:rPr>
                <w:rFonts w:hint="default" w:ascii="Times New Roman" w:hAnsi="Times New Roman" w:cs="Times New Roman"/>
                <w:color w:val="auto"/>
                <w:sz w:val="21"/>
              </w:rPr>
            </w:pPr>
          </w:p>
        </w:tc>
        <w:tc>
          <w:tcPr>
            <w:tcW w:w="701" w:type="dxa"/>
            <w:vMerge w:val="continue"/>
            <w:tcMar>
              <w:left w:w="28" w:type="dxa"/>
              <w:right w:w="28" w:type="dxa"/>
            </w:tcMar>
            <w:vAlign w:val="center"/>
          </w:tcPr>
          <w:p>
            <w:pPr>
              <w:pStyle w:val="58"/>
              <w:rPr>
                <w:rFonts w:hint="default" w:ascii="Times New Roman" w:hAnsi="Times New Roman" w:cs="Times New Roman"/>
                <w:color w:val="auto"/>
                <w:sz w:val="21"/>
              </w:rPr>
            </w:pPr>
          </w:p>
        </w:tc>
        <w:tc>
          <w:tcPr>
            <w:tcW w:w="948" w:type="dxa"/>
            <w:vMerge w:val="continue"/>
            <w:tcMar>
              <w:left w:w="28" w:type="dxa"/>
              <w:right w:w="28" w:type="dxa"/>
            </w:tcMar>
            <w:vAlign w:val="center"/>
          </w:tcPr>
          <w:p>
            <w:pPr>
              <w:pStyle w:val="58"/>
              <w:rPr>
                <w:rFonts w:hint="default" w:ascii="Times New Roman" w:hAnsi="Times New Roman" w:cs="Times New Roman"/>
                <w:color w:val="auto"/>
                <w:sz w:val="21"/>
              </w:rPr>
            </w:pPr>
          </w:p>
        </w:tc>
        <w:tc>
          <w:tcPr>
            <w:tcW w:w="843" w:type="dxa"/>
            <w:tcMar>
              <w:left w:w="28" w:type="dxa"/>
              <w:right w:w="28" w:type="dxa"/>
            </w:tcMar>
            <w:vAlign w:val="center"/>
          </w:tcPr>
          <w:p>
            <w:pPr>
              <w:pStyle w:val="58"/>
              <w:rPr>
                <w:rFonts w:hint="default" w:ascii="Times New Roman" w:hAnsi="Times New Roman" w:cs="Times New Roman"/>
                <w:b/>
                <w:bCs/>
                <w:color w:val="auto"/>
                <w:sz w:val="21"/>
              </w:rPr>
            </w:pPr>
            <w:r>
              <w:rPr>
                <w:rFonts w:hint="default" w:ascii="Times New Roman" w:hAnsi="Times New Roman" w:cs="Times New Roman"/>
                <w:b/>
                <w:bCs/>
                <w:color w:val="auto"/>
                <w:sz w:val="21"/>
              </w:rPr>
              <w:t>永久占地</w:t>
            </w:r>
          </w:p>
        </w:tc>
        <w:tc>
          <w:tcPr>
            <w:tcW w:w="753" w:type="dxa"/>
            <w:tcMar>
              <w:left w:w="28" w:type="dxa"/>
              <w:right w:w="28" w:type="dxa"/>
            </w:tcMar>
            <w:vAlign w:val="center"/>
          </w:tcPr>
          <w:p>
            <w:pPr>
              <w:pStyle w:val="58"/>
              <w:rPr>
                <w:rFonts w:hint="default" w:ascii="Times New Roman" w:hAnsi="Times New Roman" w:cs="Times New Roman"/>
                <w:b/>
                <w:bCs/>
                <w:color w:val="auto"/>
                <w:sz w:val="21"/>
              </w:rPr>
            </w:pPr>
            <w:r>
              <w:rPr>
                <w:rFonts w:hint="default" w:ascii="Times New Roman" w:hAnsi="Times New Roman" w:cs="Times New Roman"/>
                <w:b/>
                <w:bCs/>
                <w:color w:val="auto"/>
                <w:sz w:val="21"/>
              </w:rPr>
              <w:t>临时占地</w:t>
            </w:r>
          </w:p>
        </w:tc>
        <w:tc>
          <w:tcPr>
            <w:tcW w:w="711" w:type="dxa"/>
            <w:vMerge w:val="continue"/>
            <w:vAlign w:val="center"/>
          </w:tcPr>
          <w:p>
            <w:pPr>
              <w:pStyle w:val="58"/>
              <w:rPr>
                <w:rFonts w:hint="default" w:ascii="Times New Roman" w:hAnsi="Times New Roman" w:cs="Times New Roman"/>
                <w:color w:val="auto"/>
                <w:sz w:val="21"/>
              </w:rPr>
            </w:pPr>
          </w:p>
        </w:tc>
        <w:tc>
          <w:tcPr>
            <w:tcW w:w="2356" w:type="dxa"/>
            <w:vMerge w:val="continue"/>
            <w:tcMar>
              <w:left w:w="28" w:type="dxa"/>
              <w:right w:w="28" w:type="dxa"/>
            </w:tcMar>
            <w:vAlign w:val="center"/>
          </w:tcPr>
          <w:p>
            <w:pPr>
              <w:pStyle w:val="58"/>
              <w:rPr>
                <w:rFonts w:hint="default" w:ascii="Times New Roman" w:hAnsi="Times New Roman" w:cs="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2" w:type="dxa"/>
            <w:vMerge w:val="restart"/>
            <w:tcMar>
              <w:left w:w="28" w:type="dxa"/>
              <w:right w:w="28" w:type="dxa"/>
            </w:tcMar>
            <w:vAlign w:val="center"/>
          </w:tcPr>
          <w:p>
            <w:pPr>
              <w:pStyle w:val="58"/>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井场</w:t>
            </w:r>
          </w:p>
        </w:tc>
        <w:tc>
          <w:tcPr>
            <w:tcW w:w="689" w:type="dxa"/>
            <w:tcMar>
              <w:left w:w="28" w:type="dxa"/>
              <w:right w:w="28" w:type="dxa"/>
            </w:tcMar>
            <w:vAlign w:val="center"/>
          </w:tcPr>
          <w:p>
            <w:pPr>
              <w:pStyle w:val="58"/>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szCs w:val="21"/>
                <w:lang w:val="en-US" w:eastAsia="zh-CN"/>
              </w:rPr>
              <w:t>单井采油</w:t>
            </w:r>
            <w:r>
              <w:rPr>
                <w:rFonts w:hint="default" w:ascii="Times New Roman" w:hAnsi="Times New Roman" w:eastAsia="宋体" w:cs="Times New Roman"/>
                <w:color w:val="auto"/>
                <w:sz w:val="21"/>
                <w:szCs w:val="21"/>
              </w:rPr>
              <w:t>井场</w:t>
            </w:r>
          </w:p>
        </w:tc>
        <w:tc>
          <w:tcPr>
            <w:tcW w:w="684"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座</w:t>
            </w:r>
          </w:p>
        </w:tc>
        <w:tc>
          <w:tcPr>
            <w:tcW w:w="701" w:type="dxa"/>
            <w:tcMar>
              <w:left w:w="28" w:type="dxa"/>
              <w:right w:w="28" w:type="dxa"/>
            </w:tcMar>
            <w:vAlign w:val="center"/>
          </w:tcPr>
          <w:p>
            <w:pPr>
              <w:pStyle w:val="58"/>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3</w:t>
            </w:r>
          </w:p>
        </w:tc>
        <w:tc>
          <w:tcPr>
            <w:tcW w:w="948"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19200</w:t>
            </w:r>
          </w:p>
        </w:tc>
        <w:tc>
          <w:tcPr>
            <w:tcW w:w="84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2250</w:t>
            </w:r>
          </w:p>
        </w:tc>
        <w:tc>
          <w:tcPr>
            <w:tcW w:w="75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16950</w:t>
            </w:r>
          </w:p>
        </w:tc>
        <w:tc>
          <w:tcPr>
            <w:tcW w:w="711" w:type="dxa"/>
            <w:vMerge w:val="restart"/>
            <w:vAlign w:val="center"/>
          </w:tcPr>
          <w:p>
            <w:pPr>
              <w:pStyle w:val="58"/>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szCs w:val="22"/>
                <w:lang w:eastAsia="zh-CN"/>
              </w:rPr>
              <w:t>沙地</w:t>
            </w:r>
          </w:p>
        </w:tc>
        <w:tc>
          <w:tcPr>
            <w:tcW w:w="2356"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单井</w:t>
            </w:r>
            <w:r>
              <w:rPr>
                <w:rFonts w:hint="default" w:ascii="Times New Roman" w:hAnsi="Times New Roman" w:cs="Times New Roman"/>
                <w:color w:val="auto"/>
                <w:spacing w:val="-1"/>
                <w:sz w:val="21"/>
              </w:rPr>
              <w:t>永久占地</w:t>
            </w:r>
            <w:r>
              <w:rPr>
                <w:rFonts w:hint="default" w:ascii="Times New Roman" w:hAnsi="Times New Roman" w:cs="Times New Roman"/>
                <w:color w:val="auto"/>
                <w:spacing w:val="-2"/>
                <w:sz w:val="21"/>
              </w:rPr>
              <w:t>面积为</w:t>
            </w:r>
            <w:r>
              <w:rPr>
                <w:rFonts w:hint="eastAsia" w:ascii="Times New Roman" w:hAnsi="Times New Roman" w:cs="Times New Roman"/>
                <w:color w:val="auto"/>
                <w:spacing w:val="-1"/>
                <w:sz w:val="21"/>
                <w:lang w:val="en-US" w:eastAsia="zh-CN"/>
              </w:rPr>
              <w:t>30</w:t>
            </w:r>
            <w:r>
              <w:rPr>
                <w:rFonts w:hint="default" w:ascii="Times New Roman" w:hAnsi="Times New Roman" w:cs="Times New Roman"/>
                <w:color w:val="auto"/>
                <w:sz w:val="21"/>
              </w:rPr>
              <w:t>m</w:t>
            </w:r>
            <w:r>
              <w:rPr>
                <w:rFonts w:hint="default" w:ascii="Times New Roman" w:hAnsi="Times New Roman" w:cs="Times New Roman"/>
                <w:color w:val="auto"/>
                <w:spacing w:val="-1"/>
                <w:sz w:val="21"/>
              </w:rPr>
              <w:t>×</w:t>
            </w:r>
            <w:r>
              <w:rPr>
                <w:rFonts w:hint="eastAsia" w:ascii="Times New Roman" w:hAnsi="Times New Roman" w:cs="Times New Roman"/>
                <w:color w:val="auto"/>
                <w:spacing w:val="-1"/>
                <w:sz w:val="21"/>
                <w:lang w:val="en-US" w:eastAsia="zh-CN"/>
              </w:rPr>
              <w:t>25</w:t>
            </w:r>
            <w:r>
              <w:rPr>
                <w:rFonts w:hint="default" w:ascii="Times New Roman" w:hAnsi="Times New Roman" w:cs="Times New Roman"/>
                <w:color w:val="auto"/>
                <w:spacing w:val="-1"/>
                <w:sz w:val="21"/>
              </w:rPr>
              <w:t>m；</w:t>
            </w:r>
            <w:r>
              <w:rPr>
                <w:rFonts w:hint="default" w:ascii="Times New Roman" w:hAnsi="Times New Roman" w:cs="Times New Roman"/>
                <w:color w:val="auto"/>
                <w:sz w:val="21"/>
              </w:rPr>
              <w:t>临时占地8</w:t>
            </w:r>
            <w:r>
              <w:rPr>
                <w:rFonts w:hint="eastAsia" w:ascii="Times New Roman" w:hAnsi="Times New Roman" w:cs="Times New Roman"/>
                <w:color w:val="auto"/>
                <w:sz w:val="21"/>
                <w:lang w:val="en-US" w:eastAsia="zh-CN"/>
              </w:rPr>
              <w:t>0</w:t>
            </w:r>
            <w:r>
              <w:rPr>
                <w:rFonts w:hint="default" w:ascii="Times New Roman" w:hAnsi="Times New Roman" w:cs="Times New Roman"/>
                <w:color w:val="auto"/>
                <w:sz w:val="21"/>
              </w:rPr>
              <w:t>m×</w:t>
            </w:r>
            <w:r>
              <w:rPr>
                <w:rFonts w:hint="eastAsia" w:ascii="Times New Roman" w:hAnsi="Times New Roman" w:cs="Times New Roman"/>
                <w:color w:val="auto"/>
                <w:sz w:val="21"/>
                <w:lang w:val="en-US" w:eastAsia="zh-CN"/>
              </w:rPr>
              <w:t>80</w:t>
            </w:r>
            <w:r>
              <w:rPr>
                <w:rFonts w:hint="default" w:ascii="Times New Roman" w:hAnsi="Times New Roman" w:cs="Times New Roman"/>
                <w:color w:val="auto"/>
                <w:sz w:val="21"/>
              </w:rPr>
              <w:t>m-</w:t>
            </w:r>
            <w:r>
              <w:rPr>
                <w:rFonts w:hint="eastAsia" w:ascii="Times New Roman" w:hAnsi="Times New Roman" w:cs="Times New Roman"/>
                <w:color w:val="auto"/>
                <w:sz w:val="21"/>
                <w:lang w:val="en-US" w:eastAsia="zh-CN"/>
              </w:rPr>
              <w:t>3</w:t>
            </w:r>
            <w:r>
              <w:rPr>
                <w:rFonts w:hint="default" w:ascii="Times New Roman" w:hAnsi="Times New Roman" w:cs="Times New Roman"/>
                <w:color w:val="auto"/>
                <w:sz w:val="21"/>
              </w:rPr>
              <w:t>0m×</w:t>
            </w:r>
            <w:r>
              <w:rPr>
                <w:rFonts w:hint="eastAsia" w:ascii="Times New Roman" w:hAnsi="Times New Roman" w:cs="Times New Roman"/>
                <w:color w:val="auto"/>
                <w:sz w:val="21"/>
                <w:lang w:val="en-US" w:eastAsia="zh-CN"/>
              </w:rPr>
              <w:t>25</w:t>
            </w:r>
            <w:r>
              <w:rPr>
                <w:rFonts w:hint="default" w:ascii="Times New Roman" w:hAnsi="Times New Roman" w:cs="Times New Roman"/>
                <w:color w:val="auto"/>
                <w:sz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2" w:type="dxa"/>
            <w:vMerge w:val="continue"/>
            <w:tcMar>
              <w:left w:w="28" w:type="dxa"/>
              <w:right w:w="28" w:type="dxa"/>
            </w:tcMar>
            <w:vAlign w:val="center"/>
          </w:tcPr>
          <w:p>
            <w:pPr>
              <w:pStyle w:val="58"/>
              <w:rPr>
                <w:rFonts w:hint="eastAsia" w:ascii="Times New Roman" w:hAnsi="Times New Roman" w:cs="Times New Roman"/>
                <w:color w:val="auto"/>
                <w:sz w:val="21"/>
                <w:lang w:val="en-US" w:eastAsia="zh-CN"/>
              </w:rPr>
            </w:pPr>
          </w:p>
        </w:tc>
        <w:tc>
          <w:tcPr>
            <w:tcW w:w="689" w:type="dxa"/>
            <w:tcMar>
              <w:left w:w="28" w:type="dxa"/>
              <w:right w:w="28" w:type="dxa"/>
            </w:tcMar>
            <w:vAlign w:val="center"/>
          </w:tcPr>
          <w:p>
            <w:pPr>
              <w:pStyle w:val="58"/>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单井注水井场</w:t>
            </w:r>
          </w:p>
        </w:tc>
        <w:tc>
          <w:tcPr>
            <w:tcW w:w="684" w:type="dxa"/>
            <w:shd w:val="clear" w:color="auto" w:fill="auto"/>
            <w:tcMar>
              <w:left w:w="28" w:type="dxa"/>
              <w:right w:w="28" w:type="dxa"/>
            </w:tcMar>
            <w:vAlign w:val="center"/>
          </w:tcPr>
          <w:p>
            <w:pPr>
              <w:pStyle w:val="58"/>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rPr>
              <w:t>座</w:t>
            </w:r>
          </w:p>
        </w:tc>
        <w:tc>
          <w:tcPr>
            <w:tcW w:w="701" w:type="dxa"/>
            <w:shd w:val="clear" w:color="auto" w:fill="auto"/>
            <w:tcMar>
              <w:left w:w="28" w:type="dxa"/>
              <w:right w:w="28" w:type="dxa"/>
            </w:tcMar>
            <w:vAlign w:val="center"/>
          </w:tcPr>
          <w:p>
            <w:pPr>
              <w:pStyle w:val="58"/>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lang w:val="en-US" w:eastAsia="zh-CN"/>
              </w:rPr>
              <w:t>1</w:t>
            </w:r>
          </w:p>
        </w:tc>
        <w:tc>
          <w:tcPr>
            <w:tcW w:w="948"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6400</w:t>
            </w:r>
          </w:p>
        </w:tc>
        <w:tc>
          <w:tcPr>
            <w:tcW w:w="84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75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6000</w:t>
            </w:r>
          </w:p>
        </w:tc>
        <w:tc>
          <w:tcPr>
            <w:tcW w:w="711" w:type="dxa"/>
            <w:vMerge w:val="continue"/>
            <w:vAlign w:val="center"/>
          </w:tcPr>
          <w:p>
            <w:pPr>
              <w:pStyle w:val="58"/>
              <w:rPr>
                <w:rFonts w:hint="default" w:ascii="Times New Roman" w:hAnsi="Times New Roman" w:cs="Times New Roman"/>
                <w:color w:val="auto"/>
                <w:sz w:val="21"/>
                <w:szCs w:val="22"/>
              </w:rPr>
            </w:pPr>
          </w:p>
        </w:tc>
        <w:tc>
          <w:tcPr>
            <w:tcW w:w="2356"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单井</w:t>
            </w:r>
            <w:r>
              <w:rPr>
                <w:rFonts w:hint="default" w:ascii="Times New Roman" w:hAnsi="Times New Roman" w:cs="Times New Roman"/>
                <w:color w:val="auto"/>
                <w:spacing w:val="-1"/>
                <w:sz w:val="21"/>
              </w:rPr>
              <w:t>永久占地</w:t>
            </w:r>
            <w:r>
              <w:rPr>
                <w:rFonts w:hint="default" w:ascii="Times New Roman" w:hAnsi="Times New Roman" w:cs="Times New Roman"/>
                <w:color w:val="auto"/>
                <w:spacing w:val="-2"/>
                <w:sz w:val="21"/>
              </w:rPr>
              <w:t>面积为</w:t>
            </w:r>
            <w:r>
              <w:rPr>
                <w:rFonts w:hint="eastAsia" w:ascii="Times New Roman" w:hAnsi="Times New Roman" w:cs="Times New Roman"/>
                <w:color w:val="auto"/>
                <w:spacing w:val="-1"/>
                <w:sz w:val="21"/>
                <w:lang w:val="en-US" w:eastAsia="zh-CN"/>
              </w:rPr>
              <w:t>20</w:t>
            </w:r>
            <w:r>
              <w:rPr>
                <w:rFonts w:hint="default" w:ascii="Times New Roman" w:hAnsi="Times New Roman" w:cs="Times New Roman"/>
                <w:color w:val="auto"/>
                <w:sz w:val="21"/>
              </w:rPr>
              <w:t>m</w:t>
            </w:r>
            <w:r>
              <w:rPr>
                <w:rFonts w:hint="default" w:ascii="Times New Roman" w:hAnsi="Times New Roman" w:cs="Times New Roman"/>
                <w:color w:val="auto"/>
                <w:spacing w:val="-1"/>
                <w:sz w:val="21"/>
              </w:rPr>
              <w:t>×</w:t>
            </w:r>
            <w:r>
              <w:rPr>
                <w:rFonts w:hint="eastAsia" w:ascii="Times New Roman" w:hAnsi="Times New Roman" w:cs="Times New Roman"/>
                <w:color w:val="auto"/>
                <w:spacing w:val="-1"/>
                <w:sz w:val="21"/>
                <w:lang w:val="en-US" w:eastAsia="zh-CN"/>
              </w:rPr>
              <w:t>20</w:t>
            </w:r>
            <w:r>
              <w:rPr>
                <w:rFonts w:hint="default" w:ascii="Times New Roman" w:hAnsi="Times New Roman" w:cs="Times New Roman"/>
                <w:color w:val="auto"/>
                <w:spacing w:val="-1"/>
                <w:sz w:val="21"/>
              </w:rPr>
              <w:t>m；</w:t>
            </w:r>
            <w:r>
              <w:rPr>
                <w:rFonts w:hint="default" w:ascii="Times New Roman" w:hAnsi="Times New Roman" w:cs="Times New Roman"/>
                <w:color w:val="auto"/>
                <w:sz w:val="21"/>
              </w:rPr>
              <w:t>临时占地8</w:t>
            </w:r>
            <w:r>
              <w:rPr>
                <w:rFonts w:hint="eastAsia" w:ascii="Times New Roman" w:hAnsi="Times New Roman" w:cs="Times New Roman"/>
                <w:color w:val="auto"/>
                <w:sz w:val="21"/>
                <w:lang w:val="en-US" w:eastAsia="zh-CN"/>
              </w:rPr>
              <w:t>0</w:t>
            </w:r>
            <w:r>
              <w:rPr>
                <w:rFonts w:hint="default" w:ascii="Times New Roman" w:hAnsi="Times New Roman" w:cs="Times New Roman"/>
                <w:color w:val="auto"/>
                <w:sz w:val="21"/>
              </w:rPr>
              <w:t>m×</w:t>
            </w:r>
            <w:r>
              <w:rPr>
                <w:rFonts w:hint="eastAsia" w:ascii="Times New Roman" w:hAnsi="Times New Roman" w:cs="Times New Roman"/>
                <w:color w:val="auto"/>
                <w:sz w:val="21"/>
                <w:lang w:val="en-US" w:eastAsia="zh-CN"/>
              </w:rPr>
              <w:t>80</w:t>
            </w:r>
            <w:r>
              <w:rPr>
                <w:rFonts w:hint="default" w:ascii="Times New Roman" w:hAnsi="Times New Roman" w:cs="Times New Roman"/>
                <w:color w:val="auto"/>
                <w:sz w:val="21"/>
              </w:rPr>
              <w:t>m-</w:t>
            </w:r>
            <w:r>
              <w:rPr>
                <w:rFonts w:hint="eastAsia" w:ascii="Times New Roman" w:hAnsi="Times New Roman" w:cs="Times New Roman"/>
                <w:color w:val="auto"/>
                <w:sz w:val="21"/>
                <w:lang w:val="en-US" w:eastAsia="zh-CN"/>
              </w:rPr>
              <w:t>2</w:t>
            </w:r>
            <w:r>
              <w:rPr>
                <w:rFonts w:hint="default" w:ascii="Times New Roman" w:hAnsi="Times New Roman" w:cs="Times New Roman"/>
                <w:color w:val="auto"/>
                <w:sz w:val="21"/>
              </w:rPr>
              <w:t>0m×</w:t>
            </w:r>
            <w:r>
              <w:rPr>
                <w:rFonts w:hint="eastAsia" w:ascii="Times New Roman" w:hAnsi="Times New Roman" w:cs="Times New Roman"/>
                <w:color w:val="auto"/>
                <w:sz w:val="21"/>
                <w:lang w:val="en-US" w:eastAsia="zh-CN"/>
              </w:rPr>
              <w:t>20</w:t>
            </w:r>
            <w:r>
              <w:rPr>
                <w:rFonts w:hint="default" w:ascii="Times New Roman" w:hAnsi="Times New Roman" w:cs="Times New Roman"/>
                <w:color w:val="auto"/>
                <w:sz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2" w:type="dxa"/>
            <w:vMerge w:val="continue"/>
            <w:tcMar>
              <w:left w:w="28" w:type="dxa"/>
              <w:right w:w="28" w:type="dxa"/>
            </w:tcMar>
            <w:vAlign w:val="center"/>
          </w:tcPr>
          <w:p>
            <w:pPr>
              <w:pStyle w:val="58"/>
              <w:rPr>
                <w:rFonts w:hint="default" w:ascii="Times New Roman" w:hAnsi="Times New Roman" w:cs="Times New Roman"/>
                <w:color w:val="auto"/>
                <w:sz w:val="21"/>
              </w:rPr>
            </w:pPr>
          </w:p>
        </w:tc>
        <w:tc>
          <w:tcPr>
            <w:tcW w:w="689" w:type="dxa"/>
            <w:tcMar>
              <w:left w:w="28" w:type="dxa"/>
              <w:right w:w="28" w:type="dxa"/>
            </w:tcMar>
            <w:vAlign w:val="center"/>
          </w:tcPr>
          <w:p>
            <w:pPr>
              <w:pStyle w:val="58"/>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2井式井场</w:t>
            </w:r>
          </w:p>
        </w:tc>
        <w:tc>
          <w:tcPr>
            <w:tcW w:w="684"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座</w:t>
            </w:r>
          </w:p>
        </w:tc>
        <w:tc>
          <w:tcPr>
            <w:tcW w:w="701" w:type="dxa"/>
            <w:tcMar>
              <w:left w:w="28" w:type="dxa"/>
              <w:right w:w="28" w:type="dxa"/>
            </w:tcMar>
            <w:vAlign w:val="center"/>
          </w:tcPr>
          <w:p>
            <w:pPr>
              <w:pStyle w:val="58"/>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w:t>
            </w:r>
          </w:p>
        </w:tc>
        <w:tc>
          <w:tcPr>
            <w:tcW w:w="948"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14400</w:t>
            </w:r>
          </w:p>
        </w:tc>
        <w:tc>
          <w:tcPr>
            <w:tcW w:w="84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75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12400</w:t>
            </w:r>
          </w:p>
        </w:tc>
        <w:tc>
          <w:tcPr>
            <w:tcW w:w="711" w:type="dxa"/>
            <w:vMerge w:val="continue"/>
            <w:vAlign w:val="center"/>
          </w:tcPr>
          <w:p>
            <w:pPr>
              <w:pStyle w:val="58"/>
              <w:rPr>
                <w:rFonts w:hint="default" w:ascii="Times New Roman" w:hAnsi="Times New Roman" w:cs="Times New Roman"/>
                <w:color w:val="auto"/>
                <w:sz w:val="21"/>
                <w:szCs w:val="22"/>
              </w:rPr>
            </w:pPr>
          </w:p>
        </w:tc>
        <w:tc>
          <w:tcPr>
            <w:tcW w:w="2356"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eastAsia="宋体" w:cs="Times New Roman"/>
                <w:color w:val="auto"/>
                <w:sz w:val="21"/>
                <w:szCs w:val="21"/>
              </w:rPr>
              <w:t>2井式平台井单座临时占地面积9</w:t>
            </w:r>
            <w:r>
              <w:rPr>
                <w:rFonts w:hint="eastAsia"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eastAsia" w:ascii="Times New Roman" w:hAnsi="Times New Roman" w:cs="Times New Roman"/>
                <w:color w:val="auto"/>
                <w:sz w:val="21"/>
                <w:szCs w:val="21"/>
                <w:lang w:val="en-US" w:eastAsia="zh-CN"/>
              </w:rPr>
              <w:t>80</w:t>
            </w:r>
            <w:r>
              <w:rPr>
                <w:rFonts w:hint="default" w:ascii="Times New Roman" w:hAnsi="Times New Roman" w:eastAsia="宋体" w:cs="Times New Roman"/>
                <w:color w:val="auto"/>
                <w:sz w:val="21"/>
                <w:szCs w:val="21"/>
              </w:rPr>
              <w:t>m，永久占地面积40m×25m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2" w:type="dxa"/>
            <w:vMerge w:val="restart"/>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管线区</w:t>
            </w:r>
          </w:p>
        </w:tc>
        <w:tc>
          <w:tcPr>
            <w:tcW w:w="689"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单井出油管线</w:t>
            </w:r>
          </w:p>
        </w:tc>
        <w:tc>
          <w:tcPr>
            <w:tcW w:w="684"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km</w:t>
            </w:r>
          </w:p>
        </w:tc>
        <w:tc>
          <w:tcPr>
            <w:tcW w:w="701" w:type="dxa"/>
            <w:tcMar>
              <w:left w:w="28" w:type="dxa"/>
              <w:right w:w="28" w:type="dxa"/>
            </w:tcMar>
            <w:vAlign w:val="center"/>
          </w:tcPr>
          <w:p>
            <w:pPr>
              <w:pStyle w:val="58"/>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4.2</w:t>
            </w:r>
          </w:p>
        </w:tc>
        <w:tc>
          <w:tcPr>
            <w:tcW w:w="948"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33600</w:t>
            </w:r>
          </w:p>
        </w:tc>
        <w:tc>
          <w:tcPr>
            <w:tcW w:w="84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75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33600</w:t>
            </w:r>
          </w:p>
        </w:tc>
        <w:tc>
          <w:tcPr>
            <w:tcW w:w="711" w:type="dxa"/>
            <w:vMerge w:val="continue"/>
            <w:vAlign w:val="center"/>
          </w:tcPr>
          <w:p>
            <w:pPr>
              <w:pStyle w:val="58"/>
              <w:rPr>
                <w:rFonts w:hint="default" w:ascii="Times New Roman" w:hAnsi="Times New Roman" w:cs="Times New Roman"/>
                <w:color w:val="auto"/>
                <w:sz w:val="21"/>
              </w:rPr>
            </w:pPr>
          </w:p>
        </w:tc>
        <w:tc>
          <w:tcPr>
            <w:tcW w:w="2356"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埋地敷设，临时作业宽度约为</w:t>
            </w:r>
            <w:r>
              <w:rPr>
                <w:rFonts w:hint="eastAsia" w:ascii="Times New Roman" w:hAnsi="Times New Roman" w:cs="Times New Roman"/>
                <w:color w:val="auto"/>
                <w:sz w:val="21"/>
                <w:lang w:val="en-US" w:eastAsia="zh-CN"/>
              </w:rPr>
              <w:t>8</w:t>
            </w:r>
            <w:r>
              <w:rPr>
                <w:rFonts w:hint="default" w:ascii="Times New Roman" w:hAnsi="Times New Roman" w:cs="Times New Roman"/>
                <w:color w:val="auto"/>
                <w:sz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2" w:type="dxa"/>
            <w:vMerge w:val="continue"/>
            <w:tcMar>
              <w:left w:w="28" w:type="dxa"/>
              <w:right w:w="28" w:type="dxa"/>
            </w:tcMar>
            <w:vAlign w:val="center"/>
          </w:tcPr>
          <w:p>
            <w:pPr>
              <w:pStyle w:val="58"/>
              <w:rPr>
                <w:rFonts w:hint="default" w:ascii="Times New Roman" w:hAnsi="Times New Roman" w:cs="Times New Roman"/>
                <w:color w:val="auto"/>
                <w:sz w:val="21"/>
              </w:rPr>
            </w:pPr>
            <w:bookmarkStart w:id="72" w:name="_Hlk8658268"/>
          </w:p>
        </w:tc>
        <w:tc>
          <w:tcPr>
            <w:tcW w:w="689"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单井注水管线</w:t>
            </w:r>
          </w:p>
        </w:tc>
        <w:tc>
          <w:tcPr>
            <w:tcW w:w="684"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km</w:t>
            </w:r>
          </w:p>
        </w:tc>
        <w:tc>
          <w:tcPr>
            <w:tcW w:w="701" w:type="dxa"/>
            <w:tcMar>
              <w:left w:w="28" w:type="dxa"/>
              <w:right w:w="28" w:type="dxa"/>
            </w:tcMar>
            <w:vAlign w:val="center"/>
          </w:tcPr>
          <w:p>
            <w:pPr>
              <w:pStyle w:val="58"/>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1.7</w:t>
            </w:r>
          </w:p>
        </w:tc>
        <w:tc>
          <w:tcPr>
            <w:tcW w:w="948"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13600</w:t>
            </w:r>
          </w:p>
        </w:tc>
        <w:tc>
          <w:tcPr>
            <w:tcW w:w="84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75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13600</w:t>
            </w:r>
          </w:p>
        </w:tc>
        <w:tc>
          <w:tcPr>
            <w:tcW w:w="711" w:type="dxa"/>
            <w:vMerge w:val="continue"/>
            <w:vAlign w:val="center"/>
          </w:tcPr>
          <w:p>
            <w:pPr>
              <w:pStyle w:val="58"/>
              <w:rPr>
                <w:rFonts w:hint="default" w:ascii="Times New Roman" w:hAnsi="Times New Roman" w:cs="Times New Roman"/>
                <w:color w:val="auto"/>
                <w:sz w:val="21"/>
              </w:rPr>
            </w:pPr>
          </w:p>
        </w:tc>
        <w:tc>
          <w:tcPr>
            <w:tcW w:w="2356"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埋地敷设，临时作业宽度约为</w:t>
            </w:r>
            <w:r>
              <w:rPr>
                <w:rFonts w:hint="eastAsia" w:ascii="Times New Roman" w:hAnsi="Times New Roman" w:cs="Times New Roman"/>
                <w:color w:val="auto"/>
                <w:sz w:val="21"/>
                <w:lang w:val="en-US" w:eastAsia="zh-CN"/>
              </w:rPr>
              <w:t>8</w:t>
            </w:r>
            <w:r>
              <w:rPr>
                <w:rFonts w:hint="default" w:ascii="Times New Roman" w:hAnsi="Times New Roman" w:cs="Times New Roman"/>
                <w:color w:val="auto"/>
                <w:sz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2"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输电线区</w:t>
            </w:r>
          </w:p>
        </w:tc>
        <w:tc>
          <w:tcPr>
            <w:tcW w:w="689"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10kV架空线路</w:t>
            </w:r>
          </w:p>
        </w:tc>
        <w:tc>
          <w:tcPr>
            <w:tcW w:w="684"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km</w:t>
            </w:r>
          </w:p>
        </w:tc>
        <w:tc>
          <w:tcPr>
            <w:tcW w:w="701" w:type="dxa"/>
            <w:tcMar>
              <w:left w:w="28" w:type="dxa"/>
              <w:right w:w="28" w:type="dxa"/>
            </w:tcMar>
            <w:vAlign w:val="center"/>
          </w:tcPr>
          <w:p>
            <w:pPr>
              <w:pStyle w:val="58"/>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2.5</w:t>
            </w:r>
          </w:p>
        </w:tc>
        <w:tc>
          <w:tcPr>
            <w:tcW w:w="948"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10000</w:t>
            </w:r>
          </w:p>
        </w:tc>
        <w:tc>
          <w:tcPr>
            <w:tcW w:w="84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lang w:val="en-US"/>
              </w:rPr>
            </w:pPr>
            <w:r>
              <w:rPr>
                <w:rFonts w:hint="eastAsia" w:ascii="Times New Roman" w:hAnsi="Times New Roman" w:eastAsia="宋体" w:cs="Times New Roman"/>
                <w:i w:val="0"/>
                <w:iCs w:val="0"/>
                <w:color w:val="auto"/>
                <w:kern w:val="0"/>
                <w:sz w:val="21"/>
                <w:szCs w:val="21"/>
                <w:u w:val="none"/>
                <w:lang w:val="en-US" w:eastAsia="zh-CN" w:bidi="ar"/>
              </w:rPr>
              <w:t>504</w:t>
            </w:r>
          </w:p>
        </w:tc>
        <w:tc>
          <w:tcPr>
            <w:tcW w:w="75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lang w:val="en-US"/>
              </w:rPr>
            </w:pPr>
            <w:r>
              <w:rPr>
                <w:rFonts w:hint="eastAsia" w:ascii="Times New Roman" w:hAnsi="Times New Roman" w:eastAsia="宋体" w:cs="Times New Roman"/>
                <w:i w:val="0"/>
                <w:iCs w:val="0"/>
                <w:color w:val="auto"/>
                <w:kern w:val="0"/>
                <w:sz w:val="21"/>
                <w:szCs w:val="21"/>
                <w:u w:val="none"/>
                <w:lang w:val="en-US" w:eastAsia="zh-CN" w:bidi="ar"/>
              </w:rPr>
              <w:t>9496</w:t>
            </w:r>
          </w:p>
        </w:tc>
        <w:tc>
          <w:tcPr>
            <w:tcW w:w="711" w:type="dxa"/>
            <w:vMerge w:val="continue"/>
            <w:vAlign w:val="center"/>
          </w:tcPr>
          <w:p>
            <w:pPr>
              <w:pStyle w:val="58"/>
              <w:rPr>
                <w:rFonts w:hint="default" w:ascii="Times New Roman" w:hAnsi="Times New Roman" w:cs="Times New Roman"/>
                <w:color w:val="auto"/>
                <w:sz w:val="21"/>
              </w:rPr>
            </w:pPr>
          </w:p>
        </w:tc>
        <w:tc>
          <w:tcPr>
            <w:tcW w:w="2356"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电线杆</w:t>
            </w:r>
            <w:r>
              <w:rPr>
                <w:rFonts w:hint="eastAsia" w:ascii="Times New Roman" w:hAnsi="Times New Roman" w:cs="Times New Roman"/>
                <w:color w:val="auto"/>
                <w:sz w:val="21"/>
                <w:lang w:val="en-US" w:eastAsia="zh-CN"/>
              </w:rPr>
              <w:t>50</w:t>
            </w:r>
            <w:r>
              <w:rPr>
                <w:rFonts w:hint="default" w:ascii="Times New Roman" w:hAnsi="Times New Roman" w:cs="Times New Roman"/>
                <w:color w:val="auto"/>
                <w:sz w:val="21"/>
              </w:rPr>
              <w:t>座，杆塔式变电站</w:t>
            </w:r>
            <w:r>
              <w:rPr>
                <w:rFonts w:hint="eastAsia" w:ascii="Times New Roman" w:hAnsi="Times New Roman" w:cs="Times New Roman"/>
                <w:color w:val="auto"/>
                <w:sz w:val="21"/>
                <w:lang w:val="en-US" w:eastAsia="zh-CN"/>
              </w:rPr>
              <w:t>6</w:t>
            </w:r>
            <w:r>
              <w:rPr>
                <w:rFonts w:hint="default" w:ascii="Times New Roman" w:hAnsi="Times New Roman" w:cs="Times New Roman"/>
                <w:color w:val="auto"/>
                <w:sz w:val="21"/>
              </w:rPr>
              <w:t>座，单座永久占地面积为3m×3m；电力线</w:t>
            </w:r>
            <w:r>
              <w:rPr>
                <w:rFonts w:hint="eastAsia" w:ascii="Times New Roman" w:hAnsi="Times New Roman" w:cs="Times New Roman"/>
                <w:color w:val="auto"/>
                <w:sz w:val="21"/>
                <w:lang w:val="en-US" w:eastAsia="zh-CN"/>
              </w:rPr>
              <w:t>2.5</w:t>
            </w:r>
            <w:r>
              <w:rPr>
                <w:rFonts w:hint="default" w:ascii="Times New Roman" w:hAnsi="Times New Roman" w:cs="Times New Roman"/>
                <w:color w:val="auto"/>
                <w:sz w:val="21"/>
              </w:rPr>
              <w:t>km，临时作业宽度为</w:t>
            </w:r>
            <w:r>
              <w:rPr>
                <w:rFonts w:hint="default" w:ascii="Times New Roman" w:hAnsi="Times New Roman" w:cs="Times New Roman"/>
                <w:color w:val="auto"/>
                <w:sz w:val="21"/>
                <w:lang w:val="en-US" w:eastAsia="zh-CN"/>
              </w:rPr>
              <w:t>4</w:t>
            </w:r>
            <w:r>
              <w:rPr>
                <w:rFonts w:hint="default" w:ascii="Times New Roman" w:hAnsi="Times New Roman" w:cs="Times New Roman"/>
                <w:color w:val="auto"/>
                <w:sz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746" w:type="dxa"/>
            <w:gridSpan w:val="4"/>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合计</w:t>
            </w:r>
          </w:p>
        </w:tc>
        <w:tc>
          <w:tcPr>
            <w:tcW w:w="948"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97200</w:t>
            </w:r>
          </w:p>
        </w:tc>
        <w:tc>
          <w:tcPr>
            <w:tcW w:w="84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51</w:t>
            </w:r>
            <w:r>
              <w:rPr>
                <w:rFonts w:hint="eastAsia" w:ascii="Times New Roman" w:hAnsi="Times New Roman" w:eastAsia="宋体" w:cs="Times New Roman"/>
                <w:i w:val="0"/>
                <w:iCs w:val="0"/>
                <w:color w:val="auto"/>
                <w:kern w:val="0"/>
                <w:sz w:val="21"/>
                <w:szCs w:val="21"/>
                <w:u w:val="none"/>
                <w:lang w:val="en-US" w:eastAsia="zh-CN" w:bidi="ar"/>
              </w:rPr>
              <w:t>54</w:t>
            </w:r>
          </w:p>
        </w:tc>
        <w:tc>
          <w:tcPr>
            <w:tcW w:w="753"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92</w:t>
            </w:r>
            <w:r>
              <w:rPr>
                <w:rFonts w:hint="eastAsia" w:ascii="Times New Roman" w:hAnsi="Times New Roman" w:eastAsia="宋体" w:cs="Times New Roman"/>
                <w:i w:val="0"/>
                <w:iCs w:val="0"/>
                <w:color w:val="auto"/>
                <w:kern w:val="0"/>
                <w:sz w:val="21"/>
                <w:szCs w:val="21"/>
                <w:u w:val="none"/>
                <w:lang w:val="en-US" w:eastAsia="zh-CN" w:bidi="ar"/>
              </w:rPr>
              <w:t>046</w:t>
            </w:r>
          </w:p>
        </w:tc>
        <w:tc>
          <w:tcPr>
            <w:tcW w:w="711" w:type="dxa"/>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2356" w:type="dxa"/>
            <w:tcMar>
              <w:left w:w="28" w:type="dxa"/>
              <w:right w:w="28" w:type="dxa"/>
            </w:tcMar>
            <w:vAlign w:val="center"/>
          </w:tcPr>
          <w:p>
            <w:pPr>
              <w:pStyle w:val="58"/>
              <w:rPr>
                <w:rFonts w:hint="default" w:ascii="Times New Roman" w:hAnsi="Times New Roman" w:cs="Times New Roman"/>
                <w:color w:val="auto"/>
                <w:sz w:val="21"/>
              </w:rPr>
            </w:pPr>
            <w:r>
              <w:rPr>
                <w:rFonts w:hint="default" w:ascii="Times New Roman" w:hAnsi="Times New Roman" w:cs="Times New Roman"/>
                <w:color w:val="auto"/>
                <w:sz w:val="21"/>
              </w:rPr>
              <w:t>/</w:t>
            </w:r>
          </w:p>
        </w:tc>
      </w:tr>
      <w:bookmarkEnd w:id="67"/>
      <w:bookmarkEnd w:id="71"/>
      <w:bookmarkEnd w:id="72"/>
    </w:tbl>
    <w:p>
      <w:pPr>
        <w:spacing w:line="360" w:lineRule="auto"/>
        <w:outlineLvl w:val="3"/>
        <w:rPr>
          <w:rFonts w:hint="default" w:ascii="Times New Roman" w:hAnsi="Times New Roman" w:eastAsia="宋体" w:cs="Times New Roman"/>
          <w:color w:val="auto"/>
          <w:kern w:val="0"/>
          <w:sz w:val="28"/>
          <w:szCs w:val="28"/>
          <w:lang w:val="zh-CN"/>
        </w:rPr>
      </w:pPr>
      <w:r>
        <w:rPr>
          <w:rFonts w:hint="default" w:ascii="Times New Roman" w:hAnsi="Times New Roman" w:eastAsia="宋体" w:cs="Times New Roman"/>
          <w:color w:val="auto"/>
          <w:kern w:val="0"/>
          <w:sz w:val="28"/>
          <w:szCs w:val="28"/>
        </w:rPr>
        <w:t>3.5.</w:t>
      </w:r>
      <w:r>
        <w:rPr>
          <w:rFonts w:hint="eastAsia" w:ascii="Times New Roman" w:hAnsi="Times New Roman" w:eastAsia="宋体" w:cs="Times New Roman"/>
          <w:color w:val="auto"/>
          <w:kern w:val="0"/>
          <w:sz w:val="28"/>
          <w:szCs w:val="28"/>
          <w:lang w:val="en-US" w:eastAsia="zh-CN"/>
        </w:rPr>
        <w:t>7</w:t>
      </w:r>
      <w:r>
        <w:rPr>
          <w:rFonts w:hint="default" w:ascii="Times New Roman" w:hAnsi="Times New Roman" w:eastAsia="宋体" w:cs="Times New Roman"/>
          <w:color w:val="auto"/>
          <w:kern w:val="0"/>
          <w:sz w:val="28"/>
          <w:szCs w:val="28"/>
        </w:rPr>
        <w:t>.3</w:t>
      </w:r>
      <w:r>
        <w:rPr>
          <w:rFonts w:hint="default" w:ascii="Times New Roman" w:hAnsi="Times New Roman" w:eastAsia="宋体" w:cs="Times New Roman"/>
          <w:color w:val="auto"/>
          <w:kern w:val="0"/>
          <w:sz w:val="28"/>
          <w:szCs w:val="28"/>
          <w:lang w:val="zh-CN"/>
        </w:rPr>
        <w:t>工程</w:t>
      </w:r>
      <w:r>
        <w:rPr>
          <w:rFonts w:hint="default" w:ascii="Times New Roman" w:hAnsi="Times New Roman" w:eastAsia="宋体" w:cs="Times New Roman"/>
          <w:color w:val="auto"/>
          <w:kern w:val="0"/>
          <w:sz w:val="28"/>
          <w:szCs w:val="28"/>
        </w:rPr>
        <w:t>投资</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项目总投资</w:t>
      </w:r>
      <w:r>
        <w:rPr>
          <w:rFonts w:hint="eastAsia" w:ascii="Times New Roman" w:hAnsi="Times New Roman" w:eastAsia="宋体" w:cs="Times New Roman"/>
          <w:color w:val="auto"/>
          <w:sz w:val="24"/>
          <w:lang w:eastAsia="zh-CN"/>
        </w:rPr>
        <w:t>2625.58</w:t>
      </w:r>
      <w:r>
        <w:rPr>
          <w:rFonts w:hint="default" w:ascii="Times New Roman" w:hAnsi="Times New Roman" w:eastAsia="宋体" w:cs="Times New Roman"/>
          <w:color w:val="auto"/>
          <w:sz w:val="24"/>
        </w:rPr>
        <w:t>万元，环保投资约</w:t>
      </w:r>
      <w:r>
        <w:rPr>
          <w:rFonts w:hint="eastAsia" w:ascii="Times New Roman" w:hAnsi="Times New Roman" w:eastAsia="宋体" w:cs="Times New Roman"/>
          <w:color w:val="auto"/>
          <w:sz w:val="24"/>
          <w:lang w:eastAsia="zh-CN"/>
        </w:rPr>
        <w:t>279.68</w:t>
      </w:r>
      <w:r>
        <w:rPr>
          <w:rFonts w:hint="default" w:ascii="Times New Roman" w:hAnsi="Times New Roman" w:eastAsia="宋体" w:cs="Times New Roman"/>
          <w:color w:val="auto"/>
          <w:sz w:val="24"/>
        </w:rPr>
        <w:t>万元，占总投资的</w:t>
      </w:r>
      <w:r>
        <w:rPr>
          <w:rFonts w:hint="eastAsia" w:ascii="Times New Roman" w:hAnsi="Times New Roman" w:eastAsia="宋体" w:cs="Times New Roman"/>
          <w:color w:val="auto"/>
          <w:sz w:val="24"/>
          <w:lang w:val="en-US" w:eastAsia="zh-CN"/>
        </w:rPr>
        <w:t>10.65</w:t>
      </w:r>
      <w:r>
        <w:rPr>
          <w:rFonts w:hint="default" w:ascii="Times New Roman" w:hAnsi="Times New Roman" w:eastAsia="宋体" w:cs="Times New Roman"/>
          <w:color w:val="auto"/>
          <w:sz w:val="24"/>
        </w:rPr>
        <w:t>%。</w:t>
      </w:r>
    </w:p>
    <w:p>
      <w:pPr>
        <w:tabs>
          <w:tab w:val="left" w:pos="3465"/>
        </w:tabs>
        <w:spacing w:line="360" w:lineRule="auto"/>
        <w:outlineLvl w:val="3"/>
        <w:rPr>
          <w:rFonts w:hint="default" w:ascii="Times New Roman" w:hAnsi="Times New Roman" w:eastAsia="宋体" w:cs="Times New Roman"/>
          <w:b/>
          <w:color w:val="auto"/>
          <w:sz w:val="30"/>
          <w:szCs w:val="30"/>
        </w:rPr>
      </w:pPr>
      <w:bookmarkStart w:id="73" w:name="_Hlk36566644"/>
      <w:r>
        <w:rPr>
          <w:rFonts w:hint="default" w:ascii="Times New Roman" w:hAnsi="Times New Roman" w:eastAsia="宋体" w:cs="Times New Roman"/>
          <w:color w:val="auto"/>
          <w:kern w:val="0"/>
          <w:sz w:val="28"/>
          <w:szCs w:val="28"/>
        </w:rPr>
        <w:t>3.5.</w:t>
      </w:r>
      <w:r>
        <w:rPr>
          <w:rFonts w:hint="eastAsia" w:ascii="Times New Roman" w:hAnsi="Times New Roman" w:eastAsia="宋体" w:cs="Times New Roman"/>
          <w:color w:val="auto"/>
          <w:kern w:val="0"/>
          <w:sz w:val="28"/>
          <w:szCs w:val="28"/>
          <w:lang w:val="en-US" w:eastAsia="zh-CN"/>
        </w:rPr>
        <w:t>7</w:t>
      </w:r>
      <w:r>
        <w:rPr>
          <w:rFonts w:hint="default" w:ascii="Times New Roman" w:hAnsi="Times New Roman" w:eastAsia="宋体" w:cs="Times New Roman"/>
          <w:color w:val="auto"/>
          <w:kern w:val="0"/>
          <w:sz w:val="28"/>
          <w:szCs w:val="28"/>
        </w:rPr>
        <w:t>.4能源物料消耗</w:t>
      </w:r>
    </w:p>
    <w:p>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（1）原辅材料消耗量</w:t>
      </w:r>
    </w:p>
    <w:p>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①钻井液</w:t>
      </w:r>
    </w:p>
    <w:p>
      <w:pPr>
        <w:pStyle w:val="33"/>
        <w:spacing w:line="360" w:lineRule="auto"/>
        <w:ind w:firstLine="480" w:firstLineChars="200"/>
        <w:jc w:val="left"/>
        <w:rPr>
          <w:rFonts w:hint="default" w:ascii="Times New Roman" w:hAnsi="Times New Roman" w:eastAsia="宋体" w:cs="Times New Roman"/>
          <w:b w:val="0"/>
          <w:bCs/>
          <w:color w:val="auto"/>
          <w:kern w:val="0"/>
          <w:sz w:val="28"/>
          <w:szCs w:val="28"/>
        </w:rPr>
      </w:pPr>
      <w:r>
        <w:rPr>
          <w:rFonts w:hint="default" w:ascii="Times New Roman" w:hAnsi="Times New Roman" w:eastAsia="宋体" w:cs="Times New Roman"/>
          <w:b w:val="0"/>
          <w:bCs/>
          <w:color w:val="auto"/>
        </w:rPr>
        <w:t>根据钻井工程设计，本项目新配钻井液用量为：单井一开钻井液使用量约97m</w:t>
      </w:r>
      <w:r>
        <w:rPr>
          <w:rFonts w:hint="default" w:ascii="Times New Roman" w:hAnsi="Times New Roman" w:eastAsia="宋体" w:cs="Times New Roman"/>
          <w:b w:val="0"/>
          <w:bCs/>
          <w:color w:val="auto"/>
          <w:vertAlign w:val="superscript"/>
        </w:rPr>
        <w:t>3</w:t>
      </w:r>
      <w:r>
        <w:rPr>
          <w:rFonts w:hint="default" w:ascii="Times New Roman" w:hAnsi="Times New Roman" w:eastAsia="宋体" w:cs="Times New Roman"/>
          <w:b w:val="0"/>
          <w:bCs/>
          <w:color w:val="auto"/>
        </w:rPr>
        <w:t>，二开钻井液使用量约</w:t>
      </w:r>
      <w:r>
        <w:rPr>
          <w:rFonts w:hint="eastAsia" w:ascii="Times New Roman" w:hAnsi="Times New Roman" w:eastAsia="宋体" w:cs="Times New Roman"/>
          <w:b w:val="0"/>
          <w:bCs/>
          <w:color w:val="auto"/>
          <w:lang w:val="en-US" w:eastAsia="zh-CN"/>
        </w:rPr>
        <w:t>183</w:t>
      </w:r>
      <w:r>
        <w:rPr>
          <w:rFonts w:hint="default" w:ascii="Times New Roman" w:hAnsi="Times New Roman" w:eastAsia="宋体" w:cs="Times New Roman"/>
          <w:b w:val="0"/>
          <w:bCs/>
          <w:color w:val="auto"/>
        </w:rPr>
        <w:t>m</w:t>
      </w:r>
      <w:r>
        <w:rPr>
          <w:rFonts w:hint="default" w:ascii="Times New Roman" w:hAnsi="Times New Roman" w:eastAsia="宋体" w:cs="Times New Roman"/>
          <w:b w:val="0"/>
          <w:bCs/>
          <w:color w:val="auto"/>
          <w:vertAlign w:val="superscript"/>
        </w:rPr>
        <w:t>3</w:t>
      </w:r>
      <w:r>
        <w:rPr>
          <w:rFonts w:hint="default" w:ascii="Times New Roman" w:hAnsi="Times New Roman" w:eastAsia="宋体" w:cs="Times New Roman"/>
          <w:b w:val="0"/>
          <w:bCs/>
          <w:color w:val="auto"/>
        </w:rPr>
        <w:t>，</w:t>
      </w:r>
      <w:r>
        <w:rPr>
          <w:rFonts w:hint="default" w:ascii="Times New Roman" w:hAnsi="Times New Roman" w:eastAsia="宋体" w:cs="Times New Roman"/>
          <w:b w:val="0"/>
          <w:bCs/>
          <w:color w:val="auto"/>
          <w:kern w:val="0"/>
        </w:rPr>
        <w:t>本项目新钻油井</w:t>
      </w:r>
      <w:r>
        <w:rPr>
          <w:rFonts w:hint="eastAsia" w:ascii="Times New Roman" w:hAnsi="Times New Roman" w:eastAsia="宋体" w:cs="Times New Roman"/>
          <w:b w:val="0"/>
          <w:bCs/>
          <w:color w:val="auto"/>
          <w:kern w:val="0"/>
          <w:lang w:eastAsia="zh-CN"/>
        </w:rPr>
        <w:t>6口、</w:t>
      </w:r>
      <w:r>
        <w:rPr>
          <w:rFonts w:hint="eastAsia" w:ascii="Times New Roman" w:hAnsi="Times New Roman" w:eastAsia="宋体" w:cs="Times New Roman"/>
          <w:b w:val="0"/>
          <w:bCs/>
          <w:color w:val="auto"/>
          <w:kern w:val="0"/>
          <w:lang w:val="en-US" w:eastAsia="zh-CN"/>
        </w:rPr>
        <w:t>2口注水井</w:t>
      </w:r>
      <w:r>
        <w:rPr>
          <w:rFonts w:hint="default" w:ascii="Times New Roman" w:hAnsi="Times New Roman" w:eastAsia="宋体" w:cs="Times New Roman"/>
          <w:b w:val="0"/>
          <w:bCs/>
          <w:color w:val="auto"/>
          <w:kern w:val="0"/>
        </w:rPr>
        <w:t>，</w:t>
      </w:r>
      <w:r>
        <w:rPr>
          <w:rFonts w:hint="default" w:ascii="Times New Roman" w:hAnsi="Times New Roman" w:eastAsia="宋体" w:cs="Times New Roman"/>
          <w:b w:val="0"/>
          <w:bCs/>
          <w:color w:val="auto"/>
        </w:rPr>
        <w:t>则本项目钻井液用量为</w:t>
      </w:r>
      <w:r>
        <w:rPr>
          <w:rFonts w:hint="eastAsia" w:ascii="Times New Roman" w:hAnsi="Times New Roman" w:eastAsia="宋体" w:cs="Times New Roman"/>
          <w:b w:val="0"/>
          <w:bCs/>
          <w:color w:val="auto"/>
          <w:lang w:eastAsia="zh-CN"/>
        </w:rPr>
        <w:t>2240</w:t>
      </w:r>
      <w:r>
        <w:rPr>
          <w:rFonts w:hint="default" w:ascii="Times New Roman" w:hAnsi="Times New Roman" w:eastAsia="宋体" w:cs="Times New Roman"/>
          <w:b w:val="0"/>
          <w:bCs/>
          <w:color w:val="auto"/>
        </w:rPr>
        <w:t>m</w:t>
      </w:r>
      <w:r>
        <w:rPr>
          <w:rFonts w:hint="default" w:ascii="Times New Roman" w:hAnsi="Times New Roman" w:eastAsia="宋体" w:cs="Times New Roman"/>
          <w:b w:val="0"/>
          <w:bCs/>
          <w:color w:val="auto"/>
          <w:vertAlign w:val="superscript"/>
        </w:rPr>
        <w:t>3</w:t>
      </w:r>
      <w:r>
        <w:rPr>
          <w:rFonts w:hint="default" w:ascii="Times New Roman" w:hAnsi="Times New Roman" w:eastAsia="宋体" w:cs="Times New Roman"/>
          <w:b w:val="0"/>
          <w:bCs/>
          <w:color w:val="auto"/>
        </w:rPr>
        <w:t>。</w:t>
      </w:r>
      <w:r>
        <w:rPr>
          <w:rFonts w:hint="default" w:ascii="Times New Roman" w:hAnsi="Times New Roman" w:eastAsia="宋体" w:cs="Times New Roman"/>
          <w:b w:val="0"/>
          <w:bCs/>
          <w:color w:val="auto"/>
          <w:kern w:val="0"/>
        </w:rPr>
        <w:t>钻井液设计用量见表3.5-1</w:t>
      </w:r>
      <w:r>
        <w:rPr>
          <w:rFonts w:hint="eastAsia" w:ascii="Times New Roman" w:hAnsi="Times New Roman" w:eastAsia="宋体" w:cs="Times New Roman"/>
          <w:b w:val="0"/>
          <w:bCs/>
          <w:color w:val="auto"/>
          <w:kern w:val="0"/>
          <w:lang w:val="en-US" w:eastAsia="zh-CN"/>
        </w:rPr>
        <w:t>2</w:t>
      </w:r>
      <w:r>
        <w:rPr>
          <w:rFonts w:hint="default" w:ascii="Times New Roman" w:hAnsi="Times New Roman" w:eastAsia="宋体" w:cs="Times New Roman"/>
          <w:b w:val="0"/>
          <w:bCs/>
          <w:color w:val="auto"/>
          <w:kern w:val="0"/>
        </w:rPr>
        <w:t>。</w:t>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表3.5-1</w:t>
      </w:r>
      <w:r>
        <w:rPr>
          <w:rFonts w:hint="eastAsia"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 xml:space="preserve">  单井钻井液材料用量设计</w:t>
      </w:r>
    </w:p>
    <w:tbl>
      <w:tblPr>
        <w:tblStyle w:val="3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1865"/>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4790"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开钻次序</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一开</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二开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4790"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钻头尺寸mm</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444.5</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4790"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井段m</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0</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4790"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井筒容积m</w:t>
            </w:r>
            <w:r>
              <w:rPr>
                <w:rFonts w:hint="default" w:ascii="Times New Roman" w:hAnsi="Times New Roman" w:eastAsia="宋体" w:cs="Times New Roman"/>
                <w:color w:val="auto"/>
                <w:kern w:val="0"/>
                <w:szCs w:val="21"/>
                <w:vertAlign w:val="superscript"/>
              </w:rPr>
              <w:t>3</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34</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4790"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钻井液用量m</w:t>
            </w:r>
            <w:r>
              <w:rPr>
                <w:rFonts w:hint="default" w:ascii="Times New Roman" w:hAnsi="Times New Roman" w:eastAsia="宋体" w:cs="Times New Roman"/>
                <w:color w:val="auto"/>
                <w:kern w:val="0"/>
                <w:szCs w:val="21"/>
                <w:vertAlign w:val="superscript"/>
              </w:rPr>
              <w:t>3</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4790"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新配钻井液用量m</w:t>
            </w:r>
            <w:r>
              <w:rPr>
                <w:rFonts w:hint="default" w:ascii="Times New Roman" w:hAnsi="Times New Roman" w:eastAsia="宋体" w:cs="Times New Roman"/>
                <w:color w:val="auto"/>
                <w:kern w:val="0"/>
                <w:szCs w:val="21"/>
                <w:vertAlign w:val="superscript"/>
              </w:rPr>
              <w:t>3</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w:t>
            </w:r>
          </w:p>
        </w:tc>
        <w:tc>
          <w:tcPr>
            <w:tcW w:w="1865" w:type="dxa"/>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83</w:t>
            </w:r>
          </w:p>
        </w:tc>
      </w:tr>
    </w:tbl>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钻井需要使用钻井液，构成循环流体，从而将钻井岩屑从井底携带至地面。本项目钻井采用无毒无害的水基钻井液，主要成分是NaCl、有机盐、KCl和坂土、复配铵盐、重晶石等。</w:t>
      </w:r>
    </w:p>
    <w:p>
      <w:pPr>
        <w:widowControl/>
        <w:spacing w:line="360" w:lineRule="auto"/>
        <w:ind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kern w:val="0"/>
          <w:sz w:val="24"/>
          <w:lang w:val="en-US" w:eastAsia="zh-CN"/>
        </w:rPr>
        <w:t>②</w:t>
      </w:r>
      <w:r>
        <w:rPr>
          <w:rFonts w:hint="default" w:ascii="Times New Roman" w:hAnsi="Times New Roman" w:eastAsia="宋体" w:cs="Times New Roman"/>
          <w:color w:val="auto"/>
          <w:kern w:val="0"/>
          <w:sz w:val="24"/>
        </w:rPr>
        <w:t>柴油</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本项目钻机钻进由柴油机供电驱动，</w:t>
      </w:r>
      <w:r>
        <w:rPr>
          <w:rFonts w:hint="default" w:ascii="Times New Roman" w:hAnsi="Times New Roman" w:eastAsia="宋体" w:cs="Times New Roman"/>
          <w:color w:val="auto"/>
          <w:sz w:val="24"/>
        </w:rPr>
        <w:t>每个井队配备钻井钻机（电钻）2台，柴油发电机2台，柴油消耗量平均2t/d，本项目新钻井</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lang w:eastAsia="zh-CN"/>
        </w:rPr>
        <w:t>口，</w:t>
      </w:r>
      <w:r>
        <w:rPr>
          <w:rFonts w:hint="default" w:ascii="Times New Roman" w:hAnsi="Times New Roman" w:eastAsia="宋体" w:cs="Times New Roman"/>
          <w:color w:val="auto"/>
          <w:sz w:val="24"/>
        </w:rPr>
        <w:t>单井平均钻井周期</w:t>
      </w:r>
      <w:r>
        <w:rPr>
          <w:rFonts w:hint="eastAsia"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rPr>
        <w:t>d，施工期间共耗柴油</w:t>
      </w:r>
      <w:r>
        <w:rPr>
          <w:rFonts w:hint="eastAsia" w:ascii="Times New Roman" w:hAnsi="Times New Roman" w:eastAsia="宋体" w:cs="Times New Roman"/>
          <w:color w:val="auto"/>
          <w:sz w:val="24"/>
          <w:lang w:eastAsia="zh-CN"/>
        </w:rPr>
        <w:t>256</w:t>
      </w:r>
      <w:r>
        <w:rPr>
          <w:rFonts w:hint="default" w:ascii="Times New Roman" w:hAnsi="Times New Roman" w:eastAsia="宋体" w:cs="Times New Roman"/>
          <w:color w:val="auto"/>
          <w:sz w:val="24"/>
        </w:rPr>
        <w:t>t。</w:t>
      </w:r>
    </w:p>
    <w:p>
      <w:pPr>
        <w:widowControl/>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（2）主要原辅材料理化性</w:t>
      </w:r>
      <w:r>
        <w:rPr>
          <w:rFonts w:hint="eastAsia" w:ascii="Times New Roman" w:hAnsi="Times New Roman" w:eastAsia="宋体" w:cs="Times New Roman"/>
          <w:color w:val="auto"/>
          <w:kern w:val="0"/>
          <w:sz w:val="24"/>
          <w:lang w:val="en-US" w:eastAsia="zh-CN"/>
        </w:rPr>
        <w:t>质</w:t>
      </w:r>
    </w:p>
    <w:p>
      <w:pPr>
        <w:spacing w:line="360" w:lineRule="auto"/>
        <w:ind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kern w:val="0"/>
          <w:sz w:val="24"/>
          <w:lang w:val="en-US" w:eastAsia="zh-CN"/>
        </w:rPr>
        <w:t>本项目</w:t>
      </w:r>
      <w:r>
        <w:rPr>
          <w:rFonts w:hint="default" w:ascii="Times New Roman" w:hAnsi="Times New Roman" w:eastAsia="宋体" w:cs="Times New Roman"/>
          <w:color w:val="auto"/>
          <w:kern w:val="0"/>
          <w:sz w:val="24"/>
        </w:rPr>
        <w:t>钻井液主要成分理化性质见表3.5-1</w:t>
      </w:r>
      <w:r>
        <w:rPr>
          <w:rFonts w:hint="eastAsia"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w:t>
      </w:r>
    </w:p>
    <w:p>
      <w:pPr>
        <w:spacing w:line="360" w:lineRule="auto"/>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表3.5-1</w:t>
      </w:r>
      <w:r>
        <w:rPr>
          <w:rFonts w:hint="eastAsia" w:ascii="Times New Roman" w:hAnsi="Times New Roman" w:eastAsia="宋体" w:cs="Times New Roman"/>
          <w:b/>
          <w:bCs/>
          <w:color w:val="auto"/>
          <w:kern w:val="0"/>
          <w:szCs w:val="21"/>
          <w:lang w:val="en-US" w:eastAsia="zh-CN"/>
        </w:rPr>
        <w:t>3</w:t>
      </w:r>
      <w:r>
        <w:rPr>
          <w:rFonts w:hint="default" w:ascii="Times New Roman" w:hAnsi="Times New Roman" w:eastAsia="宋体" w:cs="Times New Roman"/>
          <w:b/>
          <w:bCs/>
          <w:color w:val="auto"/>
          <w:kern w:val="0"/>
          <w:szCs w:val="21"/>
        </w:rPr>
        <w:t xml:space="preserve">  钻井液主要成分理化性质</w:t>
      </w:r>
    </w:p>
    <w:tbl>
      <w:tblPr>
        <w:tblStyle w:val="3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033"/>
        <w:gridCol w:w="6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类型</w:t>
            </w:r>
          </w:p>
        </w:tc>
        <w:tc>
          <w:tcPr>
            <w:tcW w:w="1033" w:type="dxa"/>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成分</w:t>
            </w:r>
          </w:p>
        </w:tc>
        <w:tc>
          <w:tcPr>
            <w:tcW w:w="6726" w:type="dxa"/>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restart"/>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水基钻井液</w:t>
            </w:r>
          </w:p>
        </w:tc>
        <w:tc>
          <w:tcPr>
            <w:tcW w:w="1033"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坂土</w:t>
            </w:r>
          </w:p>
        </w:tc>
        <w:tc>
          <w:tcPr>
            <w:tcW w:w="6726"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又称膨润土，主要成分为蒙脱石，外观是适当粒度的粉末，因含杂质的不同，有白色、灰色、灰黄色和紫红色等颜色，易吸潮，吸潮后结块。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center"/>
          </w:tcPr>
          <w:p>
            <w:pPr>
              <w:rPr>
                <w:rFonts w:hint="default" w:ascii="Times New Roman" w:hAnsi="Times New Roman" w:eastAsia="宋体" w:cs="Times New Roman"/>
                <w:color w:val="auto"/>
                <w:kern w:val="0"/>
                <w:szCs w:val="21"/>
              </w:rPr>
            </w:pPr>
          </w:p>
        </w:tc>
        <w:tc>
          <w:tcPr>
            <w:tcW w:w="1033" w:type="dxa"/>
            <w:vAlign w:val="center"/>
          </w:tcPr>
          <w:p>
            <w:pPr>
              <w:spacing w:line="12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CMC</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中</w:t>
            </w:r>
            <w:r>
              <w:rPr>
                <w:rFonts w:hint="eastAsia" w:ascii="Times New Roman" w:hAnsi="Times New Roman" w:eastAsia="宋体" w:cs="Times New Roman"/>
                <w:color w:val="auto"/>
                <w:kern w:val="0"/>
                <w:szCs w:val="21"/>
                <w:lang w:eastAsia="zh-CN"/>
              </w:rPr>
              <w:t>）</w:t>
            </w:r>
          </w:p>
        </w:tc>
        <w:tc>
          <w:tcPr>
            <w:tcW w:w="6726"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MC（羧甲基纤维素钠）为白色或乳白色纤维状粉末或颗粒，密度0.5-0.7克/立方厘米，几乎无臭、无味，具吸湿性。易于分散在水中成透明胶状溶液，在乙醇等有机溶媒中不溶。1%水溶液pH为6.5～8.5，当pH&gt;10或&lt;5时，胶浆粘度显著降低，在pH=7时性能最佳。对热稳定，在20℃以下粘度迅速上升，45℃时变化较慢，80℃以上长时间加热可使其胶体变性而粘度和性能明显下降。易溶于水，溶液透明；在碱性溶液中很稳定，遇酸则易水解，</w:t>
            </w:r>
            <w:r>
              <w:rPr>
                <w:rFonts w:hint="default" w:ascii="Times New Roman" w:hAnsi="Times New Roman" w:eastAsia="宋体" w:cs="Times New Roman"/>
                <w:color w:val="auto"/>
                <w:kern w:val="0"/>
                <w:szCs w:val="21"/>
                <w:lang w:eastAsia="zh-CN"/>
              </w:rPr>
              <w:t>pH值</w:t>
            </w:r>
            <w:r>
              <w:rPr>
                <w:rFonts w:hint="default" w:ascii="Times New Roman" w:hAnsi="Times New Roman" w:eastAsia="宋体" w:cs="Times New Roman"/>
                <w:color w:val="auto"/>
                <w:kern w:val="0"/>
                <w:szCs w:val="21"/>
              </w:rPr>
              <w:t>为2-3时会出现沉淀，遇多价金属盐也会反应出现沉。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center"/>
          </w:tcPr>
          <w:p>
            <w:pPr>
              <w:rPr>
                <w:rFonts w:hint="default" w:ascii="Times New Roman" w:hAnsi="Times New Roman" w:eastAsia="宋体" w:cs="Times New Roman"/>
                <w:color w:val="auto"/>
                <w:kern w:val="0"/>
                <w:szCs w:val="21"/>
              </w:rPr>
            </w:pPr>
          </w:p>
        </w:tc>
        <w:tc>
          <w:tcPr>
            <w:tcW w:w="1033" w:type="dxa"/>
            <w:vAlign w:val="center"/>
          </w:tcPr>
          <w:p>
            <w:pPr>
              <w:spacing w:line="12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Na</w:t>
            </w:r>
            <w:r>
              <w:rPr>
                <w:rFonts w:hint="default" w:ascii="Times New Roman" w:hAnsi="Times New Roman" w:eastAsia="宋体" w:cs="Times New Roman"/>
                <w:color w:val="auto"/>
                <w:kern w:val="0"/>
                <w:szCs w:val="21"/>
                <w:vertAlign w:val="subscript"/>
              </w:rPr>
              <w:t>2</w:t>
            </w:r>
            <w:r>
              <w:rPr>
                <w:rFonts w:hint="default" w:ascii="Times New Roman" w:hAnsi="Times New Roman" w:eastAsia="宋体" w:cs="Times New Roman"/>
                <w:color w:val="auto"/>
                <w:kern w:val="0"/>
                <w:szCs w:val="21"/>
              </w:rPr>
              <w:t>CO</w:t>
            </w:r>
            <w:r>
              <w:rPr>
                <w:rFonts w:hint="default" w:ascii="Times New Roman" w:hAnsi="Times New Roman" w:eastAsia="宋体" w:cs="Times New Roman"/>
                <w:color w:val="auto"/>
                <w:kern w:val="0"/>
                <w:szCs w:val="21"/>
                <w:vertAlign w:val="subscript"/>
              </w:rPr>
              <w:t>3</w:t>
            </w:r>
          </w:p>
        </w:tc>
        <w:tc>
          <w:tcPr>
            <w:tcW w:w="6726"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碳酸钠</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Sodium Carbonate</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，是一种</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"https://baike.baidu.com/item/%E6%97%A0%E6%9C%BA%E5%8C%96%E5%90%88%E7%89%A9/10716655?fromModule=lemma_inlink" \t "https://baike.baidu.com/item/%E7%A2%B3%E9%85%B8%E9%92%A0/_blank"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0"/>
                <w:szCs w:val="21"/>
              </w:rPr>
              <w:t>无机化合物</w:t>
            </w:r>
            <w:r>
              <w:rPr>
                <w:rFonts w:hint="default" w:ascii="Times New Roman" w:hAnsi="Times New Roman" w:eastAsia="宋体" w:cs="Times New Roman"/>
                <w:color w:val="auto"/>
                <w:kern w:val="0"/>
                <w:szCs w:val="21"/>
              </w:rPr>
              <w:fldChar w:fldCharType="end"/>
            </w:r>
            <w:r>
              <w:rPr>
                <w:rFonts w:hint="default" w:ascii="Times New Roman" w:hAnsi="Times New Roman" w:eastAsia="宋体" w:cs="Times New Roman"/>
                <w:color w:val="auto"/>
                <w:kern w:val="0"/>
                <w:szCs w:val="21"/>
              </w:rPr>
              <w:t>，又叫纯碱，但分类属于盐，不属于碱，国际贸易中又名苏打或碱灰。碳酸钠是一种白色粉末，无味无臭，易溶于水，水溶液呈强碱性，在潮湿的空气里会吸潮结块，部分变为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"https://baike.baidu.com/item/%E7%A2%B3%E9%85%B8%E6%B0%A2%E9%92%A0/2735773?fromModule=lemma_inlink" \t "https://baike.baidu.com/item/%E7%A2%B3%E9%85%B8%E9%92%A0/_blank"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0"/>
                <w:szCs w:val="21"/>
              </w:rPr>
              <w:t>碳酸氢钠</w:t>
            </w:r>
            <w:r>
              <w:rPr>
                <w:rFonts w:hint="default" w:ascii="Times New Roman" w:hAnsi="Times New Roman" w:eastAsia="宋体" w:cs="Times New Roman"/>
                <w:color w:val="auto"/>
                <w:kern w:val="0"/>
                <w:szCs w:val="21"/>
              </w:rPr>
              <w:fldChar w:fldCharType="end"/>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center"/>
          </w:tcPr>
          <w:p>
            <w:pPr>
              <w:jc w:val="center"/>
              <w:rPr>
                <w:rFonts w:hint="default" w:ascii="Times New Roman" w:hAnsi="Times New Roman" w:eastAsia="宋体" w:cs="Times New Roman"/>
                <w:color w:val="auto"/>
                <w:szCs w:val="21"/>
              </w:rPr>
            </w:pPr>
          </w:p>
        </w:tc>
        <w:tc>
          <w:tcPr>
            <w:tcW w:w="1033"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NaOH</w:t>
            </w:r>
          </w:p>
        </w:tc>
        <w:tc>
          <w:tcPr>
            <w:tcW w:w="6726"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氢氧化钠又称烧碱、火碱或苛性钠。白色结晶，有液体、固体片状三种产品，纯度从50%至99%不等，密度2～2.2g/cm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，易吸潮，有强烈的腐蚀性。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center"/>
          </w:tcPr>
          <w:p>
            <w:pPr>
              <w:jc w:val="center"/>
              <w:rPr>
                <w:rFonts w:hint="default" w:ascii="Times New Roman" w:hAnsi="Times New Roman" w:eastAsia="宋体" w:cs="Times New Roman"/>
                <w:color w:val="auto"/>
                <w:kern w:val="0"/>
                <w:szCs w:val="21"/>
              </w:rPr>
            </w:pPr>
          </w:p>
        </w:tc>
        <w:tc>
          <w:tcPr>
            <w:tcW w:w="103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SP-8</w:t>
            </w:r>
          </w:p>
        </w:tc>
        <w:tc>
          <w:tcPr>
            <w:tcW w:w="6726"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聚丙烯酰胺钾盐，一种无色无味的结晶体，常见于粉末状或颗粒状。其分子结构含有聚丙烯酰胺基团和钾离子，具有良好的溶解性和稳定性。聚丙烯酰胺钾盐在水中具有高度的吸水性，能迅速形成胶体溶液。此外，它还具有较好的胶凝性和黏附性，可用于沉淀、固化和黏合等多种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center"/>
          </w:tcPr>
          <w:p>
            <w:pPr>
              <w:jc w:val="center"/>
              <w:rPr>
                <w:rFonts w:hint="default" w:ascii="Times New Roman" w:hAnsi="Times New Roman" w:eastAsia="宋体" w:cs="Times New Roman"/>
                <w:color w:val="auto"/>
                <w:kern w:val="0"/>
                <w:szCs w:val="21"/>
              </w:rPr>
            </w:pPr>
          </w:p>
        </w:tc>
        <w:tc>
          <w:tcPr>
            <w:tcW w:w="103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PMHA-2</w:t>
            </w:r>
          </w:p>
        </w:tc>
        <w:tc>
          <w:tcPr>
            <w:tcW w:w="6726" w:type="dxa"/>
            <w:vAlign w:val="center"/>
          </w:tcPr>
          <w:p>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color w:val="auto"/>
                <w:kern w:val="0"/>
                <w:szCs w:val="21"/>
              </w:rPr>
              <w:t>复合金属两性离子聚合物，由复合金属离子与乙烯基单体，阳离子单体聚合而成。产品外观呈白色或灰色细颗粒或粉末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center"/>
          </w:tcPr>
          <w:p>
            <w:pPr>
              <w:jc w:val="center"/>
              <w:rPr>
                <w:rFonts w:hint="default" w:ascii="Times New Roman" w:hAnsi="Times New Roman" w:eastAsia="宋体" w:cs="Times New Roman"/>
                <w:color w:val="auto"/>
                <w:kern w:val="0"/>
                <w:szCs w:val="21"/>
              </w:rPr>
            </w:pPr>
          </w:p>
        </w:tc>
        <w:tc>
          <w:tcPr>
            <w:tcW w:w="103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复配铵盐</w:t>
            </w:r>
          </w:p>
        </w:tc>
        <w:tc>
          <w:tcPr>
            <w:tcW w:w="6726"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淡黄色粉末，溶于水，含有-COOH、-COONH</w:t>
            </w:r>
            <w:r>
              <w:rPr>
                <w:rFonts w:hint="default" w:ascii="Times New Roman" w:hAnsi="Times New Roman" w:eastAsia="宋体" w:cs="Times New Roman"/>
                <w:color w:val="auto"/>
                <w:kern w:val="0"/>
                <w:szCs w:val="21"/>
                <w:vertAlign w:val="subscript"/>
              </w:rPr>
              <w:t>4</w:t>
            </w:r>
            <w:r>
              <w:rPr>
                <w:rFonts w:hint="default" w:ascii="Times New Roman" w:hAnsi="Times New Roman" w:eastAsia="宋体" w:cs="Times New Roman"/>
                <w:color w:val="auto"/>
                <w:kern w:val="0"/>
                <w:szCs w:val="21"/>
              </w:rPr>
              <w:t>，-CONH、-CONH</w:t>
            </w:r>
            <w:r>
              <w:rPr>
                <w:rFonts w:hint="default" w:ascii="Times New Roman" w:hAnsi="Times New Roman" w:eastAsia="宋体" w:cs="Times New Roman"/>
                <w:color w:val="auto"/>
                <w:kern w:val="0"/>
                <w:szCs w:val="21"/>
                <w:vertAlign w:val="subscript"/>
              </w:rPr>
              <w:t>2</w:t>
            </w:r>
            <w:r>
              <w:rPr>
                <w:rFonts w:hint="default" w:ascii="Times New Roman" w:hAnsi="Times New Roman" w:eastAsia="宋体" w:cs="Times New Roman"/>
                <w:color w:val="auto"/>
                <w:kern w:val="0"/>
                <w:szCs w:val="21"/>
              </w:rPr>
              <w:t>、-CN等基团，分子量在10000~50000之间，有降低高压差失水的功能和良好的热稳定性。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center"/>
          </w:tcPr>
          <w:p>
            <w:pPr>
              <w:jc w:val="center"/>
              <w:rPr>
                <w:rFonts w:hint="default" w:ascii="Times New Roman" w:hAnsi="Times New Roman" w:eastAsia="宋体" w:cs="Times New Roman"/>
                <w:color w:val="auto"/>
                <w:kern w:val="0"/>
                <w:szCs w:val="21"/>
              </w:rPr>
            </w:pPr>
          </w:p>
        </w:tc>
        <w:tc>
          <w:tcPr>
            <w:tcW w:w="103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阳离子乳化沥青</w:t>
            </w:r>
          </w:p>
        </w:tc>
        <w:tc>
          <w:tcPr>
            <w:tcW w:w="6726"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沥青粉，又称沥青沉淀物，是一种从石油沥青中提取的黏稠物质，主要由芳香类和</w:t>
            </w:r>
            <w:r>
              <w:rPr>
                <w:rFonts w:hint="default" w:ascii="Times New Roman" w:hAnsi="Times New Roman" w:eastAsia="宋体" w:cs="Times New Roman"/>
                <w:color w:val="auto"/>
                <w:kern w:val="0"/>
                <w:szCs w:val="21"/>
                <w:lang w:eastAsia="zh-CN"/>
              </w:rPr>
              <w:t>环烷烃</w:t>
            </w:r>
            <w:r>
              <w:rPr>
                <w:rFonts w:hint="default" w:ascii="Times New Roman" w:hAnsi="Times New Roman" w:eastAsia="宋体" w:cs="Times New Roman"/>
                <w:color w:val="auto"/>
                <w:kern w:val="0"/>
                <w:szCs w:val="21"/>
              </w:rPr>
              <w:t>类组成。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vAlign w:val="center"/>
          </w:tcPr>
          <w:p>
            <w:pPr>
              <w:jc w:val="center"/>
              <w:rPr>
                <w:rFonts w:hint="default" w:ascii="Times New Roman" w:hAnsi="Times New Roman" w:eastAsia="宋体" w:cs="Times New Roman"/>
                <w:color w:val="auto"/>
                <w:kern w:val="0"/>
                <w:szCs w:val="21"/>
              </w:rPr>
            </w:pPr>
          </w:p>
        </w:tc>
        <w:tc>
          <w:tcPr>
            <w:tcW w:w="103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碳酸钙</w:t>
            </w:r>
          </w:p>
        </w:tc>
        <w:tc>
          <w:tcPr>
            <w:tcW w:w="6726" w:type="dxa"/>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碳酸钙是一种</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"https://baike.baidu.com/item/%E6%97%A0%E6%9C%BA%E5%8C%96%E5%90%88%E7%89%A9/10716655?fromModule=lemma_inlink" \t "https://baike.baidu.com/item/%E7%A2%B3%E9%85%B8%E9%92%99/_blank"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0"/>
                <w:szCs w:val="21"/>
              </w:rPr>
              <w:t>无机化合物</w:t>
            </w:r>
            <w:r>
              <w:rPr>
                <w:rFonts w:hint="default" w:ascii="Times New Roman" w:hAnsi="Times New Roman" w:eastAsia="宋体" w:cs="Times New Roman"/>
                <w:color w:val="auto"/>
                <w:kern w:val="0"/>
                <w:szCs w:val="21"/>
              </w:rPr>
              <w:fldChar w:fldCharType="end"/>
            </w:r>
            <w:r>
              <w:rPr>
                <w:rFonts w:hint="default" w:ascii="Times New Roman" w:hAnsi="Times New Roman" w:eastAsia="宋体" w:cs="Times New Roman"/>
                <w:color w:val="auto"/>
                <w:kern w:val="0"/>
                <w:szCs w:val="21"/>
              </w:rPr>
              <w:t>，是石灰石、大理石等的主要成分。碳酸钙通常为白色晶体，无味，基本上不溶于水，易与酸反应放出二氧化碳。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vMerge w:val="continue"/>
          </w:tcPr>
          <w:p>
            <w:pPr>
              <w:jc w:val="center"/>
              <w:rPr>
                <w:rFonts w:hint="default" w:ascii="Times New Roman" w:hAnsi="Times New Roman" w:eastAsia="宋体" w:cs="Times New Roman"/>
                <w:color w:val="auto"/>
                <w:kern w:val="0"/>
                <w:szCs w:val="21"/>
              </w:rPr>
            </w:pPr>
          </w:p>
        </w:tc>
        <w:tc>
          <w:tcPr>
            <w:tcW w:w="1033" w:type="dxa"/>
            <w:vAlign w:val="center"/>
          </w:tcPr>
          <w:p>
            <w:pPr>
              <w:spacing w:line="120" w:lineRule="atLeas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重晶石</w:t>
            </w:r>
          </w:p>
        </w:tc>
        <w:tc>
          <w:tcPr>
            <w:tcW w:w="6726" w:type="dxa"/>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化学组成为BaSO4，常呈厚板状或柱状晶体，多为致密块状、板状或粒状集合体。质纯时无色透明，含杂质时被染成各种颜色，条痕白色，玻璃光泽，透明至半透明。</w:t>
            </w:r>
          </w:p>
        </w:tc>
      </w:tr>
    </w:tbl>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7</w:t>
      </w:r>
      <w:r>
        <w:rPr>
          <w:rFonts w:hint="default" w:ascii="Times New Roman" w:hAnsi="Times New Roman" w:cs="Times New Roman"/>
          <w:color w:val="auto"/>
          <w:kern w:val="0"/>
          <w:sz w:val="28"/>
          <w:szCs w:val="28"/>
        </w:rPr>
        <w:t>.5劳动定员</w:t>
      </w:r>
    </w:p>
    <w:p>
      <w:pPr>
        <w:spacing w:line="360" w:lineRule="auto"/>
        <w:ind w:firstLine="480"/>
        <w:rPr>
          <w:rFonts w:hint="default" w:ascii="Times New Roman" w:hAnsi="Times New Roman" w:eastAsia="宋体" w:cs="Times New Roman"/>
          <w:b/>
          <w:color w:val="auto"/>
          <w:sz w:val="30"/>
          <w:szCs w:val="30"/>
        </w:rPr>
      </w:pPr>
      <w:r>
        <w:rPr>
          <w:rFonts w:hint="default" w:ascii="Times New Roman" w:hAnsi="Times New Roman" w:eastAsia="宋体" w:cs="Times New Roman"/>
          <w:color w:val="auto"/>
          <w:sz w:val="24"/>
        </w:rPr>
        <w:t>本项目运营期不新增定员，运营期人员均依托公司现有人员，由</w:t>
      </w:r>
      <w:r>
        <w:rPr>
          <w:rFonts w:hint="default" w:ascii="Times New Roman" w:hAnsi="Times New Roman" w:eastAsia="宋体" w:cs="Times New Roman"/>
          <w:color w:val="auto"/>
          <w:kern w:val="0"/>
          <w:sz w:val="24"/>
        </w:rPr>
        <w:t>中国石油新疆油田分公司陆梁油田作业区</w:t>
      </w:r>
      <w:r>
        <w:rPr>
          <w:rFonts w:hint="default" w:ascii="Times New Roman" w:hAnsi="Times New Roman" w:eastAsia="宋体" w:cs="Times New Roman"/>
          <w:color w:val="auto"/>
          <w:sz w:val="24"/>
        </w:rPr>
        <w:t>负责管理运行。</w:t>
      </w:r>
      <w:bookmarkEnd w:id="73"/>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3.5.</w:t>
      </w:r>
      <w:r>
        <w:rPr>
          <w:rFonts w:hint="eastAsia" w:ascii="Times New Roman" w:hAnsi="Times New Roman" w:eastAsia="宋体" w:cs="Times New Roman"/>
          <w:b/>
          <w:color w:val="auto"/>
          <w:sz w:val="30"/>
          <w:szCs w:val="30"/>
          <w:lang w:val="en-US" w:eastAsia="zh-CN"/>
        </w:rPr>
        <w:t>8</w:t>
      </w:r>
      <w:r>
        <w:rPr>
          <w:rFonts w:hint="default" w:ascii="Times New Roman" w:hAnsi="Times New Roman" w:eastAsia="宋体" w:cs="Times New Roman"/>
          <w:b/>
          <w:color w:val="auto"/>
          <w:sz w:val="30"/>
          <w:szCs w:val="30"/>
        </w:rPr>
        <w:t>公辅工程</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8</w:t>
      </w:r>
      <w:r>
        <w:rPr>
          <w:rFonts w:hint="default" w:ascii="Times New Roman" w:hAnsi="Times New Roman" w:cs="Times New Roman"/>
          <w:color w:val="auto"/>
          <w:kern w:val="0"/>
          <w:sz w:val="28"/>
          <w:szCs w:val="28"/>
        </w:rPr>
        <w:t>.1防腐保温</w:t>
      </w:r>
    </w:p>
    <w:p>
      <w:pPr>
        <w:widowControl/>
        <w:spacing w:line="360" w:lineRule="auto"/>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szCs w:val="32"/>
        </w:rPr>
        <w:t>（1）</w:t>
      </w:r>
      <w:r>
        <w:rPr>
          <w:rFonts w:hint="default" w:ascii="Times New Roman" w:hAnsi="Times New Roman" w:eastAsia="宋体" w:cs="Times New Roman"/>
          <w:color w:val="auto"/>
          <w:kern w:val="0"/>
          <w:sz w:val="24"/>
        </w:rPr>
        <w:t>玻璃钢管管体外壁：保温层采用硬质聚氨酯泡沫塑料，厚度为30mm，厚度偏差±3mm；防护层采用聚乙烯塑料，厚度≥3.0mm。采用“管中管法”施工工艺。</w:t>
      </w:r>
    </w:p>
    <w:p>
      <w:pPr>
        <w:widowControl/>
        <w:spacing w:line="360" w:lineRule="auto"/>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szCs w:val="32"/>
        </w:rPr>
        <w:t>（2）</w:t>
      </w:r>
      <w:r>
        <w:rPr>
          <w:rFonts w:hint="default" w:ascii="Times New Roman" w:hAnsi="Times New Roman" w:eastAsia="宋体" w:cs="Times New Roman"/>
          <w:color w:val="auto"/>
          <w:kern w:val="0"/>
          <w:sz w:val="24"/>
        </w:rPr>
        <w:t>埋地管道钢接头：弹性聚氨酯防腐漆底漆-面漆-面漆、玻璃布、面漆-面漆、玻璃布、面漆-面漆，防腐层干膜厚度≥600μm。除锈等级为St3级。</w:t>
      </w:r>
    </w:p>
    <w:p>
      <w:pPr>
        <w:widowControl/>
        <w:spacing w:line="360" w:lineRule="auto"/>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rPr>
        <w:t>钢材表面处理优先选择喷砂除锈，除锈要求不低于Sa2.5级，锚纹深度一般要求达到40~90μm。只有无法实施喷砂除锈的局部区域允许使用手工动力工具除锈，除锈要求不低于St3级。表面处理后的钢材表面应清除干净，管道表面灰尘度应达到GB/T 18570.3规定的2级。防腐层的</w:t>
      </w:r>
      <w:r>
        <w:rPr>
          <w:rFonts w:hint="eastAsia" w:ascii="Times New Roman" w:hAnsi="Times New Roman" w:eastAsia="宋体" w:cs="Times New Roman"/>
          <w:color w:val="auto"/>
          <w:kern w:val="0"/>
          <w:sz w:val="24"/>
          <w:lang w:eastAsia="zh-CN"/>
        </w:rPr>
        <w:t>涂覆</w:t>
      </w:r>
      <w:r>
        <w:rPr>
          <w:rFonts w:hint="default" w:ascii="Times New Roman" w:hAnsi="Times New Roman" w:eastAsia="宋体" w:cs="Times New Roman"/>
          <w:color w:val="auto"/>
          <w:kern w:val="0"/>
          <w:sz w:val="24"/>
        </w:rPr>
        <w:t>应按照涂料说明及施工图要求进行，控制每道涂料</w:t>
      </w:r>
      <w:r>
        <w:rPr>
          <w:rFonts w:hint="eastAsia" w:ascii="Times New Roman" w:hAnsi="Times New Roman" w:eastAsia="宋体" w:cs="Times New Roman"/>
          <w:color w:val="auto"/>
          <w:kern w:val="0"/>
          <w:sz w:val="24"/>
          <w:lang w:eastAsia="zh-CN"/>
        </w:rPr>
        <w:t>涂敷</w:t>
      </w:r>
      <w:r>
        <w:rPr>
          <w:rFonts w:hint="default" w:ascii="Times New Roman" w:hAnsi="Times New Roman" w:eastAsia="宋体" w:cs="Times New Roman"/>
          <w:color w:val="auto"/>
          <w:kern w:val="0"/>
          <w:sz w:val="24"/>
        </w:rPr>
        <w:t>间隔时间。</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8</w:t>
      </w:r>
      <w:r>
        <w:rPr>
          <w:rFonts w:hint="default" w:ascii="Times New Roman" w:hAnsi="Times New Roman" w:cs="Times New Roman"/>
          <w:color w:val="auto"/>
          <w:kern w:val="0"/>
          <w:sz w:val="28"/>
          <w:szCs w:val="28"/>
        </w:rPr>
        <w:t>.2供配电工程</w:t>
      </w:r>
    </w:p>
    <w:p>
      <w:pPr>
        <w:widowControl/>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根据采油井场分布，本次油田开发区块采用单变压器带单井的配电方式，每1口新建井场需设1座</w:t>
      </w:r>
      <w:r>
        <w:rPr>
          <w:rFonts w:hint="eastAsia" w:ascii="Times New Roman" w:hAnsi="Times New Roman" w:eastAsia="宋体" w:cs="Times New Roman"/>
          <w:color w:val="auto"/>
          <w:kern w:val="0"/>
          <w:sz w:val="24"/>
          <w:lang w:eastAsia="zh-CN"/>
        </w:rPr>
        <w:t>50kVA</w:t>
      </w:r>
      <w:r>
        <w:rPr>
          <w:rFonts w:hint="default" w:ascii="Times New Roman" w:hAnsi="Times New Roman" w:eastAsia="宋体" w:cs="Times New Roman"/>
          <w:color w:val="auto"/>
          <w:kern w:val="0"/>
          <w:sz w:val="24"/>
        </w:rPr>
        <w:t>杆架式变电站、新增负荷电源引自新建配电箱。本工程共设</w:t>
      </w:r>
      <w:r>
        <w:rPr>
          <w:rFonts w:hint="eastAsia" w:ascii="Times New Roman" w:hAnsi="Times New Roman" w:eastAsia="宋体" w:cs="Times New Roman"/>
          <w:color w:val="auto"/>
          <w:kern w:val="0"/>
          <w:sz w:val="24"/>
          <w:lang w:val="en-US" w:eastAsia="zh-CN"/>
        </w:rPr>
        <w:t>50</w:t>
      </w:r>
      <w:r>
        <w:rPr>
          <w:rFonts w:hint="default" w:ascii="Times New Roman" w:hAnsi="Times New Roman" w:eastAsia="宋体" w:cs="Times New Roman"/>
          <w:color w:val="auto"/>
          <w:kern w:val="0"/>
          <w:sz w:val="24"/>
        </w:rPr>
        <w:t>kVA杆架式变电站</w:t>
      </w:r>
      <w:r>
        <w:rPr>
          <w:rFonts w:hint="eastAsia" w:ascii="Times New Roman" w:hAnsi="Times New Roman" w:eastAsia="宋体" w:cs="Times New Roman"/>
          <w:color w:val="auto"/>
          <w:kern w:val="0"/>
          <w:sz w:val="24"/>
          <w:lang w:val="en-US" w:eastAsia="zh-CN"/>
        </w:rPr>
        <w:t>6</w:t>
      </w:r>
      <w:r>
        <w:rPr>
          <w:rFonts w:hint="default" w:ascii="Times New Roman" w:hAnsi="Times New Roman" w:eastAsia="宋体" w:cs="Times New Roman"/>
          <w:color w:val="auto"/>
          <w:kern w:val="0"/>
          <w:sz w:val="24"/>
        </w:rPr>
        <w:t>座。</w:t>
      </w:r>
    </w:p>
    <w:p>
      <w:pPr>
        <w:widowControl/>
        <w:spacing w:line="360" w:lineRule="auto"/>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color w:val="auto"/>
          <w:kern w:val="0"/>
          <w:sz w:val="24"/>
        </w:rPr>
        <w:t>由</w:t>
      </w:r>
      <w:r>
        <w:rPr>
          <w:rFonts w:hint="eastAsia" w:ascii="Times New Roman" w:hAnsi="Times New Roman" w:eastAsia="宋体" w:cs="Times New Roman"/>
          <w:color w:val="auto"/>
          <w:kern w:val="0"/>
          <w:sz w:val="24"/>
          <w:lang w:eastAsia="zh-CN"/>
        </w:rPr>
        <w:t>已建陆136井区已建10kV架空线路引出</w:t>
      </w:r>
      <w:r>
        <w:rPr>
          <w:rFonts w:hint="default" w:ascii="Times New Roman" w:hAnsi="Times New Roman" w:eastAsia="宋体" w:cs="Times New Roman"/>
          <w:color w:val="auto"/>
          <w:kern w:val="0"/>
          <w:sz w:val="24"/>
        </w:rPr>
        <w:t>，新建10kV架空线选用2×JL/G1A-</w:t>
      </w:r>
      <w:r>
        <w:rPr>
          <w:rFonts w:hint="eastAsia" w:ascii="Times New Roman" w:hAnsi="Times New Roman" w:eastAsia="宋体" w:cs="Times New Roman"/>
          <w:color w:val="auto"/>
          <w:kern w:val="0"/>
          <w:sz w:val="24"/>
          <w:lang w:val="en-US" w:eastAsia="zh-CN"/>
        </w:rPr>
        <w:t>95/20</w:t>
      </w:r>
      <w:r>
        <w:rPr>
          <w:rFonts w:hint="default" w:ascii="Times New Roman" w:hAnsi="Times New Roman" w:eastAsia="宋体" w:cs="Times New Roman"/>
          <w:color w:val="auto"/>
          <w:kern w:val="0"/>
          <w:sz w:val="24"/>
        </w:rPr>
        <w:t>，线路长度约</w:t>
      </w:r>
      <w:r>
        <w:rPr>
          <w:rFonts w:hint="eastAsia" w:ascii="Times New Roman" w:hAnsi="Times New Roman" w:eastAsia="宋体" w:cs="Times New Roman"/>
          <w:color w:val="auto"/>
          <w:kern w:val="0"/>
          <w:sz w:val="24"/>
          <w:lang w:val="en-US" w:eastAsia="zh-CN"/>
        </w:rPr>
        <w:t>2.5</w:t>
      </w:r>
      <w:r>
        <w:rPr>
          <w:rFonts w:hint="default" w:ascii="Times New Roman" w:hAnsi="Times New Roman" w:eastAsia="宋体" w:cs="Times New Roman"/>
          <w:color w:val="auto"/>
          <w:kern w:val="0"/>
          <w:sz w:val="24"/>
        </w:rPr>
        <w:t>km。</w:t>
      </w:r>
    </w:p>
    <w:p>
      <w:pPr>
        <w:pStyle w:val="33"/>
        <w:spacing w:line="360" w:lineRule="auto"/>
        <w:ind w:firstLine="480" w:firstLineChars="200"/>
        <w:jc w:val="lef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本工程电气部分主要工程量详见表3.5-1</w:t>
      </w:r>
      <w:r>
        <w:rPr>
          <w:rFonts w:hint="eastAsia" w:ascii="Times New Roman" w:hAnsi="Times New Roman" w:eastAsia="宋体" w:cs="Times New Roman"/>
          <w:b w:val="0"/>
          <w:bCs/>
          <w:color w:val="auto"/>
          <w:lang w:val="en-US" w:eastAsia="zh-CN"/>
        </w:rPr>
        <w:t>4</w:t>
      </w:r>
      <w:r>
        <w:rPr>
          <w:rFonts w:hint="default" w:ascii="Times New Roman" w:hAnsi="Times New Roman" w:eastAsia="宋体" w:cs="Times New Roman"/>
          <w:b w:val="0"/>
          <w:bCs/>
          <w:color w:val="auto"/>
        </w:rPr>
        <w:t>。</w:t>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表3.5-1</w:t>
      </w:r>
      <w:r>
        <w:rPr>
          <w:rFonts w:hint="eastAsia" w:ascii="Times New Roman" w:hAnsi="Times New Roman" w:eastAsia="宋体" w:cs="Times New Roman"/>
          <w:b/>
          <w:bCs/>
          <w:color w:val="auto"/>
          <w:szCs w:val="21"/>
          <w:lang w:val="en-US" w:eastAsia="zh-CN"/>
        </w:rPr>
        <w:t>4</w:t>
      </w:r>
      <w:r>
        <w:rPr>
          <w:rFonts w:hint="default" w:ascii="Times New Roman" w:hAnsi="Times New Roman" w:eastAsia="宋体" w:cs="Times New Roman"/>
          <w:b/>
          <w:bCs/>
          <w:color w:val="auto"/>
          <w:szCs w:val="21"/>
        </w:rPr>
        <w:t xml:space="preserve">  电气部分主要工程量表</w:t>
      </w:r>
    </w:p>
    <w:tbl>
      <w:tblPr>
        <w:tblStyle w:val="3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185"/>
        <w:gridCol w:w="3029"/>
        <w:gridCol w:w="1362"/>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185"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工程内容</w:t>
            </w:r>
          </w:p>
        </w:tc>
        <w:tc>
          <w:tcPr>
            <w:tcW w:w="3029"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型号（规模、规格）</w:t>
            </w:r>
          </w:p>
        </w:tc>
        <w:tc>
          <w:tcPr>
            <w:tcW w:w="1362"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单位</w:t>
            </w:r>
          </w:p>
        </w:tc>
        <w:tc>
          <w:tcPr>
            <w:tcW w:w="978"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widowControl/>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w:t>
            </w:r>
          </w:p>
        </w:tc>
        <w:tc>
          <w:tcPr>
            <w:tcW w:w="2185"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井场部分</w:t>
            </w:r>
          </w:p>
        </w:tc>
        <w:tc>
          <w:tcPr>
            <w:tcW w:w="3029" w:type="dxa"/>
            <w:vAlign w:val="center"/>
          </w:tcPr>
          <w:p>
            <w:pPr>
              <w:jc w:val="center"/>
              <w:rPr>
                <w:rFonts w:hint="default" w:ascii="Times New Roman" w:hAnsi="Times New Roman" w:cs="Times New Roman" w:eastAsiaTheme="minorEastAsia"/>
                <w:color w:val="auto"/>
                <w:sz w:val="21"/>
                <w:szCs w:val="21"/>
              </w:rPr>
            </w:pPr>
          </w:p>
        </w:tc>
        <w:tc>
          <w:tcPr>
            <w:tcW w:w="1362" w:type="dxa"/>
            <w:vAlign w:val="center"/>
          </w:tcPr>
          <w:p>
            <w:pPr>
              <w:jc w:val="center"/>
              <w:rPr>
                <w:rFonts w:hint="default" w:ascii="Times New Roman" w:hAnsi="Times New Roman" w:cs="Times New Roman" w:eastAsiaTheme="minorEastAsia"/>
                <w:color w:val="auto"/>
                <w:sz w:val="21"/>
                <w:szCs w:val="21"/>
              </w:rPr>
            </w:pPr>
          </w:p>
        </w:tc>
        <w:tc>
          <w:tcPr>
            <w:tcW w:w="978" w:type="dxa"/>
            <w:vAlign w:val="center"/>
          </w:tcPr>
          <w:p>
            <w:pPr>
              <w:jc w:val="center"/>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widowControl/>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185" w:type="dxa"/>
            <w:vAlign w:val="center"/>
          </w:tcPr>
          <w:p>
            <w:pPr>
              <w:widowControl/>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10kV 架空线路</w:t>
            </w:r>
          </w:p>
        </w:tc>
        <w:tc>
          <w:tcPr>
            <w:tcW w:w="3029" w:type="dxa"/>
            <w:vAlign w:val="center"/>
          </w:tcPr>
          <w:p>
            <w:pPr>
              <w:widowControl/>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kern w:val="0"/>
                <w:sz w:val="21"/>
                <w:szCs w:val="21"/>
              </w:rPr>
              <w:t>2×JL/G1A-</w:t>
            </w:r>
            <w:r>
              <w:rPr>
                <w:rFonts w:hint="default" w:ascii="Times New Roman" w:hAnsi="Times New Roman" w:cs="Times New Roman" w:eastAsiaTheme="minorEastAsia"/>
                <w:color w:val="auto"/>
                <w:kern w:val="0"/>
                <w:sz w:val="21"/>
                <w:szCs w:val="21"/>
                <w:lang w:val="en-US" w:eastAsia="zh-CN"/>
              </w:rPr>
              <w:t>95</w:t>
            </w:r>
            <w:r>
              <w:rPr>
                <w:rFonts w:hint="default" w:ascii="Times New Roman" w:hAnsi="Times New Roman" w:cs="Times New Roman" w:eastAsiaTheme="minorEastAsia"/>
                <w:color w:val="auto"/>
                <w:kern w:val="0"/>
                <w:sz w:val="21"/>
                <w:szCs w:val="21"/>
              </w:rPr>
              <w:t>/2</w:t>
            </w:r>
            <w:r>
              <w:rPr>
                <w:rFonts w:hint="default" w:ascii="Times New Roman" w:hAnsi="Times New Roman" w:cs="Times New Roman" w:eastAsiaTheme="minorEastAsia"/>
                <w:color w:val="auto"/>
                <w:kern w:val="0"/>
                <w:sz w:val="21"/>
                <w:szCs w:val="21"/>
                <w:lang w:val="en-US" w:eastAsia="zh-CN"/>
              </w:rPr>
              <w:t>0</w:t>
            </w:r>
          </w:p>
        </w:tc>
        <w:tc>
          <w:tcPr>
            <w:tcW w:w="1362"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km</w:t>
            </w:r>
          </w:p>
        </w:tc>
        <w:tc>
          <w:tcPr>
            <w:tcW w:w="978" w:type="dxa"/>
            <w:vAlign w:val="center"/>
          </w:tcPr>
          <w:p>
            <w:pPr>
              <w:widowControl/>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widowControl/>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185" w:type="dxa"/>
            <w:shd w:val="clear" w:color="auto" w:fill="auto"/>
            <w:vAlign w:val="center"/>
          </w:tcPr>
          <w:p>
            <w:pPr>
              <w:widowControl/>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真空隔离断路器</w:t>
            </w:r>
          </w:p>
        </w:tc>
        <w:tc>
          <w:tcPr>
            <w:tcW w:w="3029" w:type="dxa"/>
            <w:shd w:val="clear" w:color="auto" w:fill="auto"/>
            <w:vAlign w:val="center"/>
          </w:tcPr>
          <w:p>
            <w:pPr>
              <w:widowControl/>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ZW32A（G）-12/T630-20A</w:t>
            </w:r>
          </w:p>
        </w:tc>
        <w:tc>
          <w:tcPr>
            <w:tcW w:w="1362" w:type="dxa"/>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套</w:t>
            </w:r>
          </w:p>
        </w:tc>
        <w:tc>
          <w:tcPr>
            <w:tcW w:w="978" w:type="dxa"/>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3</w:t>
            </w:r>
          </w:p>
        </w:tc>
        <w:tc>
          <w:tcPr>
            <w:tcW w:w="218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在线故障指示器</w:t>
            </w:r>
          </w:p>
        </w:tc>
        <w:tc>
          <w:tcPr>
            <w:tcW w:w="3029"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只</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965" w:type="dxa"/>
            <w:vAlign w:val="center"/>
          </w:tcPr>
          <w:p>
            <w:pPr>
              <w:widowControl/>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4</w:t>
            </w:r>
          </w:p>
        </w:tc>
        <w:tc>
          <w:tcPr>
            <w:tcW w:w="2185" w:type="dxa"/>
            <w:shd w:val="clear" w:color="auto" w:fill="auto"/>
            <w:vAlign w:val="center"/>
          </w:tcPr>
          <w:p>
            <w:pPr>
              <w:widowControl/>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避雷器</w:t>
            </w:r>
          </w:p>
        </w:tc>
        <w:tc>
          <w:tcPr>
            <w:tcW w:w="3029" w:type="dxa"/>
            <w:shd w:val="clear" w:color="auto" w:fill="auto"/>
            <w:vAlign w:val="center"/>
          </w:tcPr>
          <w:p>
            <w:pPr>
              <w:widowControl/>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HY5WS-17/50  带脱离器</w:t>
            </w:r>
          </w:p>
        </w:tc>
        <w:tc>
          <w:tcPr>
            <w:tcW w:w="1362" w:type="dxa"/>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组</w:t>
            </w:r>
          </w:p>
        </w:tc>
        <w:tc>
          <w:tcPr>
            <w:tcW w:w="978" w:type="dxa"/>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widowControl/>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5</w:t>
            </w:r>
          </w:p>
        </w:tc>
        <w:tc>
          <w:tcPr>
            <w:tcW w:w="2185" w:type="dxa"/>
            <w:shd w:val="clear" w:color="auto" w:fill="auto"/>
            <w:vAlign w:val="center"/>
          </w:tcPr>
          <w:p>
            <w:pPr>
              <w:widowControl/>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杆架式变电站</w:t>
            </w:r>
          </w:p>
        </w:tc>
        <w:tc>
          <w:tcPr>
            <w:tcW w:w="3029" w:type="dxa"/>
            <w:shd w:val="clear" w:color="auto" w:fill="auto"/>
            <w:vAlign w:val="center"/>
          </w:tcPr>
          <w:p>
            <w:pPr>
              <w:widowControl/>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eastAsia="zh-CN"/>
              </w:rPr>
              <w:t>50kVA</w:t>
            </w:r>
          </w:p>
        </w:tc>
        <w:tc>
          <w:tcPr>
            <w:tcW w:w="1362" w:type="dxa"/>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座</w:t>
            </w:r>
          </w:p>
        </w:tc>
        <w:tc>
          <w:tcPr>
            <w:tcW w:w="978" w:type="dxa"/>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widowControl/>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6</w:t>
            </w:r>
          </w:p>
        </w:tc>
        <w:tc>
          <w:tcPr>
            <w:tcW w:w="2185" w:type="dxa"/>
            <w:vAlign w:val="center"/>
          </w:tcPr>
          <w:p>
            <w:pPr>
              <w:widowControl/>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电容补偿箱</w:t>
            </w:r>
          </w:p>
        </w:tc>
        <w:tc>
          <w:tcPr>
            <w:tcW w:w="3029" w:type="dxa"/>
            <w:vAlign w:val="center"/>
          </w:tcPr>
          <w:p>
            <w:pPr>
              <w:widowControl/>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70kvar</w:t>
            </w:r>
          </w:p>
        </w:tc>
        <w:tc>
          <w:tcPr>
            <w:tcW w:w="1362"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套</w:t>
            </w:r>
          </w:p>
        </w:tc>
        <w:tc>
          <w:tcPr>
            <w:tcW w:w="978"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w:t>
            </w:r>
          </w:p>
        </w:tc>
        <w:tc>
          <w:tcPr>
            <w:tcW w:w="218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电力变压器</w:t>
            </w:r>
          </w:p>
        </w:tc>
        <w:tc>
          <w:tcPr>
            <w:tcW w:w="3029"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S20-M</w:t>
            </w:r>
            <w:r>
              <w:rPr>
                <w:rFonts w:hint="eastAsia" w:ascii="Times New Roman" w:hAnsi="Times New Roman" w:cs="Times New Roman"/>
                <w:b w:val="0"/>
                <w:bCs w:val="0"/>
                <w:i w:val="0"/>
                <w:color w:val="auto"/>
                <w:kern w:val="0"/>
                <w:sz w:val="21"/>
                <w:szCs w:val="21"/>
                <w:u w:val="none"/>
                <w:lang w:val="en-US" w:eastAsia="zh-CN" w:bidi="ar"/>
              </w:rPr>
              <w:t>,</w:t>
            </w:r>
            <w:r>
              <w:rPr>
                <w:rFonts w:hint="default" w:ascii="Times New Roman" w:hAnsi="Times New Roman" w:cs="Times New Roman" w:eastAsiaTheme="minorEastAsia"/>
                <w:b w:val="0"/>
                <w:bCs w:val="0"/>
                <w:i w:val="0"/>
                <w:color w:val="auto"/>
                <w:kern w:val="0"/>
                <w:sz w:val="21"/>
                <w:szCs w:val="21"/>
                <w:u w:val="none"/>
                <w:lang w:val="en-US" w:eastAsia="zh-CN" w:bidi="ar"/>
              </w:rPr>
              <w:t>10/0.4kV 50kVA D,yn11Ud%=4</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台</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2)</w:t>
            </w:r>
          </w:p>
        </w:tc>
        <w:tc>
          <w:tcPr>
            <w:tcW w:w="218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开关箱</w:t>
            </w:r>
          </w:p>
        </w:tc>
        <w:tc>
          <w:tcPr>
            <w:tcW w:w="3029"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JXXT-HXT 做防风防沙防雨雪处理</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面</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3)</w:t>
            </w:r>
          </w:p>
        </w:tc>
        <w:tc>
          <w:tcPr>
            <w:tcW w:w="218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复合绝缘跌开式熔断器</w:t>
            </w:r>
          </w:p>
        </w:tc>
        <w:tc>
          <w:tcPr>
            <w:tcW w:w="3029"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HRW11-10/100 20A</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组</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4)</w:t>
            </w:r>
          </w:p>
        </w:tc>
        <w:tc>
          <w:tcPr>
            <w:tcW w:w="2185"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10kV 避雷器</w:t>
            </w:r>
          </w:p>
        </w:tc>
        <w:tc>
          <w:tcPr>
            <w:tcW w:w="3029"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HY5WS-17/50TL（带脱离器）</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组</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i w:val="0"/>
                <w:color w:val="auto"/>
                <w:kern w:val="2"/>
                <w:sz w:val="21"/>
                <w:szCs w:val="21"/>
                <w:u w:val="none"/>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eastAsia" w:ascii="Times New Roman" w:hAnsi="Times New Roman" w:cs="Times New Roman"/>
                <w:b w:val="0"/>
                <w:bCs w:val="0"/>
                <w:i w:val="0"/>
                <w:color w:val="auto"/>
                <w:kern w:val="0"/>
                <w:sz w:val="21"/>
                <w:szCs w:val="21"/>
                <w:highlight w:val="none"/>
                <w:u w:val="none"/>
                <w:lang w:val="en-US" w:eastAsia="zh-CN" w:bidi="ar"/>
              </w:rPr>
              <w:t>7</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highlight w:val="none"/>
                <w:u w:val="none"/>
                <w:lang w:val="en-US" w:eastAsia="zh-CN" w:bidi="ar"/>
              </w:rPr>
              <w:t>井口部分（每口井内含）</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highlight w:val="none"/>
                <w:u w:val="none"/>
                <w:lang w:val="en-US" w:eastAsia="zh-CN" w:bidi="ar"/>
              </w:rPr>
              <w:t>座</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1)</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户外配电箱</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含井口无功补偿10kVar</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只</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2)</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电力电缆</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VV</w:t>
            </w:r>
            <w:r>
              <w:rPr>
                <w:rFonts w:hint="default" w:ascii="Times New Roman" w:hAnsi="Times New Roman" w:cs="Times New Roman" w:eastAsiaTheme="minorEastAsia"/>
                <w:b w:val="0"/>
                <w:bCs w:val="0"/>
                <w:i w:val="0"/>
                <w:color w:val="auto"/>
                <w:kern w:val="0"/>
                <w:sz w:val="21"/>
                <w:szCs w:val="21"/>
                <w:u w:val="none"/>
                <w:vertAlign w:val="subscript"/>
                <w:lang w:val="en-US" w:eastAsia="zh-CN" w:bidi="ar"/>
              </w:rPr>
              <w:t>22</w:t>
            </w:r>
            <w:r>
              <w:rPr>
                <w:rFonts w:hint="default" w:ascii="Times New Roman" w:hAnsi="Times New Roman" w:cs="Times New Roman" w:eastAsiaTheme="minorEastAsia"/>
                <w:b w:val="0"/>
                <w:bCs w:val="0"/>
                <w:i w:val="0"/>
                <w:color w:val="auto"/>
                <w:kern w:val="0"/>
                <w:sz w:val="21"/>
                <w:szCs w:val="21"/>
                <w:u w:val="none"/>
                <w:lang w:val="en-US" w:eastAsia="zh-CN" w:bidi="ar"/>
              </w:rPr>
              <w:t>-0.6/1kV 4×25+1×16</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km</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3)</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电力电缆</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VV</w:t>
            </w:r>
            <w:r>
              <w:rPr>
                <w:rFonts w:hint="default" w:ascii="Times New Roman" w:hAnsi="Times New Roman" w:cs="Times New Roman" w:eastAsiaTheme="minorEastAsia"/>
                <w:b w:val="0"/>
                <w:bCs w:val="0"/>
                <w:i w:val="0"/>
                <w:color w:val="auto"/>
                <w:kern w:val="0"/>
                <w:sz w:val="21"/>
                <w:szCs w:val="21"/>
                <w:u w:val="none"/>
                <w:vertAlign w:val="subscript"/>
                <w:lang w:val="en-US" w:eastAsia="zh-CN" w:bidi="ar"/>
              </w:rPr>
              <w:t>22</w:t>
            </w:r>
            <w:r>
              <w:rPr>
                <w:rFonts w:hint="default" w:ascii="Times New Roman" w:hAnsi="Times New Roman" w:cs="Times New Roman" w:eastAsiaTheme="minorEastAsia"/>
                <w:b w:val="0"/>
                <w:bCs w:val="0"/>
                <w:i w:val="0"/>
                <w:color w:val="auto"/>
                <w:kern w:val="0"/>
                <w:sz w:val="21"/>
                <w:szCs w:val="21"/>
                <w:u w:val="none"/>
                <w:lang w:val="en-US" w:eastAsia="zh-CN" w:bidi="ar"/>
              </w:rPr>
              <w:t>-0.6/1kV 5×6</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km</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4)</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电力电缆</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VV</w:t>
            </w:r>
            <w:r>
              <w:rPr>
                <w:rFonts w:hint="default" w:ascii="Times New Roman" w:hAnsi="Times New Roman" w:cs="Times New Roman" w:eastAsiaTheme="minorEastAsia"/>
                <w:b w:val="0"/>
                <w:bCs w:val="0"/>
                <w:i w:val="0"/>
                <w:color w:val="auto"/>
                <w:kern w:val="0"/>
                <w:sz w:val="21"/>
                <w:szCs w:val="21"/>
                <w:u w:val="none"/>
                <w:vertAlign w:val="subscript"/>
                <w:lang w:val="en-US" w:eastAsia="zh-CN" w:bidi="ar"/>
              </w:rPr>
              <w:t>22</w:t>
            </w:r>
            <w:r>
              <w:rPr>
                <w:rFonts w:hint="default" w:ascii="Times New Roman" w:hAnsi="Times New Roman" w:cs="Times New Roman" w:eastAsiaTheme="minorEastAsia"/>
                <w:b w:val="0"/>
                <w:bCs w:val="0"/>
                <w:i w:val="0"/>
                <w:color w:val="auto"/>
                <w:kern w:val="0"/>
                <w:sz w:val="21"/>
                <w:szCs w:val="21"/>
                <w:u w:val="none"/>
                <w:lang w:val="en-US" w:eastAsia="zh-CN" w:bidi="ar"/>
              </w:rPr>
              <w:t>-0.6/1kV 3×4</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km</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5)</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1kV 户外电缆终端头</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5×25</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只</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6)</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镀锌焊接钢管</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SC32</w:t>
            </w: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m</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7)</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安装抱箍</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副</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8)</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防爆挠性管</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根</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9)</w:t>
            </w:r>
          </w:p>
        </w:tc>
        <w:tc>
          <w:tcPr>
            <w:tcW w:w="21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color w:val="auto"/>
                <w:kern w:val="0"/>
                <w:sz w:val="21"/>
                <w:szCs w:val="21"/>
                <w:u w:val="none"/>
                <w:lang w:val="en-US" w:eastAsia="zh-CN" w:bidi="ar"/>
              </w:rPr>
              <w:t>铜接线端子 DT-25</w:t>
            </w:r>
          </w:p>
        </w:tc>
        <w:tc>
          <w:tcPr>
            <w:tcW w:w="302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p>
        </w:tc>
        <w:tc>
          <w:tcPr>
            <w:tcW w:w="1362"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个</w:t>
            </w:r>
          </w:p>
        </w:tc>
        <w:tc>
          <w:tcPr>
            <w:tcW w:w="97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i w:val="0"/>
                <w:color w:val="auto"/>
                <w:kern w:val="0"/>
                <w:sz w:val="21"/>
                <w:szCs w:val="21"/>
                <w:u w:val="none"/>
                <w:lang w:val="en-US" w:eastAsia="zh-CN" w:bidi="ar"/>
              </w:rPr>
              <w:t>10</w:t>
            </w:r>
          </w:p>
        </w:tc>
      </w:tr>
    </w:tbl>
    <w:p>
      <w:pPr>
        <w:pStyle w:val="66"/>
        <w:rPr>
          <w:rFonts w:hint="default" w:ascii="Times New Roman" w:hAnsi="Times New Roman" w:cs="Times New Roman"/>
          <w:color w:val="auto"/>
          <w:kern w:val="0"/>
        </w:rPr>
      </w:pPr>
      <w:r>
        <w:rPr>
          <w:rFonts w:hint="default" w:ascii="Times New Roman" w:hAnsi="Times New Roman" w:cs="Times New Roman"/>
          <w:color w:val="auto"/>
          <w:kern w:val="0"/>
        </w:rPr>
        <w:t>3.5.</w:t>
      </w:r>
      <w:r>
        <w:rPr>
          <w:rFonts w:hint="eastAsia" w:cs="Times New Roman"/>
          <w:color w:val="auto"/>
          <w:kern w:val="0"/>
          <w:lang w:val="en-US" w:eastAsia="zh-CN"/>
        </w:rPr>
        <w:t>8</w:t>
      </w:r>
      <w:r>
        <w:rPr>
          <w:rFonts w:hint="default" w:ascii="Times New Roman" w:hAnsi="Times New Roman" w:cs="Times New Roman"/>
          <w:color w:val="auto"/>
          <w:kern w:val="0"/>
        </w:rPr>
        <w:t>.3仪表自动化工程</w:t>
      </w:r>
    </w:p>
    <w:p>
      <w:pPr>
        <w:widowControl/>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 xml:space="preserve">现场仪表采用先进、可靠、性能优良的电子型智能仪表。位于爆炸危险区内的仪表选型应为相应的防爆产品，无线仪表防爆等级不低于ExibⅡBT4Gb。有线仪表防爆等级不低于ExdbⅡBT4Gb。所有现场仪表是全天候的，具有相应防护、耐气候及耐大气腐蚀的能力，室内仪表防护等级不低于IP54，室外仪表防护等级不低于IP65。安装在室外的仪表设备环境温度按-40～+60℃考虑。 </w:t>
      </w:r>
    </w:p>
    <w:p>
      <w:pPr>
        <w:widowControl/>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本工程仪表部分主要工程量详见表3.5-1</w:t>
      </w:r>
      <w:r>
        <w:rPr>
          <w:rFonts w:hint="eastAsia"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w:t>
      </w:r>
    </w:p>
    <w:p>
      <w:pPr>
        <w:adjustRightInd w:val="0"/>
        <w:snapToGrid w:val="0"/>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表3.5-1</w:t>
      </w:r>
      <w:r>
        <w:rPr>
          <w:rFonts w:hint="eastAsia" w:ascii="Times New Roman" w:hAnsi="Times New Roman" w:eastAsia="宋体" w:cs="Times New Roman"/>
          <w:b/>
          <w:bCs/>
          <w:color w:val="auto"/>
          <w:szCs w:val="21"/>
          <w:lang w:val="en-US" w:eastAsia="zh-CN"/>
        </w:rPr>
        <w:t>5</w:t>
      </w:r>
      <w:r>
        <w:rPr>
          <w:rFonts w:hint="default" w:ascii="Times New Roman" w:hAnsi="Times New Roman" w:eastAsia="宋体" w:cs="Times New Roman"/>
          <w:b/>
          <w:bCs/>
          <w:color w:val="auto"/>
          <w:szCs w:val="21"/>
        </w:rPr>
        <w:t xml:space="preserve">  仪表部分主要工程量</w:t>
      </w:r>
    </w:p>
    <w:tbl>
      <w:tblPr>
        <w:tblStyle w:val="3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5014"/>
        <w:gridCol w:w="1278"/>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5014" w:type="dxa"/>
            <w:vAlign w:val="center"/>
          </w:tcPr>
          <w:p>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rPr>
              <w:t>仪表设备（材料）名称</w:t>
            </w:r>
          </w:p>
        </w:tc>
        <w:tc>
          <w:tcPr>
            <w:tcW w:w="1278"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rPr>
              <w:t>单位</w:t>
            </w:r>
          </w:p>
        </w:tc>
        <w:tc>
          <w:tcPr>
            <w:tcW w:w="1133"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一</w:t>
            </w:r>
          </w:p>
        </w:tc>
        <w:tc>
          <w:tcPr>
            <w:tcW w:w="5014" w:type="dxa"/>
            <w:vAlign w:val="center"/>
          </w:tcPr>
          <w:p>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采油井场（共</w:t>
            </w:r>
            <w:r>
              <w:rPr>
                <w:rFonts w:hint="eastAsia" w:ascii="Times New Roman" w:hAnsi="Times New Roman" w:eastAsia="宋体" w:cs="Times New Roman"/>
                <w:color w:val="auto"/>
                <w:kern w:val="0"/>
                <w:szCs w:val="21"/>
                <w:lang w:val="en-US" w:eastAsia="zh-CN"/>
              </w:rPr>
              <w:t>6</w:t>
            </w:r>
            <w:r>
              <w:rPr>
                <w:rFonts w:hint="default" w:ascii="Times New Roman" w:hAnsi="Times New Roman" w:eastAsia="宋体" w:cs="Times New Roman"/>
                <w:color w:val="auto"/>
                <w:kern w:val="0"/>
                <w:szCs w:val="21"/>
              </w:rPr>
              <w:t>座），以下为单座工程量</w:t>
            </w:r>
          </w:p>
        </w:tc>
        <w:tc>
          <w:tcPr>
            <w:tcW w:w="1278" w:type="dxa"/>
            <w:vAlign w:val="center"/>
          </w:tcPr>
          <w:p>
            <w:pPr>
              <w:jc w:val="center"/>
              <w:rPr>
                <w:rFonts w:hint="default" w:ascii="Times New Roman" w:hAnsi="Times New Roman" w:eastAsia="宋体" w:cs="Times New Roman"/>
                <w:color w:val="auto"/>
                <w:szCs w:val="21"/>
              </w:rPr>
            </w:pPr>
          </w:p>
        </w:tc>
        <w:tc>
          <w:tcPr>
            <w:tcW w:w="1133" w:type="dxa"/>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w:t>
            </w:r>
          </w:p>
        </w:tc>
        <w:tc>
          <w:tcPr>
            <w:tcW w:w="5014"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压力变送器（无线zigbee）</w:t>
            </w:r>
          </w:p>
        </w:tc>
        <w:tc>
          <w:tcPr>
            <w:tcW w:w="1278"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台</w:t>
            </w:r>
          </w:p>
        </w:tc>
        <w:tc>
          <w:tcPr>
            <w:tcW w:w="113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w:t>
            </w:r>
          </w:p>
        </w:tc>
        <w:tc>
          <w:tcPr>
            <w:tcW w:w="5014"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温度变送器（无线zigbee）</w:t>
            </w:r>
          </w:p>
        </w:tc>
        <w:tc>
          <w:tcPr>
            <w:tcW w:w="1278"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台</w:t>
            </w:r>
          </w:p>
        </w:tc>
        <w:tc>
          <w:tcPr>
            <w:tcW w:w="113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w:t>
            </w:r>
          </w:p>
        </w:tc>
        <w:tc>
          <w:tcPr>
            <w:tcW w:w="5014"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综合电量模块</w:t>
            </w:r>
            <w:r>
              <w:rPr>
                <w:rFonts w:hint="eastAsia" w:ascii="Times New Roman" w:hAnsi="Times New Roman" w:eastAsia="宋体" w:cs="Times New Roman"/>
                <w:b w:val="0"/>
                <w:bCs w:val="0"/>
                <w:color w:val="auto"/>
                <w:szCs w:val="21"/>
                <w:lang w:eastAsia="zh-CN" w:bidi="ar"/>
              </w:rPr>
              <w:t>（</w:t>
            </w:r>
            <w:r>
              <w:rPr>
                <w:rFonts w:ascii="Times New Roman" w:hAnsi="Times New Roman" w:eastAsia="宋体" w:cs="Times New Roman"/>
                <w:b w:val="0"/>
                <w:bCs w:val="0"/>
                <w:color w:val="auto"/>
                <w:szCs w:val="21"/>
                <w:lang w:bidi="ar"/>
              </w:rPr>
              <w:t>含启停</w:t>
            </w:r>
            <w:r>
              <w:rPr>
                <w:rFonts w:hint="eastAsia" w:ascii="Times New Roman" w:hAnsi="Times New Roman" w:eastAsia="宋体" w:cs="Times New Roman"/>
                <w:b w:val="0"/>
                <w:bCs w:val="0"/>
                <w:color w:val="auto"/>
                <w:szCs w:val="21"/>
                <w:lang w:eastAsia="zh-CN" w:bidi="ar"/>
              </w:rPr>
              <w:t>）</w:t>
            </w:r>
            <w:r>
              <w:rPr>
                <w:rFonts w:ascii="Times New Roman" w:hAnsi="Times New Roman" w:eastAsia="宋体" w:cs="Times New Roman"/>
                <w:b w:val="0"/>
                <w:bCs w:val="0"/>
                <w:color w:val="auto"/>
                <w:szCs w:val="21"/>
                <w:lang w:bidi="ar"/>
              </w:rPr>
              <w:t xml:space="preserve"> （无线zigbee）</w:t>
            </w:r>
          </w:p>
        </w:tc>
        <w:tc>
          <w:tcPr>
            <w:tcW w:w="1278"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套</w:t>
            </w:r>
          </w:p>
        </w:tc>
        <w:tc>
          <w:tcPr>
            <w:tcW w:w="113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5014" w:type="dxa"/>
            <w:vAlign w:val="center"/>
          </w:tcPr>
          <w:p>
            <w:pPr>
              <w:widowControl/>
              <w:jc w:val="center"/>
              <w:textAlignment w:val="bottom"/>
              <w:rPr>
                <w:rFonts w:hint="default" w:ascii="Times New Roman" w:hAnsi="Times New Roman" w:eastAsia="宋体" w:cs="Times New Roman"/>
                <w:color w:val="auto"/>
                <w:kern w:val="0"/>
                <w:sz w:val="21"/>
                <w:szCs w:val="21"/>
              </w:rPr>
            </w:pPr>
            <w:r>
              <w:rPr>
                <w:rFonts w:ascii="Times New Roman" w:hAnsi="Times New Roman" w:eastAsia="宋体" w:cs="Times New Roman"/>
                <w:b w:val="0"/>
                <w:bCs w:val="0"/>
                <w:color w:val="auto"/>
                <w:szCs w:val="21"/>
                <w:lang w:bidi="ar"/>
              </w:rPr>
              <w:t>油井RTU控制器含故障声光报警、zigbee网关</w:t>
            </w:r>
          </w:p>
        </w:tc>
        <w:tc>
          <w:tcPr>
            <w:tcW w:w="1278"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台</w:t>
            </w:r>
          </w:p>
        </w:tc>
        <w:tc>
          <w:tcPr>
            <w:tcW w:w="113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5014" w:type="dxa"/>
            <w:vAlign w:val="center"/>
          </w:tcPr>
          <w:p>
            <w:pPr>
              <w:widowControl/>
              <w:jc w:val="center"/>
              <w:textAlignment w:val="bottom"/>
              <w:rPr>
                <w:rFonts w:hint="default" w:ascii="Times New Roman" w:hAnsi="Times New Roman" w:eastAsia="宋体" w:cs="Times New Roman"/>
                <w:color w:val="auto"/>
                <w:kern w:val="0"/>
                <w:sz w:val="21"/>
                <w:szCs w:val="21"/>
              </w:rPr>
            </w:pPr>
            <w:r>
              <w:rPr>
                <w:rFonts w:ascii="Times New Roman" w:hAnsi="Times New Roman" w:eastAsia="宋体" w:cs="Times New Roman"/>
                <w:b w:val="0"/>
                <w:bCs w:val="0"/>
                <w:color w:val="auto"/>
                <w:szCs w:val="21"/>
                <w:lang w:bidi="ar"/>
              </w:rPr>
              <w:t>一体化功图仪（无线zigbee）</w:t>
            </w:r>
          </w:p>
        </w:tc>
        <w:tc>
          <w:tcPr>
            <w:tcW w:w="1278"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台</w:t>
            </w:r>
          </w:p>
        </w:tc>
        <w:tc>
          <w:tcPr>
            <w:tcW w:w="113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5014" w:type="dxa"/>
            <w:vAlign w:val="center"/>
          </w:tcPr>
          <w:p>
            <w:pPr>
              <w:widowControl/>
              <w:jc w:val="center"/>
              <w:textAlignment w:val="bottom"/>
              <w:rPr>
                <w:rFonts w:hint="default" w:ascii="Times New Roman" w:hAnsi="Times New Roman" w:eastAsia="宋体" w:cs="Times New Roman"/>
                <w:color w:val="auto"/>
                <w:kern w:val="0"/>
                <w:sz w:val="21"/>
                <w:szCs w:val="21"/>
              </w:rPr>
            </w:pPr>
            <w:r>
              <w:rPr>
                <w:rFonts w:ascii="Times New Roman" w:hAnsi="Times New Roman" w:eastAsia="宋体" w:cs="Times New Roman"/>
                <w:b w:val="0"/>
                <w:bCs w:val="0"/>
                <w:color w:val="auto"/>
                <w:szCs w:val="21"/>
                <w:lang w:bidi="ar"/>
              </w:rPr>
              <w:t>新井接入系统组态</w:t>
            </w:r>
          </w:p>
        </w:tc>
        <w:tc>
          <w:tcPr>
            <w:tcW w:w="1278"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座</w:t>
            </w:r>
          </w:p>
        </w:tc>
        <w:tc>
          <w:tcPr>
            <w:tcW w:w="113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widowControl/>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5014" w:type="dxa"/>
            <w:vAlign w:val="center"/>
          </w:tcPr>
          <w:p>
            <w:pPr>
              <w:widowControl/>
              <w:jc w:val="center"/>
              <w:textAlignment w:val="bottom"/>
              <w:rPr>
                <w:rFonts w:hint="default" w:ascii="Times New Roman" w:hAnsi="Times New Roman" w:eastAsia="宋体" w:cs="Times New Roman"/>
                <w:color w:val="auto"/>
                <w:kern w:val="0"/>
                <w:sz w:val="21"/>
                <w:szCs w:val="21"/>
              </w:rPr>
            </w:pPr>
            <w:r>
              <w:rPr>
                <w:rFonts w:ascii="Times New Roman" w:hAnsi="Times New Roman" w:eastAsia="宋体" w:cs="Times New Roman"/>
                <w:b w:val="0"/>
                <w:bCs w:val="0"/>
                <w:color w:val="auto"/>
                <w:szCs w:val="21"/>
                <w:lang w:bidi="ar"/>
              </w:rPr>
              <w:t>通信立杆（</w:t>
            </w:r>
            <w:r>
              <w:rPr>
                <w:rFonts w:hint="eastAsia" w:ascii="Times New Roman" w:hAnsi="Times New Roman" w:eastAsia="宋体" w:cs="Times New Roman"/>
                <w:b w:val="0"/>
                <w:bCs w:val="0"/>
                <w:color w:val="auto"/>
                <w:szCs w:val="21"/>
                <w:lang w:val="en-US" w:eastAsia="zh-CN" w:bidi="ar"/>
              </w:rPr>
              <w:t>10</w:t>
            </w:r>
            <w:r>
              <w:rPr>
                <w:rFonts w:ascii="Times New Roman" w:hAnsi="Times New Roman" w:eastAsia="宋体" w:cs="Times New Roman"/>
                <w:b w:val="0"/>
                <w:bCs w:val="0"/>
                <w:color w:val="auto"/>
                <w:szCs w:val="21"/>
                <w:lang w:bidi="ar"/>
              </w:rPr>
              <w:t>m）及基础</w:t>
            </w:r>
          </w:p>
        </w:tc>
        <w:tc>
          <w:tcPr>
            <w:tcW w:w="1278" w:type="dxa"/>
            <w:vAlign w:val="center"/>
          </w:tcPr>
          <w:p>
            <w:pPr>
              <w:widowControl/>
              <w:jc w:val="center"/>
              <w:textAlignment w:val="bottom"/>
              <w:rPr>
                <w:rFonts w:hint="default" w:ascii="Times New Roman" w:hAnsi="Times New Roman" w:eastAsia="宋体" w:cs="Times New Roman"/>
                <w:color w:val="auto"/>
                <w:sz w:val="21"/>
                <w:szCs w:val="21"/>
              </w:rPr>
            </w:pPr>
            <w:r>
              <w:rPr>
                <w:rFonts w:ascii="Times New Roman" w:hAnsi="Times New Roman" w:eastAsia="宋体" w:cs="Times New Roman"/>
                <w:b w:val="0"/>
                <w:bCs w:val="0"/>
                <w:color w:val="auto"/>
                <w:szCs w:val="21"/>
                <w:lang w:bidi="ar"/>
              </w:rPr>
              <w:t>座</w:t>
            </w:r>
          </w:p>
        </w:tc>
        <w:tc>
          <w:tcPr>
            <w:tcW w:w="113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二</w:t>
            </w:r>
          </w:p>
        </w:tc>
        <w:tc>
          <w:tcPr>
            <w:tcW w:w="5014"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陆梁作业区已建 SCADA 组态、扩容</w:t>
            </w:r>
          </w:p>
        </w:tc>
        <w:tc>
          <w:tcPr>
            <w:tcW w:w="1278" w:type="dxa"/>
            <w:vAlign w:val="center"/>
          </w:tcPr>
          <w:p>
            <w:pPr>
              <w:jc w:val="center"/>
              <w:rPr>
                <w:rFonts w:hint="default" w:ascii="Times New Roman" w:hAnsi="Times New Roman" w:eastAsia="宋体" w:cs="Times New Roman"/>
                <w:color w:val="auto"/>
                <w:sz w:val="21"/>
                <w:szCs w:val="21"/>
              </w:rPr>
            </w:pPr>
          </w:p>
        </w:tc>
        <w:tc>
          <w:tcPr>
            <w:tcW w:w="1133" w:type="dxa"/>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14"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陆梁作业区生产监控平台组态、扩容、调试</w:t>
            </w:r>
          </w:p>
        </w:tc>
        <w:tc>
          <w:tcPr>
            <w:tcW w:w="127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113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94" w:type="dxa"/>
            <w:vAlign w:val="center"/>
          </w:tcPr>
          <w:p>
            <w:pPr>
              <w:jc w:val="center"/>
              <w:rPr>
                <w:rFonts w:hint="default" w:ascii="Times New Roman" w:hAnsi="Times New Roman" w:eastAsia="宋体" w:cs="Times New Roman"/>
                <w:color w:val="auto"/>
                <w:sz w:val="21"/>
                <w:szCs w:val="21"/>
              </w:rPr>
            </w:pPr>
          </w:p>
        </w:tc>
        <w:tc>
          <w:tcPr>
            <w:tcW w:w="5014" w:type="dxa"/>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包含：</w:t>
            </w:r>
            <w:r>
              <w:rPr>
                <w:rFonts w:ascii="Times New Roman" w:hAnsi="Times New Roman" w:eastAsia="宋体" w:cs="Times New Roman"/>
                <w:b w:val="0"/>
                <w:bCs w:val="0"/>
                <w:color w:val="auto"/>
                <w:szCs w:val="21"/>
                <w:lang w:bidi="ar"/>
              </w:rPr>
              <w:t>接入新建油井</w:t>
            </w:r>
            <w:r>
              <w:rPr>
                <w:rFonts w:hint="eastAsia" w:ascii="Times New Roman" w:hAnsi="Times New Roman" w:eastAsia="宋体" w:cs="Times New Roman"/>
                <w:b w:val="0"/>
                <w:bCs w:val="0"/>
                <w:color w:val="auto"/>
                <w:szCs w:val="21"/>
                <w:lang w:val="en-US" w:eastAsia="zh-CN" w:bidi="ar"/>
              </w:rPr>
              <w:t>6</w:t>
            </w:r>
            <w:r>
              <w:rPr>
                <w:rFonts w:ascii="Times New Roman" w:hAnsi="Times New Roman" w:eastAsia="宋体" w:cs="Times New Roman"/>
                <w:b w:val="0"/>
                <w:bCs w:val="0"/>
                <w:color w:val="auto"/>
                <w:szCs w:val="21"/>
                <w:lang w:bidi="ar"/>
              </w:rPr>
              <w:t>口</w:t>
            </w:r>
            <w:r>
              <w:rPr>
                <w:rFonts w:hint="eastAsia" w:ascii="Times New Roman" w:hAnsi="Times New Roman" w:eastAsia="宋体" w:cs="Times New Roman"/>
                <w:b w:val="0"/>
                <w:bCs w:val="0"/>
                <w:color w:val="auto"/>
                <w:szCs w:val="21"/>
                <w:lang w:bidi="ar"/>
              </w:rPr>
              <w:t>、注水井</w:t>
            </w:r>
            <w:r>
              <w:rPr>
                <w:rFonts w:hint="eastAsia" w:cs="Times New Roman"/>
                <w:b w:val="0"/>
                <w:bCs w:val="0"/>
                <w:color w:val="auto"/>
                <w:szCs w:val="21"/>
                <w:lang w:val="en-US" w:eastAsia="zh-CN" w:bidi="ar"/>
              </w:rPr>
              <w:t>2</w:t>
            </w:r>
            <w:r>
              <w:rPr>
                <w:rFonts w:hint="eastAsia" w:ascii="Times New Roman" w:hAnsi="Times New Roman" w:eastAsia="宋体" w:cs="Times New Roman"/>
                <w:b w:val="0"/>
                <w:bCs w:val="0"/>
                <w:color w:val="auto"/>
                <w:szCs w:val="21"/>
                <w:lang w:bidi="ar"/>
              </w:rPr>
              <w:t>口</w:t>
            </w:r>
          </w:p>
        </w:tc>
        <w:tc>
          <w:tcPr>
            <w:tcW w:w="1278" w:type="dxa"/>
            <w:vAlign w:val="center"/>
          </w:tcPr>
          <w:p>
            <w:pPr>
              <w:jc w:val="center"/>
              <w:rPr>
                <w:rFonts w:hint="default" w:ascii="Times New Roman" w:hAnsi="Times New Roman" w:eastAsia="宋体" w:cs="Times New Roman"/>
                <w:color w:val="auto"/>
                <w:sz w:val="21"/>
                <w:szCs w:val="21"/>
              </w:rPr>
            </w:pPr>
          </w:p>
        </w:tc>
        <w:tc>
          <w:tcPr>
            <w:tcW w:w="1133" w:type="dxa"/>
            <w:vAlign w:val="center"/>
          </w:tcPr>
          <w:p>
            <w:pPr>
              <w:jc w:val="center"/>
              <w:rPr>
                <w:rFonts w:hint="default" w:ascii="Times New Roman" w:hAnsi="Times New Roman" w:eastAsia="宋体" w:cs="Times New Roman"/>
                <w:color w:val="auto"/>
                <w:sz w:val="21"/>
                <w:szCs w:val="21"/>
              </w:rPr>
            </w:pPr>
          </w:p>
        </w:tc>
      </w:tr>
    </w:tbl>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8</w:t>
      </w:r>
      <w:r>
        <w:rPr>
          <w:rFonts w:hint="default" w:ascii="Times New Roman" w:hAnsi="Times New Roman" w:cs="Times New Roman"/>
          <w:color w:val="auto"/>
          <w:kern w:val="0"/>
          <w:sz w:val="28"/>
          <w:szCs w:val="28"/>
        </w:rPr>
        <w:t>.4道路工程</w:t>
      </w:r>
    </w:p>
    <w:p>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随着陆梁油田的不断开发，油田内道路不断增多，内部道路配套完善，主要巡线道路为三级沥青路面，其余单井巡线道路为简易砂石路面。本工程不新增道路，均依托现有道路。</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8</w:t>
      </w:r>
      <w:r>
        <w:rPr>
          <w:rFonts w:hint="default" w:ascii="Times New Roman" w:hAnsi="Times New Roman" w:cs="Times New Roman"/>
          <w:color w:val="auto"/>
          <w:kern w:val="0"/>
          <w:sz w:val="28"/>
          <w:szCs w:val="28"/>
        </w:rPr>
        <w:t>.5供排水</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（1）供水</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①施工期</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施工期管道试压用水量</w:t>
      </w:r>
      <w:r>
        <w:rPr>
          <w:rFonts w:hint="eastAsia" w:ascii="Times New Roman" w:hAnsi="Times New Roman" w:eastAsia="宋体" w:cs="Times New Roman"/>
          <w:color w:val="auto"/>
          <w:lang w:eastAsia="zh-CN"/>
        </w:rPr>
        <w:t>46.32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项目施工人员不另设生活营地，施工人员食宿依托钻井公寓，生活用水及排水均依托钻井公寓供排水设施，本环评不再进行核算。</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②运营期</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运营期不新增劳动定员，无生活用水，用水节点主要为井下作业用水。项目区周围无成熟的供水管网，采用车载拉运方式供水，从陆梁作业区进行拉水使用。</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（2）排水</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①施工期</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施工人员食宿本项目施工人员生活用水依托钻井公寓，不再进行单独核算及评价。施工期管道试压产生量</w:t>
      </w:r>
      <w:r>
        <w:rPr>
          <w:rFonts w:hint="eastAsia" w:ascii="Times New Roman" w:hAnsi="Times New Roman" w:eastAsia="宋体" w:cs="Times New Roman"/>
          <w:color w:val="auto"/>
          <w:lang w:eastAsia="zh-CN"/>
        </w:rPr>
        <w:t>39.57</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，试压废水用于场地降尘。</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②运营期</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运营期井下作业废水、井下作业废液、采出水依托陆梁集中处理站处理达标后用于回注油藏，不外排。</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8</w:t>
      </w:r>
      <w:r>
        <w:rPr>
          <w:rFonts w:hint="default" w:ascii="Times New Roman" w:hAnsi="Times New Roman" w:cs="Times New Roman"/>
          <w:color w:val="auto"/>
          <w:kern w:val="0"/>
          <w:sz w:val="28"/>
          <w:szCs w:val="28"/>
        </w:rPr>
        <w:t>.6消防</w:t>
      </w:r>
    </w:p>
    <w:p>
      <w:pPr>
        <w:widowControl/>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ascii="Times New Roman" w:hAnsi="Times New Roman" w:eastAsia="宋体" w:cs="Times New Roman"/>
          <w:color w:val="auto"/>
          <w:kern w:val="0"/>
          <w:sz w:val="24"/>
          <w:lang w:bidi="ar"/>
        </w:rPr>
        <w:t>集输系统为密闭设计，易燃易爆和可燃物料在操作条件下置于密闭的管道中，各个连接处采用密封措施</w:t>
      </w:r>
      <w:r>
        <w:rPr>
          <w:rFonts w:hint="default" w:ascii="Times New Roman" w:hAnsi="Times New Roman" w:eastAsia="宋体" w:cs="Times New Roman"/>
          <w:color w:val="auto"/>
          <w:kern w:val="0"/>
          <w:sz w:val="24"/>
        </w:rPr>
        <w:t>。</w:t>
      </w:r>
    </w:p>
    <w:p>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（2）</w:t>
      </w:r>
      <w:r>
        <w:rPr>
          <w:rFonts w:ascii="Times New Roman" w:hAnsi="Times New Roman" w:eastAsia="宋体" w:cs="Times New Roman"/>
          <w:color w:val="auto"/>
          <w:kern w:val="0"/>
          <w:sz w:val="24"/>
          <w:lang w:bidi="ar"/>
        </w:rPr>
        <w:t>计量站配备一定数量的灭火器</w:t>
      </w:r>
      <w:r>
        <w:rPr>
          <w:rFonts w:hint="default" w:ascii="Times New Roman" w:hAnsi="Times New Roman" w:eastAsia="宋体" w:cs="Times New Roman"/>
          <w:color w:val="auto"/>
          <w:kern w:val="0"/>
          <w:sz w:val="24"/>
        </w:rPr>
        <w:t>。</w:t>
      </w:r>
    </w:p>
    <w:p>
      <w:pPr>
        <w:widowControl/>
        <w:spacing w:line="360" w:lineRule="auto"/>
        <w:ind w:firstLine="480" w:firstLineChars="200"/>
        <w:jc w:val="left"/>
        <w:rPr>
          <w:rFonts w:ascii="Times New Roman" w:hAnsi="Times New Roman" w:cs="Times New Roman"/>
          <w:color w:val="auto"/>
          <w:sz w:val="24"/>
        </w:rPr>
      </w:pP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3</w:t>
      </w:r>
      <w:r>
        <w:rPr>
          <w:rFonts w:hint="eastAsia" w:ascii="Times New Roman" w:hAnsi="Times New Roman" w:eastAsia="宋体" w:cs="Times New Roman"/>
          <w:color w:val="auto"/>
          <w:kern w:val="0"/>
          <w:sz w:val="24"/>
          <w:lang w:eastAsia="zh-CN"/>
        </w:rPr>
        <w:t>）</w:t>
      </w:r>
      <w:r>
        <w:rPr>
          <w:rFonts w:ascii="Times New Roman" w:hAnsi="Times New Roman" w:eastAsia="宋体" w:cs="Times New Roman"/>
          <w:color w:val="auto"/>
          <w:kern w:val="0"/>
          <w:sz w:val="24"/>
          <w:lang w:bidi="ar"/>
        </w:rPr>
        <w:t>采油井场依托周围计量站已建消防设施。</w:t>
      </w:r>
    </w:p>
    <w:p>
      <w:pPr>
        <w:widowControl/>
        <w:spacing w:line="360" w:lineRule="auto"/>
        <w:ind w:firstLine="480" w:firstLineChars="200"/>
        <w:jc w:val="left"/>
        <w:rPr>
          <w:rFonts w:ascii="Times New Roman" w:hAnsi="Times New Roman" w:cs="Times New Roman"/>
          <w:color w:val="auto"/>
          <w:sz w:val="24"/>
        </w:rPr>
      </w:pPr>
      <w:r>
        <w:rPr>
          <w:rFonts w:ascii="Times New Roman" w:hAnsi="Times New Roman" w:eastAsia="宋体" w:cs="Times New Roman"/>
          <w:color w:val="auto"/>
          <w:kern w:val="0"/>
          <w:sz w:val="24"/>
          <w:lang w:bidi="ar"/>
        </w:rPr>
        <w:t>工程消防依托应急抢险救援中心消防四大队。位于古尔班通古特沙漠腹地，有干部员工73人，有消防车12辆，其中泡沫消防车8辆，载泡沫液59吨，清水90吨，抢险救援器材335件套。</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3.5.</w:t>
      </w:r>
      <w:r>
        <w:rPr>
          <w:rFonts w:hint="eastAsia" w:ascii="Times New Roman" w:hAnsi="Times New Roman" w:eastAsia="宋体" w:cs="Times New Roman"/>
          <w:b/>
          <w:color w:val="auto"/>
          <w:sz w:val="30"/>
          <w:szCs w:val="30"/>
          <w:lang w:val="en-US" w:eastAsia="zh-CN"/>
        </w:rPr>
        <w:t>9</w:t>
      </w:r>
      <w:r>
        <w:rPr>
          <w:rFonts w:hint="default" w:ascii="Times New Roman" w:hAnsi="Times New Roman" w:eastAsia="宋体" w:cs="Times New Roman"/>
          <w:b/>
          <w:color w:val="auto"/>
          <w:sz w:val="30"/>
          <w:szCs w:val="30"/>
        </w:rPr>
        <w:t>依托工程</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单井井口采出液经管输输送至陆梁集中处理站，采出液均由联合站进行处理；井下作业废水、废洗井液及采出水均集中收集在专用储罐中，由罐车拉运至陆梁集中处理站污水处理系统进行处理；伴生气在陆梁集中处理站天然气处理系统内进行处置；含油污泥等危险废物委托克拉玛依博达生态环保科技有限责任公司处置；</w:t>
      </w:r>
      <w:r>
        <w:rPr>
          <w:rFonts w:hint="default" w:ascii="Times New Roman" w:hAnsi="Times New Roman" w:eastAsia="宋体" w:cs="Times New Roman"/>
          <w:color w:val="auto"/>
          <w:kern w:val="0"/>
          <w:sz w:val="24"/>
          <w:lang w:eastAsia="zh-CN"/>
        </w:rPr>
        <w:t>施工期不设生活营地，工作人员食宿依托陆梁作业区公寓。</w:t>
      </w:r>
      <w:r>
        <w:rPr>
          <w:rFonts w:hint="default" w:ascii="Times New Roman" w:hAnsi="Times New Roman" w:eastAsia="宋体" w:cs="Times New Roman"/>
          <w:color w:val="auto"/>
          <w:kern w:val="0"/>
          <w:sz w:val="24"/>
        </w:rPr>
        <w:t>施工过程产生的生活垃圾送至</w:t>
      </w:r>
      <w:r>
        <w:rPr>
          <w:rFonts w:hint="default" w:ascii="Times New Roman" w:hAnsi="Times New Roman" w:eastAsia="宋体" w:cs="Times New Roman"/>
          <w:color w:val="auto"/>
          <w:sz w:val="24"/>
          <w:szCs w:val="32"/>
          <w:lang w:val="en-US" w:eastAsia="zh-CN"/>
        </w:rPr>
        <w:t>陆梁油田</w:t>
      </w:r>
      <w:r>
        <w:rPr>
          <w:rFonts w:hint="default" w:ascii="Times New Roman" w:hAnsi="Times New Roman" w:eastAsia="宋体" w:cs="Times New Roman"/>
          <w:color w:val="auto"/>
          <w:kern w:val="0"/>
          <w:sz w:val="24"/>
        </w:rPr>
        <w:t>生活垃圾填埋场处置。</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9</w:t>
      </w:r>
      <w:r>
        <w:rPr>
          <w:rFonts w:hint="default" w:ascii="Times New Roman" w:hAnsi="Times New Roman" w:cs="Times New Roman"/>
          <w:color w:val="auto"/>
          <w:kern w:val="0"/>
          <w:sz w:val="28"/>
          <w:szCs w:val="28"/>
        </w:rPr>
        <w:t>.1陆梁集中处理站</w:t>
      </w:r>
    </w:p>
    <w:p>
      <w:pPr>
        <w:pStyle w:val="61"/>
        <w:spacing w:line="360" w:lineRule="auto"/>
        <w:ind w:firstLine="482"/>
        <w:rPr>
          <w:rFonts w:hint="default" w:ascii="Times New Roman" w:hAnsi="Times New Roman" w:eastAsia="宋体" w:cs="Times New Roman"/>
          <w:b w:val="0"/>
          <w:bCs/>
          <w:color w:val="auto"/>
          <w:sz w:val="24"/>
          <w:highlight w:val="yellow"/>
        </w:rPr>
      </w:pPr>
      <w:r>
        <w:rPr>
          <w:rFonts w:hint="default" w:ascii="Times New Roman" w:hAnsi="Times New Roman" w:eastAsia="宋体" w:cs="Times New Roman"/>
          <w:b w:val="0"/>
          <w:bCs/>
          <w:color w:val="auto"/>
          <w:sz w:val="24"/>
        </w:rPr>
        <w:t>（1）基本情况及环保手续</w:t>
      </w:r>
    </w:p>
    <w:p>
      <w:pPr>
        <w:widowControl/>
        <w:spacing w:line="360" w:lineRule="auto"/>
        <w:ind w:firstLine="48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陆梁集中处理站地处陆梁油田主力产油区的南面，距油田东西向主干道以北150m。陆梁集中处理站于2001年11月全面建成投产，是一座高效集油、气、水集中处理，油田注水和站区采暖</w:t>
      </w:r>
      <w:r>
        <w:rPr>
          <w:rFonts w:hint="eastAsia" w:ascii="Times New Roman" w:hAnsi="Times New Roman" w:eastAsia="宋体" w:cs="Times New Roman"/>
          <w:color w:val="auto"/>
          <w:sz w:val="24"/>
          <w:lang w:eastAsia="zh-CN"/>
        </w:rPr>
        <w:t>于</w:t>
      </w:r>
      <w:r>
        <w:rPr>
          <w:rFonts w:hint="default" w:ascii="Times New Roman" w:hAnsi="Times New Roman" w:eastAsia="宋体" w:cs="Times New Roman"/>
          <w:color w:val="auto"/>
          <w:sz w:val="24"/>
        </w:rPr>
        <w:t>一体的综合性站库。</w:t>
      </w:r>
    </w:p>
    <w:p>
      <w:pPr>
        <w:widowControl/>
        <w:spacing w:line="360" w:lineRule="auto"/>
        <w:ind w:firstLine="48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lang w:val="en-US" w:eastAsia="zh-CN"/>
        </w:rPr>
        <w:t>陆梁集中处理站</w:t>
      </w:r>
      <w:r>
        <w:rPr>
          <w:rFonts w:hint="default" w:ascii="Times New Roman" w:hAnsi="Times New Roman" w:eastAsia="宋体" w:cs="Times New Roman"/>
          <w:snapToGrid w:val="0"/>
          <w:color w:val="auto"/>
          <w:sz w:val="24"/>
        </w:rPr>
        <w:t>工艺主要为原油处理系统、天然气处理系统和污水处理系统。其中原油处理设计规模为120×10</w:t>
      </w:r>
      <w:r>
        <w:rPr>
          <w:rFonts w:hint="default" w:ascii="Times New Roman" w:hAnsi="Times New Roman" w:eastAsia="宋体" w:cs="Times New Roman"/>
          <w:snapToGrid w:val="0"/>
          <w:color w:val="auto"/>
          <w:sz w:val="24"/>
          <w:vertAlign w:val="superscript"/>
        </w:rPr>
        <w:t>4</w:t>
      </w:r>
      <w:r>
        <w:rPr>
          <w:rFonts w:hint="default" w:ascii="Times New Roman" w:hAnsi="Times New Roman" w:eastAsia="宋体" w:cs="Times New Roman"/>
          <w:snapToGrid w:val="0"/>
          <w:color w:val="auto"/>
          <w:sz w:val="24"/>
        </w:rPr>
        <w:t>t/a，实际处理规模75×10</w:t>
      </w:r>
      <w:r>
        <w:rPr>
          <w:rFonts w:hint="default" w:ascii="Times New Roman" w:hAnsi="Times New Roman" w:eastAsia="宋体" w:cs="Times New Roman"/>
          <w:snapToGrid w:val="0"/>
          <w:color w:val="auto"/>
          <w:sz w:val="24"/>
          <w:vertAlign w:val="superscript"/>
        </w:rPr>
        <w:t>4</w:t>
      </w:r>
      <w:r>
        <w:rPr>
          <w:rFonts w:hint="default" w:ascii="Times New Roman" w:hAnsi="Times New Roman" w:eastAsia="宋体" w:cs="Times New Roman"/>
          <w:snapToGrid w:val="0"/>
          <w:color w:val="auto"/>
          <w:sz w:val="24"/>
        </w:rPr>
        <w:t>t/a，采用“</w:t>
      </w:r>
      <w:r>
        <w:rPr>
          <w:rFonts w:hint="default" w:ascii="Times New Roman" w:hAnsi="Times New Roman" w:eastAsia="宋体" w:cs="Times New Roman"/>
          <w:color w:val="auto"/>
          <w:sz w:val="24"/>
          <w:szCs w:val="32"/>
        </w:rPr>
        <w:t>游离水脱除器+相变加热炉+多功能处理器</w:t>
      </w:r>
      <w:r>
        <w:rPr>
          <w:rFonts w:hint="default" w:ascii="Times New Roman" w:hAnsi="Times New Roman" w:eastAsia="宋体" w:cs="Times New Roman"/>
          <w:snapToGrid w:val="0"/>
          <w:color w:val="auto"/>
          <w:sz w:val="24"/>
        </w:rPr>
        <w:t>”工艺；天然气处理站设计处理规模15×10</w:t>
      </w:r>
      <w:r>
        <w:rPr>
          <w:rFonts w:hint="default" w:ascii="Times New Roman" w:hAnsi="Times New Roman" w:eastAsia="宋体" w:cs="Times New Roman"/>
          <w:snapToGrid w:val="0"/>
          <w:color w:val="auto"/>
          <w:sz w:val="24"/>
          <w:vertAlign w:val="superscript"/>
        </w:rPr>
        <w:t>4</w:t>
      </w:r>
      <w:r>
        <w:rPr>
          <w:rFonts w:hint="default" w:ascii="Times New Roman" w:hAnsi="Times New Roman" w:eastAsia="宋体" w:cs="Times New Roman"/>
          <w:snapToGrid w:val="0"/>
          <w:color w:val="auto"/>
          <w:sz w:val="24"/>
        </w:rPr>
        <w:t>Nm</w:t>
      </w:r>
      <w:r>
        <w:rPr>
          <w:rFonts w:hint="default" w:ascii="Times New Roman" w:hAnsi="Times New Roman" w:eastAsia="宋体" w:cs="Times New Roman"/>
          <w:snapToGrid w:val="0"/>
          <w:color w:val="auto"/>
          <w:sz w:val="24"/>
          <w:vertAlign w:val="superscript"/>
        </w:rPr>
        <w:t>3</w:t>
      </w:r>
      <w:r>
        <w:rPr>
          <w:rFonts w:hint="default" w:ascii="Times New Roman" w:hAnsi="Times New Roman" w:eastAsia="宋体" w:cs="Times New Roman"/>
          <w:snapToGrid w:val="0"/>
          <w:color w:val="auto"/>
          <w:sz w:val="24"/>
        </w:rPr>
        <w:t>/d，实际处理规模</w:t>
      </w:r>
      <w:r>
        <w:rPr>
          <w:rFonts w:hint="eastAsia" w:ascii="Times New Roman" w:hAnsi="Times New Roman" w:eastAsia="宋体" w:cs="Times New Roman"/>
          <w:snapToGrid w:val="0"/>
          <w:color w:val="auto"/>
          <w:sz w:val="24"/>
          <w:lang w:eastAsia="zh-CN"/>
        </w:rPr>
        <w:t>11×10</w:t>
      </w:r>
      <w:r>
        <w:rPr>
          <w:rFonts w:hint="default" w:ascii="Times New Roman" w:hAnsi="Times New Roman" w:eastAsia="宋体" w:cs="Times New Roman"/>
          <w:snapToGrid w:val="0"/>
          <w:color w:val="auto"/>
          <w:sz w:val="24"/>
          <w:vertAlign w:val="superscript"/>
        </w:rPr>
        <w:t>4</w:t>
      </w:r>
      <w:r>
        <w:rPr>
          <w:rFonts w:hint="default" w:ascii="Times New Roman" w:hAnsi="Times New Roman" w:eastAsia="宋体" w:cs="Times New Roman"/>
          <w:snapToGrid w:val="0"/>
          <w:color w:val="auto"/>
          <w:sz w:val="24"/>
        </w:rPr>
        <w:t>m</w:t>
      </w:r>
      <w:r>
        <w:rPr>
          <w:rFonts w:hint="default" w:ascii="Times New Roman" w:hAnsi="Times New Roman" w:eastAsia="宋体" w:cs="Times New Roman"/>
          <w:snapToGrid w:val="0"/>
          <w:color w:val="auto"/>
          <w:sz w:val="24"/>
          <w:vertAlign w:val="superscript"/>
        </w:rPr>
        <w:t>3</w:t>
      </w:r>
      <w:r>
        <w:rPr>
          <w:rFonts w:hint="default" w:ascii="Times New Roman" w:hAnsi="Times New Roman" w:eastAsia="宋体" w:cs="Times New Roman"/>
          <w:snapToGrid w:val="0"/>
          <w:color w:val="auto"/>
          <w:sz w:val="24"/>
        </w:rPr>
        <w:t>/d；污水处理系统设计规模为</w:t>
      </w:r>
      <w:r>
        <w:rPr>
          <w:rFonts w:hint="eastAsia" w:ascii="Times New Roman" w:hAnsi="Times New Roman" w:eastAsia="宋体" w:cs="Times New Roman"/>
          <w:snapToGrid w:val="0"/>
          <w:color w:val="auto"/>
          <w:sz w:val="24"/>
          <w:lang w:val="en-US" w:eastAsia="zh-CN"/>
        </w:rPr>
        <w:t>20000</w:t>
      </w:r>
      <w:r>
        <w:rPr>
          <w:rFonts w:hint="default" w:ascii="Times New Roman" w:hAnsi="Times New Roman" w:eastAsia="宋体" w:cs="Times New Roman"/>
          <w:snapToGrid w:val="0"/>
          <w:color w:val="auto"/>
          <w:sz w:val="24"/>
        </w:rPr>
        <w:t>t/a，实际处理规模</w:t>
      </w:r>
      <w:r>
        <w:rPr>
          <w:rFonts w:hint="eastAsia" w:ascii="Times New Roman" w:hAnsi="Times New Roman" w:eastAsia="宋体" w:cs="Times New Roman"/>
          <w:snapToGrid w:val="0"/>
          <w:color w:val="auto"/>
          <w:sz w:val="24"/>
          <w:lang w:eastAsia="zh-CN"/>
        </w:rPr>
        <w:t>19370</w:t>
      </w:r>
      <w:r>
        <w:rPr>
          <w:rFonts w:hint="default" w:ascii="Times New Roman" w:hAnsi="Times New Roman" w:eastAsia="宋体" w:cs="Times New Roman"/>
          <w:snapToGrid w:val="0"/>
          <w:color w:val="auto"/>
          <w:sz w:val="24"/>
        </w:rPr>
        <w:t>×10</w:t>
      </w:r>
      <w:r>
        <w:rPr>
          <w:rFonts w:hint="default" w:ascii="Times New Roman" w:hAnsi="Times New Roman" w:eastAsia="宋体" w:cs="Times New Roman"/>
          <w:snapToGrid w:val="0"/>
          <w:color w:val="auto"/>
          <w:sz w:val="24"/>
          <w:vertAlign w:val="superscript"/>
        </w:rPr>
        <w:t>4</w:t>
      </w:r>
      <w:r>
        <w:rPr>
          <w:rFonts w:hint="default" w:ascii="Times New Roman" w:hAnsi="Times New Roman" w:eastAsia="宋体" w:cs="Times New Roman"/>
          <w:snapToGrid w:val="0"/>
          <w:color w:val="auto"/>
          <w:sz w:val="24"/>
        </w:rPr>
        <w:t>t/a。</w:t>
      </w:r>
    </w:p>
    <w:p>
      <w:pPr>
        <w:widowControl/>
        <w:spacing w:line="360" w:lineRule="auto"/>
        <w:ind w:firstLine="480"/>
        <w:jc w:val="left"/>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环保手续履行情况见表3.5-1</w:t>
      </w:r>
      <w:r>
        <w:rPr>
          <w:rFonts w:hint="eastAsia" w:ascii="Times New Roman" w:hAnsi="Times New Roman" w:eastAsia="宋体" w:cs="Times New Roman"/>
          <w:snapToGrid w:val="0"/>
          <w:color w:val="auto"/>
          <w:sz w:val="24"/>
          <w:lang w:val="en-US" w:eastAsia="zh-CN"/>
        </w:rPr>
        <w:t>6</w:t>
      </w:r>
      <w:r>
        <w:rPr>
          <w:rFonts w:hint="default" w:ascii="Times New Roman" w:hAnsi="Times New Roman" w:eastAsia="宋体" w:cs="Times New Roman"/>
          <w:snapToGrid w:val="0"/>
          <w:color w:val="auto"/>
          <w:sz w:val="24"/>
        </w:rPr>
        <w:t>。</w:t>
      </w:r>
    </w:p>
    <w:p>
      <w:pPr>
        <w:widowControl/>
        <w:spacing w:afterLine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snapToGrid w:val="0"/>
          <w:color w:val="auto"/>
          <w:szCs w:val="21"/>
        </w:rPr>
        <w:t>表3.5-1</w:t>
      </w:r>
      <w:r>
        <w:rPr>
          <w:rFonts w:hint="eastAsia" w:ascii="Times New Roman" w:hAnsi="Times New Roman" w:eastAsia="宋体" w:cs="Times New Roman"/>
          <w:b/>
          <w:bCs/>
          <w:snapToGrid w:val="0"/>
          <w:color w:val="auto"/>
          <w:szCs w:val="21"/>
          <w:lang w:val="en-US" w:eastAsia="zh-CN"/>
        </w:rPr>
        <w:t>6</w:t>
      </w:r>
      <w:r>
        <w:rPr>
          <w:rFonts w:hint="default" w:ascii="Times New Roman" w:hAnsi="Times New Roman" w:eastAsia="宋体" w:cs="Times New Roman"/>
          <w:b/>
          <w:bCs/>
          <w:snapToGrid w:val="0"/>
          <w:color w:val="auto"/>
          <w:szCs w:val="21"/>
        </w:rPr>
        <w:t xml:space="preserve">    </w:t>
      </w:r>
      <w:r>
        <w:rPr>
          <w:rFonts w:hint="default" w:ascii="Times New Roman" w:hAnsi="Times New Roman" w:eastAsia="宋体" w:cs="Times New Roman"/>
          <w:b/>
          <w:bCs/>
          <w:color w:val="auto"/>
          <w:szCs w:val="21"/>
        </w:rPr>
        <w:t>陆梁集中处理站主要环保手续履行情况</w:t>
      </w:r>
    </w:p>
    <w:tbl>
      <w:tblPr>
        <w:tblStyle w:val="3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402"/>
        <w:gridCol w:w="1701"/>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工程名称</w:t>
            </w:r>
          </w:p>
        </w:tc>
        <w:tc>
          <w:tcPr>
            <w:tcW w:w="3402"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主要建设内容</w:t>
            </w:r>
          </w:p>
        </w:tc>
        <w:tc>
          <w:tcPr>
            <w:tcW w:w="1701"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环评批复</w:t>
            </w:r>
          </w:p>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及时间</w:t>
            </w:r>
          </w:p>
        </w:tc>
        <w:tc>
          <w:tcPr>
            <w:tcW w:w="1638"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验收批复</w:t>
            </w:r>
          </w:p>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中国石油新疆油田分公司陆梁油田开发建设项目</w:t>
            </w:r>
          </w:p>
        </w:tc>
        <w:tc>
          <w:tcPr>
            <w:tcW w:w="3402"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配套建设原油处理系统、天然气处理系统、污水处理系统等。</w:t>
            </w:r>
          </w:p>
        </w:tc>
        <w:tc>
          <w:tcPr>
            <w:tcW w:w="1701"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环审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w:t>
            </w:r>
            <w:r>
              <w:rPr>
                <w:rFonts w:hint="eastAsia" w:ascii="Times New Roman" w:hAnsi="Times New Roman" w:eastAsia="宋体" w:cs="Times New Roman"/>
                <w:color w:val="auto"/>
                <w:lang w:val="en-US" w:eastAsia="zh-CN"/>
              </w:rPr>
              <w:t>0</w:t>
            </w:r>
            <w:r>
              <w:rPr>
                <w:rFonts w:hint="default" w:ascii="Times New Roman" w:hAnsi="Times New Roman" w:eastAsia="宋体" w:cs="Times New Roman"/>
                <w:color w:val="auto"/>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69号，2003年2月25日</w:t>
            </w:r>
          </w:p>
        </w:tc>
        <w:tc>
          <w:tcPr>
            <w:tcW w:w="163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环验</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w:t>
            </w:r>
            <w:r>
              <w:rPr>
                <w:rFonts w:hint="eastAsia" w:ascii="Times New Roman" w:hAnsi="Times New Roman" w:eastAsia="宋体" w:cs="Times New Roman"/>
                <w:color w:val="auto"/>
                <w:lang w:val="en-US" w:eastAsia="zh-CN"/>
              </w:rPr>
              <w:t>05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071号，2005年8月16日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新疆油田公司陆梁集中处理站污水处理系统扩建工程</w:t>
            </w:r>
          </w:p>
        </w:tc>
        <w:tc>
          <w:tcPr>
            <w:tcW w:w="3402"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在现有陆梁油田集中处理站现有场地新建1座污水处理设施，新增污废水处理能力5000m³/天，改扩建后陆梁油田集中处理站污水处理系统处理规模达到10000m³/天。</w:t>
            </w:r>
          </w:p>
        </w:tc>
        <w:tc>
          <w:tcPr>
            <w:tcW w:w="1701"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新环评价函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2013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273号，2013年4月9日</w:t>
            </w:r>
          </w:p>
        </w:tc>
        <w:tc>
          <w:tcPr>
            <w:tcW w:w="163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新环函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2016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23号，2016年1月7日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陆梁集中处理站改扩建工程</w:t>
            </w:r>
          </w:p>
        </w:tc>
        <w:tc>
          <w:tcPr>
            <w:tcW w:w="3402"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对原油处理系统进行改造，在两相分离器后增加卧式三相分离器3座；老化油处理系统改扩建，利用旧60m³缓冲罐1座、破乳剂加药橇1座以及5m³/小时提升泵1</w:t>
            </w:r>
            <w:r>
              <w:rPr>
                <w:rFonts w:hint="default" w:ascii="Times New Roman" w:hAnsi="Times New Roman" w:eastAsia="宋体" w:cs="Times New Roman"/>
                <w:color w:val="auto"/>
                <w:lang w:eastAsia="zh-CN"/>
              </w:rPr>
              <w:t>台</w:t>
            </w:r>
            <w:r>
              <w:rPr>
                <w:rFonts w:hint="default" w:ascii="Times New Roman" w:hAnsi="Times New Roman" w:eastAsia="宋体" w:cs="Times New Roman"/>
                <w:color w:val="auto"/>
              </w:rPr>
              <w:t>，500千瓦蒸汽加热器1台；污水处理系统，增加1座250立方米反应罐，配套建设净化剂、助凝剂加药橇2套及管网、阀门等。</w:t>
            </w:r>
          </w:p>
        </w:tc>
        <w:tc>
          <w:tcPr>
            <w:tcW w:w="1701"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新环函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2015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877号，2015年8月4日</w:t>
            </w:r>
          </w:p>
        </w:tc>
        <w:tc>
          <w:tcPr>
            <w:tcW w:w="163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塔地环验收</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201</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3号，2017年7月12日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陆梁油田污水及注水系统扩建整体工程</w:t>
            </w:r>
          </w:p>
        </w:tc>
        <w:tc>
          <w:tcPr>
            <w:tcW w:w="3402"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对现有的污水处理</w:t>
            </w:r>
            <w:r>
              <w:rPr>
                <w:rFonts w:hint="default" w:ascii="Times New Roman" w:hAnsi="Times New Roman" w:eastAsia="宋体" w:cs="Times New Roman"/>
                <w:color w:val="auto"/>
                <w:lang w:eastAsia="zh-CN"/>
              </w:rPr>
              <w:t>系统</w:t>
            </w:r>
            <w:r>
              <w:rPr>
                <w:rFonts w:hint="default" w:ascii="Times New Roman" w:hAnsi="Times New Roman" w:eastAsia="宋体" w:cs="Times New Roman"/>
                <w:color w:val="auto"/>
              </w:rPr>
              <w:t>进行改造，废水处理能力由10000m³/d提升为20000m³/d。</w:t>
            </w:r>
          </w:p>
        </w:tc>
        <w:tc>
          <w:tcPr>
            <w:tcW w:w="1701"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新环函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2018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16号，2018年1月5日</w:t>
            </w:r>
          </w:p>
        </w:tc>
        <w:tc>
          <w:tcPr>
            <w:tcW w:w="163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自主验收，2020年9月18日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新疆油田陆梁和石西原油密闭处理与稳定改造工程（陆梁部分）</w:t>
            </w:r>
          </w:p>
        </w:tc>
        <w:tc>
          <w:tcPr>
            <w:tcW w:w="3402"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新建1套70×10</w:t>
            </w:r>
            <w:r>
              <w:rPr>
                <w:rFonts w:hint="default" w:ascii="Times New Roman" w:hAnsi="Times New Roman" w:eastAsia="宋体" w:cs="Times New Roman"/>
                <w:color w:val="auto"/>
                <w:vertAlign w:val="superscript"/>
              </w:rPr>
              <w:t>4</w:t>
            </w:r>
            <w:r>
              <w:rPr>
                <w:rFonts w:hint="default" w:ascii="Times New Roman" w:hAnsi="Times New Roman" w:eastAsia="宋体" w:cs="Times New Roman"/>
                <w:color w:val="auto"/>
              </w:rPr>
              <w:t>t/a的原油密闭处理系统，并对外输和配套系统改造。</w:t>
            </w:r>
          </w:p>
        </w:tc>
        <w:tc>
          <w:tcPr>
            <w:tcW w:w="1701"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和生环评函字</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2019</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26号，2019年7月12日</w:t>
            </w:r>
          </w:p>
        </w:tc>
        <w:tc>
          <w:tcPr>
            <w:tcW w:w="1638" w:type="dxa"/>
            <w:vAlign w:val="center"/>
          </w:tcPr>
          <w:p>
            <w:pPr>
              <w:pStyle w:val="23"/>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自主验收，2023年5月25日</w:t>
            </w:r>
          </w:p>
        </w:tc>
      </w:tr>
    </w:tbl>
    <w:p>
      <w:pPr>
        <w:widowControl/>
        <w:spacing w:line="360" w:lineRule="auto"/>
        <w:ind w:firstLine="480" w:firstLineChars="200"/>
        <w:jc w:val="left"/>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1）原油处理系统</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本工程原油处理依托陆梁集中处理站，设计处理能力为120×10</w:t>
      </w:r>
      <w:r>
        <w:rPr>
          <w:rFonts w:hint="default" w:ascii="Times New Roman" w:hAnsi="Times New Roman" w:eastAsia="宋体" w:cs="Times New Roman"/>
          <w:color w:val="auto"/>
          <w:sz w:val="24"/>
          <w:szCs w:val="32"/>
          <w:vertAlign w:val="superscript"/>
        </w:rPr>
        <w:t>4</w:t>
      </w:r>
      <w:r>
        <w:rPr>
          <w:rFonts w:hint="default" w:ascii="Times New Roman" w:hAnsi="Times New Roman" w:eastAsia="宋体" w:cs="Times New Roman"/>
          <w:color w:val="auto"/>
          <w:sz w:val="24"/>
          <w:szCs w:val="32"/>
        </w:rPr>
        <w:t>t/a，目前原油处理量为75×10</w:t>
      </w:r>
      <w:r>
        <w:rPr>
          <w:rFonts w:hint="default" w:ascii="Times New Roman" w:hAnsi="Times New Roman" w:eastAsia="宋体" w:cs="Times New Roman"/>
          <w:color w:val="auto"/>
          <w:sz w:val="24"/>
          <w:szCs w:val="32"/>
          <w:vertAlign w:val="superscript"/>
        </w:rPr>
        <w:t>4</w:t>
      </w:r>
      <w:r>
        <w:rPr>
          <w:rFonts w:hint="default" w:ascii="Times New Roman" w:hAnsi="Times New Roman" w:eastAsia="宋体" w:cs="Times New Roman"/>
          <w:color w:val="auto"/>
          <w:sz w:val="24"/>
          <w:szCs w:val="32"/>
        </w:rPr>
        <w:t>t/a（包含玛东2、夏盐11的15×10</w:t>
      </w:r>
      <w:r>
        <w:rPr>
          <w:rFonts w:hint="default" w:ascii="Times New Roman" w:hAnsi="Times New Roman" w:eastAsia="宋体" w:cs="Times New Roman"/>
          <w:color w:val="auto"/>
          <w:sz w:val="24"/>
          <w:szCs w:val="32"/>
          <w:vertAlign w:val="superscript"/>
        </w:rPr>
        <w:t>4</w:t>
      </w:r>
      <w:r>
        <w:rPr>
          <w:rFonts w:hint="default" w:ascii="Times New Roman" w:hAnsi="Times New Roman" w:eastAsia="宋体" w:cs="Times New Roman"/>
          <w:color w:val="auto"/>
          <w:sz w:val="24"/>
          <w:szCs w:val="32"/>
        </w:rPr>
        <w:t>t/a油量，改造完成后该部分原油不接管至陆梁集中处理站），含水89%，陆梁处理系统现状采用“三相分离脱水+两段大罐热化学沉降脱水”脱水工艺。</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根据《新疆油田陆梁和石西原油密闭处理与稳定改造工程》2021年进行陆梁集中处理站原油处理系统进行密闭改造，改造后采用“游离水脱除器+相变加热炉+多功能处理器”处理工艺，设计处理能力为70×10</w:t>
      </w:r>
      <w:r>
        <w:rPr>
          <w:rFonts w:hint="default" w:ascii="Times New Roman" w:hAnsi="Times New Roman" w:eastAsia="宋体" w:cs="Times New Roman"/>
          <w:color w:val="auto"/>
          <w:sz w:val="24"/>
          <w:szCs w:val="32"/>
          <w:vertAlign w:val="superscript"/>
        </w:rPr>
        <w:t>4</w:t>
      </w:r>
      <w:r>
        <w:rPr>
          <w:rFonts w:hint="default" w:ascii="Times New Roman" w:hAnsi="Times New Roman" w:eastAsia="宋体" w:cs="Times New Roman"/>
          <w:color w:val="auto"/>
          <w:sz w:val="24"/>
          <w:szCs w:val="32"/>
        </w:rPr>
        <w:t>t/a。改造后工艺流程图如下所示。</w:t>
      </w:r>
    </w:p>
    <w:p>
      <w:pPr>
        <w:pStyle w:val="46"/>
        <w:rPr>
          <w:rFonts w:hint="default" w:ascii="Times New Roman" w:hAnsi="Times New Roman" w:cs="Times New Roman"/>
          <w:color w:val="auto"/>
        </w:rPr>
      </w:pPr>
      <w:r>
        <w:rPr>
          <w:rFonts w:hint="default" w:ascii="Times New Roman" w:hAnsi="Times New Roman" w:cs="Times New Roman"/>
          <w:color w:val="auto"/>
          <w:lang w:val="en-US" w:bidi="ar-SA"/>
        </w:rPr>
        <w:drawing>
          <wp:inline distT="0" distB="0" distL="0" distR="0">
            <wp:extent cx="5274310" cy="19602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1960245"/>
                    </a:xfrm>
                    <a:prstGeom prst="rect">
                      <a:avLst/>
                    </a:prstGeom>
                    <a:noFill/>
                    <a:ln>
                      <a:noFill/>
                    </a:ln>
                  </pic:spPr>
                </pic:pic>
              </a:graphicData>
            </a:graphic>
          </wp:inline>
        </w:drawing>
      </w:r>
    </w:p>
    <w:p>
      <w:pPr>
        <w:pStyle w:val="46"/>
        <w:jc w:val="center"/>
        <w:rPr>
          <w:rFonts w:hint="default" w:ascii="Times New Roman" w:hAnsi="Times New Roman" w:cs="Times New Roman"/>
          <w:color w:val="auto"/>
        </w:rPr>
      </w:pPr>
      <w:r>
        <w:rPr>
          <w:rFonts w:hint="default" w:ascii="Times New Roman" w:hAnsi="Times New Roman" w:cs="Times New Roman"/>
          <w:b/>
          <w:bCs/>
          <w:color w:val="auto"/>
          <w:sz w:val="21"/>
          <w:szCs w:val="21"/>
        </w:rPr>
        <w:t>图3.</w:t>
      </w:r>
      <w:r>
        <w:rPr>
          <w:rFonts w:hint="default" w:ascii="Times New Roman" w:hAnsi="Times New Roman" w:cs="Times New Roman"/>
          <w:b/>
          <w:bCs/>
          <w:color w:val="auto"/>
          <w:sz w:val="21"/>
          <w:szCs w:val="21"/>
          <w:lang w:val="en-US"/>
        </w:rPr>
        <w:t>5</w:t>
      </w:r>
      <w:r>
        <w:rPr>
          <w:rFonts w:hint="default" w:ascii="Times New Roman" w:hAnsi="Times New Roman" w:cs="Times New Roman"/>
          <w:b/>
          <w:bCs/>
          <w:color w:val="auto"/>
          <w:sz w:val="21"/>
          <w:szCs w:val="21"/>
        </w:rPr>
        <w:t>-4 陆梁集中处理站原油处理（改造后）流程图</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陆梁处理站（密闭）处理流程：</w:t>
      </w:r>
    </w:p>
    <w:p>
      <w:pPr>
        <w:widowControl/>
        <w:spacing w:line="360" w:lineRule="auto"/>
        <w:ind w:firstLine="48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油区来液（18~22℃、0.30~0.35MPa，含水≤92%）先进入游离水脱除器，分离出低含水原油（含水率≤30%）经提升泵升压至0.50~0.55MPa，进相变加热炉加热（55~60℃、0.40~0.45MPa）后进入多功能处理器进行加热、电化学脱水，合格净化油（55~60℃、0.30~0.35MPa，含水≤0.5%）至压力缓冲罐经外输泵连续输送至石西集中处理站进行原油稳定。游离水脱除器分离出的伴生气经除油器脱液、压控后，输送到伴生气处理系统处理。游离水脱除器脱出的含油污水进入采出水处理系统。</w:t>
      </w:r>
    </w:p>
    <w:p>
      <w:pPr>
        <w:widowControl/>
        <w:spacing w:line="360" w:lineRule="auto"/>
        <w:ind w:firstLine="480"/>
        <w:jc w:val="left"/>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2）天然气处理系统</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陆梁集中处理站天然气处理装置2002年9月施工建设，于2002年12月30日正式投产。伴生气设计处理能力15×10</w:t>
      </w:r>
      <w:r>
        <w:rPr>
          <w:rFonts w:hint="default" w:ascii="Times New Roman" w:hAnsi="Times New Roman" w:eastAsia="宋体" w:cs="Times New Roman"/>
          <w:color w:val="auto"/>
          <w:sz w:val="24"/>
          <w:szCs w:val="32"/>
          <w:vertAlign w:val="superscript"/>
        </w:rPr>
        <w:t>4</w:t>
      </w:r>
      <w:r>
        <w:rPr>
          <w:rFonts w:hint="default" w:ascii="Times New Roman" w:hAnsi="Times New Roman" w:eastAsia="宋体" w:cs="Times New Roman"/>
          <w:color w:val="auto"/>
          <w:sz w:val="24"/>
          <w:szCs w:val="32"/>
        </w:rPr>
        <w:t>m</w:t>
      </w:r>
      <w:r>
        <w:rPr>
          <w:rFonts w:hint="default" w:ascii="Times New Roman" w:hAnsi="Times New Roman" w:eastAsia="宋体" w:cs="Times New Roman"/>
          <w:color w:val="auto"/>
          <w:sz w:val="24"/>
          <w:szCs w:val="32"/>
          <w:vertAlign w:val="superscript"/>
        </w:rPr>
        <w:t>3</w:t>
      </w:r>
      <w:r>
        <w:rPr>
          <w:rFonts w:hint="default" w:ascii="Times New Roman" w:hAnsi="Times New Roman" w:eastAsia="宋体" w:cs="Times New Roman"/>
          <w:color w:val="auto"/>
          <w:sz w:val="24"/>
          <w:szCs w:val="32"/>
        </w:rPr>
        <w:t>/d，目前实际处理量为</w:t>
      </w:r>
      <w:r>
        <w:rPr>
          <w:rFonts w:hint="eastAsia" w:ascii="Times New Roman" w:hAnsi="Times New Roman" w:eastAsia="宋体" w:cs="Times New Roman"/>
          <w:color w:val="auto"/>
          <w:sz w:val="24"/>
          <w:szCs w:val="32"/>
          <w:lang w:eastAsia="zh-CN"/>
        </w:rPr>
        <w:t>11×10</w:t>
      </w:r>
      <w:r>
        <w:rPr>
          <w:rFonts w:hint="default" w:ascii="Times New Roman" w:hAnsi="Times New Roman" w:eastAsia="宋体" w:cs="Times New Roman"/>
          <w:color w:val="auto"/>
          <w:sz w:val="24"/>
          <w:szCs w:val="32"/>
          <w:vertAlign w:val="superscript"/>
        </w:rPr>
        <w:t>4</w:t>
      </w:r>
      <w:r>
        <w:rPr>
          <w:rFonts w:hint="default" w:ascii="Times New Roman" w:hAnsi="Times New Roman" w:eastAsia="宋体" w:cs="Times New Roman"/>
          <w:color w:val="auto"/>
          <w:sz w:val="24"/>
          <w:szCs w:val="32"/>
        </w:rPr>
        <w:t>m</w:t>
      </w:r>
      <w:r>
        <w:rPr>
          <w:rFonts w:hint="default" w:ascii="Times New Roman" w:hAnsi="Times New Roman" w:eastAsia="宋体" w:cs="Times New Roman"/>
          <w:color w:val="auto"/>
          <w:sz w:val="24"/>
          <w:szCs w:val="32"/>
          <w:vertAlign w:val="superscript"/>
        </w:rPr>
        <w:t>3</w:t>
      </w:r>
      <w:r>
        <w:rPr>
          <w:rFonts w:hint="default" w:ascii="Times New Roman" w:hAnsi="Times New Roman" w:eastAsia="宋体" w:cs="Times New Roman"/>
          <w:color w:val="auto"/>
          <w:sz w:val="24"/>
          <w:szCs w:val="32"/>
        </w:rPr>
        <w:t>/d。</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①主要生产设施</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陆梁集中处理站天然气处理系统主要生产设备见下表。</w:t>
      </w:r>
    </w:p>
    <w:p>
      <w:pPr>
        <w:pStyle w:val="46"/>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rPr>
        <w:t>5</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17</w:t>
      </w:r>
      <w:r>
        <w:rPr>
          <w:rFonts w:hint="default" w:ascii="Times New Roman" w:hAnsi="Times New Roman" w:cs="Times New Roman"/>
          <w:b/>
          <w:bCs/>
          <w:color w:val="auto"/>
          <w:sz w:val="21"/>
          <w:szCs w:val="21"/>
        </w:rPr>
        <w:t xml:space="preserve"> 伴生气处理系统主要生产设备</w:t>
      </w:r>
    </w:p>
    <w:tbl>
      <w:tblPr>
        <w:tblStyle w:val="3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59"/>
        <w:gridCol w:w="1070"/>
        <w:gridCol w:w="1224"/>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序号</w:t>
            </w:r>
          </w:p>
        </w:tc>
        <w:tc>
          <w:tcPr>
            <w:tcW w:w="1559"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名称</w:t>
            </w:r>
          </w:p>
        </w:tc>
        <w:tc>
          <w:tcPr>
            <w:tcW w:w="1070"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压力（MPa）</w:t>
            </w:r>
          </w:p>
        </w:tc>
        <w:tc>
          <w:tcPr>
            <w:tcW w:w="1224"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数量（台）</w:t>
            </w:r>
          </w:p>
        </w:tc>
        <w:tc>
          <w:tcPr>
            <w:tcW w:w="3765"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55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天然气压缩机</w:t>
            </w:r>
          </w:p>
        </w:tc>
        <w:tc>
          <w:tcPr>
            <w:tcW w:w="1070"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5.8</w:t>
            </w:r>
          </w:p>
        </w:tc>
        <w:tc>
          <w:tcPr>
            <w:tcW w:w="1224"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376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排量7.8-8.5×10</w:t>
            </w:r>
            <w:r>
              <w:rPr>
                <w:rFonts w:hint="default" w:ascii="Times New Roman" w:hAnsi="Times New Roman" w:eastAsia="宋体" w:cs="Times New Roman"/>
                <w:color w:val="auto"/>
                <w:vertAlign w:val="superscript"/>
              </w:rPr>
              <w:t>4</w:t>
            </w:r>
            <w:r>
              <w:rPr>
                <w:rFonts w:hint="default" w:ascii="Times New Roman" w:hAnsi="Times New Roman" w:eastAsia="宋体" w:cs="Times New Roman"/>
                <w:color w:val="auto"/>
              </w:rPr>
              <w:t>Nm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/d，转速 440r/min，功率473kW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55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精滤器</w:t>
            </w:r>
          </w:p>
        </w:tc>
        <w:tc>
          <w:tcPr>
            <w:tcW w:w="1070"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5.8</w:t>
            </w:r>
          </w:p>
        </w:tc>
        <w:tc>
          <w:tcPr>
            <w:tcW w:w="1224"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376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容器净重1394.32kg，设计温度75℃，介质容积0.55m</w:t>
            </w:r>
            <w:r>
              <w:rPr>
                <w:rFonts w:hint="default" w:ascii="Times New Roman" w:hAnsi="Times New Roman" w:eastAsia="宋体" w:cs="Times New Roman"/>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55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出口分离器</w:t>
            </w:r>
          </w:p>
        </w:tc>
        <w:tc>
          <w:tcPr>
            <w:tcW w:w="1070"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224"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376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容器净重3089kg，设计温度40℃，介质容积1.26m</w:t>
            </w:r>
            <w:r>
              <w:rPr>
                <w:rFonts w:hint="default" w:ascii="Times New Roman" w:hAnsi="Times New Roman" w:eastAsia="宋体" w:cs="Times New Roman"/>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55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井口分离器</w:t>
            </w:r>
          </w:p>
        </w:tc>
        <w:tc>
          <w:tcPr>
            <w:tcW w:w="1070"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0.4</w:t>
            </w:r>
          </w:p>
        </w:tc>
        <w:tc>
          <w:tcPr>
            <w:tcW w:w="1224"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376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容器净重3089kg，设计温度40℃，介质容积1.26m</w:t>
            </w:r>
            <w:r>
              <w:rPr>
                <w:rFonts w:hint="default" w:ascii="Times New Roman" w:hAnsi="Times New Roman" w:eastAsia="宋体" w:cs="Times New Roman"/>
                <w:color w:val="auto"/>
                <w:vertAlign w:val="superscript"/>
              </w:rPr>
              <w:t>3</w:t>
            </w:r>
          </w:p>
        </w:tc>
      </w:tr>
    </w:tbl>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②主要工艺流程</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油田伴生气（0.25MPa，25℃ ）进入压缩机进口分离器进行分离，分离后天然气约4万方气去旁边的燃气发电站，剩余天然气进入压缩机增压，增压至 3.5~3.8MPa，经空冷器冷却至 45℃ 后进入压缩机出口分离器分离，分离出的气相注入乙二醇去气气换热器进行预冷，温度降至 0~5℃ ，预冷后天然气先进入一级低温分离器进行分离，分离出的气相注入乙二醇后去丙烷制冷橇，温度降至-15℃后，进入二级低温分离器进行气液分离，分出的天然气去气气换热器、气液换热器进行复热，复热后温度升为33~38℃ 后计量外输，外输压力2.3~2.7MPa，经配气间后进入彩石克管网。一级低温分离器分出的烃液（0.4MPa、5℃）及二级低温分离器分出的烃液（0.4MPa、-15℃）混合后，进入液烃分离器进行分离，分离出的气相去压缩机进口分离器，油相进入埋地污油罐，水相进入天然气处理站的乙二醇再生装置进行再生。具体流程如下图所示。</w:t>
      </w:r>
    </w:p>
    <w:p>
      <w:pPr>
        <w:pStyle w:val="46"/>
        <w:rPr>
          <w:rFonts w:hint="default" w:ascii="Times New Roman" w:hAnsi="Times New Roman" w:cs="Times New Roman"/>
          <w:color w:val="auto"/>
        </w:rPr>
      </w:pPr>
      <w:r>
        <w:rPr>
          <w:rFonts w:hint="default" w:ascii="Times New Roman" w:hAnsi="Times New Roman" w:cs="Times New Roman"/>
          <w:color w:val="auto"/>
          <w:lang w:val="en-US" w:bidi="ar-SA"/>
        </w:rPr>
        <w:drawing>
          <wp:inline distT="0" distB="0" distL="0" distR="0">
            <wp:extent cx="5274310" cy="2557780"/>
            <wp:effectExtent l="0" t="0" r="2540" b="1397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557780"/>
                    </a:xfrm>
                    <a:prstGeom prst="rect">
                      <a:avLst/>
                    </a:prstGeom>
                    <a:solidFill>
                      <a:srgbClr val="000000"/>
                    </a:solidFill>
                    <a:ln>
                      <a:noFill/>
                    </a:ln>
                  </pic:spPr>
                </pic:pic>
              </a:graphicData>
            </a:graphic>
          </wp:inline>
        </w:drawing>
      </w:r>
    </w:p>
    <w:p>
      <w:pPr>
        <w:pStyle w:val="46"/>
        <w:jc w:val="center"/>
        <w:rPr>
          <w:rFonts w:hint="default" w:ascii="Times New Roman" w:hAnsi="Times New Roman" w:cs="Times New Roman"/>
          <w:b/>
          <w:bCs/>
          <w:color w:val="auto"/>
        </w:rPr>
      </w:pPr>
      <w:r>
        <w:rPr>
          <w:rFonts w:hint="default" w:ascii="Times New Roman" w:hAnsi="Times New Roman" w:cs="Times New Roman"/>
          <w:b/>
          <w:bCs/>
          <w:color w:val="auto"/>
        </w:rPr>
        <w:t>图3.</w:t>
      </w:r>
      <w:r>
        <w:rPr>
          <w:rFonts w:hint="default" w:ascii="Times New Roman" w:hAnsi="Times New Roman" w:cs="Times New Roman"/>
          <w:b/>
          <w:bCs/>
          <w:color w:val="auto"/>
          <w:lang w:val="en-US"/>
        </w:rPr>
        <w:t>5</w:t>
      </w:r>
      <w:r>
        <w:rPr>
          <w:rFonts w:hint="default" w:ascii="Times New Roman" w:hAnsi="Times New Roman" w:cs="Times New Roman"/>
          <w:b/>
          <w:bCs/>
          <w:color w:val="auto"/>
        </w:rPr>
        <w:t>-5 陆梁集中处理站伴生气处理流程示意图</w:t>
      </w:r>
    </w:p>
    <w:p>
      <w:pPr>
        <w:widowControl/>
        <w:spacing w:line="360" w:lineRule="auto"/>
        <w:ind w:firstLine="480"/>
        <w:jc w:val="left"/>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3）污水处理系统</w:t>
      </w:r>
    </w:p>
    <w:p>
      <w:pPr>
        <w:tabs>
          <w:tab w:val="left" w:pos="3600"/>
        </w:tabs>
        <w:autoSpaceDE w:val="0"/>
        <w:autoSpaceDN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①处理规模</w:t>
      </w:r>
    </w:p>
    <w:p>
      <w:pPr>
        <w:tabs>
          <w:tab w:val="left" w:pos="3600"/>
        </w:tabs>
        <w:autoSpaceDE w:val="0"/>
        <w:autoSpaceDN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陆梁油田集中处理站采出水处理系统始建于2001年，原设计规模5000m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/d，采用“重力除油-旋流反应-沉降过滤”工艺流程。该站于2013年扩建至10000m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/d，2016年增设1座250m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反应罐，2019年作业区实施《陆梁油田采出水及注水系统扩建整体工程》，将陆梁集中处理站采出水处理能力由10000m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/d扩建至20000m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/d。目前实际日处理采出水量约</w:t>
      </w:r>
      <w:r>
        <w:rPr>
          <w:rFonts w:hint="eastAsia" w:ascii="Times New Roman" w:hAnsi="Times New Roman" w:eastAsia="宋体" w:cs="Times New Roman"/>
          <w:color w:val="auto"/>
          <w:sz w:val="24"/>
          <w:lang w:eastAsia="zh-CN"/>
        </w:rPr>
        <w:t>19370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/d，采出水处理合格后全部回注陆9等井区。</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②主要生产设施</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陆梁污水处理</w:t>
      </w:r>
      <w:r>
        <w:rPr>
          <w:rFonts w:hint="default" w:ascii="Times New Roman" w:hAnsi="Times New Roman" w:eastAsia="宋体" w:cs="Times New Roman"/>
          <w:color w:val="auto"/>
          <w:sz w:val="24"/>
          <w:szCs w:val="32"/>
          <w:lang w:eastAsia="zh-CN"/>
        </w:rPr>
        <w:t>站</w:t>
      </w:r>
      <w:r>
        <w:rPr>
          <w:rFonts w:hint="default" w:ascii="Times New Roman" w:hAnsi="Times New Roman" w:eastAsia="宋体" w:cs="Times New Roman"/>
          <w:color w:val="auto"/>
          <w:sz w:val="24"/>
          <w:szCs w:val="32"/>
        </w:rPr>
        <w:t>内主要装置见表3.5-</w:t>
      </w:r>
      <w:r>
        <w:rPr>
          <w:rFonts w:hint="eastAsia" w:ascii="Times New Roman" w:hAnsi="Times New Roman" w:eastAsia="宋体" w:cs="Times New Roman"/>
          <w:color w:val="auto"/>
          <w:sz w:val="24"/>
          <w:szCs w:val="32"/>
          <w:lang w:val="en-US" w:eastAsia="zh-CN"/>
        </w:rPr>
        <w:t>18</w:t>
      </w:r>
      <w:r>
        <w:rPr>
          <w:rFonts w:hint="default" w:ascii="Times New Roman" w:hAnsi="Times New Roman" w:eastAsia="宋体" w:cs="Times New Roman"/>
          <w:color w:val="auto"/>
          <w:sz w:val="24"/>
          <w:szCs w:val="32"/>
        </w:rPr>
        <w:t>。</w:t>
      </w:r>
    </w:p>
    <w:p>
      <w:pPr>
        <w:pStyle w:val="46"/>
        <w:spacing w:afterLines="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rPr>
        <w:t>5</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 xml:space="preserve">18 </w:t>
      </w:r>
      <w:r>
        <w:rPr>
          <w:rFonts w:hint="default" w:ascii="Times New Roman" w:hAnsi="Times New Roman" w:cs="Times New Roman"/>
          <w:b/>
          <w:bCs/>
          <w:color w:val="auto"/>
          <w:sz w:val="21"/>
          <w:szCs w:val="21"/>
        </w:rPr>
        <w:t xml:space="preserve"> 陆梁污水处理站主要装置一览表</w:t>
      </w:r>
    </w:p>
    <w:tbl>
      <w:tblPr>
        <w:tblStyle w:val="3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74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序号</w:t>
            </w:r>
          </w:p>
        </w:tc>
        <w:tc>
          <w:tcPr>
            <w:tcW w:w="6748"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设备设施名称</w:t>
            </w:r>
          </w:p>
        </w:tc>
        <w:tc>
          <w:tcPr>
            <w:tcW w:w="1099" w:type="dxa"/>
            <w:vAlign w:val="center"/>
          </w:tcPr>
          <w:p>
            <w:pPr>
              <w:pStyle w:val="23"/>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2000m</w:t>
            </w:r>
            <w:r>
              <w:rPr>
                <w:rFonts w:hint="default" w:ascii="Times New Roman" w:hAnsi="Times New Roman" w:eastAsia="宋体" w:cs="Times New Roman"/>
                <w:color w:val="auto"/>
                <w:vertAlign w:val="superscript"/>
              </w:rPr>
              <w:t xml:space="preserve">3 </w:t>
            </w:r>
            <w:r>
              <w:rPr>
                <w:rFonts w:hint="default" w:ascii="Times New Roman" w:hAnsi="Times New Roman" w:eastAsia="宋体" w:cs="Times New Roman"/>
                <w:color w:val="auto"/>
              </w:rPr>
              <w:t>新调储罐</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新反应提升泵Q=280m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/h、H =45m</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2000m</w:t>
            </w:r>
            <w:r>
              <w:rPr>
                <w:rFonts w:hint="default" w:ascii="Times New Roman" w:hAnsi="Times New Roman" w:eastAsia="宋体" w:cs="Times New Roman"/>
                <w:color w:val="auto"/>
                <w:vertAlign w:val="superscript"/>
              </w:rPr>
              <w:t xml:space="preserve">3 </w:t>
            </w:r>
            <w:r>
              <w:rPr>
                <w:rFonts w:hint="default" w:ascii="Times New Roman" w:hAnsi="Times New Roman" w:eastAsia="宋体" w:cs="Times New Roman"/>
                <w:color w:val="auto"/>
              </w:rPr>
              <w:t>除油缓冲罐</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2000m</w:t>
            </w:r>
            <w:r>
              <w:rPr>
                <w:rFonts w:hint="default" w:ascii="Times New Roman" w:hAnsi="Times New Roman" w:eastAsia="宋体" w:cs="Times New Roman"/>
                <w:color w:val="auto"/>
                <w:vertAlign w:val="superscript"/>
              </w:rPr>
              <w:t xml:space="preserve">3 </w:t>
            </w:r>
            <w:r>
              <w:rPr>
                <w:rFonts w:hint="default" w:ascii="Times New Roman" w:hAnsi="Times New Roman" w:eastAsia="宋体" w:cs="Times New Roman"/>
                <w:color w:val="auto"/>
              </w:rPr>
              <w:t>老调储罐</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老反应提升泵Q=280m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/h、H =45m</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300m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反应罐</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6座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混凝沉降罐</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300m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过滤缓冲罐</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9</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60m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污油罐</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新地下泵房反洗泵Q=100m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/h、H =75m</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新地下泵房回收水泵Q=100m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/h、H =30m</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12</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新地下泵房回收污泥泵Q=30m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/h、H =60m</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13</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300m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污泥沉降池</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14</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污泥沉降池</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400m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回收水池</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次氯酸水罐、浓盐水罐、稀盐水罐、软化水罐、除垢罐、次氯酸钠罐</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各1个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17</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次氯酸泵Q=3m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/h、H =50m</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18</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老过滤器29.3 m</w:t>
            </w:r>
            <w:r>
              <w:rPr>
                <w:rFonts w:hint="default" w:ascii="Times New Roman" w:hAnsi="Times New Roman" w:eastAsia="宋体" w:cs="Times New Roman"/>
                <w:color w:val="auto"/>
                <w:vertAlign w:val="superscript"/>
              </w:rPr>
              <w:t>3</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675"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19</w:t>
            </w:r>
          </w:p>
        </w:tc>
        <w:tc>
          <w:tcPr>
            <w:tcW w:w="6748"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新过滤器29.3 m</w:t>
            </w:r>
            <w:r>
              <w:rPr>
                <w:rFonts w:hint="default" w:ascii="Times New Roman" w:hAnsi="Times New Roman" w:eastAsia="宋体" w:cs="Times New Roman"/>
                <w:color w:val="auto"/>
                <w:vertAlign w:val="superscript"/>
              </w:rPr>
              <w:t>3</w:t>
            </w:r>
          </w:p>
        </w:tc>
        <w:tc>
          <w:tcPr>
            <w:tcW w:w="1099" w:type="dxa"/>
            <w:vAlign w:val="center"/>
          </w:tcPr>
          <w:p>
            <w:pPr>
              <w:pStyle w:val="23"/>
              <w:rPr>
                <w:rFonts w:hint="default" w:ascii="Times New Roman" w:hAnsi="Times New Roman" w:eastAsia="宋体" w:cs="Times New Roman"/>
                <w:color w:val="auto"/>
              </w:rPr>
            </w:pPr>
            <w:r>
              <w:rPr>
                <w:rFonts w:hint="default" w:ascii="Times New Roman" w:hAnsi="Times New Roman" w:eastAsia="宋体" w:cs="Times New Roman"/>
                <w:color w:val="auto"/>
              </w:rPr>
              <w:t>6台</w:t>
            </w:r>
          </w:p>
        </w:tc>
      </w:tr>
    </w:tbl>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③主要工艺流程</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污水处理工艺以新疆油田“离子调整旋流反应法处理技术”为基础，采用重力除油、旋流反应、混凝沉降、过滤流程，使水质达到</w:t>
      </w:r>
      <w:r>
        <w:rPr>
          <w:rFonts w:hint="default" w:ascii="Times New Roman" w:hAnsi="Times New Roman" w:eastAsia="宋体" w:cs="Times New Roman"/>
          <w:color w:val="auto"/>
          <w:kern w:val="0"/>
          <w:sz w:val="24"/>
          <w:szCs w:val="24"/>
          <w:lang w:val="en-US" w:eastAsia="zh-CN" w:bidi="ar"/>
        </w:rPr>
        <w:t>《碎屑岩油藏注水水质指标技术要求及分析方法》（SY/T5329-2022）</w:t>
      </w:r>
      <w:r>
        <w:rPr>
          <w:rFonts w:hint="default" w:ascii="Times New Roman" w:hAnsi="Times New Roman" w:eastAsia="宋体" w:cs="Times New Roman"/>
          <w:color w:val="auto"/>
          <w:sz w:val="24"/>
          <w:szCs w:val="32"/>
        </w:rPr>
        <w:t>标准后回注地层。</w:t>
      </w:r>
    </w:p>
    <w:p>
      <w:pPr>
        <w:spacing w:line="360" w:lineRule="auto"/>
        <w:ind w:firstLine="48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原油系统来水（T＜50℃，含油量≤1000mg/L，悬浮物≤300mg/L）进入3座2000m</w:t>
      </w:r>
      <w:r>
        <w:rPr>
          <w:rFonts w:hint="default" w:ascii="Times New Roman" w:hAnsi="Times New Roman" w:eastAsia="宋体" w:cs="Times New Roman"/>
          <w:color w:val="auto"/>
          <w:sz w:val="24"/>
          <w:szCs w:val="32"/>
          <w:vertAlign w:val="superscript"/>
        </w:rPr>
        <w:t>3</w:t>
      </w:r>
      <w:r>
        <w:rPr>
          <w:rFonts w:hint="default" w:ascii="Times New Roman" w:hAnsi="Times New Roman" w:eastAsia="宋体" w:cs="Times New Roman"/>
          <w:color w:val="auto"/>
          <w:sz w:val="24"/>
          <w:szCs w:val="32"/>
        </w:rPr>
        <w:t>调储罐进行水量、水质调节，使得来水经初步沉降后可除去大部分浮油和大颗粒悬浮物，保证出水含油小于150mg/L，悬浮物含量小于150mg/L。污水经调储罐除油后经提升进入反应沉降单元。这一单元由6座 250m</w:t>
      </w:r>
      <w:r>
        <w:rPr>
          <w:rFonts w:hint="default" w:ascii="Times New Roman" w:hAnsi="Times New Roman" w:eastAsia="宋体" w:cs="Times New Roman"/>
          <w:color w:val="auto"/>
          <w:sz w:val="24"/>
          <w:szCs w:val="32"/>
          <w:vertAlign w:val="superscript"/>
        </w:rPr>
        <w:t>3</w:t>
      </w:r>
      <w:r>
        <w:rPr>
          <w:rFonts w:hint="default" w:ascii="Times New Roman" w:hAnsi="Times New Roman" w:eastAsia="宋体" w:cs="Times New Roman"/>
          <w:color w:val="auto"/>
          <w:sz w:val="24"/>
          <w:szCs w:val="32"/>
        </w:rPr>
        <w:t>反应罐和2座1000m</w:t>
      </w:r>
      <w:r>
        <w:rPr>
          <w:rFonts w:hint="default" w:ascii="Times New Roman" w:hAnsi="Times New Roman" w:eastAsia="宋体" w:cs="Times New Roman"/>
          <w:color w:val="auto"/>
          <w:sz w:val="24"/>
          <w:szCs w:val="32"/>
          <w:vertAlign w:val="superscript"/>
        </w:rPr>
        <w:t>3</w:t>
      </w:r>
      <w:r>
        <w:rPr>
          <w:rFonts w:hint="default" w:ascii="Times New Roman" w:hAnsi="Times New Roman" w:eastAsia="宋体" w:cs="Times New Roman"/>
          <w:color w:val="auto"/>
          <w:sz w:val="24"/>
          <w:szCs w:val="32"/>
        </w:rPr>
        <w:t>混凝沉降罐组成，在反应单元按一定顺序和时间间隔连续加入3种药剂，污水经过化学反应后经1000m</w:t>
      </w:r>
      <w:r>
        <w:rPr>
          <w:rFonts w:hint="default" w:ascii="Times New Roman" w:hAnsi="Times New Roman" w:eastAsia="宋体" w:cs="Times New Roman"/>
          <w:color w:val="auto"/>
          <w:sz w:val="24"/>
          <w:szCs w:val="32"/>
          <w:vertAlign w:val="superscript"/>
        </w:rPr>
        <w:t>3</w:t>
      </w:r>
      <w:r>
        <w:rPr>
          <w:rFonts w:hint="default" w:ascii="Times New Roman" w:hAnsi="Times New Roman" w:eastAsia="宋体" w:cs="Times New Roman"/>
          <w:color w:val="auto"/>
          <w:sz w:val="24"/>
          <w:szCs w:val="32"/>
        </w:rPr>
        <w:t>混凝沉降罐沉降，再经两级过滤处理，净化水经投加次氯酸钠杀菌剂后直接进入注水泵进口用于油田注水。</w:t>
      </w:r>
    </w:p>
    <w:p>
      <w:pPr>
        <w:pStyle w:val="46"/>
        <w:rPr>
          <w:rFonts w:hint="default" w:ascii="Times New Roman" w:hAnsi="Times New Roman" w:cs="Times New Roman"/>
          <w:color w:val="auto"/>
        </w:rPr>
      </w:pPr>
      <w:r>
        <w:rPr>
          <w:rFonts w:hint="default" w:ascii="Times New Roman" w:hAnsi="Times New Roman" w:cs="Times New Roman"/>
          <w:color w:val="auto"/>
          <w:szCs w:val="28"/>
        </w:rPr>
        <w:object>
          <v:shape id="_x0000_i1025" o:spt="75" type="#_x0000_t75" style="height:196pt;width:407pt;" o:ole="t" filled="f" o:preferrelative="t" stroked="f" coordsize="21600,21600">
            <v:path/>
            <v:fill on="f" focussize="0,0"/>
            <v:stroke on="f" joinstyle="miter"/>
            <v:imagedata r:id="rId24" o:title=""/>
            <o:lock v:ext="edit" aspectratio="f"/>
            <w10:wrap type="none"/>
            <w10:anchorlock/>
          </v:shape>
          <o:OLEObject Type="Embed" ProgID="StaticMetafile" ShapeID="_x0000_i1025" DrawAspect="Content" ObjectID="_1468075725" r:id="rId23">
            <o:LockedField>false</o:LockedField>
          </o:OLEObject>
        </w:object>
      </w:r>
    </w:p>
    <w:p>
      <w:pPr>
        <w:pStyle w:val="46"/>
        <w:jc w:val="center"/>
        <w:rPr>
          <w:rFonts w:hint="default" w:ascii="Times New Roman" w:hAnsi="Times New Roman" w:cs="Times New Roman"/>
          <w:color w:val="auto"/>
        </w:rPr>
      </w:pPr>
      <w:r>
        <w:rPr>
          <w:rFonts w:hint="default" w:ascii="Times New Roman" w:hAnsi="Times New Roman" w:cs="Times New Roman"/>
          <w:b/>
          <w:bCs/>
          <w:color w:val="auto"/>
          <w:sz w:val="21"/>
          <w:szCs w:val="21"/>
        </w:rPr>
        <w:t>图3.</w:t>
      </w:r>
      <w:r>
        <w:rPr>
          <w:rFonts w:hint="default" w:ascii="Times New Roman" w:hAnsi="Times New Roman" w:cs="Times New Roman"/>
          <w:b/>
          <w:bCs/>
          <w:color w:val="auto"/>
          <w:sz w:val="21"/>
          <w:szCs w:val="21"/>
          <w:lang w:val="en-US"/>
        </w:rPr>
        <w:t>5</w:t>
      </w:r>
      <w:r>
        <w:rPr>
          <w:rFonts w:hint="default" w:ascii="Times New Roman" w:hAnsi="Times New Roman" w:cs="Times New Roman"/>
          <w:b/>
          <w:bCs/>
          <w:color w:val="auto"/>
          <w:sz w:val="21"/>
          <w:szCs w:val="21"/>
        </w:rPr>
        <w:t>-6 陆梁集中处理站污水处理工艺流程图</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（2）依托可行性</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陆梁集中处理站依托系统能力平衡见表3.5-</w:t>
      </w:r>
      <w:r>
        <w:rPr>
          <w:rFonts w:hint="eastAsia" w:ascii="Times New Roman" w:hAnsi="Times New Roman" w:cs="Times New Roman"/>
          <w:color w:val="auto"/>
          <w:kern w:val="0"/>
          <w:lang w:val="en-US" w:eastAsia="zh-CN"/>
        </w:rPr>
        <w:t>19</w:t>
      </w:r>
      <w:r>
        <w:rPr>
          <w:rFonts w:hint="default" w:ascii="Times New Roman" w:hAnsi="Times New Roman" w:cs="Times New Roman"/>
          <w:color w:val="auto"/>
          <w:kern w:val="0"/>
        </w:rPr>
        <w:t>。</w:t>
      </w:r>
    </w:p>
    <w:p>
      <w:pPr>
        <w:pStyle w:val="51"/>
        <w:spacing w:after="0"/>
        <w:ind w:firstLine="0" w:firstLineChars="0"/>
        <w:jc w:val="center"/>
        <w:rPr>
          <w:rFonts w:hint="default" w:ascii="Times New Roman" w:hAnsi="Times New Roman" w:cs="Times New Roman"/>
          <w:b/>
          <w:bCs/>
          <w:color w:val="auto"/>
          <w:sz w:val="21"/>
          <w:szCs w:val="21"/>
        </w:rPr>
      </w:pPr>
    </w:p>
    <w:p>
      <w:pPr>
        <w:pStyle w:val="51"/>
        <w:spacing w:after="0"/>
        <w:ind w:firstLine="0" w:firstLineChars="0"/>
        <w:jc w:val="center"/>
        <w:rPr>
          <w:rFonts w:hint="default" w:ascii="Times New Roman" w:hAnsi="Times New Roman" w:cs="Times New Roman"/>
          <w:b/>
          <w:bCs/>
          <w:color w:val="auto"/>
          <w:sz w:val="21"/>
          <w:szCs w:val="21"/>
        </w:rPr>
      </w:pPr>
    </w:p>
    <w:p>
      <w:pPr>
        <w:pStyle w:val="51"/>
        <w:spacing w:after="0"/>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表3.5-</w:t>
      </w:r>
      <w:r>
        <w:rPr>
          <w:rFonts w:hint="eastAsia" w:ascii="Times New Roman" w:hAnsi="Times New Roman" w:cs="Times New Roman"/>
          <w:b/>
          <w:bCs/>
          <w:color w:val="auto"/>
          <w:sz w:val="21"/>
          <w:szCs w:val="21"/>
          <w:lang w:val="en-US" w:eastAsia="zh-CN"/>
        </w:rPr>
        <w:t>19</w:t>
      </w:r>
      <w:r>
        <w:rPr>
          <w:rFonts w:hint="default" w:ascii="Times New Roman" w:hAnsi="Times New Roman" w:cs="Times New Roman"/>
          <w:b/>
          <w:bCs/>
          <w:color w:val="auto"/>
          <w:sz w:val="21"/>
          <w:szCs w:val="21"/>
        </w:rPr>
        <w:t xml:space="preserve">  陆梁集中处理站依托系统能力平衡表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314"/>
        <w:gridCol w:w="1372"/>
        <w:gridCol w:w="1371"/>
        <w:gridCol w:w="1282"/>
        <w:gridCol w:w="1100"/>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69" w:type="dxa"/>
            <w:vAlign w:val="center"/>
          </w:tcPr>
          <w:p>
            <w:pPr>
              <w:pStyle w:val="51"/>
              <w:spacing w:after="0"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依托工程名称</w:t>
            </w:r>
          </w:p>
        </w:tc>
        <w:tc>
          <w:tcPr>
            <w:tcW w:w="1314" w:type="dxa"/>
            <w:vAlign w:val="center"/>
          </w:tcPr>
          <w:p>
            <w:pPr>
              <w:pStyle w:val="51"/>
              <w:spacing w:after="0"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设计处理能力</w:t>
            </w:r>
          </w:p>
        </w:tc>
        <w:tc>
          <w:tcPr>
            <w:tcW w:w="1372" w:type="dxa"/>
            <w:vAlign w:val="center"/>
          </w:tcPr>
          <w:p>
            <w:pPr>
              <w:pStyle w:val="51"/>
              <w:spacing w:after="0"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实际处理能力</w:t>
            </w:r>
          </w:p>
        </w:tc>
        <w:tc>
          <w:tcPr>
            <w:tcW w:w="1371" w:type="dxa"/>
            <w:vAlign w:val="center"/>
          </w:tcPr>
          <w:p>
            <w:pPr>
              <w:pStyle w:val="51"/>
              <w:spacing w:after="0"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剩余处理能力</w:t>
            </w:r>
          </w:p>
        </w:tc>
        <w:tc>
          <w:tcPr>
            <w:tcW w:w="1282" w:type="dxa"/>
            <w:vAlign w:val="center"/>
          </w:tcPr>
          <w:p>
            <w:pPr>
              <w:pStyle w:val="51"/>
              <w:spacing w:after="0"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本项目预测量</w:t>
            </w:r>
          </w:p>
        </w:tc>
        <w:tc>
          <w:tcPr>
            <w:tcW w:w="1100" w:type="dxa"/>
            <w:vAlign w:val="center"/>
          </w:tcPr>
          <w:p>
            <w:pPr>
              <w:pStyle w:val="51"/>
              <w:spacing w:after="0"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新增负荷</w:t>
            </w:r>
          </w:p>
        </w:tc>
        <w:tc>
          <w:tcPr>
            <w:tcW w:w="1014" w:type="dxa"/>
            <w:vAlign w:val="center"/>
          </w:tcPr>
          <w:p>
            <w:pPr>
              <w:pStyle w:val="51"/>
              <w:spacing w:after="0"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平衡情况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69"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原油处理</w:t>
            </w:r>
          </w:p>
        </w:tc>
        <w:tc>
          <w:tcPr>
            <w:tcW w:w="1314"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120×10</w:t>
            </w:r>
            <w:r>
              <w:rPr>
                <w:rFonts w:hint="default" w:ascii="Times New Roman" w:hAnsi="Times New Roman" w:cs="Times New Roman"/>
                <w:color w:val="auto"/>
                <w:kern w:val="0"/>
                <w:sz w:val="21"/>
                <w:szCs w:val="21"/>
                <w:vertAlign w:val="superscript"/>
              </w:rPr>
              <w:t>4</w:t>
            </w:r>
            <w:r>
              <w:rPr>
                <w:rFonts w:hint="default" w:ascii="Times New Roman" w:hAnsi="Times New Roman" w:cs="Times New Roman"/>
                <w:color w:val="auto"/>
                <w:kern w:val="0"/>
                <w:sz w:val="21"/>
                <w:szCs w:val="21"/>
              </w:rPr>
              <w:t>t/a</w:t>
            </w:r>
          </w:p>
        </w:tc>
        <w:tc>
          <w:tcPr>
            <w:tcW w:w="1372"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75×10</w:t>
            </w:r>
            <w:r>
              <w:rPr>
                <w:rFonts w:hint="default" w:ascii="Times New Roman" w:hAnsi="Times New Roman" w:cs="Times New Roman"/>
                <w:color w:val="auto"/>
                <w:kern w:val="0"/>
                <w:sz w:val="21"/>
                <w:szCs w:val="21"/>
                <w:vertAlign w:val="superscript"/>
              </w:rPr>
              <w:t>4</w:t>
            </w:r>
            <w:r>
              <w:rPr>
                <w:rFonts w:hint="default" w:ascii="Times New Roman" w:hAnsi="Times New Roman" w:cs="Times New Roman"/>
                <w:color w:val="auto"/>
                <w:kern w:val="0"/>
                <w:sz w:val="21"/>
                <w:szCs w:val="21"/>
              </w:rPr>
              <w:t>t/a</w:t>
            </w:r>
          </w:p>
        </w:tc>
        <w:tc>
          <w:tcPr>
            <w:tcW w:w="1371"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45×10</w:t>
            </w:r>
            <w:r>
              <w:rPr>
                <w:rFonts w:hint="default" w:ascii="Times New Roman" w:hAnsi="Times New Roman" w:cs="Times New Roman"/>
                <w:color w:val="auto"/>
                <w:kern w:val="0"/>
                <w:sz w:val="21"/>
                <w:szCs w:val="21"/>
                <w:vertAlign w:val="superscript"/>
              </w:rPr>
              <w:t>4</w:t>
            </w:r>
            <w:r>
              <w:rPr>
                <w:rFonts w:hint="default" w:ascii="Times New Roman" w:hAnsi="Times New Roman" w:cs="Times New Roman"/>
                <w:color w:val="auto"/>
                <w:kern w:val="0"/>
                <w:sz w:val="21"/>
                <w:szCs w:val="21"/>
              </w:rPr>
              <w:t>t/a</w:t>
            </w:r>
          </w:p>
        </w:tc>
        <w:tc>
          <w:tcPr>
            <w:tcW w:w="1282"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1.44</w:t>
            </w:r>
            <w:r>
              <w:rPr>
                <w:rFonts w:hint="eastAsia" w:ascii="Times New Roman" w:hAnsi="Times New Roman" w:cs="Times New Roman"/>
                <w:color w:val="auto"/>
                <w:kern w:val="0"/>
                <w:sz w:val="21"/>
                <w:szCs w:val="21"/>
                <w:lang w:eastAsia="zh-CN"/>
              </w:rPr>
              <w:t>×10</w:t>
            </w:r>
            <w:r>
              <w:rPr>
                <w:rFonts w:hint="default" w:ascii="Times New Roman" w:hAnsi="Times New Roman" w:cs="Times New Roman"/>
                <w:color w:val="auto"/>
                <w:kern w:val="0"/>
                <w:sz w:val="21"/>
                <w:szCs w:val="21"/>
                <w:vertAlign w:val="superscript"/>
              </w:rPr>
              <w:t>4</w:t>
            </w:r>
            <w:r>
              <w:rPr>
                <w:rFonts w:hint="default" w:ascii="Times New Roman" w:hAnsi="Times New Roman" w:cs="Times New Roman"/>
                <w:color w:val="auto"/>
                <w:kern w:val="0"/>
                <w:sz w:val="21"/>
                <w:szCs w:val="21"/>
              </w:rPr>
              <w:t>t/a</w:t>
            </w:r>
          </w:p>
        </w:tc>
        <w:tc>
          <w:tcPr>
            <w:tcW w:w="1100"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014"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可满足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69"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天然气处理</w:t>
            </w:r>
          </w:p>
        </w:tc>
        <w:tc>
          <w:tcPr>
            <w:tcW w:w="1314" w:type="dxa"/>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15×10</w:t>
            </w:r>
            <w:r>
              <w:rPr>
                <w:rFonts w:hint="default" w:ascii="Times New Roman" w:hAnsi="Times New Roman" w:eastAsia="宋体" w:cs="Times New Roman"/>
                <w:color w:val="auto"/>
                <w:kern w:val="0"/>
                <w:szCs w:val="21"/>
                <w:vertAlign w:val="superscript"/>
              </w:rPr>
              <w:t>4</w:t>
            </w:r>
            <w:r>
              <w:rPr>
                <w:rFonts w:hint="default" w:ascii="Times New Roman" w:hAnsi="Times New Roman" w:eastAsia="宋体" w:cs="Times New Roman"/>
                <w:color w:val="auto"/>
                <w:kern w:val="0"/>
                <w:szCs w:val="21"/>
              </w:rPr>
              <w:t>Nm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w:t>
            </w:r>
          </w:p>
        </w:tc>
        <w:tc>
          <w:tcPr>
            <w:tcW w:w="1372"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11×10</w:t>
            </w:r>
            <w:r>
              <w:rPr>
                <w:rFonts w:hint="default" w:ascii="Times New Roman" w:hAnsi="Times New Roman" w:cs="Times New Roman"/>
                <w:color w:val="auto"/>
                <w:kern w:val="0"/>
                <w:sz w:val="21"/>
                <w:szCs w:val="21"/>
                <w:vertAlign w:val="superscript"/>
              </w:rPr>
              <w:t>4</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p>
        </w:tc>
        <w:tc>
          <w:tcPr>
            <w:tcW w:w="1371"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4</w:t>
            </w:r>
            <w:r>
              <w:rPr>
                <w:rFonts w:hint="default" w:ascii="Times New Roman" w:hAnsi="Times New Roman" w:cs="Times New Roman"/>
                <w:color w:val="auto"/>
                <w:kern w:val="0"/>
                <w:sz w:val="21"/>
                <w:szCs w:val="21"/>
              </w:rPr>
              <w:t>.0×10</w:t>
            </w:r>
            <w:r>
              <w:rPr>
                <w:rFonts w:hint="default" w:ascii="Times New Roman" w:hAnsi="Times New Roman" w:cs="Times New Roman"/>
                <w:color w:val="auto"/>
                <w:kern w:val="0"/>
                <w:sz w:val="21"/>
                <w:szCs w:val="21"/>
                <w:vertAlign w:val="superscript"/>
              </w:rPr>
              <w:t>4</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p>
        </w:tc>
        <w:tc>
          <w:tcPr>
            <w:tcW w:w="1282"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419.3</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p>
        </w:tc>
        <w:tc>
          <w:tcPr>
            <w:tcW w:w="1100"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1014"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可满足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69"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污水处理</w:t>
            </w:r>
          </w:p>
        </w:tc>
        <w:tc>
          <w:tcPr>
            <w:tcW w:w="1314" w:type="dxa"/>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20000m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/d</w:t>
            </w:r>
          </w:p>
        </w:tc>
        <w:tc>
          <w:tcPr>
            <w:tcW w:w="1372"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19370</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p>
        </w:tc>
        <w:tc>
          <w:tcPr>
            <w:tcW w:w="1371"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630m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p>
        </w:tc>
        <w:tc>
          <w:tcPr>
            <w:tcW w:w="1282" w:type="dxa"/>
            <w:vAlign w:val="center"/>
          </w:tcPr>
          <w:p>
            <w:pPr>
              <w:pStyle w:val="51"/>
              <w:spacing w:after="0" w:line="240" w:lineRule="auto"/>
              <w:ind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112.9</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/d</w:t>
            </w:r>
          </w:p>
        </w:tc>
        <w:tc>
          <w:tcPr>
            <w:tcW w:w="1100"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1014" w:type="dxa"/>
            <w:vAlign w:val="center"/>
          </w:tcPr>
          <w:p>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可满足</w:t>
            </w:r>
          </w:p>
        </w:tc>
      </w:tr>
    </w:tbl>
    <w:p>
      <w:pPr>
        <w:pStyle w:val="51"/>
        <w:spacing w:after="0"/>
        <w:ind w:firstLine="48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rPr>
        <w:t>根据上表3.5-</w:t>
      </w:r>
      <w:r>
        <w:rPr>
          <w:rFonts w:hint="eastAsia" w:ascii="Times New Roman" w:hAnsi="Times New Roman" w:cs="Times New Roman"/>
          <w:color w:val="auto"/>
          <w:lang w:val="en-US" w:eastAsia="zh-CN"/>
        </w:rPr>
        <w:t>19</w:t>
      </w:r>
      <w:r>
        <w:rPr>
          <w:rFonts w:hint="default" w:ascii="Times New Roman" w:hAnsi="Times New Roman" w:cs="Times New Roman"/>
          <w:color w:val="auto"/>
        </w:rPr>
        <w:t>，本项目新增原油、采出水</w:t>
      </w:r>
      <w:r>
        <w:rPr>
          <w:rFonts w:hint="eastAsia" w:ascii="Times New Roman" w:hAnsi="Times New Roman" w:cs="Times New Roman"/>
          <w:color w:val="auto"/>
          <w:lang w:val="en-US" w:eastAsia="zh-CN"/>
        </w:rPr>
        <w:t>等</w:t>
      </w:r>
      <w:r>
        <w:rPr>
          <w:rFonts w:hint="default" w:ascii="Times New Roman" w:hAnsi="Times New Roman" w:cs="Times New Roman"/>
          <w:color w:val="auto"/>
        </w:rPr>
        <w:t>均能在陆梁集中处理站处理，故依托可行。</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9.</w:t>
      </w:r>
      <w:r>
        <w:rPr>
          <w:rFonts w:hint="default" w:ascii="Times New Roman" w:hAnsi="Times New Roman" w:cs="Times New Roman"/>
          <w:color w:val="auto"/>
          <w:kern w:val="0"/>
          <w:sz w:val="28"/>
          <w:szCs w:val="28"/>
        </w:rPr>
        <w:t>2</w:t>
      </w:r>
      <w:r>
        <w:rPr>
          <w:rFonts w:ascii="Times New Roman" w:hAnsi="Times New Roman"/>
          <w:color w:val="auto"/>
          <w:sz w:val="28"/>
          <w:szCs w:val="28"/>
        </w:rPr>
        <w:t>危险废物贮存及处置</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ascii="Times New Roman" w:hAnsi="Times New Roman" w:eastAsia="宋体" w:cs="Times New Roman"/>
          <w:color w:val="auto"/>
          <w:sz w:val="24"/>
          <w:szCs w:val="24"/>
          <w:lang w:eastAsia="zh-CN"/>
        </w:rPr>
        <w:t>陆梁污泥暂存池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陆梁污泥暂存池位于</w:t>
      </w:r>
      <w:r>
        <w:rPr>
          <w:rFonts w:hint="default" w:ascii="Times New Roman" w:hAnsi="Times New Roman" w:eastAsia="宋体" w:cs="Times New Roman"/>
          <w:color w:val="auto"/>
          <w:sz w:val="24"/>
          <w:szCs w:val="24"/>
        </w:rPr>
        <w:t>塔城地区和布克赛尔蒙古自治县，西北距和布克赛尔蒙古自治县中心城区约140km</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东距陆梁集中处理站边界约157m。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2016年建有1座</w:t>
      </w:r>
      <w:r>
        <w:rPr>
          <w:rFonts w:hint="default" w:ascii="Times New Roman" w:hAnsi="Times New Roman" w:eastAsia="宋体" w:cs="Times New Roman"/>
          <w:color w:val="auto"/>
          <w:sz w:val="24"/>
          <w:szCs w:val="24"/>
        </w:rPr>
        <w:t>污泥暂储池</w:t>
      </w:r>
      <w:r>
        <w:rPr>
          <w:rFonts w:hint="eastAsia" w:ascii="Times New Roman" w:hAnsi="Times New Roman" w:eastAsia="宋体" w:cs="Times New Roman"/>
          <w:color w:val="auto"/>
          <w:sz w:val="24"/>
          <w:szCs w:val="24"/>
          <w:lang w:eastAsia="zh-CN"/>
        </w:rPr>
        <w:t>，规格</w:t>
      </w:r>
      <w:r>
        <w:rPr>
          <w:rFonts w:hint="default" w:ascii="Times New Roman" w:hAnsi="Times New Roman" w:eastAsia="宋体" w:cs="Times New Roman"/>
          <w:color w:val="auto"/>
          <w:sz w:val="24"/>
          <w:szCs w:val="24"/>
        </w:rPr>
        <w:t>92m×92m的正方形区域，池底采用下沉式设计，低于自然地表0.2m，四周设1.2m高围堰，池体有效总容积为10665m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，池体自上而下采取</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混凝土+原土+无纺布+HDPE膜+原土压实</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的防渗措施，</w:t>
      </w:r>
      <w:r>
        <w:rPr>
          <w:rFonts w:hint="eastAsia" w:ascii="Times New Roman" w:hAnsi="Times New Roman" w:eastAsia="宋体" w:cs="Times New Roman"/>
          <w:color w:val="auto"/>
          <w:sz w:val="24"/>
          <w:szCs w:val="24"/>
          <w:lang w:eastAsia="zh-CN"/>
        </w:rPr>
        <w:t>由于</w:t>
      </w:r>
      <w:r>
        <w:rPr>
          <w:rFonts w:hint="default" w:ascii="Times New Roman" w:hAnsi="Times New Roman" w:eastAsia="宋体" w:cs="Times New Roman"/>
          <w:color w:val="auto"/>
          <w:sz w:val="24"/>
          <w:szCs w:val="24"/>
        </w:rPr>
        <w:t>池体过大，人工加盖防晒防雨布的效果</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2023年停用。</w:t>
      </w:r>
    </w:p>
    <w:p>
      <w:pPr>
        <w:spacing w:line="360" w:lineRule="auto"/>
        <w:ind w:firstLine="480"/>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2024年4月在原有污泥暂储池西北角新建1座含油污泥暂存场，设计含油污泥最大暂存量取2000t（约1429m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尺寸为26m×44m，设计堆高1.5m，围墙高2m。设计为单层门钢架结构，地坪利用现有污泥暂储池地面（地面防渗层完整，具备防腐、防渗、防漏功能）；暂存场三面建设钢混墙，一面为钢铁门，方便运输车辆进出；顶部加盖彩钢板顶棚，具备防风、防雨、防晒功能。2024年12月通过企业自主验收。</w:t>
      </w:r>
    </w:p>
    <w:p>
      <w:pPr>
        <w:spacing w:line="360" w:lineRule="auto"/>
        <w:ind w:firstLine="480"/>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2）环保手续</w:t>
      </w:r>
    </w:p>
    <w:p>
      <w:pPr>
        <w:widowControl w:val="0"/>
        <w:adjustRightInd/>
        <w:snapToGrid/>
        <w:spacing w:after="0" w:line="36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表3.5-</w:t>
      </w:r>
      <w:r>
        <w:rPr>
          <w:rFonts w:hint="eastAsia" w:ascii="Times New Roman" w:hAnsi="Times New Roman" w:eastAsia="宋体" w:cs="Times New Roman"/>
          <w:b/>
          <w:bCs/>
          <w:color w:val="auto"/>
          <w:kern w:val="2"/>
          <w:sz w:val="21"/>
          <w:szCs w:val="21"/>
          <w:lang w:val="en-US" w:eastAsia="zh-CN" w:bidi="ar-SA"/>
        </w:rPr>
        <w:t>20</w:t>
      </w:r>
      <w:r>
        <w:rPr>
          <w:rFonts w:hint="default" w:ascii="Times New Roman" w:hAnsi="Times New Roman" w:eastAsia="宋体" w:cs="Times New Roman"/>
          <w:b/>
          <w:bCs/>
          <w:color w:val="auto"/>
          <w:kern w:val="2"/>
          <w:sz w:val="21"/>
          <w:szCs w:val="21"/>
          <w:lang w:val="en-US" w:eastAsia="zh-CN" w:bidi="ar-SA"/>
        </w:rPr>
        <w:t xml:space="preserve">  陆梁油田污泥暂存池环保手续履行情况一览表</w:t>
      </w:r>
    </w:p>
    <w:tbl>
      <w:tblPr>
        <w:tblStyle w:val="31"/>
        <w:tblW w:w="830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45"/>
        <w:gridCol w:w="3039"/>
        <w:gridCol w:w="23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3" w:hRule="atLeast"/>
        </w:trPr>
        <w:tc>
          <w:tcPr>
            <w:tcW w:w="2945"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default" w:ascii="Times New Roman" w:hAnsi="Times New Roman" w:eastAsia="宋体" w:cs="Times New Roman"/>
                <w:b/>
                <w:bCs w:val="0"/>
                <w:color w:val="auto"/>
                <w:kern w:val="28"/>
                <w:sz w:val="21"/>
                <w:szCs w:val="32"/>
                <w:lang w:val="en-US" w:eastAsia="zh-CN" w:bidi="ar-SA"/>
              </w:rPr>
            </w:pPr>
            <w:r>
              <w:rPr>
                <w:rFonts w:hint="default" w:ascii="Times New Roman" w:hAnsi="Times New Roman" w:eastAsia="宋体" w:cs="Times New Roman"/>
                <w:b/>
                <w:bCs w:val="0"/>
                <w:color w:val="auto"/>
                <w:kern w:val="28"/>
                <w:sz w:val="21"/>
                <w:szCs w:val="32"/>
                <w:lang w:val="en-US" w:eastAsia="zh-CN" w:bidi="ar-SA"/>
              </w:rPr>
              <w:t>工程名称</w:t>
            </w:r>
          </w:p>
        </w:tc>
        <w:tc>
          <w:tcPr>
            <w:tcW w:w="3039"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default" w:ascii="Times New Roman" w:hAnsi="Times New Roman" w:eastAsia="宋体" w:cs="Times New Roman"/>
                <w:b/>
                <w:bCs w:val="0"/>
                <w:color w:val="auto"/>
                <w:kern w:val="28"/>
                <w:sz w:val="21"/>
                <w:szCs w:val="32"/>
                <w:lang w:val="en-US" w:eastAsia="zh-CN" w:bidi="ar-SA"/>
              </w:rPr>
            </w:pPr>
            <w:r>
              <w:rPr>
                <w:rFonts w:hint="default" w:ascii="Times New Roman" w:hAnsi="Times New Roman" w:eastAsia="宋体" w:cs="Times New Roman"/>
                <w:b/>
                <w:bCs w:val="0"/>
                <w:color w:val="auto"/>
                <w:kern w:val="28"/>
                <w:sz w:val="21"/>
                <w:szCs w:val="32"/>
                <w:lang w:val="en-US" w:eastAsia="zh-CN" w:bidi="ar-SA"/>
              </w:rPr>
              <w:t>环评批复及时间</w:t>
            </w:r>
          </w:p>
        </w:tc>
        <w:tc>
          <w:tcPr>
            <w:tcW w:w="2325"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default" w:ascii="Times New Roman" w:hAnsi="Times New Roman" w:eastAsia="宋体" w:cs="Times New Roman"/>
                <w:b/>
                <w:bCs w:val="0"/>
                <w:color w:val="auto"/>
                <w:kern w:val="28"/>
                <w:sz w:val="21"/>
                <w:szCs w:val="32"/>
                <w:lang w:val="en-US" w:eastAsia="zh-CN" w:bidi="ar-SA"/>
              </w:rPr>
            </w:pPr>
            <w:r>
              <w:rPr>
                <w:rFonts w:hint="default" w:ascii="Times New Roman" w:hAnsi="Times New Roman" w:eastAsia="宋体" w:cs="Times New Roman"/>
                <w:b/>
                <w:bCs w:val="0"/>
                <w:color w:val="auto"/>
                <w:kern w:val="28"/>
                <w:sz w:val="21"/>
                <w:szCs w:val="32"/>
                <w:lang w:val="en-US" w:eastAsia="zh-CN" w:bidi="ar-SA"/>
              </w:rPr>
              <w:t>验收批复及时间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3" w:hRule="atLeast"/>
        </w:trPr>
        <w:tc>
          <w:tcPr>
            <w:tcW w:w="2945"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default" w:ascii="Times New Roman" w:hAnsi="Times New Roman" w:eastAsia="宋体" w:cs="Times New Roman"/>
                <w:b w:val="0"/>
                <w:bCs/>
                <w:color w:val="auto"/>
                <w:kern w:val="28"/>
                <w:sz w:val="21"/>
                <w:szCs w:val="32"/>
                <w:lang w:val="en-US" w:eastAsia="zh-CN" w:bidi="ar-SA"/>
              </w:rPr>
            </w:pPr>
            <w:r>
              <w:rPr>
                <w:rFonts w:hint="default" w:ascii="Times New Roman" w:hAnsi="Times New Roman" w:eastAsia="宋体" w:cs="Times New Roman"/>
                <w:b w:val="0"/>
                <w:bCs/>
                <w:color w:val="auto"/>
                <w:kern w:val="28"/>
                <w:sz w:val="21"/>
                <w:szCs w:val="32"/>
                <w:lang w:val="en-US" w:eastAsia="zh-CN" w:bidi="ar-SA"/>
              </w:rPr>
              <w:t>陆梁污泥暂储池工程</w:t>
            </w:r>
          </w:p>
        </w:tc>
        <w:tc>
          <w:tcPr>
            <w:tcW w:w="3039"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eastAsia" w:ascii="Times New Roman" w:hAnsi="Times New Roman" w:eastAsia="宋体" w:cs="Times New Roman"/>
                <w:b w:val="0"/>
                <w:bCs/>
                <w:color w:val="auto"/>
                <w:kern w:val="28"/>
                <w:sz w:val="21"/>
                <w:szCs w:val="32"/>
                <w:lang w:val="en-US" w:eastAsia="zh-CN" w:bidi="ar-SA"/>
              </w:rPr>
            </w:pPr>
            <w:r>
              <w:rPr>
                <w:rFonts w:hint="default" w:ascii="Times New Roman" w:hAnsi="Times New Roman" w:eastAsia="宋体" w:cs="Times New Roman"/>
                <w:b w:val="0"/>
                <w:bCs/>
                <w:color w:val="auto"/>
                <w:kern w:val="28"/>
                <w:sz w:val="21"/>
                <w:szCs w:val="32"/>
                <w:lang w:val="en-US" w:eastAsia="zh-CN" w:bidi="ar-SA"/>
              </w:rPr>
              <w:t>原新疆维吾尔自治区环境保护厅</w:t>
            </w:r>
            <w:r>
              <w:rPr>
                <w:rFonts w:hint="eastAsia" w:ascii="Times New Roman" w:hAnsi="Times New Roman" w:eastAsia="宋体" w:cs="Times New Roman"/>
                <w:b w:val="0"/>
                <w:bCs/>
                <w:color w:val="auto"/>
                <w:kern w:val="28"/>
                <w:sz w:val="21"/>
                <w:szCs w:val="32"/>
                <w:lang w:val="en-US" w:eastAsia="zh-CN" w:bidi="ar-SA"/>
              </w:rPr>
              <w:t>（</w:t>
            </w:r>
            <w:r>
              <w:rPr>
                <w:rFonts w:hint="default" w:ascii="Times New Roman" w:hAnsi="Times New Roman" w:eastAsia="宋体" w:cs="Times New Roman"/>
                <w:b w:val="0"/>
                <w:bCs/>
                <w:color w:val="auto"/>
                <w:kern w:val="28"/>
                <w:sz w:val="21"/>
                <w:szCs w:val="32"/>
                <w:lang w:val="en-US" w:eastAsia="zh-CN" w:bidi="ar-SA"/>
              </w:rPr>
              <w:t>新环函〔2016〕1853号</w:t>
            </w:r>
            <w:r>
              <w:rPr>
                <w:rFonts w:hint="eastAsia" w:ascii="Times New Roman" w:hAnsi="Times New Roman" w:eastAsia="宋体" w:cs="Times New Roman"/>
                <w:b w:val="0"/>
                <w:bCs/>
                <w:color w:val="auto"/>
                <w:kern w:val="28"/>
                <w:sz w:val="21"/>
                <w:szCs w:val="32"/>
                <w:lang w:val="en-US" w:eastAsia="zh-CN" w:bidi="ar-SA"/>
              </w:rPr>
              <w:t>）；</w:t>
            </w:r>
            <w:r>
              <w:rPr>
                <w:rFonts w:hint="default" w:ascii="Times New Roman" w:hAnsi="Times New Roman" w:eastAsia="宋体" w:cs="Times New Roman"/>
                <w:b w:val="0"/>
                <w:bCs/>
                <w:color w:val="auto"/>
                <w:kern w:val="28"/>
                <w:sz w:val="21"/>
                <w:szCs w:val="32"/>
                <w:lang w:val="en-US" w:eastAsia="zh-CN" w:bidi="ar-SA"/>
              </w:rPr>
              <w:t>2016年12月6日</w:t>
            </w:r>
            <w:r>
              <w:rPr>
                <w:rFonts w:hint="eastAsia" w:ascii="Times New Roman" w:hAnsi="Times New Roman" w:eastAsia="宋体" w:cs="Times New Roman"/>
                <w:b w:val="0"/>
                <w:bCs/>
                <w:color w:val="auto"/>
                <w:kern w:val="28"/>
                <w:sz w:val="21"/>
                <w:szCs w:val="32"/>
                <w:lang w:val="en-US" w:eastAsia="zh-CN" w:bidi="ar-SA"/>
              </w:rPr>
              <w:t>批复</w:t>
            </w:r>
          </w:p>
        </w:tc>
        <w:tc>
          <w:tcPr>
            <w:tcW w:w="2325"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default" w:ascii="Times New Roman" w:hAnsi="Times New Roman" w:eastAsia="宋体" w:cs="Times New Roman"/>
                <w:b w:val="0"/>
                <w:bCs/>
                <w:color w:val="auto"/>
                <w:kern w:val="28"/>
                <w:sz w:val="21"/>
                <w:szCs w:val="32"/>
                <w:lang w:val="en-US" w:eastAsia="zh-CN" w:bidi="ar-SA"/>
              </w:rPr>
            </w:pPr>
            <w:r>
              <w:rPr>
                <w:rFonts w:hint="default" w:ascii="Times New Roman" w:hAnsi="Times New Roman" w:eastAsia="宋体" w:cs="Times New Roman"/>
                <w:b w:val="0"/>
                <w:bCs/>
                <w:color w:val="auto"/>
                <w:kern w:val="28"/>
                <w:sz w:val="21"/>
                <w:szCs w:val="32"/>
                <w:lang w:val="en-US" w:eastAsia="zh-CN" w:bidi="ar-SA"/>
              </w:rPr>
              <w:t>通过企业自主验收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3" w:hRule="atLeast"/>
        </w:trPr>
        <w:tc>
          <w:tcPr>
            <w:tcW w:w="2945"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default" w:ascii="Times New Roman" w:hAnsi="Times New Roman" w:eastAsia="宋体" w:cs="Times New Roman"/>
                <w:bCs/>
                <w:color w:val="auto"/>
                <w:kern w:val="28"/>
                <w:sz w:val="21"/>
                <w:szCs w:val="32"/>
                <w:lang w:val="en-US" w:eastAsia="zh-CN" w:bidi="ar-SA"/>
              </w:rPr>
            </w:pPr>
            <w:r>
              <w:rPr>
                <w:rFonts w:hint="default" w:ascii="Times New Roman" w:hAnsi="Times New Roman" w:eastAsia="宋体" w:cs="Times New Roman"/>
                <w:bCs/>
                <w:color w:val="auto"/>
                <w:kern w:val="28"/>
                <w:sz w:val="21"/>
                <w:szCs w:val="32"/>
                <w:lang w:val="en-US" w:eastAsia="zh-CN" w:bidi="ar-SA"/>
              </w:rPr>
              <w:t>陆梁油田作业区污泥暂存场改造工程</w:t>
            </w:r>
          </w:p>
        </w:tc>
        <w:tc>
          <w:tcPr>
            <w:tcW w:w="3039"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eastAsia" w:ascii="Times New Roman" w:hAnsi="Times New Roman" w:eastAsia="宋体" w:cs="Times New Roman"/>
                <w:bCs/>
                <w:color w:val="auto"/>
                <w:kern w:val="28"/>
                <w:sz w:val="21"/>
                <w:szCs w:val="32"/>
                <w:lang w:val="en-US" w:eastAsia="zh-CN" w:bidi="ar-SA"/>
              </w:rPr>
            </w:pPr>
            <w:r>
              <w:rPr>
                <w:rFonts w:hint="default" w:ascii="Times New Roman" w:hAnsi="Times New Roman" w:eastAsia="宋体" w:cs="Times New Roman"/>
                <w:bCs/>
                <w:color w:val="auto"/>
                <w:kern w:val="28"/>
                <w:sz w:val="21"/>
                <w:szCs w:val="32"/>
                <w:lang w:val="en-US" w:eastAsia="zh-CN" w:bidi="ar-SA"/>
              </w:rPr>
              <w:t>伊犁哈萨克自治州塔城地区生态环境局</w:t>
            </w:r>
            <w:r>
              <w:rPr>
                <w:rFonts w:hint="eastAsia" w:ascii="Times New Roman" w:hAnsi="Times New Roman" w:eastAsia="宋体" w:cs="Times New Roman"/>
                <w:bCs/>
                <w:color w:val="auto"/>
                <w:kern w:val="28"/>
                <w:sz w:val="21"/>
                <w:szCs w:val="32"/>
                <w:lang w:val="en-US" w:eastAsia="zh-CN" w:bidi="ar-SA"/>
              </w:rPr>
              <w:t>（</w:t>
            </w:r>
            <w:r>
              <w:rPr>
                <w:rFonts w:hint="default" w:ascii="Times New Roman" w:hAnsi="Times New Roman" w:eastAsia="宋体" w:cs="Times New Roman"/>
                <w:bCs/>
                <w:color w:val="auto"/>
                <w:kern w:val="28"/>
                <w:sz w:val="21"/>
                <w:szCs w:val="32"/>
                <w:lang w:val="en-US" w:eastAsia="zh-CN" w:bidi="ar-SA"/>
              </w:rPr>
              <w:t>塔地环字〔2023〕264号</w:t>
            </w:r>
            <w:r>
              <w:rPr>
                <w:rFonts w:hint="eastAsia" w:ascii="Times New Roman" w:hAnsi="Times New Roman" w:eastAsia="宋体" w:cs="Times New Roman"/>
                <w:bCs/>
                <w:color w:val="auto"/>
                <w:kern w:val="28"/>
                <w:sz w:val="21"/>
                <w:szCs w:val="32"/>
                <w:lang w:val="en-US" w:eastAsia="zh-CN" w:bidi="ar-SA"/>
              </w:rPr>
              <w:t>）；</w:t>
            </w:r>
            <w:r>
              <w:rPr>
                <w:rFonts w:hint="default" w:ascii="Times New Roman" w:hAnsi="Times New Roman" w:eastAsia="宋体" w:cs="Times New Roman"/>
                <w:bCs/>
                <w:color w:val="auto"/>
                <w:kern w:val="28"/>
                <w:sz w:val="21"/>
                <w:szCs w:val="32"/>
                <w:lang w:val="en-US" w:eastAsia="zh-CN" w:bidi="ar-SA"/>
              </w:rPr>
              <w:t>2023年12月21日</w:t>
            </w:r>
            <w:r>
              <w:rPr>
                <w:rFonts w:hint="eastAsia" w:ascii="Times New Roman" w:hAnsi="Times New Roman" w:eastAsia="宋体" w:cs="Times New Roman"/>
                <w:bCs/>
                <w:color w:val="auto"/>
                <w:kern w:val="28"/>
                <w:sz w:val="21"/>
                <w:szCs w:val="32"/>
                <w:lang w:val="en-US" w:eastAsia="zh-CN" w:bidi="ar-SA"/>
              </w:rPr>
              <w:t>批复</w:t>
            </w:r>
          </w:p>
        </w:tc>
        <w:tc>
          <w:tcPr>
            <w:tcW w:w="2325" w:type="dxa"/>
            <w:tcBorders>
              <w:top w:val="single" w:color="auto" w:sz="2" w:space="0"/>
              <w:left w:val="single" w:color="auto" w:sz="2" w:space="0"/>
              <w:bottom w:val="single" w:color="auto" w:sz="2" w:space="0"/>
              <w:right w:val="single" w:color="auto" w:sz="2" w:space="0"/>
            </w:tcBorders>
            <w:noWrap w:val="0"/>
            <w:tcMar>
              <w:top w:w="0" w:type="dxa"/>
              <w:left w:w="0" w:type="dxa"/>
              <w:bottom w:w="0" w:type="dxa"/>
              <w:right w:w="0" w:type="dxa"/>
            </w:tcMar>
            <w:vAlign w:val="center"/>
          </w:tcPr>
          <w:p>
            <w:pPr>
              <w:widowControl w:val="0"/>
              <w:jc w:val="center"/>
              <w:rPr>
                <w:rFonts w:hint="default" w:ascii="Times New Roman" w:hAnsi="Times New Roman" w:eastAsia="宋体" w:cs="Times New Roman"/>
                <w:bCs/>
                <w:color w:val="auto"/>
                <w:kern w:val="28"/>
                <w:sz w:val="21"/>
                <w:szCs w:val="32"/>
                <w:lang w:val="en-US" w:eastAsia="zh-CN" w:bidi="ar-SA"/>
              </w:rPr>
            </w:pPr>
            <w:r>
              <w:rPr>
                <w:rFonts w:hint="default" w:ascii="Times New Roman" w:hAnsi="Times New Roman" w:eastAsia="宋体" w:cs="Times New Roman"/>
                <w:bCs/>
                <w:color w:val="auto"/>
                <w:kern w:val="28"/>
                <w:sz w:val="21"/>
                <w:szCs w:val="32"/>
                <w:lang w:val="en-US" w:eastAsia="zh-CN" w:bidi="ar-SA"/>
              </w:rPr>
              <w:t>20</w:t>
            </w:r>
            <w:r>
              <w:rPr>
                <w:rFonts w:hint="eastAsia" w:ascii="Times New Roman" w:hAnsi="Times New Roman" w:eastAsia="宋体" w:cs="Times New Roman"/>
                <w:bCs/>
                <w:color w:val="auto"/>
                <w:kern w:val="28"/>
                <w:sz w:val="21"/>
                <w:szCs w:val="32"/>
                <w:lang w:val="en-US" w:eastAsia="zh-CN" w:bidi="ar-SA"/>
              </w:rPr>
              <w:t>24</w:t>
            </w:r>
            <w:r>
              <w:rPr>
                <w:rFonts w:hint="default" w:ascii="Times New Roman" w:hAnsi="Times New Roman" w:eastAsia="宋体" w:cs="Times New Roman"/>
                <w:bCs/>
                <w:color w:val="auto"/>
                <w:kern w:val="28"/>
                <w:sz w:val="21"/>
                <w:szCs w:val="32"/>
                <w:lang w:val="en-US" w:eastAsia="zh-CN" w:bidi="ar-SA"/>
              </w:rPr>
              <w:t>年1</w:t>
            </w:r>
            <w:r>
              <w:rPr>
                <w:rFonts w:hint="eastAsia" w:ascii="Times New Roman" w:hAnsi="Times New Roman" w:eastAsia="宋体" w:cs="Times New Roman"/>
                <w:bCs/>
                <w:color w:val="auto"/>
                <w:kern w:val="28"/>
                <w:sz w:val="21"/>
                <w:szCs w:val="32"/>
                <w:lang w:val="en-US" w:eastAsia="zh-CN" w:bidi="ar-SA"/>
              </w:rPr>
              <w:t>2</w:t>
            </w:r>
            <w:r>
              <w:rPr>
                <w:rFonts w:hint="default" w:ascii="Times New Roman" w:hAnsi="Times New Roman" w:eastAsia="宋体" w:cs="Times New Roman"/>
                <w:bCs/>
                <w:color w:val="auto"/>
                <w:kern w:val="28"/>
                <w:sz w:val="21"/>
                <w:szCs w:val="32"/>
                <w:lang w:val="en-US" w:eastAsia="zh-CN" w:bidi="ar-SA"/>
              </w:rPr>
              <w:t>月通过企业自主验收</w:t>
            </w:r>
          </w:p>
        </w:tc>
      </w:tr>
    </w:tbl>
    <w:p>
      <w:pPr>
        <w:spacing w:line="360" w:lineRule="auto"/>
        <w:ind w:firstLine="480"/>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3）依托可行性分析</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本项目产生的含油污泥量</w:t>
      </w:r>
      <w:r>
        <w:rPr>
          <w:rFonts w:hint="eastAsia" w:ascii="Times New Roman" w:hAnsi="Times New Roman" w:cs="Times New Roman"/>
          <w:color w:val="auto"/>
          <w:sz w:val="24"/>
          <w:lang w:val="en-US" w:eastAsia="zh-CN"/>
        </w:rPr>
        <w:t>130.69</w:t>
      </w:r>
      <w:r>
        <w:rPr>
          <w:rFonts w:hint="default" w:ascii="Times New Roman" w:hAnsi="Times New Roman" w:cs="Times New Roman"/>
          <w:color w:val="auto"/>
          <w:sz w:val="24"/>
        </w:rPr>
        <w:t>t/a，相对于污泥暂存池的有效总容积所占比例较小，且污泥暂存池的防渗措施及其相应的环保设施符合《危险废物贮存污染控制标准》（GB18597-2023）中相关要求。因此，本工程可以依托陆梁污泥暂存池可行。</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（2）危废废物处置依托可行性分析</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博达生态环保有限公司是一家有危险废物处理运营资质的单位，位于克拉玛依石化工业园南二路以北、东六街以西之间地块。2018年克拉玛依博达生态环保科技有限责任公司废弃物处置再生利用项目建于克拉玛依市白碱滩区，石油化工园区东南7km，克拉玛依危险废物处置中心西侧250m，石西公路东侧，厂区中心地理坐标N45°33′51.05″、E85°10′43.69″。</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博达公司于2006年开始建设，原设计处理能力为100m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/d，并履行了环保手续，但由于后期的市场调研将扩大含油污泥的处理规模，追加投资将处理规模扩大至300m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/d，并委托中勘冶金勘察设计研究院有限责任公司对其进行了环境影响评价，</w:t>
      </w:r>
      <w:r>
        <w:rPr>
          <w:rFonts w:hint="eastAsia" w:ascii="Times New Roman" w:hAnsi="Times New Roman" w:cs="Times New Roman"/>
          <w:color w:val="auto"/>
          <w:sz w:val="24"/>
          <w:lang w:val="en-US" w:eastAsia="zh-CN"/>
        </w:rPr>
        <w:t>原</w:t>
      </w:r>
      <w:r>
        <w:rPr>
          <w:rFonts w:hint="default" w:ascii="Times New Roman" w:hAnsi="Times New Roman" w:cs="Times New Roman"/>
          <w:color w:val="auto"/>
          <w:sz w:val="24"/>
        </w:rPr>
        <w:t>克拉玛依市环保局于2007年4月以克环保函</w:t>
      </w:r>
      <w:r>
        <w:rPr>
          <w:rFonts w:hint="default" w:ascii="Times New Roman" w:hAnsi="Times New Roman" w:eastAsia="宋体" w:cs="Times New Roman"/>
          <w:color w:val="auto"/>
          <w:sz w:val="24"/>
        </w:rPr>
        <w:t>〔2007〕</w:t>
      </w:r>
      <w:r>
        <w:rPr>
          <w:rFonts w:hint="default" w:ascii="Times New Roman" w:hAnsi="Times New Roman" w:cs="Times New Roman"/>
          <w:color w:val="auto"/>
          <w:sz w:val="24"/>
        </w:rPr>
        <w:t>28号文件对项目进行了批复。根据《建设项目环境保护管理条例》和《建设项目竣工环境保护验收管理办法》的有关规定及程序，2007年11月，克拉玛依市环境科研监测中心站对现有工程进行了竣工环境保护验收监测，克拉玛依市环保局进行了竣工环保验收。2010年由于生产的需要，建设单位在厂区北侧扩建2座50m×70m×6m的污水沉降池，作为含油污水进入厂区的预处理分离油水，并于2010年9月报克拉玛依市环境保护局以克环保函</w:t>
      </w:r>
      <w:r>
        <w:rPr>
          <w:rFonts w:hint="default" w:ascii="Times New Roman" w:hAnsi="Times New Roman" w:eastAsia="宋体" w:cs="Times New Roman"/>
          <w:color w:val="auto"/>
          <w:sz w:val="24"/>
        </w:rPr>
        <w:t>〔2010〕</w:t>
      </w:r>
      <w:r>
        <w:rPr>
          <w:rFonts w:hint="default" w:ascii="Times New Roman" w:hAnsi="Times New Roman" w:cs="Times New Roman"/>
          <w:color w:val="auto"/>
          <w:sz w:val="24"/>
        </w:rPr>
        <w:t>127号文件进行了批复，于2011年4月建设投入使用，2011年8月，克拉玛依市环境科研监测中心站对污水储池扩量工程进行了竣工环境保护验收监测，克拉玛依市环保局进行了竣工环保验收。验收监测报告认为，落地油及清罐油泥治理及扩量工程，立项、环评、初步设计及试生产报批手续齐全，环保设施与主体工程同时设计，同时施工，同时投入使用，环保设施运行基本正常，对环评和初步设计的要求落实到位。2018年原新疆维吾尔自治区环境保护厅对《关于克拉玛依博达生态环保科技有限责任公司油田污泥污水处理项目升级改造固体废物污染防治设施项目》（新环函</w:t>
      </w:r>
      <w:r>
        <w:rPr>
          <w:rFonts w:hint="default" w:ascii="Times New Roman" w:hAnsi="Times New Roman" w:eastAsia="宋体" w:cs="Times New Roman"/>
          <w:color w:val="auto"/>
          <w:sz w:val="24"/>
        </w:rPr>
        <w:t>〔2018〕1182号</w:t>
      </w:r>
      <w:r>
        <w:rPr>
          <w:rFonts w:hint="default" w:ascii="Times New Roman" w:hAnsi="Times New Roman" w:cs="Times New Roman"/>
          <w:color w:val="auto"/>
          <w:sz w:val="24"/>
        </w:rPr>
        <w:t>）予以批复，2019年6月通过新疆维吾尔自治区生态环境厅验收（新环审</w:t>
      </w:r>
      <w:r>
        <w:rPr>
          <w:rFonts w:hint="default" w:ascii="Times New Roman" w:hAnsi="Times New Roman" w:eastAsia="宋体" w:cs="Times New Roman"/>
          <w:color w:val="auto"/>
          <w:sz w:val="24"/>
        </w:rPr>
        <w:t>〔2019〕67号</w:t>
      </w:r>
      <w:r>
        <w:rPr>
          <w:rFonts w:hint="default" w:ascii="Times New Roman" w:hAnsi="Times New Roman" w:cs="Times New Roman"/>
          <w:color w:val="auto"/>
          <w:sz w:val="24"/>
        </w:rPr>
        <w:t>）。博达废弃物处置再生利用项目设计处理能力为118.5万t/a（其中含油泥废液34万t/a、含油污泥30万t/a、干化油泥及废矿物油40.5万t/a、含油钻井废弃物10.5万t/a、废防渗膜及废树脂3.5万t/a），该项目于2018年原新疆维吾尔自治区环境保护厅对《关于克拉玛依博达生态环保科技有限责任公司废弃物处置再生利用项目》（新环函</w:t>
      </w:r>
      <w:r>
        <w:rPr>
          <w:rFonts w:hint="default" w:ascii="Times New Roman" w:hAnsi="Times New Roman" w:eastAsia="宋体" w:cs="Times New Roman"/>
          <w:color w:val="auto"/>
          <w:sz w:val="24"/>
        </w:rPr>
        <w:t>〔2018〕1447号</w:t>
      </w:r>
      <w:r>
        <w:rPr>
          <w:rFonts w:hint="default" w:ascii="Times New Roman" w:hAnsi="Times New Roman" w:cs="Times New Roman"/>
          <w:color w:val="auto"/>
          <w:sz w:val="24"/>
        </w:rPr>
        <w:t>）予以批复，2023年10月通过企业自主验收。</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依托可行性分析：</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cs="Times New Roman"/>
          <w:color w:val="auto"/>
          <w:sz w:val="24"/>
        </w:rPr>
        <w:t>克拉玛依博达生态环保科技有限责任公司具有自治区环保厅颁发的《危险废物经营许可证》（编号6502040117），年处理能力118.5万t/a，</w:t>
      </w:r>
      <w:r>
        <w:rPr>
          <w:rFonts w:hint="default" w:ascii="Times New Roman" w:hAnsi="Times New Roman" w:eastAsia="宋体" w:cs="Times New Roman"/>
          <w:color w:val="auto"/>
          <w:kern w:val="0"/>
          <w:sz w:val="24"/>
          <w:lang w:bidi="ar"/>
        </w:rPr>
        <w:t>实际处理量35×10</w:t>
      </w:r>
      <w:r>
        <w:rPr>
          <w:rFonts w:hint="default" w:ascii="Times New Roman" w:hAnsi="Times New Roman" w:eastAsia="宋体" w:cs="Times New Roman"/>
          <w:color w:val="auto"/>
          <w:kern w:val="0"/>
          <w:sz w:val="24"/>
          <w:vertAlign w:val="superscript"/>
          <w:lang w:bidi="ar"/>
        </w:rPr>
        <w:t>4</w:t>
      </w:r>
      <w:r>
        <w:rPr>
          <w:rFonts w:hint="default" w:ascii="Times New Roman" w:hAnsi="Times New Roman" w:eastAsia="宋体" w:cs="Times New Roman"/>
          <w:color w:val="auto"/>
          <w:kern w:val="0"/>
          <w:sz w:val="24"/>
          <w:lang w:bidi="ar"/>
        </w:rPr>
        <w:t>t/a，留有83.5×10</w:t>
      </w:r>
      <w:r>
        <w:rPr>
          <w:rFonts w:hint="default" w:ascii="Times New Roman" w:hAnsi="Times New Roman" w:eastAsia="宋体" w:cs="Times New Roman"/>
          <w:color w:val="auto"/>
          <w:kern w:val="0"/>
          <w:sz w:val="24"/>
          <w:vertAlign w:val="superscript"/>
          <w:lang w:bidi="ar"/>
        </w:rPr>
        <w:t>4</w:t>
      </w:r>
      <w:r>
        <w:rPr>
          <w:rFonts w:hint="default" w:ascii="Times New Roman" w:hAnsi="Times New Roman" w:eastAsia="宋体" w:cs="Times New Roman"/>
          <w:color w:val="auto"/>
          <w:kern w:val="0"/>
          <w:sz w:val="24"/>
          <w:lang w:bidi="ar"/>
        </w:rPr>
        <w:t>t/a的富余量</w:t>
      </w:r>
      <w:r>
        <w:rPr>
          <w:rFonts w:hint="default" w:ascii="Times New Roman" w:hAnsi="Times New Roman" w:cs="Times New Roman"/>
          <w:color w:val="auto"/>
          <w:sz w:val="24"/>
        </w:rPr>
        <w:t>。本项目</w:t>
      </w:r>
      <w:r>
        <w:rPr>
          <w:rFonts w:hint="eastAsia" w:ascii="Times New Roman" w:hAnsi="Times New Roman" w:cs="Times New Roman"/>
          <w:color w:val="auto"/>
          <w:sz w:val="24"/>
          <w:lang w:val="en-US" w:eastAsia="zh-CN"/>
        </w:rPr>
        <w:t>6口</w:t>
      </w:r>
      <w:r>
        <w:rPr>
          <w:rFonts w:hint="default" w:ascii="Times New Roman" w:hAnsi="Times New Roman" w:cs="Times New Roman"/>
          <w:color w:val="auto"/>
          <w:sz w:val="24"/>
        </w:rPr>
        <w:t>采油井全部投产后预计油泥最大产生量为</w:t>
      </w:r>
      <w:r>
        <w:rPr>
          <w:rFonts w:hint="eastAsia" w:ascii="Times New Roman" w:hAnsi="Times New Roman" w:cs="Times New Roman"/>
          <w:color w:val="auto"/>
          <w:sz w:val="24"/>
          <w:lang w:val="en-US" w:eastAsia="zh-CN"/>
        </w:rPr>
        <w:t>130.69</w:t>
      </w:r>
      <w:r>
        <w:rPr>
          <w:rFonts w:hint="default" w:ascii="Times New Roman" w:hAnsi="Times New Roman" w:cs="Times New Roman"/>
          <w:color w:val="auto"/>
          <w:sz w:val="24"/>
        </w:rPr>
        <w:t>t/a，占比较小，完全在博达公司的处理能力范围内。</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3.5.</w:t>
      </w:r>
      <w:r>
        <w:rPr>
          <w:rFonts w:hint="eastAsia" w:ascii="Times New Roman" w:hAnsi="Times New Roman" w:cs="Times New Roman"/>
          <w:color w:val="auto"/>
          <w:kern w:val="0"/>
          <w:sz w:val="28"/>
          <w:szCs w:val="28"/>
          <w:lang w:val="en-US" w:eastAsia="zh-CN"/>
        </w:rPr>
        <w:t>9</w:t>
      </w:r>
      <w:r>
        <w:rPr>
          <w:rFonts w:hint="default" w:ascii="Times New Roman" w:hAnsi="Times New Roman" w:cs="Times New Roman"/>
          <w:color w:val="auto"/>
          <w:kern w:val="0"/>
          <w:sz w:val="28"/>
          <w:szCs w:val="28"/>
        </w:rPr>
        <w:t>.3</w:t>
      </w:r>
      <w:r>
        <w:rPr>
          <w:rFonts w:hint="default" w:ascii="Times New Roman" w:hAnsi="Times New Roman" w:cs="Times New Roman"/>
          <w:color w:val="auto"/>
          <w:kern w:val="0"/>
          <w:sz w:val="28"/>
          <w:szCs w:val="28"/>
          <w:lang w:val="en-US" w:eastAsia="zh-CN"/>
        </w:rPr>
        <w:t>陆梁油田</w:t>
      </w:r>
      <w:r>
        <w:rPr>
          <w:rFonts w:hint="default" w:ascii="Times New Roman" w:hAnsi="Times New Roman" w:cs="Times New Roman"/>
          <w:color w:val="auto"/>
          <w:kern w:val="0"/>
          <w:sz w:val="28"/>
          <w:szCs w:val="28"/>
        </w:rPr>
        <w:t>生活垃圾填埋场</w:t>
      </w:r>
    </w:p>
    <w:p>
      <w:pPr>
        <w:pStyle w:val="33"/>
        <w:spacing w:line="360" w:lineRule="auto"/>
        <w:ind w:firstLine="480" w:firstLineChars="200"/>
        <w:jc w:val="lef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（1）基本情况及环保手续</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本项目钻井期生活垃圾经陆梁公寓收集后，运至</w:t>
      </w:r>
      <w:r>
        <w:rPr>
          <w:rFonts w:hint="default" w:ascii="Times New Roman" w:hAnsi="Times New Roman" w:eastAsia="宋体" w:cs="Times New Roman"/>
          <w:color w:val="auto"/>
          <w:sz w:val="24"/>
          <w:lang w:val="en-US" w:eastAsia="zh-CN"/>
        </w:rPr>
        <w:t>陆梁油田</w:t>
      </w:r>
      <w:r>
        <w:rPr>
          <w:rFonts w:hint="default" w:ascii="Times New Roman" w:hAnsi="Times New Roman" w:eastAsia="宋体" w:cs="Times New Roman"/>
          <w:color w:val="auto"/>
          <w:sz w:val="24"/>
        </w:rPr>
        <w:t>生活垃圾填埋场处置。</w:t>
      </w:r>
    </w:p>
    <w:p>
      <w:pPr>
        <w:spacing w:line="360" w:lineRule="auto"/>
        <w:ind w:firstLine="480"/>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陆梁油田</w:t>
      </w:r>
      <w:r>
        <w:rPr>
          <w:rFonts w:hint="default" w:ascii="Times New Roman" w:hAnsi="Times New Roman" w:eastAsia="宋体" w:cs="Times New Roman"/>
          <w:color w:val="auto"/>
          <w:sz w:val="24"/>
        </w:rPr>
        <w:t>生活垃圾填埋场位于</w:t>
      </w:r>
      <w:r>
        <w:rPr>
          <w:rFonts w:hint="default" w:ascii="Times New Roman" w:hAnsi="Times New Roman" w:eastAsia="宋体" w:cs="Times New Roman"/>
          <w:color w:val="auto"/>
          <w:sz w:val="24"/>
          <w:lang w:val="en-US" w:eastAsia="zh-CN"/>
        </w:rPr>
        <w:t>陆梁油田生活公寓以北3km</w:t>
      </w:r>
      <w:r>
        <w:rPr>
          <w:rFonts w:hint="default" w:ascii="Times New Roman" w:hAnsi="Times New Roman" w:eastAsia="宋体" w:cs="Times New Roman"/>
          <w:color w:val="auto"/>
          <w:sz w:val="24"/>
        </w:rPr>
        <w:t>，</w:t>
      </w:r>
      <w:r>
        <w:rPr>
          <w:rFonts w:hint="default" w:ascii="Times New Roman" w:hAnsi="Times New Roman" w:cs="Times New Roman"/>
          <w:color w:val="auto"/>
          <w:sz w:val="24"/>
        </w:rPr>
        <w:t>卫生填埋场占地面积21000m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，场址由北向南依次为三座容积各18000m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垃圾填埋池，总容积54000m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设计日填埋量3t/d，</w:t>
      </w:r>
      <w:r>
        <w:rPr>
          <w:rFonts w:hint="default" w:ascii="Times New Roman" w:hAnsi="Times New Roman" w:cs="Times New Roman"/>
          <w:color w:val="auto"/>
          <w:sz w:val="24"/>
        </w:rPr>
        <w:t>服务年限为10年。</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陆梁油田生活垃圾处理工程于2017年6月通过原塔城地区环境保护局审批，文号“塔地环字</w:t>
      </w:r>
      <w:r>
        <w:rPr>
          <w:rFonts w:hint="default" w:ascii="Times New Roman" w:hAnsi="Times New Roman" w:eastAsia="宋体" w:cs="Times New Roman"/>
          <w:color w:val="auto"/>
          <w:sz w:val="24"/>
        </w:rPr>
        <w:t>〔2017〕124</w:t>
      </w:r>
      <w:r>
        <w:rPr>
          <w:rFonts w:hint="default" w:ascii="Times New Roman" w:hAnsi="Times New Roman" w:cs="Times New Roman"/>
          <w:color w:val="auto"/>
          <w:sz w:val="24"/>
        </w:rPr>
        <w:t>号”。2017年7月动工建设，2017年9月工程完工，2018年9月通过环保竣工验收。</w:t>
      </w:r>
    </w:p>
    <w:p>
      <w:pPr>
        <w:pStyle w:val="33"/>
        <w:spacing w:line="360" w:lineRule="auto"/>
        <w:ind w:firstLine="480" w:firstLineChars="200"/>
        <w:jc w:val="lef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（2）处理工艺</w:t>
      </w:r>
    </w:p>
    <w:p>
      <w:pPr>
        <w:pStyle w:val="33"/>
        <w:spacing w:line="360" w:lineRule="auto"/>
        <w:ind w:firstLine="480" w:firstLineChars="200"/>
        <w:jc w:val="lef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主要采用卫生填埋工艺，推进式填埋法，工艺过程主要包括机械卸料、铺平、压实、覆土、喷水降尘、灭虫等。渗滤液经场底收集系统排至渗滤液收集池，经处理后回喷垃圾堆体；填埋气经导气石笼收集后导出。填埋场底部和边坡采取严格防渗的设计方案。</w:t>
      </w:r>
    </w:p>
    <w:p>
      <w:pPr>
        <w:pStyle w:val="33"/>
        <w:spacing w:line="360" w:lineRule="auto"/>
        <w:ind w:firstLine="480" w:firstLineChars="200"/>
        <w:jc w:val="lef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（3）依托可行性</w:t>
      </w:r>
    </w:p>
    <w:p>
      <w:pPr>
        <w:pStyle w:val="33"/>
        <w:spacing w:line="360" w:lineRule="auto"/>
        <w:ind w:firstLine="480" w:firstLineChars="200"/>
        <w:jc w:val="lef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目前该垃圾填埋场日处理量约</w:t>
      </w:r>
      <w:r>
        <w:rPr>
          <w:rFonts w:hint="default" w:ascii="Times New Roman" w:hAnsi="Times New Roman" w:eastAsia="宋体" w:cs="Times New Roman"/>
          <w:b w:val="0"/>
          <w:bCs/>
          <w:color w:val="auto"/>
          <w:lang w:val="en-US" w:eastAsia="zh-CN"/>
        </w:rPr>
        <w:t>3</w:t>
      </w:r>
      <w:r>
        <w:rPr>
          <w:rFonts w:hint="default" w:ascii="Times New Roman" w:hAnsi="Times New Roman" w:eastAsia="宋体" w:cs="Times New Roman"/>
          <w:b w:val="0"/>
          <w:bCs/>
          <w:color w:val="auto"/>
        </w:rPr>
        <w:t>t左右，本项目施工期产生生活垃圾量为</w:t>
      </w:r>
      <w:r>
        <w:rPr>
          <w:rFonts w:hint="eastAsia" w:ascii="Times New Roman" w:hAnsi="Times New Roman" w:eastAsia="宋体" w:cs="Times New Roman"/>
          <w:b w:val="0"/>
          <w:bCs/>
          <w:color w:val="auto"/>
          <w:lang w:eastAsia="zh-CN"/>
        </w:rPr>
        <w:t>8.86</w:t>
      </w:r>
      <w:r>
        <w:rPr>
          <w:rFonts w:hint="default" w:ascii="Times New Roman" w:hAnsi="Times New Roman" w:eastAsia="宋体" w:cs="Times New Roman"/>
          <w:b w:val="0"/>
          <w:bCs/>
          <w:color w:val="auto"/>
        </w:rPr>
        <w:t>t（</w:t>
      </w:r>
      <w:r>
        <w:rPr>
          <w:rFonts w:hint="default" w:ascii="Times New Roman" w:hAnsi="Times New Roman" w:eastAsia="宋体" w:cs="Times New Roman"/>
          <w:b w:val="0"/>
          <w:bCs/>
          <w:color w:val="auto"/>
          <w:lang w:val="en-US" w:eastAsia="zh-CN"/>
        </w:rPr>
        <w:t>0.0</w:t>
      </w:r>
      <w:r>
        <w:rPr>
          <w:rFonts w:hint="eastAsia" w:ascii="Times New Roman" w:hAnsi="Times New Roman" w:eastAsia="宋体" w:cs="Times New Roman"/>
          <w:b w:val="0"/>
          <w:bCs/>
          <w:color w:val="auto"/>
          <w:lang w:val="en-US" w:eastAsia="zh-CN"/>
        </w:rPr>
        <w:t>175</w:t>
      </w:r>
      <w:r>
        <w:rPr>
          <w:rFonts w:hint="default" w:ascii="Times New Roman" w:hAnsi="Times New Roman" w:eastAsia="宋体" w:cs="Times New Roman"/>
          <w:b w:val="0"/>
          <w:bCs/>
          <w:color w:val="auto"/>
        </w:rPr>
        <w:t>t/d），运营期不新增劳动定员故不新增生活垃圾，依托可行。</w:t>
      </w:r>
    </w:p>
    <w:p>
      <w:pPr>
        <w:pStyle w:val="33"/>
        <w:spacing w:line="360" w:lineRule="auto"/>
        <w:ind w:firstLine="480" w:firstLineChars="200"/>
        <w:jc w:val="lef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本项目与依托工程相对位置关系图见图3.5-7。本项目污染物与依托工程去向关系图见图3.5-</w:t>
      </w:r>
      <w:r>
        <w:rPr>
          <w:rFonts w:hint="eastAsia" w:ascii="Times New Roman" w:hAnsi="Times New Roman" w:eastAsia="宋体" w:cs="Times New Roman"/>
          <w:b w:val="0"/>
          <w:bCs/>
          <w:color w:val="auto"/>
          <w:lang w:val="en-US" w:eastAsia="zh-CN"/>
        </w:rPr>
        <w:t>8</w:t>
      </w:r>
      <w:r>
        <w:rPr>
          <w:rFonts w:hint="default" w:ascii="Times New Roman" w:hAnsi="Times New Roman" w:eastAsia="宋体" w:cs="Times New Roman"/>
          <w:b w:val="0"/>
          <w:bCs/>
          <w:color w:val="auto"/>
        </w:rPr>
        <w:t>。</w:t>
      </w:r>
    </w:p>
    <w:p>
      <w:pPr>
        <w:pStyle w:val="33"/>
        <w:spacing w:line="360" w:lineRule="auto"/>
        <w:ind w:firstLine="480" w:firstLineChars="200"/>
        <w:jc w:val="left"/>
        <w:rPr>
          <w:rFonts w:hint="default" w:ascii="Times New Roman" w:hAnsi="Times New Roman" w:eastAsia="宋体" w:cs="Times New Roman"/>
          <w:b w:val="0"/>
          <w:bCs/>
          <w:color w:val="auto"/>
        </w:rPr>
      </w:pPr>
    </w:p>
    <w:p>
      <w:pPr>
        <w:widowControl w:val="0"/>
        <w:adjustRightInd w:val="0"/>
        <w:spacing w:line="360" w:lineRule="auto"/>
        <w:ind w:firstLine="480"/>
        <w:jc w:val="both"/>
        <w:rPr>
          <w:rFonts w:ascii="Times New Roman" w:hAnsi="Times New Roman" w:eastAsia="宋体" w:cs="Times New Roman"/>
          <w:bCs/>
          <w:color w:val="auto"/>
          <w:kern w:val="2"/>
          <w:sz w:val="24"/>
          <w:szCs w:val="20"/>
          <w:lang w:val="en-US" w:eastAsia="zh-CN" w:bidi="ar-SA"/>
        </w:rPr>
      </w:pPr>
      <w:r>
        <w:rPr>
          <w:rFonts w:ascii="Times New Roman" w:hAnsi="Times New Roman" w:eastAsia="宋体" w:cs="Times New Roman"/>
          <w:bCs/>
          <w:color w:val="auto"/>
          <w:kern w:val="2"/>
          <w:sz w:val="24"/>
          <w:szCs w:val="20"/>
          <w:lang w:val="en-US" w:eastAsia="zh-CN" w:bidi="ar-SA"/>
        </w:rPr>
        <mc:AlternateContent>
          <mc:Choice Requires="wpg">
            <w:drawing>
              <wp:anchor distT="0" distB="0" distL="114300" distR="114300" simplePos="0" relativeHeight="251676672" behindDoc="0" locked="0" layoutInCell="1" allowOverlap="1">
                <wp:simplePos x="0" y="0"/>
                <wp:positionH relativeFrom="column">
                  <wp:posOffset>-60325</wp:posOffset>
                </wp:positionH>
                <wp:positionV relativeFrom="paragraph">
                  <wp:posOffset>7620</wp:posOffset>
                </wp:positionV>
                <wp:extent cx="5640070" cy="1424305"/>
                <wp:effectExtent l="4445" t="0" r="0" b="0"/>
                <wp:wrapNone/>
                <wp:docPr id="190" name="组合 190"/>
                <wp:cNvGraphicFramePr/>
                <a:graphic xmlns:a="http://schemas.openxmlformats.org/drawingml/2006/main">
                  <a:graphicData uri="http://schemas.microsoft.com/office/word/2010/wordprocessingGroup">
                    <wpg:wgp>
                      <wpg:cNvGrpSpPr/>
                      <wpg:grpSpPr>
                        <a:xfrm>
                          <a:off x="0" y="0"/>
                          <a:ext cx="5640070" cy="1424305"/>
                          <a:chOff x="1928" y="1237438"/>
                          <a:chExt cx="8882" cy="2243"/>
                        </a:xfrm>
                      </wpg:grpSpPr>
                      <wpg:grpSp>
                        <wpg:cNvPr id="192" name="组合 192"/>
                        <wpg:cNvGrpSpPr/>
                        <wpg:grpSpPr>
                          <a:xfrm>
                            <a:off x="1928" y="1237438"/>
                            <a:ext cx="8882" cy="1721"/>
                            <a:chOff x="1928" y="1237438"/>
                            <a:chExt cx="8882" cy="1721"/>
                          </a:xfrm>
                        </wpg:grpSpPr>
                        <wpg:grpSp>
                          <wpg:cNvPr id="193" name="组合 184"/>
                          <wpg:cNvGrpSpPr/>
                          <wpg:grpSpPr>
                            <a:xfrm>
                              <a:off x="1928" y="1237438"/>
                              <a:ext cx="8882" cy="1721"/>
                              <a:chOff x="1928" y="1206260"/>
                              <a:chExt cx="8882" cy="1721"/>
                            </a:xfrm>
                          </wpg:grpSpPr>
                          <wpg:grpSp>
                            <wpg:cNvPr id="194" name="组合 178"/>
                            <wpg:cNvGrpSpPr/>
                            <wpg:grpSpPr>
                              <a:xfrm>
                                <a:off x="1928" y="1206498"/>
                                <a:ext cx="8882" cy="1483"/>
                                <a:chOff x="1842" y="1205845"/>
                                <a:chExt cx="8882" cy="1483"/>
                              </a:xfrm>
                            </wpg:grpSpPr>
                            <wpg:grpSp>
                              <wpg:cNvPr id="195" name="组合 177"/>
                              <wpg:cNvGrpSpPr/>
                              <wpg:grpSpPr>
                                <a:xfrm>
                                  <a:off x="1842" y="1206192"/>
                                  <a:ext cx="4795" cy="764"/>
                                  <a:chOff x="1842" y="1206192"/>
                                  <a:chExt cx="4795" cy="764"/>
                                </a:xfrm>
                              </wpg:grpSpPr>
                              <wps:wsp>
                                <wps:cNvPr id="196" name="文本框 80"/>
                                <wps:cNvSpPr txBox="1"/>
                                <wps:spPr>
                                  <a:xfrm>
                                    <a:off x="1842" y="1206192"/>
                                    <a:ext cx="1239" cy="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hint="eastAsia" w:ascii="Times New Roman" w:hAnsi="Times New Roman" w:cs="Times New Roman"/>
                                        </w:rPr>
                                        <w:t>本项目采油井井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文本框 81"/>
                                <wps:cNvSpPr txBox="1"/>
                                <wps:spPr>
                                  <a:xfrm>
                                    <a:off x="3987" y="1206196"/>
                                    <a:ext cx="1468" cy="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陆梁集中处理站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直接箭头连接符 86"/>
                                <wps:cNvCnPr>
                                  <a:stCxn id="80" idx="3"/>
                                  <a:endCxn id="81" idx="1"/>
                                </wps:cNvCnPr>
                                <wps:spPr>
                                  <a:xfrm>
                                    <a:off x="3081" y="1206572"/>
                                    <a:ext cx="906" cy="4"/>
                                  </a:xfrm>
                                  <a:prstGeom prst="straightConnector1">
                                    <a:avLst/>
                                  </a:prstGeom>
                                  <a:noFill/>
                                  <a:ln w="12700" cap="flat" cmpd="sng" algn="ctr">
                                    <a:solidFill>
                                      <a:sysClr val="windowText" lastClr="000000"/>
                                    </a:solidFill>
                                    <a:prstDash val="solid"/>
                                    <a:miter lim="800000"/>
                                    <a:headEnd type="none"/>
                                    <a:tailEnd type="triangle" w="med" len="med"/>
                                  </a:ln>
                                  <a:effectLst/>
                                </wps:spPr>
                                <wps:style>
                                  <a:lnRef idx="2">
                                    <a:schemeClr val="accent1"/>
                                  </a:lnRef>
                                  <a:fillRef idx="0">
                                    <a:srgbClr val="FFFFFF"/>
                                  </a:fillRef>
                                  <a:effectRef idx="0">
                                    <a:srgbClr val="FFFFFF"/>
                                  </a:effectRef>
                                  <a:fontRef idx="minor">
                                    <a:schemeClr val="tx1"/>
                                  </a:fontRef>
                                </wps:style>
                                <wps:bodyPr/>
                              </wps:wsp>
                              <wps:wsp>
                                <wps:cNvPr id="244" name="直接箭头连接符 92"/>
                                <wps:cNvCnPr>
                                  <a:stCxn id="81" idx="3"/>
                                </wps:cNvCnPr>
                                <wps:spPr>
                                  <a:xfrm flipV="1">
                                    <a:off x="5469" y="1206573"/>
                                    <a:ext cx="1168" cy="3"/>
                                  </a:xfrm>
                                  <a:prstGeom prst="straightConnector1">
                                    <a:avLst/>
                                  </a:prstGeom>
                                  <a:noFill/>
                                  <a:ln w="12700" cap="flat" cmpd="sng" algn="ctr">
                                    <a:solidFill>
                                      <a:sysClr val="windowText" lastClr="000000"/>
                                    </a:solidFill>
                                    <a:prstDash val="sysDash"/>
                                    <a:miter lim="800000"/>
                                    <a:headEnd type="none"/>
                                    <a:tailEnd type="triangle" w="med" len="med"/>
                                  </a:ln>
                                  <a:effectLst/>
                                </wps:spPr>
                                <wps:style>
                                  <a:lnRef idx="2">
                                    <a:schemeClr val="accent1"/>
                                  </a:lnRef>
                                  <a:fillRef idx="0">
                                    <a:srgbClr val="FFFFFF"/>
                                  </a:fillRef>
                                  <a:effectRef idx="0">
                                    <a:srgbClr val="FFFFFF"/>
                                  </a:effectRef>
                                  <a:fontRef idx="minor">
                                    <a:schemeClr val="tx1"/>
                                  </a:fontRef>
                                </wps:style>
                                <wps:bodyPr/>
                              </wps:wsp>
                            </wpg:grpSp>
                            <wpg:grpSp>
                              <wpg:cNvPr id="250" name="组合 176"/>
                              <wpg:cNvGrpSpPr/>
                              <wpg:grpSpPr>
                                <a:xfrm>
                                  <a:off x="6623" y="1205845"/>
                                  <a:ext cx="4101" cy="1483"/>
                                  <a:chOff x="6743" y="1206055"/>
                                  <a:chExt cx="4101" cy="1483"/>
                                </a:xfrm>
                              </wpg:grpSpPr>
                              <wpg:grpSp>
                                <wpg:cNvPr id="251" name="组合 97"/>
                                <wpg:cNvGrpSpPr/>
                                <wpg:grpSpPr>
                                  <a:xfrm>
                                    <a:off x="6743" y="1206055"/>
                                    <a:ext cx="4101" cy="1483"/>
                                    <a:chOff x="6743" y="1206055"/>
                                    <a:chExt cx="4101" cy="1483"/>
                                  </a:xfrm>
                                </wpg:grpSpPr>
                                <wps:wsp>
                                  <wps:cNvPr id="262" name="文本框 83"/>
                                  <wps:cNvSpPr txBox="1"/>
                                  <wps:spPr>
                                    <a:xfrm>
                                      <a:off x="6743" y="1206055"/>
                                      <a:ext cx="772" cy="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外输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84"/>
                                  <wps:cNvSpPr txBox="1"/>
                                  <wps:spPr>
                                    <a:xfrm>
                                      <a:off x="6764" y="1206554"/>
                                      <a:ext cx="3747" cy="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color w:val="000000" w:themeColor="text1"/>
                                            <w:kern w:val="44"/>
                                            <w:szCs w:val="21"/>
                                            <w14:textFill>
                                              <w14:solidFill>
                                                <w14:schemeClr w14:val="tx1"/>
                                              </w14:solidFill>
                                            </w14:textFill>
                                          </w:rPr>
                                        </w:pPr>
                                        <w:r>
                                          <w:rPr>
                                            <w:rFonts w:hint="eastAsia" w:ascii="Times New Roman" w:hAnsi="Times New Roman" w:eastAsia="宋体" w:cs="Times New Roman"/>
                                            <w:color w:val="000000" w:themeColor="text1"/>
                                            <w:kern w:val="44"/>
                                            <w:szCs w:val="21"/>
                                            <w14:textFill>
                                              <w14:solidFill>
                                                <w14:schemeClr w14:val="tx1"/>
                                              </w14:solidFill>
                                            </w14:textFill>
                                          </w:rPr>
                                          <w:t>陆梁集中处理站污水处理系统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3" name="文本框 85"/>
                                  <wps:cNvSpPr txBox="1"/>
                                  <wps:spPr>
                                    <a:xfrm>
                                      <a:off x="6751" y="1207119"/>
                                      <a:ext cx="4093"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克拉玛依博达生态环保科技有限责任公司</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76" name="肘形连接符 96"/>
                                <wps:cNvCnPr>
                                  <a:stCxn id="83" idx="1"/>
                                </wps:cNvCnPr>
                                <wps:spPr>
                                  <a:xfrm rot="10800000" flipH="1" flipV="1">
                                    <a:off x="6743" y="1206253"/>
                                    <a:ext cx="8" cy="1076"/>
                                  </a:xfrm>
                                  <a:prstGeom prst="bentConnector3">
                                    <a:avLst>
                                      <a:gd name="adj1" fmla="val -13137500"/>
                                    </a:avLst>
                                  </a:prstGeom>
                                  <a:noFill/>
                                  <a:ln w="12700" cap="flat" cmpd="sng" algn="ctr">
                                    <a:solidFill>
                                      <a:sysClr val="windowText" lastClr="000000"/>
                                    </a:solidFill>
                                    <a:prstDash val="sysDash"/>
                                    <a:miter lim="800000"/>
                                    <a:headEnd type="triangle" w="med" len="med"/>
                                    <a:tailEnd type="triangle" w="med" len="med"/>
                                  </a:ln>
                                  <a:effectLst/>
                                </wps:spPr>
                                <wps:style>
                                  <a:lnRef idx="2">
                                    <a:schemeClr val="accent1"/>
                                  </a:lnRef>
                                  <a:fillRef idx="0">
                                    <a:srgbClr val="FFFFFF"/>
                                  </a:fillRef>
                                  <a:effectRef idx="0">
                                    <a:srgbClr val="FFFFFF"/>
                                  </a:effectRef>
                                  <a:fontRef idx="minor">
                                    <a:schemeClr val="tx1"/>
                                  </a:fontRef>
                                </wps:style>
                                <wps:bodyPr/>
                              </wps:wsp>
                            </wpg:grpSp>
                          </wpg:grpSp>
                          <wpg:grpSp>
                            <wpg:cNvPr id="282" name="组合 182"/>
                            <wpg:cNvGrpSpPr/>
                            <wpg:grpSpPr>
                              <a:xfrm>
                                <a:off x="5569" y="1206260"/>
                                <a:ext cx="1263" cy="1511"/>
                                <a:chOff x="5569" y="1206260"/>
                                <a:chExt cx="1263" cy="1511"/>
                              </a:xfrm>
                            </wpg:grpSpPr>
                            <wps:wsp>
                              <wps:cNvPr id="305" name="文本框 179"/>
                              <wps:cNvSpPr txBox="1"/>
                              <wps:spPr>
                                <a:xfrm>
                                  <a:off x="5715" y="1206260"/>
                                  <a:ext cx="791" cy="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原油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80"/>
                              <wps:cNvSpPr txBox="1"/>
                              <wps:spPr>
                                <a:xfrm>
                                  <a:off x="5569" y="1207324"/>
                                  <a:ext cx="1263" cy="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含油污泥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181"/>
                              <wps:cNvSpPr txBox="1"/>
                              <wps:spPr>
                                <a:xfrm>
                                  <a:off x="5642" y="1206782"/>
                                  <a:ext cx="971" cy="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采出水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113" name="文本框 191"/>
                          <wps:cNvSpPr txBox="1"/>
                          <wps:spPr>
                            <a:xfrm>
                              <a:off x="3118" y="1237947"/>
                              <a:ext cx="1028" cy="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rPr>
                                  <w:t>采出液</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36" name="组合 196"/>
                        <wpg:cNvGrpSpPr/>
                        <wpg:grpSpPr>
                          <a:xfrm>
                            <a:off x="2548" y="1238783"/>
                            <a:ext cx="8078" cy="898"/>
                            <a:chOff x="2548" y="1238783"/>
                            <a:chExt cx="8078" cy="898"/>
                          </a:xfrm>
                        </wpg:grpSpPr>
                        <wps:wsp>
                          <wps:cNvPr id="116" name="文本框 193"/>
                          <wps:cNvSpPr txBox="1"/>
                          <wps:spPr>
                            <a:xfrm>
                              <a:off x="2941" y="1239008"/>
                              <a:ext cx="2720" cy="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井下作业废水、废洗井液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7" name="文本框 194"/>
                          <wps:cNvSpPr txBox="1"/>
                          <wps:spPr>
                            <a:xfrm>
                              <a:off x="6740" y="1239274"/>
                              <a:ext cx="3886" cy="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color w:val="000000" w:themeColor="text1"/>
                                    <w:kern w:val="44"/>
                                    <w:szCs w:val="21"/>
                                    <w14:textFill>
                                      <w14:solidFill>
                                        <w14:schemeClr w14:val="tx1"/>
                                      </w14:solidFill>
                                    </w14:textFill>
                                  </w:rPr>
                                </w:pPr>
                                <w:r>
                                  <w:rPr>
                                    <w:rFonts w:hint="eastAsia" w:ascii="Times New Roman" w:hAnsi="Times New Roman" w:eastAsia="宋体" w:cs="Times New Roman"/>
                                    <w:color w:val="000000" w:themeColor="text1"/>
                                    <w:kern w:val="44"/>
                                    <w:szCs w:val="21"/>
                                    <w14:textFill>
                                      <w14:solidFill>
                                        <w14:schemeClr w14:val="tx1"/>
                                      </w14:solidFill>
                                    </w14:textFill>
                                  </w:rPr>
                                  <w:t>陆梁集中处理站污水处理系统</w:t>
                                </w:r>
                              </w:p>
                              <w:p>
                                <w:pPr>
                                  <w:rPr>
                                    <w:rFonts w:eastAsia="宋体"/>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8" name="肘形连接符 195"/>
                          <wps:cNvCnPr>
                            <a:stCxn id="80" idx="2"/>
                          </wps:cNvCnPr>
                          <wps:spPr>
                            <a:xfrm rot="5400000" flipV="1">
                              <a:off x="4296" y="1237034"/>
                              <a:ext cx="695" cy="4192"/>
                            </a:xfrm>
                            <a:prstGeom prst="bentConnector2">
                              <a:avLst/>
                            </a:prstGeom>
                            <a:noFill/>
                            <a:ln w="12700" cap="flat" cmpd="sng" algn="ctr">
                              <a:solidFill>
                                <a:sysClr val="windowText" lastClr="000000"/>
                              </a:solidFill>
                              <a:prstDash val="sysDash"/>
                              <a:miter lim="800000"/>
                              <a:headEnd type="none"/>
                              <a:tailEnd type="triangle" w="med" len="med"/>
                            </a:ln>
                            <a:effectLst/>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4.75pt;margin-top:0.6pt;height:112.15pt;width:444.1pt;z-index:251676672;mso-width-relative:page;mso-height-relative:page;" coordorigin="1928,1237438" coordsize="8882,2243" o:gfxdata="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">
                <o:lock v:ext="edit" aspectratio="f"/>
                <v:group id="_x0000_s1026" o:spid="_x0000_s1026" o:spt="203" style="position:absolute;left:1928;top:1237438;height:1721;width:8882;" coordorigin="1928,1237438" coordsize="8882,1721"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group id="组合 184" o:spid="_x0000_s1026" o:spt="203" style="position:absolute;left:1928;top:1237438;height:1721;width:8882;" coordorigin="1928,1206260" coordsize="8882,1721"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group id="组合 178" o:spid="_x0000_s1026" o:spt="203" style="position:absolute;left:1928;top:1206498;height:1483;width:8882;" coordorigin="1842,1205845" coordsize="8882,1483"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group id="组合 177" o:spid="_x0000_s1026" o:spt="203" style="position:absolute;left:1842;top:1206192;height:764;width:4795;" coordorigin="1842,1206192" coordsize="4795,764"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文本框 80" o:spid="_x0000_s1026" o:spt="202" type="#_x0000_t202" style="position:absolute;left:1842;top:1206192;height:760;width:1239;" fillcolor="#FFFFFF [3201]" filled="t" stroked="t" coordsize="21600,21600" o:gfxdata="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Au+X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ascii="Times New Roman" w:hAnsi="Times New Roman" w:cs="Times New Roman"/>
                                  </w:rPr>
                                </w:pPr>
                                <w:r>
                                  <w:rPr>
                                    <w:rFonts w:hint="eastAsia" w:ascii="Times New Roman" w:hAnsi="Times New Roman" w:cs="Times New Roman"/>
                                  </w:rPr>
                                  <w:t>本项目采油井井</w:t>
                                </w:r>
                              </w:p>
                            </w:txbxContent>
                          </v:textbox>
                        </v:shape>
                        <v:shape id="文本框 81" o:spid="_x0000_s1026" o:spt="202" type="#_x0000_t202" style="position:absolute;left:3987;top:1206196;height:760;width:1468;" fillcolor="#FFFFFF [3201]" filled="t" stroked="t" coordsize="21600,21600" o:gfxdata="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iPt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pPr>
                                <w:r>
                                  <w:rPr>
                                    <w:rFonts w:hint="eastAsia"/>
                                  </w:rPr>
                                  <w:t>陆梁集中处理站</w:t>
                                </w:r>
                              </w:p>
                            </w:txbxContent>
                          </v:textbox>
                        </v:shape>
                        <v:shape id="直接箭头连接符 86" o:spid="_x0000_s1026" o:spt="32" type="#_x0000_t32" style="position:absolute;left:3081;top:1206572;height:4;width:906;" filled="f" stroked="t" coordsize="21600,21600" o:gfxdata="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DlDr4A&#10;AADcAAAADwAAAAAAAAABACAAAAAiAAAAZHJzL2Rvd25yZXYueG1sUEsBAhQAFAAAAAgAh07iQDMv&#10;BZ47AAAAOQAAABAAAAAAAAAAAQAgAAAADQEAAGRycy9zaGFwZXhtbC54bWxQSwUGAAAAAAYABgBb&#10;AQAAtwMAAAAA&#10;">
                          <v:fill on="f" focussize="0,0"/>
                          <v:stroke weight="1pt" color="#000000 [3204]" miterlimit="8" joinstyle="miter" endarrow="block"/>
                          <v:imagedata o:title=""/>
                          <o:lock v:ext="edit" aspectratio="f"/>
                        </v:shape>
                        <v:shape id="直接箭头连接符 92" o:spid="_x0000_s1026" o:spt="32" type="#_x0000_t32" style="position:absolute;left:5469;top:1206573;flip:y;height:3;width:1168;" filled="f" stroked="t" coordsize="21600,21600" o:gfxdata="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ofwW8AAAA&#10;3AAAAA8AAAAAAAAAAQAgAAAAIgAAAGRycy9kb3ducmV2LnhtbFBLAQIUABQAAAAIAIdO4kAzLwWe&#10;OwAAADkAAAAQAAAAAAAAAAEAIAAAAAsBAABkcnMvc2hhcGV4bWwueG1sUEsFBgAAAAAGAAYAWwEA&#10;ALUDAAAAAA==&#10;">
                          <v:fill on="f" focussize="0,0"/>
                          <v:stroke weight="1pt" color="#000000 [3204]" miterlimit="8" joinstyle="miter" dashstyle="3 1" endarrow="block"/>
                          <v:imagedata o:title=""/>
                          <o:lock v:ext="edit" aspectratio="f"/>
                        </v:shape>
                      </v:group>
                      <v:group id="组合 176" o:spid="_x0000_s1026" o:spt="203" style="position:absolute;left:6623;top:1205845;height:1483;width:4101;" coordorigin="6743,1206055" coordsize="4101,1483"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group id="组合 97" o:spid="_x0000_s1026" o:spt="203" style="position:absolute;left:6743;top:1206055;height:1483;width:4101;" coordorigin="6743,1206055" coordsize="4101,1483"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文本框 83" o:spid="_x0000_s1026" o:spt="202" type="#_x0000_t202" style="position:absolute;left:6743;top:1206055;height:396;width:772;" filled="f" stroked="f" coordsize="21600,21600" o:gfxdata="UEsDBAoAAAAAAIdO4kAAAAAAAAAAAAAAAAAEAAAAZHJzL1BLAwQUAAAACACHTuJANq6yvs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kj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r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外输</w:t>
                                  </w:r>
                                </w:p>
                              </w:txbxContent>
                            </v:textbox>
                          </v:shape>
                          <v:shape id="文本框 84" o:spid="_x0000_s1026" o:spt="202" type="#_x0000_t202" style="position:absolute;left:6764;top:1206554;height:470;width:3747;"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color w:val="000000" w:themeColor="text1"/>
                                      <w:kern w:val="44"/>
                                      <w:szCs w:val="21"/>
                                      <w14:textFill>
                                        <w14:solidFill>
                                          <w14:schemeClr w14:val="tx1"/>
                                        </w14:solidFill>
                                      </w14:textFill>
                                    </w:rPr>
                                  </w:pPr>
                                  <w:r>
                                    <w:rPr>
                                      <w:rFonts w:hint="eastAsia" w:ascii="Times New Roman" w:hAnsi="Times New Roman" w:eastAsia="宋体" w:cs="Times New Roman"/>
                                      <w:color w:val="000000" w:themeColor="text1"/>
                                      <w:kern w:val="44"/>
                                      <w:szCs w:val="21"/>
                                      <w14:textFill>
                                        <w14:solidFill>
                                          <w14:schemeClr w14:val="tx1"/>
                                        </w14:solidFill>
                                      </w14:textFill>
                                    </w:rPr>
                                    <w:t>陆梁集中处理站污水处理系统</w:t>
                                  </w:r>
                                </w:p>
                              </w:txbxContent>
                            </v:textbox>
                          </v:shape>
                          <v:shape id="文本框 85" o:spid="_x0000_s1026" o:spt="202" type="#_x0000_t202" style="position:absolute;left:6751;top:1207119;height:419;width:4093;" filled="f" stroked="f" coordsize="21600,21600" o:gfxdata="UEsDBAoAAAAAAIdO4kAAAAAAAAAAAAAAAAAEAAAAZHJzL1BLAwQUAAAACACHTuJA3DuB+L8AAADc&#10;AAAADwAAAGRycy9kb3ducmV2LnhtbEWPT4vCMBTE78J+h/AW9qapFV2p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7gf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t>克拉玛依博达生态环保科技有限责任公司</w:t>
                                  </w:r>
                                </w:p>
                              </w:txbxContent>
                            </v:textbox>
                          </v:shape>
                        </v:group>
                        <v:shape id="肘形连接符 96" o:spid="_x0000_s1026" o:spt="34" type="#_x0000_t34" style="position:absolute;left:6743;top:1206253;flip:x y;height:1076;width:8;rotation:11796480f;" filled="f" stroked="t" coordsize="21600,21600" o:gfxdata="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ulAq/&#10;AAAA3AAAAA8AAAAAAAAAAQAgAAAAIgAAAGRycy9kb3ducmV2LnhtbFBLAQIUABQAAAAIAIdO4kAz&#10;LwWeOwAAADkAAAAQAAAAAAAAAAEAIAAAAA4BAABkcnMvc2hhcGV4bWwueG1sUEsFBgAAAAAGAAYA&#10;WwEAALgDAAAAAA==&#10;" adj="-2837700">
                          <v:fill on="f" focussize="0,0"/>
                          <v:stroke weight="1pt" color="#000000 [3204]" miterlimit="8" joinstyle="miter" dashstyle="3 1" startarrow="block" endarrow="block"/>
                          <v:imagedata o:title=""/>
                          <o:lock v:ext="edit" aspectratio="f"/>
                        </v:shape>
                      </v:group>
                    </v:group>
                    <v:group id="组合 182" o:spid="_x0000_s1026" o:spt="203" style="position:absolute;left:5569;top:1206260;height:1511;width:1263;" coordorigin="5569,1206260" coordsize="1263,1511"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shape id="文本框 179" o:spid="_x0000_s1026" o:spt="202" type="#_x0000_t202" style="position:absolute;left:5715;top:1206260;height:447;width:791;" filled="f" stroked="f" coordsize="21600,21600" o:gfxdata="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nA9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原油</w:t>
                              </w:r>
                            </w:p>
                          </w:txbxContent>
                        </v:textbox>
                      </v:shape>
                      <v:shape id="文本框 180" o:spid="_x0000_s1026" o:spt="202" type="#_x0000_t202" style="position:absolute;left:5569;top:1207324;height:447;width:1263;"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含油污泥</w:t>
                              </w:r>
                            </w:p>
                          </w:txbxContent>
                        </v:textbox>
                      </v:shape>
                      <v:shape id="文本框 181" o:spid="_x0000_s1026" o:spt="202" type="#_x0000_t202" style="position:absolute;left:5642;top:1206782;height:447;width:971;" filled="f" stroked="f" coordsize="21600,21600" o:gfxdata="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csh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采出水</w:t>
                              </w:r>
                            </w:p>
                          </w:txbxContent>
                        </v:textbox>
                      </v:shape>
                    </v:group>
                  </v:group>
                  <v:shape id="文本框 191" o:spid="_x0000_s1026" o:spt="202" type="#_x0000_t202" style="position:absolute;left:3118;top:1237947;height:425;width:1028;"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ascii="Times New Roman" w:hAnsi="Times New Roman" w:cs="Times New Roman"/>
                            </w:rPr>
                            <w:t>采出液</w:t>
                          </w:r>
                        </w:p>
                      </w:txbxContent>
                    </v:textbox>
                  </v:shape>
                </v:group>
                <v:group id="组合 196" o:spid="_x0000_s1026" o:spt="203" style="position:absolute;left:2548;top:1238783;height:898;width:8078;" coordorigin="2548,1238783" coordsize="8078,898"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文本框 193" o:spid="_x0000_s1026" o:spt="202" type="#_x0000_t202" style="position:absolute;left:2941;top:1239008;height:448;width:2720;"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井下作业废水、废洗井液</w:t>
                          </w:r>
                        </w:p>
                      </w:txbxContent>
                    </v:textbox>
                  </v:shape>
                  <v:shape id="文本框 194" o:spid="_x0000_s1026" o:spt="202" type="#_x0000_t202" style="position:absolute;left:6740;top:1239274;height:407;width:3886;" filled="f" stroked="f" coordsize="21600,21600" o:gfxdata="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4sx&#10;p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eastAsia="宋体" w:cs="Times New Roman"/>
                              <w:color w:val="000000" w:themeColor="text1"/>
                              <w:kern w:val="44"/>
                              <w:szCs w:val="21"/>
                              <w14:textFill>
                                <w14:solidFill>
                                  <w14:schemeClr w14:val="tx1"/>
                                </w14:solidFill>
                              </w14:textFill>
                            </w:rPr>
                          </w:pPr>
                          <w:r>
                            <w:rPr>
                              <w:rFonts w:hint="eastAsia" w:ascii="Times New Roman" w:hAnsi="Times New Roman" w:eastAsia="宋体" w:cs="Times New Roman"/>
                              <w:color w:val="000000" w:themeColor="text1"/>
                              <w:kern w:val="44"/>
                              <w:szCs w:val="21"/>
                              <w14:textFill>
                                <w14:solidFill>
                                  <w14:schemeClr w14:val="tx1"/>
                                </w14:solidFill>
                              </w14:textFill>
                            </w:rPr>
                            <w:t>陆梁集中处理站污水处理系统</w:t>
                          </w:r>
                        </w:p>
                        <w:p>
                          <w:pPr>
                            <w:rPr>
                              <w:rFonts w:eastAsia="宋体"/>
                              <w:szCs w:val="21"/>
                            </w:rPr>
                          </w:pPr>
                        </w:p>
                        <w:p/>
                      </w:txbxContent>
                    </v:textbox>
                  </v:shape>
                  <v:shape id="肘形连接符 195" o:spid="_x0000_s1026" o:spt="33" type="#_x0000_t33" style="position:absolute;left:4296;top:1237034;flip:y;height:4192;width:695;rotation:-5898240f;" filled="f" stroked="t" coordsize="21600,21600" o:gfxdata="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irlvQAA&#10;ANwAAAAPAAAAAAAAAAEAIAAAACIAAABkcnMvZG93bnJldi54bWxQSwECFAAUAAAACACHTuJAMy8F&#10;njsAAAA5AAAAEAAAAAAAAAABACAAAAAMAQAAZHJzL3NoYXBleG1sLnhtbFBLBQYAAAAABgAGAFsB&#10;AAC2AwAAAAA=&#10;">
                    <v:fill on="f" focussize="0,0"/>
                    <v:stroke weight="1pt" color="#000000 [3204]" miterlimit="8" joinstyle="miter" dashstyle="3 1" endarrow="block"/>
                    <v:imagedata o:title=""/>
                    <o:lock v:ext="edit" aspectratio="f"/>
                  </v:shape>
                </v:group>
              </v:group>
            </w:pict>
          </mc:Fallback>
        </mc:AlternateContent>
      </w:r>
    </w:p>
    <w:p>
      <w:pPr>
        <w:widowControl w:val="0"/>
        <w:adjustRightInd w:val="0"/>
        <w:spacing w:line="360" w:lineRule="auto"/>
        <w:ind w:firstLine="480"/>
        <w:jc w:val="both"/>
        <w:rPr>
          <w:rFonts w:ascii="Times New Roman" w:hAnsi="Times New Roman" w:eastAsia="宋体" w:cs="Times New Roman"/>
          <w:bCs/>
          <w:color w:val="auto"/>
          <w:kern w:val="2"/>
          <w:sz w:val="24"/>
          <w:szCs w:val="20"/>
          <w:lang w:val="en-US" w:eastAsia="zh-CN" w:bidi="ar-SA"/>
        </w:rPr>
      </w:pPr>
    </w:p>
    <w:p>
      <w:pPr>
        <w:widowControl w:val="0"/>
        <w:adjustRightInd w:val="0"/>
        <w:spacing w:line="360" w:lineRule="auto"/>
        <w:ind w:firstLine="480"/>
        <w:jc w:val="both"/>
        <w:rPr>
          <w:rFonts w:ascii="Times New Roman" w:hAnsi="Times New Roman" w:eastAsia="宋体" w:cs="Times New Roman"/>
          <w:bCs/>
          <w:color w:val="auto"/>
          <w:kern w:val="2"/>
          <w:sz w:val="24"/>
          <w:szCs w:val="20"/>
          <w:lang w:val="en-US" w:eastAsia="zh-CN" w:bidi="ar-SA"/>
        </w:rPr>
      </w:pPr>
    </w:p>
    <w:p>
      <w:pPr>
        <w:widowControl w:val="0"/>
        <w:adjustRightInd w:val="0"/>
        <w:spacing w:line="360" w:lineRule="auto"/>
        <w:ind w:firstLine="480"/>
        <w:jc w:val="both"/>
        <w:rPr>
          <w:rFonts w:ascii="Times New Roman" w:hAnsi="Times New Roman" w:eastAsia="宋体" w:cs="Times New Roman"/>
          <w:bCs/>
          <w:color w:val="auto"/>
          <w:kern w:val="2"/>
          <w:sz w:val="24"/>
          <w:szCs w:val="20"/>
          <w:lang w:val="en-US" w:eastAsia="zh-CN" w:bidi="ar-SA"/>
        </w:rPr>
      </w:pPr>
    </w:p>
    <w:p>
      <w:pPr>
        <w:widowControl w:val="0"/>
        <w:adjustRightInd w:val="0"/>
        <w:spacing w:line="360" w:lineRule="auto"/>
        <w:ind w:firstLine="480"/>
        <w:jc w:val="both"/>
        <w:rPr>
          <w:rFonts w:ascii="Times New Roman" w:hAnsi="Times New Roman" w:eastAsia="宋体" w:cs="Times New Roman"/>
          <w:bCs/>
          <w:color w:val="auto"/>
          <w:kern w:val="2"/>
          <w:sz w:val="24"/>
          <w:szCs w:val="20"/>
          <w:lang w:val="en-US" w:eastAsia="zh-CN" w:bidi="ar-SA"/>
        </w:rPr>
      </w:pPr>
    </w:p>
    <w:p>
      <w:pPr>
        <w:tabs>
          <w:tab w:val="left" w:pos="3465"/>
        </w:tabs>
        <w:spacing w:line="360" w:lineRule="auto"/>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图3.5-</w:t>
      </w:r>
      <w:r>
        <w:rPr>
          <w:rFonts w:hint="eastAsia" w:ascii="Times New Roman" w:hAnsi="Times New Roman" w:eastAsia="宋体" w:cs="Times New Roman"/>
          <w:b/>
          <w:color w:val="auto"/>
          <w:szCs w:val="21"/>
          <w:lang w:val="en-US" w:eastAsia="zh-CN"/>
        </w:rPr>
        <w:t>8</w:t>
      </w:r>
      <w:r>
        <w:rPr>
          <w:rFonts w:ascii="Times New Roman" w:hAnsi="Times New Roman" w:eastAsia="宋体" w:cs="Times New Roman"/>
          <w:b/>
          <w:color w:val="auto"/>
          <w:szCs w:val="21"/>
        </w:rPr>
        <w:t xml:space="preserve">  本项目污染物与依托工程去向关系图</w:t>
      </w:r>
    </w:p>
    <w:p>
      <w:pPr>
        <w:pStyle w:val="3"/>
        <w:spacing w:before="10" w:after="10"/>
        <w:rPr>
          <w:rFonts w:hint="default" w:ascii="Times New Roman" w:hAnsi="Times New Roman" w:eastAsia="宋体" w:cs="Times New Roman"/>
          <w:color w:val="auto"/>
        </w:rPr>
      </w:pP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3.7.1生态影响因素分析</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生态影响因素主要来自各种占地、人为活动导致的景观变化、土地类型的改变，以及直接影响野生动物的栖息环境使相对完整的栖息地破碎化，连通程度下降等。</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3.7.1.1施工期</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（1）占用土地、压占破坏植被</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工程占地包括永久占地和临时占地。临时占地包括钻井井场、管线、各类站场施工临时占地。永久占地包括井场、</w:t>
      </w:r>
      <w:r>
        <w:rPr>
          <w:rFonts w:hint="eastAsia" w:ascii="Times New Roman" w:hAnsi="Times New Roman" w:eastAsia="宋体" w:cs="Times New Roman"/>
          <w:bCs/>
          <w:color w:val="auto"/>
          <w:sz w:val="24"/>
          <w:lang w:val="en-US" w:eastAsia="zh-CN"/>
        </w:rPr>
        <w:t>杆塔</w:t>
      </w:r>
      <w:r>
        <w:rPr>
          <w:rFonts w:hint="default" w:ascii="Times New Roman" w:hAnsi="Times New Roman" w:eastAsia="宋体" w:cs="Times New Roman"/>
          <w:bCs/>
          <w:color w:val="auto"/>
          <w:sz w:val="24"/>
        </w:rPr>
        <w:t>等。临时占地对环境的影响主要来自管道施工作业带清理、开挖管沟、道路建设、井场土地平整等施工活动中施工机械、车辆、人员践踏等对土壤的扰动和植被的破坏，对沿途的动物形成惊扰，造成的土地裸露加剧水土流失。本项目</w:t>
      </w:r>
      <w:r>
        <w:rPr>
          <w:rFonts w:hint="default" w:ascii="Times New Roman" w:hAnsi="Times New Roman" w:eastAsia="宋体" w:cs="Times New Roman"/>
          <w:bCs/>
          <w:color w:val="auto"/>
          <w:sz w:val="24"/>
          <w:lang w:val="en-US" w:eastAsia="zh-CN"/>
        </w:rPr>
        <w:t>单井出油</w:t>
      </w:r>
      <w:r>
        <w:rPr>
          <w:rFonts w:hint="default" w:ascii="Times New Roman" w:hAnsi="Times New Roman" w:eastAsia="宋体" w:cs="Times New Roman"/>
          <w:bCs/>
          <w:color w:val="auto"/>
          <w:sz w:val="24"/>
        </w:rPr>
        <w:t>管道</w:t>
      </w:r>
      <w:r>
        <w:rPr>
          <w:rFonts w:hint="default" w:ascii="Times New Roman" w:hAnsi="Times New Roman" w:eastAsia="宋体" w:cs="Times New Roman"/>
          <w:bCs/>
          <w:color w:val="auto"/>
          <w:sz w:val="24"/>
          <w:lang w:val="en-US" w:eastAsia="zh-CN"/>
        </w:rPr>
        <w:t>及单井注水管道</w:t>
      </w:r>
      <w:r>
        <w:rPr>
          <w:rFonts w:hint="default" w:ascii="Times New Roman" w:hAnsi="Times New Roman" w:eastAsia="宋体" w:cs="Times New Roman"/>
          <w:bCs/>
          <w:color w:val="auto"/>
          <w:sz w:val="24"/>
        </w:rPr>
        <w:t>作业带宽度</w:t>
      </w:r>
      <w:r>
        <w:rPr>
          <w:rFonts w:hint="default" w:ascii="Times New Roman" w:hAnsi="Times New Roman" w:eastAsia="宋体" w:cs="Times New Roman"/>
          <w:bCs/>
          <w:color w:val="auto"/>
          <w:sz w:val="24"/>
          <w:lang w:val="en-US" w:eastAsia="zh-CN"/>
        </w:rPr>
        <w:t>为</w:t>
      </w:r>
      <w:r>
        <w:rPr>
          <w:rFonts w:hint="eastAsia" w:ascii="Times New Roman" w:hAnsi="Times New Roman" w:eastAsia="宋体" w:cs="Times New Roman"/>
          <w:bCs/>
          <w:color w:val="auto"/>
          <w:sz w:val="24"/>
          <w:lang w:val="en-US" w:eastAsia="zh-CN"/>
        </w:rPr>
        <w:t>8</w:t>
      </w:r>
      <w:r>
        <w:rPr>
          <w:rFonts w:hint="default" w:ascii="Times New Roman" w:hAnsi="Times New Roman" w:eastAsia="宋体" w:cs="Times New Roman"/>
          <w:bCs/>
          <w:color w:val="auto"/>
          <w:sz w:val="24"/>
        </w:rPr>
        <w:t>m，其范围内的土壤和植被都可能受到扰动和破坏，尤其是管沟两侧2～3m内的植被破坏严重，土壤的结构、组成和理化性质发生改变，影响土壤和植被的恢复。井场土地平整会占用耕地或草地，改变土地利用类型。永久占用的土地将永久性的改变土地利用结构和功能，临时占地将在短期改变土地利用的结构和功能，但施工结束后，经过2～3年后可恢复原有使用功能。</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（2）破坏植被</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对植被最主要的影响是施工期占地范围内对植被破坏，另外土地开挖、车辆运输带起的扬尘自然沉降在周围植物的叶片上，阻塞气孔，影响植物呼吸作用和光合作用，有碍作物生长，还有车辆运行和施工机械的尾气含有NOx等气体，可破坏敏感植物的叶组织，造成褪色伤斑。不过以上这些不利影响主要是短期的，随着施工期结束，这些影响也随之消失。</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（3）破坏、污染土壤</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工程对土壤的影响主要表现为对土壤性质、土壤肥力的影响和土壤污染三个方面。工程土方的开挖和回填，将造成土壤结构的改变，进而导致土壤肥力的降低，对当地植被的生长和产量造成一定影响。</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（4）扰动地表，引起新的土壤侵蚀、水土流失</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评价区位于</w:t>
      </w:r>
      <w:r>
        <w:rPr>
          <w:rFonts w:hint="default" w:ascii="Times New Roman" w:hAnsi="Times New Roman" w:eastAsia="宋体" w:cs="Times New Roman"/>
          <w:color w:val="auto"/>
          <w:sz w:val="24"/>
        </w:rPr>
        <w:t>和布克赛尔蒙古自治县</w:t>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sz w:val="24"/>
        </w:rPr>
        <w:t>属于天山北坡诸小河流域水土流失重点治理区，</w:t>
      </w:r>
      <w:r>
        <w:rPr>
          <w:rFonts w:hint="default" w:ascii="Times New Roman" w:hAnsi="Times New Roman" w:eastAsia="宋体" w:cs="Times New Roman"/>
          <w:bCs/>
          <w:color w:val="auto"/>
          <w:sz w:val="24"/>
        </w:rPr>
        <w:t>主要土壤侵蚀类型为风力侵蚀。工程施工活动将破坏地表植被，如不及时进行恢复和重建，土壤的新坡面扰动可能成为新的侵蚀点加重水土流失。</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3.7.1.2运营期</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生产运营期对生态环境的影响较小，主要为井下作业过程产生的废物发生泄漏对地表土壤的污染以及事故条件下对植被、土壤等生态环境要素的影响等。评价建议建设单位应加强日常设施设备的运行管理，尽量避免“跑、冒、滴、漏”现象的发生，以减少物料及污染物的逸散对周围生态环境的影响。</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同时项目建成后，临时占地得到有效的填充平整、恢复植被，道路两侧及井场周围设防绿化，以降低土壤侵蚀，减少水土流失。</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3.7.1.3退役期</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退役期主要是生产井的陆续停运、关闭、恢复土地使用功能时段。退役期作业主要包括拆除井场的采油设备、设施，封堵油层和封闭井口，对井场和道路等占地进行生态恢复等。</w:t>
      </w:r>
    </w:p>
    <w:p>
      <w:pPr>
        <w:tabs>
          <w:tab w:val="left" w:pos="3465"/>
        </w:tabs>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设备拆除时将对地表植被产生破坏和干扰，同时也可能引起新的水土流失；对废弃的井场、道路应采取生态恢复措施，可使油区内人工景观的密度大大下降，而自然景观的连通性得以恢复，生态环境质量逐渐提高。</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3.7.2污染影响因素分析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本项目开发建设可分为施工期、运营期和退役期三个阶段。</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3.7.2.1施工期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施工期主要包括钻井、</w:t>
      </w:r>
      <w:r>
        <w:rPr>
          <w:rFonts w:hint="default" w:ascii="Times New Roman" w:hAnsi="Times New Roman" w:cs="Times New Roman"/>
          <w:color w:val="auto"/>
          <w:sz w:val="24"/>
          <w:szCs w:val="24"/>
          <w:lang w:val="en-US" w:eastAsia="zh-CN"/>
        </w:rPr>
        <w:t>修井、</w:t>
      </w:r>
      <w:r>
        <w:rPr>
          <w:rFonts w:hint="default" w:ascii="Times New Roman" w:hAnsi="Times New Roman" w:cs="Times New Roman"/>
          <w:color w:val="auto"/>
          <w:sz w:val="24"/>
          <w:szCs w:val="24"/>
        </w:rPr>
        <w:t>采油平台、注水井平台、管线建设等施工作业内容，其环境影响因素主要来源于钻井、</w:t>
      </w:r>
      <w:r>
        <w:rPr>
          <w:rFonts w:hint="default" w:ascii="Times New Roman" w:hAnsi="Times New Roman" w:cs="Times New Roman"/>
          <w:color w:val="auto"/>
          <w:sz w:val="24"/>
          <w:szCs w:val="24"/>
          <w:lang w:val="en-US" w:eastAsia="zh-CN"/>
        </w:rPr>
        <w:t>修井、</w:t>
      </w:r>
      <w:r>
        <w:rPr>
          <w:rFonts w:hint="default" w:ascii="Times New Roman" w:hAnsi="Times New Roman" w:cs="Times New Roman"/>
          <w:color w:val="auto"/>
          <w:sz w:val="24"/>
          <w:szCs w:val="24"/>
        </w:rPr>
        <w:t>地面工程（采油平台、注水井平台、管线）建设等施工过程，主要包括生态影响，以及钻井过程排放的污染物质导致的环境污染。施工期环境影响的特点是持续时间短，对地表的破坏性强，在地面建设结束后，可在一定时期消失；但如果污染防治和生态保护措施不当，可能持续很长时间，并且不可逆转，例如对生态环境的破坏。</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3.7.2.2运营期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期环境影响持续时间长，并随着产能规模的增加而加大，贯穿于整个运营期。其环境影响因素主要来源于油井及与其相关的采油、井下作业、油气集输、处理等各工艺过程，主要包括生态影响以及排放的污染物质导致的环境污染。</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3.7.2.3退役期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退役期的环境影响主要为油田停采后进行一系列的清理工作，包括地面设施的拆除、封井、井场清理等，将产生少量扬尘、地表废弃建筑、不可移动的废弃设施、废弃管线等固体废物。在闭井施工操作中应注意采取降尘措施，同时，将产生的建筑垃圾进行集中收集，由施工单位运至指定位置进行处理。如果封井和井场处置等措施得当，环境影响将很小；反之若出现封井不严，可能导致地下残余油水外溢等事故发生，产生局部环境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油田开发建设施工、生产运行过程主要产污环节详见图3.7-1；主要污染源构成见表3.7-1。</w:t>
      </w:r>
    </w:p>
    <w:p>
      <w:pPr>
        <w:pStyle w:val="51"/>
        <w:spacing w:after="0"/>
        <w:ind w:firstLine="0" w:firstLineChars="0"/>
        <w:jc w:val="center"/>
        <w:rPr>
          <w:rFonts w:hint="default" w:ascii="Times New Roman" w:hAnsi="Times New Roman" w:cs="Times New Roman"/>
          <w:b/>
          <w:bCs/>
          <w:color w:val="auto"/>
          <w:sz w:val="21"/>
          <w:szCs w:val="21"/>
        </w:rPr>
      </w:pPr>
      <w:bookmarkStart w:id="74" w:name="_Hlk102744563"/>
      <w:r>
        <w:rPr>
          <w:rFonts w:hint="default" w:ascii="Times New Roman" w:hAnsi="Times New Roman" w:cs="Times New Roman"/>
          <w:b/>
          <w:bCs/>
          <w:color w:val="auto"/>
          <w:sz w:val="21"/>
          <w:szCs w:val="21"/>
        </w:rPr>
        <w:t>表3.7-1  环境影响因素识别表</w:t>
      </w:r>
    </w:p>
    <w:tbl>
      <w:tblPr>
        <w:tblStyle w:val="31"/>
        <w:tblW w:w="8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885"/>
        <w:gridCol w:w="2263"/>
        <w:gridCol w:w="2068"/>
        <w:gridCol w:w="2536"/>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tblHeader/>
          <w:jc w:val="center"/>
        </w:trPr>
        <w:tc>
          <w:tcPr>
            <w:tcW w:w="88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开发作业过程</w:t>
            </w: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主要环境影响因素</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环境影响因素主要受体</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污染源性质</w:t>
            </w:r>
          </w:p>
        </w:tc>
        <w:tc>
          <w:tcPr>
            <w:tcW w:w="6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钻井、储层改造工程</w:t>
            </w: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车辆尾气、设备燃料燃烧废气</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环境空气</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临时性污染源，作业结束后不再产生，但仍存在于环境中</w:t>
            </w:r>
          </w:p>
        </w:tc>
        <w:tc>
          <w:tcPr>
            <w:tcW w:w="659"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钻井废水</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土壤、地下水</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设备、车辆产生噪声</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声环境</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钻井岩屑</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土壤、地下水</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废含油防渗布</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土壤、植被</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井喷爆炸、火灾等</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土壤、水、环境空气及生态环境</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事故污染源，随作业结束而消除</w:t>
            </w:r>
          </w:p>
        </w:tc>
        <w:tc>
          <w:tcPr>
            <w:tcW w:w="659"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196" w:hRule="atLeast"/>
          <w:jc w:val="center"/>
        </w:trPr>
        <w:tc>
          <w:tcPr>
            <w:tcW w:w="885" w:type="dxa"/>
            <w:vMerge w:val="restart"/>
            <w:tcBorders>
              <w:top w:val="single" w:color="auto" w:sz="4" w:space="0"/>
              <w:left w:val="single" w:color="auto" w:sz="4" w:space="0"/>
              <w:right w:val="single" w:color="auto" w:sz="4" w:space="0"/>
            </w:tcBorders>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修井工程</w:t>
            </w: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车辆尾气、设备燃料燃烧废气</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环境空气</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临时性污染源，作业结束后不再产生，但仍存在于环境中</w:t>
            </w:r>
          </w:p>
        </w:tc>
        <w:tc>
          <w:tcPr>
            <w:tcW w:w="659" w:type="dxa"/>
            <w:vMerge w:val="restart"/>
            <w:tcBorders>
              <w:top w:val="single" w:color="auto" w:sz="4" w:space="0"/>
              <w:left w:val="single" w:color="auto" w:sz="4" w:space="0"/>
              <w:right w:val="single" w:color="auto" w:sz="4" w:space="0"/>
            </w:tcBorders>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196" w:hRule="atLeast"/>
          <w:jc w:val="center"/>
        </w:trPr>
        <w:tc>
          <w:tcPr>
            <w:tcW w:w="88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试压废水</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土壤、地下水</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196" w:hRule="atLeast"/>
          <w:jc w:val="center"/>
        </w:trPr>
        <w:tc>
          <w:tcPr>
            <w:tcW w:w="885" w:type="dxa"/>
            <w:vMerge w:val="continue"/>
            <w:tcBorders>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设备、车辆产生噪声</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声环境</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临时性污染源，随作业结束而消除</w:t>
            </w:r>
          </w:p>
        </w:tc>
        <w:tc>
          <w:tcPr>
            <w:tcW w:w="659"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采油平台、注水井平台、站场建设、管线施工</w:t>
            </w: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施工扬尘、车辆尾气</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环境空气</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管道试压废水、施工生产废水</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地表水</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设备、车辆产生噪声</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声环境</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施工土方、施工生活垃圾</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临时占用土地</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土壤、植被</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电力建设</w:t>
            </w: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占用土地</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土壤、植被</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持续性影响环境，永久占地</w:t>
            </w:r>
          </w:p>
        </w:tc>
        <w:tc>
          <w:tcPr>
            <w:tcW w:w="6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采油、油气集输</w:t>
            </w: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采出水</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地表水</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持续性影响环境的污染源</w:t>
            </w:r>
          </w:p>
        </w:tc>
        <w:tc>
          <w:tcPr>
            <w:tcW w:w="65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烃类气体</w:t>
            </w:r>
          </w:p>
        </w:tc>
        <w:tc>
          <w:tcPr>
            <w:tcW w:w="206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环境空气</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持续性影响环境的污染源</w:t>
            </w:r>
          </w:p>
        </w:tc>
        <w:tc>
          <w:tcPr>
            <w:tcW w:w="659" w:type="dxa"/>
            <w:vMerge w:val="continue"/>
            <w:tcBorders>
              <w:left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生产设备噪声</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声环境</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持续性影响环境的污染源</w:t>
            </w:r>
          </w:p>
        </w:tc>
        <w:tc>
          <w:tcPr>
            <w:tcW w:w="659"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含油污泥</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土壤、地下水</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持续性影响环境的污染源</w:t>
            </w:r>
          </w:p>
        </w:tc>
        <w:tc>
          <w:tcPr>
            <w:tcW w:w="659" w:type="dxa"/>
            <w:vMerge w:val="continue"/>
            <w:tcBorders>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eastAsia" w:cs="Times New Roman"/>
                <w:color w:val="auto"/>
                <w:lang w:eastAsia="zh-CN"/>
              </w:rPr>
              <w:t>废润滑油</w:t>
            </w:r>
            <w:r>
              <w:rPr>
                <w:rFonts w:cs="Times New Roman"/>
                <w:color w:val="auto"/>
              </w:rPr>
              <w:t>、落地油</w:t>
            </w:r>
            <w:r>
              <w:rPr>
                <w:rFonts w:hint="default" w:ascii="Times New Roman" w:hAnsi="Times New Roman" w:cs="Times New Roman"/>
                <w:color w:val="auto"/>
              </w:rPr>
              <w:t>、含油污水泄漏</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土壤、地下水</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事故污染源</w:t>
            </w:r>
          </w:p>
        </w:tc>
        <w:tc>
          <w:tcPr>
            <w:tcW w:w="6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w:t>
            </w: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井下作业废水、井下作业废液</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土壤、地表水</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间断性污染源</w:t>
            </w:r>
          </w:p>
        </w:tc>
        <w:tc>
          <w:tcPr>
            <w:tcW w:w="659"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生产设备噪声</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声环境</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间断性污染源</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废含油防渗布</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土壤、植被</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间断性污染源</w:t>
            </w:r>
          </w:p>
        </w:tc>
        <w:tc>
          <w:tcPr>
            <w:tcW w:w="65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拆除/清理作业</w:t>
            </w:r>
          </w:p>
        </w:tc>
        <w:tc>
          <w:tcPr>
            <w:tcW w:w="22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废弃设施、废弃管线等固体废物</w:t>
            </w:r>
          </w:p>
        </w:tc>
        <w:tc>
          <w:tcPr>
            <w:tcW w:w="20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w:t>
            </w:r>
          </w:p>
        </w:tc>
        <w:tc>
          <w:tcPr>
            <w:tcW w:w="2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临时性污染源，随作业结束而消除</w:t>
            </w:r>
          </w:p>
        </w:tc>
        <w:tc>
          <w:tcPr>
            <w:tcW w:w="65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退役期</w:t>
            </w:r>
          </w:p>
        </w:tc>
      </w:tr>
      <w:bookmarkEnd w:id="74"/>
    </w:tbl>
    <w:p>
      <w:pPr>
        <w:numPr>
          <w:ilvl w:val="3"/>
          <w:numId w:val="0"/>
        </w:numPr>
        <w:tabs>
          <w:tab w:val="left" w:pos="864"/>
        </w:tabs>
        <w:spacing w:line="360" w:lineRule="auto"/>
        <w:jc w:val="center"/>
        <w:rPr>
          <w:rFonts w:hint="default" w:ascii="Times New Roman" w:hAnsi="Times New Roman" w:cs="Times New Roman"/>
          <w:b/>
          <w:color w:val="auto"/>
          <w:sz w:val="21"/>
          <w:szCs w:val="15"/>
        </w:rPr>
      </w:pPr>
      <w:r>
        <w:rPr>
          <w:rFonts w:hint="default" w:ascii="Times New Roman" w:hAnsi="Times New Roman" w:eastAsia="宋体" w:cs="Times New Roman"/>
          <w:color w:val="auto"/>
          <w:szCs w:val="21"/>
        </w:rPr>
        <mc:AlternateContent>
          <mc:Choice Requires="wpc">
            <w:drawing>
              <wp:inline distT="0" distB="0" distL="114300" distR="114300">
                <wp:extent cx="5333365" cy="6360160"/>
                <wp:effectExtent l="4445" t="4445" r="15240" b="17145"/>
                <wp:docPr id="2" name="画布 14"/>
                <wp:cNvGraphicFramePr/>
                <a:graphic xmlns:a="http://schemas.openxmlformats.org/drawingml/2006/main">
                  <a:graphicData uri="http://schemas.microsoft.com/office/word/2010/wordprocessingCanvas">
                    <wpc:wpc>
                      <wpc:bg>
                        <a:noFill/>
                      </wpc:bg>
                      <wpc:whole>
                        <a:ln w="9525" cap="flat" cmpd="sng">
                          <a:solidFill>
                            <a:srgbClr val="000000"/>
                          </a:solidFill>
                          <a:prstDash val="solid"/>
                          <a:round/>
                          <a:headEnd type="none" w="med" len="med"/>
                          <a:tailEnd type="none" w="med" len="med"/>
                        </a:ln>
                      </wpc:whole>
                      <wps:wsp>
                        <wps:cNvPr id="37" name="直接连接符 14"/>
                        <wps:cNvCnPr/>
                        <wps:spPr>
                          <a:xfrm>
                            <a:off x="1223010" y="498475"/>
                            <a:ext cx="886460" cy="635"/>
                          </a:xfrm>
                          <a:prstGeom prst="line">
                            <a:avLst/>
                          </a:prstGeom>
                          <a:ln w="12700" cap="flat" cmpd="sng">
                            <a:solidFill>
                              <a:srgbClr val="000000"/>
                            </a:solidFill>
                            <a:prstDash val="dash"/>
                            <a:headEnd type="triangle" w="med" len="med"/>
                            <a:tailEnd type="none" w="med" len="med"/>
                          </a:ln>
                          <a:effectLst/>
                        </wps:spPr>
                        <wps:bodyPr/>
                      </wps:wsp>
                      <wps:wsp>
                        <wps:cNvPr id="38" name="直接连接符 15"/>
                        <wps:cNvCnPr/>
                        <wps:spPr>
                          <a:xfrm>
                            <a:off x="1226185" y="121920"/>
                            <a:ext cx="635" cy="738505"/>
                          </a:xfrm>
                          <a:prstGeom prst="line">
                            <a:avLst/>
                          </a:prstGeom>
                          <a:ln w="12700" cap="flat" cmpd="sng">
                            <a:solidFill>
                              <a:srgbClr val="000000"/>
                            </a:solidFill>
                            <a:prstDash val="dash"/>
                            <a:headEnd type="none" w="med" len="med"/>
                            <a:tailEnd type="none" w="med" len="med"/>
                          </a:ln>
                          <a:effectLst/>
                        </wps:spPr>
                        <wps:bodyPr/>
                      </wps:wsp>
                      <wps:wsp>
                        <wps:cNvPr id="39" name="直接连接符 16"/>
                        <wps:cNvCnPr/>
                        <wps:spPr>
                          <a:xfrm>
                            <a:off x="997585" y="132080"/>
                            <a:ext cx="236855" cy="0"/>
                          </a:xfrm>
                          <a:prstGeom prst="line">
                            <a:avLst/>
                          </a:prstGeom>
                          <a:ln w="12700" cap="flat" cmpd="sng">
                            <a:solidFill>
                              <a:srgbClr val="000000"/>
                            </a:solidFill>
                            <a:prstDash val="dash"/>
                            <a:headEnd type="triangle" w="med" len="med"/>
                            <a:tailEnd type="none" w="med" len="med"/>
                          </a:ln>
                          <a:effectLst/>
                        </wps:spPr>
                        <wps:bodyPr/>
                      </wps:wsp>
                      <wps:wsp>
                        <wps:cNvPr id="40" name="直接连接符 17"/>
                        <wps:cNvCnPr/>
                        <wps:spPr>
                          <a:xfrm>
                            <a:off x="997585" y="393700"/>
                            <a:ext cx="236855" cy="0"/>
                          </a:xfrm>
                          <a:prstGeom prst="line">
                            <a:avLst/>
                          </a:prstGeom>
                          <a:ln w="12700" cap="flat" cmpd="sng">
                            <a:solidFill>
                              <a:srgbClr val="000000"/>
                            </a:solidFill>
                            <a:prstDash val="dash"/>
                            <a:headEnd type="triangle" w="med" len="med"/>
                            <a:tailEnd type="none" w="med" len="med"/>
                          </a:ln>
                          <a:effectLst/>
                        </wps:spPr>
                        <wps:bodyPr/>
                      </wps:wsp>
                      <wps:wsp>
                        <wps:cNvPr id="41" name="直接连接符 18"/>
                        <wps:cNvCnPr/>
                        <wps:spPr>
                          <a:xfrm>
                            <a:off x="997585" y="619125"/>
                            <a:ext cx="236855" cy="0"/>
                          </a:xfrm>
                          <a:prstGeom prst="line">
                            <a:avLst/>
                          </a:prstGeom>
                          <a:ln w="12700" cap="flat" cmpd="sng">
                            <a:solidFill>
                              <a:srgbClr val="000000"/>
                            </a:solidFill>
                            <a:prstDash val="dash"/>
                            <a:headEnd type="triangle" w="med" len="med"/>
                            <a:tailEnd type="none" w="med" len="med"/>
                          </a:ln>
                          <a:effectLst/>
                        </wps:spPr>
                        <wps:bodyPr/>
                      </wps:wsp>
                      <wps:wsp>
                        <wps:cNvPr id="42" name="直接连接符 19"/>
                        <wps:cNvCnPr/>
                        <wps:spPr>
                          <a:xfrm>
                            <a:off x="992505" y="862330"/>
                            <a:ext cx="236855" cy="0"/>
                          </a:xfrm>
                          <a:prstGeom prst="line">
                            <a:avLst/>
                          </a:prstGeom>
                          <a:ln w="12700" cap="flat" cmpd="sng">
                            <a:solidFill>
                              <a:srgbClr val="000000"/>
                            </a:solidFill>
                            <a:prstDash val="dash"/>
                            <a:headEnd type="triangle" w="med" len="med"/>
                            <a:tailEnd type="none" w="med" len="med"/>
                          </a:ln>
                          <a:effectLst/>
                        </wps:spPr>
                        <wps:bodyPr/>
                      </wps:wsp>
                      <wps:wsp>
                        <wps:cNvPr id="43" name="文本框 20"/>
                        <wps:cNvSpPr txBox="1"/>
                        <wps:spPr>
                          <a:xfrm>
                            <a:off x="12065" y="727075"/>
                            <a:ext cx="1001395" cy="330200"/>
                          </a:xfrm>
                          <a:prstGeom prst="rect">
                            <a:avLst/>
                          </a:prstGeom>
                          <a:noFill/>
                          <a:ln w="12700">
                            <a:noFill/>
                          </a:ln>
                          <a:effectLst/>
                        </wps:spPr>
                        <wps:txbx>
                          <w:txbxContent>
                            <w:p>
                              <w:pPr>
                                <w:rPr>
                                  <w:sz w:val="20"/>
                                  <w:szCs w:val="20"/>
                                </w:rPr>
                              </w:pPr>
                              <w:r>
                                <w:rPr>
                                  <w:rFonts w:hint="eastAsia"/>
                                  <w:sz w:val="20"/>
                                  <w:szCs w:val="20"/>
                                </w:rPr>
                                <w:t>影响野生动物</w:t>
                              </w:r>
                            </w:p>
                          </w:txbxContent>
                        </wps:txbx>
                        <wps:bodyPr upright="1"/>
                      </wps:wsp>
                      <wps:wsp>
                        <wps:cNvPr id="44" name="文本框 21"/>
                        <wps:cNvSpPr txBox="1"/>
                        <wps:spPr>
                          <a:xfrm>
                            <a:off x="0" y="483235"/>
                            <a:ext cx="1014095" cy="302260"/>
                          </a:xfrm>
                          <a:prstGeom prst="rect">
                            <a:avLst/>
                          </a:prstGeom>
                          <a:noFill/>
                          <a:ln w="12700">
                            <a:noFill/>
                          </a:ln>
                          <a:effectLst/>
                        </wps:spPr>
                        <wps:txbx>
                          <w:txbxContent>
                            <w:p>
                              <w:pPr>
                                <w:rPr>
                                  <w:sz w:val="20"/>
                                  <w:szCs w:val="20"/>
                                </w:rPr>
                              </w:pPr>
                              <w:r>
                                <w:rPr>
                                  <w:rFonts w:hint="eastAsia"/>
                                  <w:sz w:val="20"/>
                                  <w:szCs w:val="20"/>
                                </w:rPr>
                                <w:t>破坏地表植被</w:t>
                              </w:r>
                            </w:p>
                          </w:txbxContent>
                        </wps:txbx>
                        <wps:bodyPr upright="1"/>
                      </wps:wsp>
                      <wps:wsp>
                        <wps:cNvPr id="45" name="文本框 22"/>
                        <wps:cNvSpPr txBox="1"/>
                        <wps:spPr>
                          <a:xfrm>
                            <a:off x="186690" y="0"/>
                            <a:ext cx="768985" cy="309880"/>
                          </a:xfrm>
                          <a:prstGeom prst="rect">
                            <a:avLst/>
                          </a:prstGeom>
                          <a:noFill/>
                          <a:ln w="12700">
                            <a:noFill/>
                          </a:ln>
                          <a:effectLst/>
                        </wps:spPr>
                        <wps:txbx>
                          <w:txbxContent>
                            <w:p>
                              <w:pPr>
                                <w:rPr>
                                  <w:sz w:val="18"/>
                                  <w:szCs w:val="18"/>
                                </w:rPr>
                              </w:pPr>
                              <w:r>
                                <w:rPr>
                                  <w:rFonts w:hint="eastAsia"/>
                                  <w:sz w:val="18"/>
                                  <w:szCs w:val="18"/>
                                </w:rPr>
                                <w:t>占用土地</w:t>
                              </w:r>
                            </w:p>
                          </w:txbxContent>
                        </wps:txbx>
                        <wps:bodyPr upright="1"/>
                      </wps:wsp>
                      <wps:wsp>
                        <wps:cNvPr id="46" name="文本框 23"/>
                        <wps:cNvSpPr txBox="1"/>
                        <wps:spPr>
                          <a:xfrm>
                            <a:off x="71755" y="250190"/>
                            <a:ext cx="998220" cy="323215"/>
                          </a:xfrm>
                          <a:prstGeom prst="rect">
                            <a:avLst/>
                          </a:prstGeom>
                          <a:noFill/>
                          <a:ln w="12700">
                            <a:noFill/>
                          </a:ln>
                          <a:effectLst/>
                        </wps:spPr>
                        <wps:txbx>
                          <w:txbxContent>
                            <w:p>
                              <w:pPr>
                                <w:rPr>
                                  <w:sz w:val="20"/>
                                  <w:szCs w:val="20"/>
                                </w:rPr>
                              </w:pPr>
                              <w:r>
                                <w:rPr>
                                  <w:rFonts w:hint="eastAsia"/>
                                  <w:sz w:val="20"/>
                                  <w:szCs w:val="20"/>
                                </w:rPr>
                                <w:t>土壤扰动</w:t>
                              </w:r>
                            </w:p>
                          </w:txbxContent>
                        </wps:txbx>
                        <wps:bodyPr upright="1"/>
                      </wps:wsp>
                      <wps:wsp>
                        <wps:cNvPr id="47" name="文本框 24"/>
                        <wps:cNvSpPr txBox="1"/>
                        <wps:spPr>
                          <a:xfrm>
                            <a:off x="3420745" y="285115"/>
                            <a:ext cx="1264920" cy="497205"/>
                          </a:xfrm>
                          <a:prstGeom prst="rect">
                            <a:avLst/>
                          </a:prstGeom>
                          <a:noFill/>
                          <a:ln w="12700">
                            <a:noFill/>
                          </a:ln>
                          <a:effectLst/>
                        </wps:spPr>
                        <wps:txbx>
                          <w:txbxContent>
                            <w:p>
                              <w:pPr>
                                <w:pStyle w:val="43"/>
                                <w:rPr>
                                  <w:sz w:val="18"/>
                                  <w:szCs w:val="18"/>
                                </w:rPr>
                              </w:pPr>
                              <w:r>
                                <w:rPr>
                                  <w:rFonts w:hint="eastAsia"/>
                                  <w:sz w:val="18"/>
                                  <w:szCs w:val="18"/>
                                </w:rPr>
                                <w:t>施工机械废气</w:t>
                              </w:r>
                            </w:p>
                            <w:p>
                              <w:pPr>
                                <w:pStyle w:val="43"/>
                                <w:rPr>
                                  <w:sz w:val="18"/>
                                  <w:szCs w:val="18"/>
                                </w:rPr>
                              </w:pPr>
                              <w:r>
                                <w:rPr>
                                  <w:rFonts w:hint="eastAsia"/>
                                  <w:sz w:val="18"/>
                                  <w:szCs w:val="18"/>
                                </w:rPr>
                                <w:t>运输车辆尾气</w:t>
                              </w:r>
                            </w:p>
                          </w:txbxContent>
                        </wps:txbx>
                        <wps:bodyPr upright="1"/>
                      </wps:wsp>
                      <wps:wsp>
                        <wps:cNvPr id="48" name="文本框 25"/>
                        <wps:cNvSpPr txBox="1"/>
                        <wps:spPr>
                          <a:xfrm>
                            <a:off x="1325880" y="156845"/>
                            <a:ext cx="742315" cy="349885"/>
                          </a:xfrm>
                          <a:prstGeom prst="rect">
                            <a:avLst/>
                          </a:prstGeom>
                          <a:noFill/>
                          <a:ln w="12700">
                            <a:noFill/>
                          </a:ln>
                          <a:effectLst/>
                        </wps:spPr>
                        <wps:txbx>
                          <w:txbxContent>
                            <w:p>
                              <w:pPr>
                                <w:rPr>
                                  <w:sz w:val="20"/>
                                  <w:szCs w:val="20"/>
                                </w:rPr>
                              </w:pPr>
                              <w:r>
                                <w:rPr>
                                  <w:rFonts w:hint="eastAsia"/>
                                  <w:sz w:val="20"/>
                                  <w:szCs w:val="20"/>
                                </w:rPr>
                                <w:t>生态影响</w:t>
                              </w:r>
                            </w:p>
                          </w:txbxContent>
                        </wps:txbx>
                        <wps:bodyPr upright="1"/>
                      </wps:wsp>
                      <wps:wsp>
                        <wps:cNvPr id="49" name="文本框 26"/>
                        <wps:cNvSpPr txBox="1"/>
                        <wps:spPr>
                          <a:xfrm>
                            <a:off x="2104390" y="41275"/>
                            <a:ext cx="768985" cy="761365"/>
                          </a:xfrm>
                          <a:prstGeom prst="rect">
                            <a:avLst/>
                          </a:prstGeom>
                          <a:noFill/>
                          <a:ln w="12700" cap="flat" cmpd="sng">
                            <a:solidFill>
                              <a:srgbClr val="000000"/>
                            </a:solidFill>
                            <a:prstDash val="solid"/>
                            <a:miter/>
                            <a:headEnd type="none" w="med" len="med"/>
                            <a:tailEnd type="none" w="med" len="med"/>
                          </a:ln>
                          <a:effectLst/>
                        </wps:spPr>
                        <wps:txbx>
                          <w:txbxContent>
                            <w:p>
                              <w:pPr>
                                <w:pStyle w:val="43"/>
                                <w:ind w:left="0" w:firstLine="0"/>
                              </w:pPr>
                              <w:r>
                                <w:rPr>
                                  <w:rFonts w:hint="eastAsia"/>
                                  <w:sz w:val="20"/>
                                  <w:szCs w:val="22"/>
                                </w:rPr>
                                <w:t>井场建设、</w:t>
                              </w:r>
                              <w:r>
                                <w:rPr>
                                  <w:rFonts w:hint="eastAsia"/>
                                  <w:sz w:val="20"/>
                                  <w:szCs w:val="22"/>
                                  <w:lang w:val="en-US" w:eastAsia="zh-CN"/>
                                </w:rPr>
                                <w:t>管线</w:t>
                              </w:r>
                              <w:r>
                                <w:rPr>
                                  <w:rFonts w:hint="eastAsia"/>
                                  <w:sz w:val="20"/>
                                  <w:szCs w:val="22"/>
                                </w:rPr>
                                <w:t>、</w:t>
                              </w:r>
                              <w:r>
                                <w:rPr>
                                  <w:rFonts w:hint="eastAsia"/>
                                  <w:sz w:val="20"/>
                                  <w:szCs w:val="22"/>
                                  <w:lang w:val="en-US" w:eastAsia="zh-CN"/>
                                </w:rPr>
                                <w:t>计量装置、电力线架设</w:t>
                              </w:r>
                              <w:r>
                                <w:rPr>
                                  <w:rFonts w:hint="eastAsia"/>
                                  <w:sz w:val="20"/>
                                  <w:szCs w:val="22"/>
                                </w:rPr>
                                <w:t>等</w:t>
                              </w:r>
                            </w:p>
                          </w:txbxContent>
                        </wps:txbx>
                        <wps:bodyPr upright="1"/>
                      </wps:wsp>
                      <wps:wsp>
                        <wps:cNvPr id="50" name="直接连接符 27"/>
                        <wps:cNvCnPr/>
                        <wps:spPr>
                          <a:xfrm>
                            <a:off x="3329305" y="140335"/>
                            <a:ext cx="236855" cy="0"/>
                          </a:xfrm>
                          <a:prstGeom prst="line">
                            <a:avLst/>
                          </a:prstGeom>
                          <a:ln w="12700" cap="flat" cmpd="sng">
                            <a:solidFill>
                              <a:srgbClr val="000000"/>
                            </a:solidFill>
                            <a:prstDash val="dash"/>
                            <a:headEnd type="none" w="med" len="med"/>
                            <a:tailEnd type="triangle" w="med" len="med"/>
                          </a:ln>
                          <a:effectLst/>
                        </wps:spPr>
                        <wps:bodyPr/>
                      </wps:wsp>
                      <wps:wsp>
                        <wps:cNvPr id="51" name="直接连接符 28"/>
                        <wps:cNvCnPr/>
                        <wps:spPr>
                          <a:xfrm>
                            <a:off x="3335020" y="499110"/>
                            <a:ext cx="236855" cy="0"/>
                          </a:xfrm>
                          <a:prstGeom prst="line">
                            <a:avLst/>
                          </a:prstGeom>
                          <a:ln w="12700" cap="flat" cmpd="sng">
                            <a:solidFill>
                              <a:srgbClr val="000000"/>
                            </a:solidFill>
                            <a:prstDash val="dash"/>
                            <a:headEnd type="none" w="med" len="med"/>
                            <a:tailEnd type="triangle" w="med" len="med"/>
                          </a:ln>
                          <a:effectLst/>
                        </wps:spPr>
                        <wps:bodyPr/>
                      </wps:wsp>
                      <wps:wsp>
                        <wps:cNvPr id="52" name="直接连接符 29"/>
                        <wps:cNvCnPr/>
                        <wps:spPr>
                          <a:xfrm>
                            <a:off x="2874645" y="494665"/>
                            <a:ext cx="448945" cy="635"/>
                          </a:xfrm>
                          <a:prstGeom prst="line">
                            <a:avLst/>
                          </a:prstGeom>
                          <a:ln w="12700" cap="flat" cmpd="sng">
                            <a:solidFill>
                              <a:srgbClr val="000000"/>
                            </a:solidFill>
                            <a:prstDash val="dash"/>
                            <a:headEnd type="none" w="med" len="med"/>
                            <a:tailEnd type="triangle" w="med" len="med"/>
                          </a:ln>
                          <a:effectLst/>
                        </wps:spPr>
                        <wps:bodyPr/>
                      </wps:wsp>
                      <wps:wsp>
                        <wps:cNvPr id="53" name="直接连接符 30"/>
                        <wps:cNvCnPr/>
                        <wps:spPr>
                          <a:xfrm flipH="1">
                            <a:off x="3317875" y="139700"/>
                            <a:ext cx="5080" cy="723265"/>
                          </a:xfrm>
                          <a:prstGeom prst="line">
                            <a:avLst/>
                          </a:prstGeom>
                          <a:ln w="12700" cap="flat" cmpd="sng">
                            <a:solidFill>
                              <a:srgbClr val="000000"/>
                            </a:solidFill>
                            <a:prstDash val="dash"/>
                            <a:headEnd type="none" w="med" len="med"/>
                            <a:tailEnd type="none" w="med" len="med"/>
                          </a:ln>
                          <a:effectLst/>
                        </wps:spPr>
                        <wps:bodyPr/>
                      </wps:wsp>
                      <wps:wsp>
                        <wps:cNvPr id="54" name="直接连接符 31"/>
                        <wps:cNvCnPr/>
                        <wps:spPr>
                          <a:xfrm>
                            <a:off x="3324225" y="855980"/>
                            <a:ext cx="236855" cy="0"/>
                          </a:xfrm>
                          <a:prstGeom prst="line">
                            <a:avLst/>
                          </a:prstGeom>
                          <a:ln w="12700" cap="flat" cmpd="sng">
                            <a:solidFill>
                              <a:srgbClr val="000000"/>
                            </a:solidFill>
                            <a:prstDash val="dash"/>
                            <a:headEnd type="none" w="med" len="med"/>
                            <a:tailEnd type="triangle" w="med" len="med"/>
                          </a:ln>
                          <a:effectLst/>
                        </wps:spPr>
                        <wps:bodyPr/>
                      </wps:wsp>
                      <wps:wsp>
                        <wps:cNvPr id="55" name="文本框 32"/>
                        <wps:cNvSpPr txBox="1"/>
                        <wps:spPr>
                          <a:xfrm>
                            <a:off x="3571875" y="22860"/>
                            <a:ext cx="768985" cy="275590"/>
                          </a:xfrm>
                          <a:prstGeom prst="rect">
                            <a:avLst/>
                          </a:prstGeom>
                          <a:noFill/>
                          <a:ln w="12700">
                            <a:noFill/>
                          </a:ln>
                          <a:effectLst/>
                        </wps:spPr>
                        <wps:txbx>
                          <w:txbxContent>
                            <w:p>
                              <w:pPr>
                                <w:pStyle w:val="43"/>
                                <w:rPr>
                                  <w:sz w:val="20"/>
                                  <w:szCs w:val="22"/>
                                </w:rPr>
                              </w:pPr>
                              <w:r>
                                <w:rPr>
                                  <w:rFonts w:hint="eastAsia"/>
                                  <w:sz w:val="20"/>
                                  <w:szCs w:val="22"/>
                                </w:rPr>
                                <w:t>扬尘</w:t>
                              </w:r>
                            </w:p>
                          </w:txbxContent>
                        </wps:txbx>
                        <wps:bodyPr upright="1"/>
                      </wps:wsp>
                      <wps:wsp>
                        <wps:cNvPr id="56" name="文本框 33"/>
                        <wps:cNvSpPr txBox="1"/>
                        <wps:spPr>
                          <a:xfrm>
                            <a:off x="3609340" y="757555"/>
                            <a:ext cx="768985" cy="275590"/>
                          </a:xfrm>
                          <a:prstGeom prst="rect">
                            <a:avLst/>
                          </a:prstGeom>
                          <a:noFill/>
                          <a:ln w="12700">
                            <a:noFill/>
                          </a:ln>
                          <a:effectLst/>
                        </wps:spPr>
                        <wps:txbx>
                          <w:txbxContent>
                            <w:p>
                              <w:pPr>
                                <w:pStyle w:val="43"/>
                                <w:rPr>
                                  <w:sz w:val="20"/>
                                  <w:szCs w:val="22"/>
                                </w:rPr>
                              </w:pPr>
                              <w:r>
                                <w:rPr>
                                  <w:rFonts w:hint="eastAsia"/>
                                  <w:sz w:val="20"/>
                                  <w:szCs w:val="22"/>
                                </w:rPr>
                                <w:t>噪声</w:t>
                              </w:r>
                            </w:p>
                          </w:txbxContent>
                        </wps:txbx>
                        <wps:bodyPr upright="1"/>
                      </wps:wsp>
                      <wps:wsp>
                        <wps:cNvPr id="57" name="文本框 34"/>
                        <wps:cNvSpPr txBox="1"/>
                        <wps:spPr>
                          <a:xfrm>
                            <a:off x="2135505" y="1369060"/>
                            <a:ext cx="768985" cy="302260"/>
                          </a:xfrm>
                          <a:prstGeom prst="rect">
                            <a:avLst/>
                          </a:prstGeom>
                          <a:noFill/>
                          <a:ln w="12700" cap="flat" cmpd="sng">
                            <a:solidFill>
                              <a:srgbClr val="000000"/>
                            </a:solidFill>
                            <a:prstDash val="solid"/>
                            <a:miter/>
                            <a:headEnd type="none" w="med" len="med"/>
                            <a:tailEnd type="none" w="med" len="med"/>
                          </a:ln>
                          <a:effectLst/>
                        </wps:spPr>
                        <wps:txbx>
                          <w:txbxContent>
                            <w:p>
                              <w:pPr>
                                <w:pStyle w:val="43"/>
                                <w:ind w:left="0" w:firstLine="0"/>
                                <w:rPr>
                                  <w:sz w:val="20"/>
                                  <w:szCs w:val="22"/>
                                </w:rPr>
                              </w:pPr>
                              <w:r>
                                <w:rPr>
                                  <w:rFonts w:hint="eastAsia"/>
                                  <w:sz w:val="20"/>
                                  <w:szCs w:val="22"/>
                                </w:rPr>
                                <w:t>钻前作业</w:t>
                              </w:r>
                            </w:p>
                          </w:txbxContent>
                        </wps:txbx>
                        <wps:bodyPr upright="1"/>
                      </wps:wsp>
                      <wps:wsp>
                        <wps:cNvPr id="58" name="直接连接符 35"/>
                        <wps:cNvCnPr/>
                        <wps:spPr>
                          <a:xfrm flipH="1">
                            <a:off x="2516505" y="1671320"/>
                            <a:ext cx="3810" cy="685165"/>
                          </a:xfrm>
                          <a:prstGeom prst="line">
                            <a:avLst/>
                          </a:prstGeom>
                          <a:ln w="12700" cap="flat" cmpd="sng">
                            <a:solidFill>
                              <a:srgbClr val="000000"/>
                            </a:solidFill>
                            <a:prstDash val="solid"/>
                            <a:headEnd type="none" w="med" len="med"/>
                            <a:tailEnd type="triangle" w="med" len="med"/>
                          </a:ln>
                          <a:effectLst/>
                        </wps:spPr>
                        <wps:bodyPr/>
                      </wps:wsp>
                      <wps:wsp>
                        <wps:cNvPr id="59" name="文本框 36"/>
                        <wps:cNvSpPr txBox="1"/>
                        <wps:spPr>
                          <a:xfrm>
                            <a:off x="2143125" y="2384425"/>
                            <a:ext cx="768985" cy="301625"/>
                          </a:xfrm>
                          <a:prstGeom prst="rect">
                            <a:avLst/>
                          </a:prstGeom>
                          <a:noFill/>
                          <a:ln w="12700" cap="flat" cmpd="sng">
                            <a:solidFill>
                              <a:srgbClr val="000000"/>
                            </a:solidFill>
                            <a:prstDash val="solid"/>
                            <a:miter/>
                            <a:headEnd type="none" w="med" len="med"/>
                            <a:tailEnd type="none" w="med" len="med"/>
                          </a:ln>
                          <a:effectLst/>
                        </wps:spPr>
                        <wps:txbx>
                          <w:txbxContent>
                            <w:p>
                              <w:pPr>
                                <w:pStyle w:val="43"/>
                                <w:ind w:left="0" w:firstLine="0"/>
                                <w:rPr>
                                  <w:sz w:val="20"/>
                                  <w:szCs w:val="22"/>
                                </w:rPr>
                              </w:pPr>
                              <w:r>
                                <w:rPr>
                                  <w:rFonts w:hint="eastAsia"/>
                                  <w:sz w:val="20"/>
                                  <w:szCs w:val="22"/>
                                </w:rPr>
                                <w:t>钻井工程</w:t>
                              </w:r>
                            </w:p>
                          </w:txbxContent>
                        </wps:txbx>
                        <wps:bodyPr upright="1"/>
                      </wps:wsp>
                      <wps:wsp>
                        <wps:cNvPr id="60" name="直接连接符 37"/>
                        <wps:cNvCnPr>
                          <a:stCxn id="59" idx="2"/>
                        </wps:cNvCnPr>
                        <wps:spPr>
                          <a:xfrm flipH="1">
                            <a:off x="2521585" y="2686050"/>
                            <a:ext cx="6350" cy="1121410"/>
                          </a:xfrm>
                          <a:prstGeom prst="line">
                            <a:avLst/>
                          </a:prstGeom>
                          <a:ln w="12700" cap="flat" cmpd="sng">
                            <a:solidFill>
                              <a:srgbClr val="000000"/>
                            </a:solidFill>
                            <a:prstDash val="solid"/>
                            <a:headEnd type="none" w="med" len="med"/>
                            <a:tailEnd type="triangle" w="med" len="med"/>
                          </a:ln>
                          <a:effectLst/>
                        </wps:spPr>
                        <wps:bodyPr/>
                      </wps:wsp>
                      <wps:wsp>
                        <wps:cNvPr id="61" name="文本框 38"/>
                        <wps:cNvSpPr txBox="1"/>
                        <wps:spPr>
                          <a:xfrm>
                            <a:off x="2143760" y="3808730"/>
                            <a:ext cx="768985" cy="301625"/>
                          </a:xfrm>
                          <a:prstGeom prst="rect">
                            <a:avLst/>
                          </a:prstGeom>
                          <a:noFill/>
                          <a:ln w="12700" cap="flat" cmpd="sng">
                            <a:solidFill>
                              <a:srgbClr val="000000"/>
                            </a:solidFill>
                            <a:prstDash val="solid"/>
                            <a:miter/>
                            <a:headEnd type="none" w="med" len="med"/>
                            <a:tailEnd type="none" w="med" len="med"/>
                          </a:ln>
                          <a:effectLst/>
                        </wps:spPr>
                        <wps:txbx>
                          <w:txbxContent>
                            <w:p>
                              <w:pPr>
                                <w:adjustRightInd w:val="0"/>
                                <w:snapToGrid w:val="0"/>
                                <w:jc w:val="center"/>
                                <w:rPr>
                                  <w:kern w:val="0"/>
                                  <w:sz w:val="20"/>
                                  <w:szCs w:val="22"/>
                                </w:rPr>
                              </w:pPr>
                              <w:r>
                                <w:rPr>
                                  <w:rFonts w:hint="eastAsia"/>
                                  <w:kern w:val="0"/>
                                  <w:sz w:val="20"/>
                                  <w:szCs w:val="22"/>
                                </w:rPr>
                                <w:t>采油工程</w:t>
                              </w:r>
                            </w:p>
                          </w:txbxContent>
                        </wps:txbx>
                        <wps:bodyPr upright="1"/>
                      </wps:wsp>
                      <wps:wsp>
                        <wps:cNvPr id="62" name="直接连接符 39"/>
                        <wps:cNvCnPr/>
                        <wps:spPr>
                          <a:xfrm>
                            <a:off x="2520950" y="4131310"/>
                            <a:ext cx="635" cy="424815"/>
                          </a:xfrm>
                          <a:prstGeom prst="line">
                            <a:avLst/>
                          </a:prstGeom>
                          <a:ln w="12700" cap="flat" cmpd="sng">
                            <a:solidFill>
                              <a:srgbClr val="000000"/>
                            </a:solidFill>
                            <a:prstDash val="solid"/>
                            <a:headEnd type="none" w="med" len="med"/>
                            <a:tailEnd type="triangle" w="med" len="med"/>
                          </a:ln>
                          <a:effectLst/>
                        </wps:spPr>
                        <wps:bodyPr/>
                      </wps:wsp>
                      <wps:wsp>
                        <wps:cNvPr id="63" name="文本框 40"/>
                        <wps:cNvSpPr txBox="1"/>
                        <wps:spPr>
                          <a:xfrm>
                            <a:off x="2049780" y="4562475"/>
                            <a:ext cx="966470" cy="301625"/>
                          </a:xfrm>
                          <a:prstGeom prst="rect">
                            <a:avLst/>
                          </a:prstGeom>
                          <a:noFill/>
                          <a:ln w="12700" cap="flat" cmpd="sng">
                            <a:solidFill>
                              <a:srgbClr val="000000"/>
                            </a:solidFill>
                            <a:prstDash val="solid"/>
                            <a:miter/>
                            <a:headEnd type="none" w="med" len="med"/>
                            <a:tailEnd type="none" w="med" len="med"/>
                          </a:ln>
                          <a:effectLst/>
                        </wps:spPr>
                        <wps:txbx>
                          <w:txbxContent>
                            <w:p>
                              <w:pPr>
                                <w:adjustRightInd w:val="0"/>
                                <w:snapToGrid w:val="0"/>
                                <w:jc w:val="center"/>
                                <w:rPr>
                                  <w:kern w:val="0"/>
                                  <w:sz w:val="20"/>
                                  <w:szCs w:val="22"/>
                                </w:rPr>
                              </w:pPr>
                              <w:r>
                                <w:rPr>
                                  <w:rFonts w:hint="eastAsia"/>
                                  <w:kern w:val="0"/>
                                  <w:sz w:val="20"/>
                                  <w:szCs w:val="22"/>
                                </w:rPr>
                                <w:t>计量站</w:t>
                              </w:r>
                            </w:p>
                          </w:txbxContent>
                        </wps:txbx>
                        <wps:bodyPr upright="1"/>
                      </wps:wsp>
                      <wps:wsp>
                        <wps:cNvPr id="64" name="直接连接符 41"/>
                        <wps:cNvCnPr/>
                        <wps:spPr>
                          <a:xfrm>
                            <a:off x="3667760" y="2068195"/>
                            <a:ext cx="236855" cy="0"/>
                          </a:xfrm>
                          <a:prstGeom prst="line">
                            <a:avLst/>
                          </a:prstGeom>
                          <a:ln w="12700" cap="flat" cmpd="sng">
                            <a:solidFill>
                              <a:srgbClr val="000000"/>
                            </a:solidFill>
                            <a:prstDash val="dash"/>
                            <a:headEnd type="none" w="med" len="med"/>
                            <a:tailEnd type="triangle" w="med" len="med"/>
                          </a:ln>
                          <a:effectLst/>
                        </wps:spPr>
                        <wps:bodyPr/>
                      </wps:wsp>
                      <wps:wsp>
                        <wps:cNvPr id="65" name="直接连接符 42"/>
                        <wps:cNvCnPr/>
                        <wps:spPr>
                          <a:xfrm>
                            <a:off x="2921635" y="2505710"/>
                            <a:ext cx="739775" cy="635"/>
                          </a:xfrm>
                          <a:prstGeom prst="line">
                            <a:avLst/>
                          </a:prstGeom>
                          <a:ln w="12700" cap="flat" cmpd="sng">
                            <a:solidFill>
                              <a:srgbClr val="000000"/>
                            </a:solidFill>
                            <a:prstDash val="dash"/>
                            <a:headEnd type="none" w="med" len="med"/>
                            <a:tailEnd type="triangle" w="med" len="med"/>
                          </a:ln>
                          <a:effectLst/>
                        </wps:spPr>
                        <wps:bodyPr/>
                      </wps:wsp>
                      <wps:wsp>
                        <wps:cNvPr id="66" name="直接连接符 43"/>
                        <wps:cNvCnPr/>
                        <wps:spPr>
                          <a:xfrm>
                            <a:off x="3663315" y="2066290"/>
                            <a:ext cx="5080" cy="824230"/>
                          </a:xfrm>
                          <a:prstGeom prst="line">
                            <a:avLst/>
                          </a:prstGeom>
                          <a:ln w="12700" cap="flat" cmpd="sng">
                            <a:solidFill>
                              <a:srgbClr val="000000"/>
                            </a:solidFill>
                            <a:prstDash val="dash"/>
                            <a:headEnd type="none" w="med" len="med"/>
                            <a:tailEnd type="none" w="med" len="med"/>
                          </a:ln>
                          <a:effectLst/>
                        </wps:spPr>
                        <wps:bodyPr/>
                      </wps:wsp>
                      <wps:wsp>
                        <wps:cNvPr id="67" name="直接连接符 44"/>
                        <wps:cNvCnPr/>
                        <wps:spPr>
                          <a:xfrm>
                            <a:off x="3683000" y="2885440"/>
                            <a:ext cx="236855" cy="0"/>
                          </a:xfrm>
                          <a:prstGeom prst="line">
                            <a:avLst/>
                          </a:prstGeom>
                          <a:ln w="12700" cap="flat" cmpd="sng">
                            <a:solidFill>
                              <a:srgbClr val="000000"/>
                            </a:solidFill>
                            <a:prstDash val="dash"/>
                            <a:headEnd type="none" w="med" len="med"/>
                            <a:tailEnd type="triangle" w="med" len="med"/>
                          </a:ln>
                          <a:effectLst/>
                        </wps:spPr>
                        <wps:bodyPr/>
                      </wps:wsp>
                      <wps:wsp>
                        <wps:cNvPr id="68" name="文本框 45"/>
                        <wps:cNvSpPr txBox="1"/>
                        <wps:spPr>
                          <a:xfrm>
                            <a:off x="570230" y="2766695"/>
                            <a:ext cx="908685" cy="275590"/>
                          </a:xfrm>
                          <a:prstGeom prst="rect">
                            <a:avLst/>
                          </a:prstGeom>
                          <a:noFill/>
                          <a:ln w="12700">
                            <a:noFill/>
                          </a:ln>
                          <a:effectLst/>
                        </wps:spPr>
                        <wps:txbx>
                          <w:txbxContent>
                            <w:p>
                              <w:pPr>
                                <w:pStyle w:val="43"/>
                                <w:rPr>
                                  <w:sz w:val="20"/>
                                  <w:szCs w:val="22"/>
                                </w:rPr>
                              </w:pPr>
                              <w:r>
                                <w:rPr>
                                  <w:rFonts w:hint="eastAsia"/>
                                  <w:sz w:val="20"/>
                                  <w:szCs w:val="22"/>
                                </w:rPr>
                                <w:t>噪声</w:t>
                              </w:r>
                            </w:p>
                          </w:txbxContent>
                        </wps:txbx>
                        <wps:bodyPr upright="1"/>
                      </wps:wsp>
                      <wps:wsp>
                        <wps:cNvPr id="69" name="直接连接符 46"/>
                        <wps:cNvCnPr/>
                        <wps:spPr>
                          <a:xfrm>
                            <a:off x="1685290" y="2587625"/>
                            <a:ext cx="448945" cy="635"/>
                          </a:xfrm>
                          <a:prstGeom prst="line">
                            <a:avLst/>
                          </a:prstGeom>
                          <a:ln w="12700" cap="flat" cmpd="sng">
                            <a:solidFill>
                              <a:srgbClr val="000000"/>
                            </a:solidFill>
                            <a:prstDash val="dash"/>
                            <a:headEnd type="triangle" w="med" len="med"/>
                            <a:tailEnd type="none" w="med" len="med"/>
                          </a:ln>
                          <a:effectLst/>
                        </wps:spPr>
                        <wps:bodyPr/>
                      </wps:wsp>
                      <wps:wsp>
                        <wps:cNvPr id="70" name="直接连接符 47"/>
                        <wps:cNvCnPr/>
                        <wps:spPr>
                          <a:xfrm>
                            <a:off x="1685290" y="2291080"/>
                            <a:ext cx="635" cy="621030"/>
                          </a:xfrm>
                          <a:prstGeom prst="line">
                            <a:avLst/>
                          </a:prstGeom>
                          <a:ln w="12700" cap="flat" cmpd="sng">
                            <a:solidFill>
                              <a:srgbClr val="000000"/>
                            </a:solidFill>
                            <a:prstDash val="dash"/>
                            <a:headEnd type="none" w="med" len="med"/>
                            <a:tailEnd type="none" w="med" len="med"/>
                          </a:ln>
                          <a:effectLst/>
                        </wps:spPr>
                        <wps:bodyPr/>
                      </wps:wsp>
                      <wps:wsp>
                        <wps:cNvPr id="71" name="直接连接符 48"/>
                        <wps:cNvCnPr/>
                        <wps:spPr>
                          <a:xfrm>
                            <a:off x="1456690" y="2310765"/>
                            <a:ext cx="236855" cy="0"/>
                          </a:xfrm>
                          <a:prstGeom prst="line">
                            <a:avLst/>
                          </a:prstGeom>
                          <a:ln w="12700" cap="flat" cmpd="sng">
                            <a:solidFill>
                              <a:srgbClr val="000000"/>
                            </a:solidFill>
                            <a:prstDash val="dash"/>
                            <a:headEnd type="triangle" w="med" len="med"/>
                            <a:tailEnd type="none" w="med" len="med"/>
                          </a:ln>
                          <a:effectLst/>
                        </wps:spPr>
                        <wps:bodyPr/>
                      </wps:wsp>
                      <wps:wsp>
                        <wps:cNvPr id="72" name="直接连接符 49"/>
                        <wps:cNvCnPr/>
                        <wps:spPr>
                          <a:xfrm>
                            <a:off x="1456690" y="2594610"/>
                            <a:ext cx="236855" cy="0"/>
                          </a:xfrm>
                          <a:prstGeom prst="line">
                            <a:avLst/>
                          </a:prstGeom>
                          <a:ln w="12700" cap="flat" cmpd="sng">
                            <a:solidFill>
                              <a:srgbClr val="000000"/>
                            </a:solidFill>
                            <a:prstDash val="dash"/>
                            <a:headEnd type="triangle" w="med" len="med"/>
                            <a:tailEnd type="none" w="med" len="med"/>
                          </a:ln>
                          <a:effectLst/>
                        </wps:spPr>
                        <wps:bodyPr/>
                      </wps:wsp>
                      <wps:wsp>
                        <wps:cNvPr id="73" name="文本框 50"/>
                        <wps:cNvSpPr txBox="1"/>
                        <wps:spPr>
                          <a:xfrm>
                            <a:off x="180975" y="1970405"/>
                            <a:ext cx="1294130" cy="519430"/>
                          </a:xfrm>
                          <a:prstGeom prst="rect">
                            <a:avLst/>
                          </a:prstGeom>
                          <a:noFill/>
                          <a:ln w="12700">
                            <a:noFill/>
                          </a:ln>
                          <a:effectLst/>
                        </wps:spPr>
                        <wps:txbx>
                          <w:txbxContent>
                            <w:p>
                              <w:pPr>
                                <w:pStyle w:val="43"/>
                                <w:ind w:left="0" w:firstLine="0"/>
                                <w:rPr>
                                  <w:sz w:val="20"/>
                                  <w:szCs w:val="22"/>
                                </w:rPr>
                              </w:pPr>
                              <w:r>
                                <w:rPr>
                                  <w:rFonts w:hint="eastAsia"/>
                                  <w:sz w:val="20"/>
                                  <w:szCs w:val="22"/>
                                </w:rPr>
                                <w:t>扬尘、运输车辆废气、柴油燃烧废气</w:t>
                              </w:r>
                            </w:p>
                          </w:txbxContent>
                        </wps:txbx>
                        <wps:bodyPr upright="1"/>
                      </wps:wsp>
                      <wps:wsp>
                        <wps:cNvPr id="74" name="文本框 51"/>
                        <wps:cNvSpPr txBox="1"/>
                        <wps:spPr>
                          <a:xfrm>
                            <a:off x="514985" y="2465705"/>
                            <a:ext cx="998220" cy="289560"/>
                          </a:xfrm>
                          <a:prstGeom prst="rect">
                            <a:avLst/>
                          </a:prstGeom>
                          <a:noFill/>
                          <a:ln w="12700">
                            <a:noFill/>
                          </a:ln>
                          <a:effectLst/>
                        </wps:spPr>
                        <wps:txbx>
                          <w:txbxContent>
                            <w:p>
                              <w:pPr>
                                <w:pStyle w:val="43"/>
                                <w:ind w:left="0" w:firstLine="0"/>
                                <w:jc w:val="both"/>
                                <w:rPr>
                                  <w:sz w:val="20"/>
                                  <w:szCs w:val="22"/>
                                </w:rPr>
                              </w:pPr>
                              <w:r>
                                <w:rPr>
                                  <w:rFonts w:hint="eastAsia"/>
                                  <w:sz w:val="20"/>
                                  <w:szCs w:val="22"/>
                                </w:rPr>
                                <w:t>管道试压废水</w:t>
                              </w:r>
                            </w:p>
                          </w:txbxContent>
                        </wps:txbx>
                        <wps:bodyPr upright="1"/>
                      </wps:wsp>
                      <wps:wsp>
                        <wps:cNvPr id="82" name="直接连接符 52"/>
                        <wps:cNvCnPr/>
                        <wps:spPr>
                          <a:xfrm>
                            <a:off x="1451610" y="2883535"/>
                            <a:ext cx="236855" cy="0"/>
                          </a:xfrm>
                          <a:prstGeom prst="line">
                            <a:avLst/>
                          </a:prstGeom>
                          <a:ln w="12700" cap="flat" cmpd="sng">
                            <a:solidFill>
                              <a:srgbClr val="000000"/>
                            </a:solidFill>
                            <a:prstDash val="dash"/>
                            <a:headEnd type="triangle" w="med" len="med"/>
                            <a:tailEnd type="none" w="med" len="med"/>
                          </a:ln>
                          <a:effectLst/>
                        </wps:spPr>
                        <wps:bodyPr/>
                      </wps:wsp>
                      <wps:wsp>
                        <wps:cNvPr id="84" name="文本框 53"/>
                        <wps:cNvSpPr txBox="1"/>
                        <wps:spPr>
                          <a:xfrm>
                            <a:off x="3876040" y="1920240"/>
                            <a:ext cx="1108075" cy="275590"/>
                          </a:xfrm>
                          <a:prstGeom prst="rect">
                            <a:avLst/>
                          </a:prstGeom>
                          <a:noFill/>
                          <a:ln w="12700">
                            <a:noFill/>
                          </a:ln>
                          <a:effectLst/>
                        </wps:spPr>
                        <wps:txbx>
                          <w:txbxContent>
                            <w:p>
                              <w:pPr>
                                <w:pStyle w:val="43"/>
                                <w:ind w:left="0" w:firstLine="0"/>
                                <w:jc w:val="both"/>
                                <w:rPr>
                                  <w:sz w:val="20"/>
                                  <w:szCs w:val="22"/>
                                </w:rPr>
                              </w:pPr>
                              <w:r>
                                <w:rPr>
                                  <w:rFonts w:hint="eastAsia"/>
                                  <w:sz w:val="20"/>
                                  <w:szCs w:val="22"/>
                                </w:rPr>
                                <w:t>钻井岩屑</w:t>
                              </w:r>
                            </w:p>
                          </w:txbxContent>
                        </wps:txbx>
                        <wps:bodyPr upright="1"/>
                      </wps:wsp>
                      <wps:wsp>
                        <wps:cNvPr id="85" name="文本框 54"/>
                        <wps:cNvSpPr txBox="1"/>
                        <wps:spPr>
                          <a:xfrm>
                            <a:off x="3886200" y="2129790"/>
                            <a:ext cx="1391920" cy="405765"/>
                          </a:xfrm>
                          <a:prstGeom prst="rect">
                            <a:avLst/>
                          </a:prstGeom>
                          <a:noFill/>
                          <a:ln w="12700">
                            <a:noFill/>
                          </a:ln>
                          <a:effectLst/>
                        </wps:spPr>
                        <wps:txbx>
                          <w:txbxContent>
                            <w:p>
                              <w:pPr>
                                <w:pStyle w:val="43"/>
                                <w:ind w:left="0" w:firstLine="0"/>
                                <w:jc w:val="both"/>
                                <w:rPr>
                                  <w:sz w:val="20"/>
                                  <w:szCs w:val="22"/>
                                </w:rPr>
                              </w:pPr>
                              <w:r>
                                <w:rPr>
                                  <w:rFonts w:hint="eastAsia"/>
                                  <w:sz w:val="20"/>
                                  <w:szCs w:val="22"/>
                                </w:rPr>
                                <w:t>废弃防渗膜、机械设备废油</w:t>
                              </w:r>
                            </w:p>
                            <w:p>
                              <w:pPr>
                                <w:pStyle w:val="43"/>
                                <w:ind w:left="0" w:firstLine="0"/>
                                <w:jc w:val="both"/>
                              </w:pPr>
                            </w:p>
                            <w:p>
                              <w:pPr>
                                <w:pStyle w:val="43"/>
                                <w:ind w:left="0" w:firstLine="0"/>
                                <w:jc w:val="both"/>
                                <w:rPr>
                                  <w:sz w:val="20"/>
                                  <w:szCs w:val="22"/>
                                </w:rPr>
                              </w:pPr>
                              <w:r>
                                <w:rPr>
                                  <w:rFonts w:hint="eastAsia"/>
                                  <w:sz w:val="20"/>
                                  <w:szCs w:val="22"/>
                                </w:rPr>
                                <w:t>钻井岩屑</w:t>
                              </w:r>
                            </w:p>
                          </w:txbxContent>
                        </wps:txbx>
                        <wps:bodyPr upright="1"/>
                      </wps:wsp>
                      <wps:wsp>
                        <wps:cNvPr id="86" name="文本框 55"/>
                        <wps:cNvSpPr txBox="1"/>
                        <wps:spPr>
                          <a:xfrm>
                            <a:off x="2701925" y="3197860"/>
                            <a:ext cx="768985" cy="321310"/>
                          </a:xfrm>
                          <a:prstGeom prst="rect">
                            <a:avLst/>
                          </a:prstGeom>
                          <a:noFill/>
                          <a:ln w="12700" cap="flat" cmpd="sng">
                            <a:solidFill>
                              <a:srgbClr val="000000"/>
                            </a:solidFill>
                            <a:prstDash val="solid"/>
                            <a:miter/>
                            <a:headEnd type="none" w="med" len="med"/>
                            <a:tailEnd type="none" w="med" len="med"/>
                          </a:ln>
                          <a:effectLst/>
                        </wps:spPr>
                        <wps:txbx>
                          <w:txbxContent>
                            <w:p>
                              <w:pPr>
                                <w:pStyle w:val="43"/>
                                <w:ind w:left="0" w:firstLine="0"/>
                                <w:rPr>
                                  <w:sz w:val="20"/>
                                  <w:szCs w:val="22"/>
                                </w:rPr>
                              </w:pPr>
                              <w:r>
                                <w:rPr>
                                  <w:rFonts w:hint="eastAsia"/>
                                  <w:sz w:val="20"/>
                                  <w:szCs w:val="22"/>
                                </w:rPr>
                                <w:t>井下作业</w:t>
                              </w:r>
                            </w:p>
                          </w:txbxContent>
                        </wps:txbx>
                        <wps:bodyPr upright="1"/>
                      </wps:wsp>
                      <wps:wsp>
                        <wps:cNvPr id="87" name="直接连接符 56"/>
                        <wps:cNvCnPr/>
                        <wps:spPr>
                          <a:xfrm flipH="1">
                            <a:off x="2689860" y="3528695"/>
                            <a:ext cx="196215" cy="283210"/>
                          </a:xfrm>
                          <a:prstGeom prst="line">
                            <a:avLst/>
                          </a:prstGeom>
                          <a:ln w="12700" cap="flat" cmpd="sng">
                            <a:solidFill>
                              <a:srgbClr val="000000"/>
                            </a:solidFill>
                            <a:prstDash val="solid"/>
                            <a:headEnd type="none" w="med" len="med"/>
                            <a:tailEnd type="triangle" w="med" len="med"/>
                          </a:ln>
                          <a:effectLst/>
                        </wps:spPr>
                        <wps:bodyPr/>
                      </wps:wsp>
                      <wps:wsp>
                        <wps:cNvPr id="88" name="直接连接符 57"/>
                        <wps:cNvCnPr/>
                        <wps:spPr>
                          <a:xfrm>
                            <a:off x="2914650" y="1517650"/>
                            <a:ext cx="448945" cy="635"/>
                          </a:xfrm>
                          <a:prstGeom prst="line">
                            <a:avLst/>
                          </a:prstGeom>
                          <a:ln w="12700" cap="flat" cmpd="sng">
                            <a:solidFill>
                              <a:srgbClr val="000000"/>
                            </a:solidFill>
                            <a:prstDash val="dash"/>
                            <a:headEnd type="none" w="med" len="med"/>
                            <a:tailEnd type="triangle" w="med" len="med"/>
                          </a:ln>
                          <a:effectLst/>
                        </wps:spPr>
                        <wps:bodyPr/>
                      </wps:wsp>
                      <wps:wsp>
                        <wps:cNvPr id="89" name="文本框 58"/>
                        <wps:cNvSpPr txBox="1"/>
                        <wps:spPr>
                          <a:xfrm>
                            <a:off x="3430270" y="1198880"/>
                            <a:ext cx="768985" cy="275590"/>
                          </a:xfrm>
                          <a:prstGeom prst="rect">
                            <a:avLst/>
                          </a:prstGeom>
                          <a:noFill/>
                          <a:ln w="12700">
                            <a:noFill/>
                          </a:ln>
                          <a:effectLst/>
                        </wps:spPr>
                        <wps:txbx>
                          <w:txbxContent>
                            <w:p>
                              <w:pPr>
                                <w:pStyle w:val="43"/>
                                <w:rPr>
                                  <w:sz w:val="20"/>
                                  <w:szCs w:val="22"/>
                                </w:rPr>
                              </w:pPr>
                              <w:r>
                                <w:rPr>
                                  <w:rFonts w:hint="eastAsia"/>
                                  <w:sz w:val="20"/>
                                  <w:szCs w:val="22"/>
                                </w:rPr>
                                <w:t>扬尘</w:t>
                              </w:r>
                            </w:p>
                          </w:txbxContent>
                        </wps:txbx>
                        <wps:bodyPr upright="1"/>
                      </wps:wsp>
                      <wps:wsp>
                        <wps:cNvPr id="90" name="文本框 59"/>
                        <wps:cNvSpPr txBox="1"/>
                        <wps:spPr>
                          <a:xfrm>
                            <a:off x="3433445" y="1529715"/>
                            <a:ext cx="768985" cy="275590"/>
                          </a:xfrm>
                          <a:prstGeom prst="rect">
                            <a:avLst/>
                          </a:prstGeom>
                          <a:noFill/>
                          <a:ln w="12700">
                            <a:noFill/>
                          </a:ln>
                          <a:effectLst/>
                        </wps:spPr>
                        <wps:txbx>
                          <w:txbxContent>
                            <w:p>
                              <w:pPr>
                                <w:pStyle w:val="43"/>
                              </w:pPr>
                              <w:r>
                                <w:rPr>
                                  <w:rFonts w:hint="eastAsia"/>
                                  <w:sz w:val="20"/>
                                  <w:szCs w:val="22"/>
                                </w:rPr>
                                <w:t>噪声</w:t>
                              </w:r>
                            </w:p>
                          </w:txbxContent>
                        </wps:txbx>
                        <wps:bodyPr upright="1"/>
                      </wps:wsp>
                      <wps:wsp>
                        <wps:cNvPr id="148" name="直接连接符 64"/>
                        <wps:cNvCnPr/>
                        <wps:spPr>
                          <a:xfrm>
                            <a:off x="3475355" y="3368675"/>
                            <a:ext cx="448945" cy="635"/>
                          </a:xfrm>
                          <a:prstGeom prst="line">
                            <a:avLst/>
                          </a:prstGeom>
                          <a:ln w="12700" cap="flat" cmpd="sng">
                            <a:solidFill>
                              <a:srgbClr val="000000"/>
                            </a:solidFill>
                            <a:prstDash val="dash"/>
                            <a:headEnd type="none" w="med" len="med"/>
                            <a:tailEnd type="triangle" w="med" len="med"/>
                          </a:ln>
                          <a:effectLst/>
                        </wps:spPr>
                        <wps:bodyPr/>
                      </wps:wsp>
                      <wps:wsp>
                        <wps:cNvPr id="153" name="直接连接符 65"/>
                        <wps:cNvCnPr/>
                        <wps:spPr>
                          <a:xfrm>
                            <a:off x="3953510" y="3119120"/>
                            <a:ext cx="236855" cy="0"/>
                          </a:xfrm>
                          <a:prstGeom prst="line">
                            <a:avLst/>
                          </a:prstGeom>
                          <a:ln w="12700" cap="flat" cmpd="sng">
                            <a:solidFill>
                              <a:srgbClr val="000000"/>
                            </a:solidFill>
                            <a:prstDash val="dash"/>
                            <a:headEnd type="none" w="med" len="med"/>
                            <a:tailEnd type="triangle" w="med" len="med"/>
                          </a:ln>
                          <a:effectLst/>
                        </wps:spPr>
                        <wps:bodyPr/>
                      </wps:wsp>
                      <wps:wsp>
                        <wps:cNvPr id="154" name="文本框 66"/>
                        <wps:cNvSpPr txBox="1"/>
                        <wps:spPr>
                          <a:xfrm>
                            <a:off x="4182110" y="2905760"/>
                            <a:ext cx="1149350" cy="491490"/>
                          </a:xfrm>
                          <a:prstGeom prst="rect">
                            <a:avLst/>
                          </a:prstGeom>
                          <a:noFill/>
                          <a:ln w="12700">
                            <a:noFill/>
                          </a:ln>
                          <a:effectLst/>
                        </wps:spPr>
                        <wps:txbx>
                          <w:txbxContent>
                            <w:p>
                              <w:pPr>
                                <w:pStyle w:val="43"/>
                                <w:ind w:left="0" w:firstLine="0"/>
                                <w:jc w:val="both"/>
                                <w:rPr>
                                  <w:sz w:val="20"/>
                                  <w:szCs w:val="22"/>
                                </w:rPr>
                              </w:pPr>
                              <w:r>
                                <w:rPr>
                                  <w:rFonts w:hint="eastAsia"/>
                                  <w:sz w:val="20"/>
                                  <w:szCs w:val="22"/>
                                </w:rPr>
                                <w:t>无组织挥发（非甲烷总烃、硫化氢）</w:t>
                              </w:r>
                            </w:p>
                          </w:txbxContent>
                        </wps:txbx>
                        <wps:bodyPr upright="1"/>
                      </wps:wsp>
                      <wps:wsp>
                        <wps:cNvPr id="155" name="直接连接符 67"/>
                        <wps:cNvCnPr/>
                        <wps:spPr>
                          <a:xfrm flipV="1">
                            <a:off x="3986530" y="4403090"/>
                            <a:ext cx="207645" cy="7620"/>
                          </a:xfrm>
                          <a:prstGeom prst="line">
                            <a:avLst/>
                          </a:prstGeom>
                          <a:ln w="12700" cap="flat" cmpd="sng">
                            <a:solidFill>
                              <a:srgbClr val="000000"/>
                            </a:solidFill>
                            <a:prstDash val="dash"/>
                            <a:headEnd type="none" w="med" len="med"/>
                            <a:tailEnd type="triangle" w="med" len="med"/>
                          </a:ln>
                          <a:effectLst/>
                        </wps:spPr>
                        <wps:bodyPr/>
                      </wps:wsp>
                      <wps:wsp>
                        <wps:cNvPr id="156" name="文本框 68"/>
                        <wps:cNvSpPr txBox="1"/>
                        <wps:spPr>
                          <a:xfrm>
                            <a:off x="4182110" y="3263265"/>
                            <a:ext cx="1099820" cy="662940"/>
                          </a:xfrm>
                          <a:prstGeom prst="rect">
                            <a:avLst/>
                          </a:prstGeom>
                          <a:noFill/>
                          <a:ln w="12700">
                            <a:noFill/>
                          </a:ln>
                          <a:effectLst/>
                        </wps:spPr>
                        <wps:txbx>
                          <w:txbxContent>
                            <w:p>
                              <w:pPr>
                                <w:rPr>
                                  <w:sz w:val="20"/>
                                  <w:szCs w:val="20"/>
                                </w:rPr>
                              </w:pPr>
                              <w:r>
                                <w:rPr>
                                  <w:rFonts w:hint="eastAsia"/>
                                  <w:sz w:val="20"/>
                                  <w:szCs w:val="20"/>
                                </w:rPr>
                                <w:t>井下作业废水、</w:t>
                              </w:r>
                              <w:r>
                                <w:rPr>
                                  <w:rFonts w:hint="eastAsia"/>
                                  <w:sz w:val="20"/>
                                  <w:szCs w:val="20"/>
                                  <w:lang w:val="en-US" w:eastAsia="zh-CN"/>
                                </w:rPr>
                                <w:t>井下作业废液</w:t>
                              </w:r>
                              <w:r>
                                <w:rPr>
                                  <w:rFonts w:hint="eastAsia"/>
                                  <w:sz w:val="20"/>
                                  <w:szCs w:val="20"/>
                                </w:rPr>
                                <w:t>、采出水</w:t>
                              </w:r>
                            </w:p>
                          </w:txbxContent>
                        </wps:txbx>
                        <wps:bodyPr upright="1"/>
                      </wps:wsp>
                      <wps:wsp>
                        <wps:cNvPr id="157" name="直接连接符 69"/>
                        <wps:cNvCnPr/>
                        <wps:spPr>
                          <a:xfrm>
                            <a:off x="3948430" y="3121025"/>
                            <a:ext cx="8890" cy="1268095"/>
                          </a:xfrm>
                          <a:prstGeom prst="line">
                            <a:avLst/>
                          </a:prstGeom>
                          <a:ln w="12700" cap="flat" cmpd="sng">
                            <a:solidFill>
                              <a:srgbClr val="000000"/>
                            </a:solidFill>
                            <a:prstDash val="dash"/>
                            <a:headEnd type="none" w="med" len="med"/>
                            <a:tailEnd type="none" w="med" len="med"/>
                          </a:ln>
                          <a:effectLst/>
                        </wps:spPr>
                        <wps:bodyPr/>
                      </wps:wsp>
                      <wps:wsp>
                        <wps:cNvPr id="158" name="文本框 70"/>
                        <wps:cNvSpPr txBox="1"/>
                        <wps:spPr>
                          <a:xfrm>
                            <a:off x="3891915" y="2468880"/>
                            <a:ext cx="861695" cy="266700"/>
                          </a:xfrm>
                          <a:prstGeom prst="rect">
                            <a:avLst/>
                          </a:prstGeom>
                          <a:noFill/>
                          <a:ln w="12700">
                            <a:noFill/>
                          </a:ln>
                          <a:effectLst/>
                        </wps:spPr>
                        <wps:txbx>
                          <w:txbxContent>
                            <w:p>
                              <w:pPr>
                                <w:rPr>
                                  <w:sz w:val="18"/>
                                  <w:szCs w:val="18"/>
                                </w:rPr>
                              </w:pPr>
                              <w:r>
                                <w:rPr>
                                  <w:rFonts w:hint="eastAsia"/>
                                  <w:sz w:val="18"/>
                                  <w:szCs w:val="18"/>
                                </w:rPr>
                                <w:t>生活垃圾</w:t>
                              </w:r>
                            </w:p>
                          </w:txbxContent>
                        </wps:txbx>
                        <wps:bodyPr upright="1"/>
                      </wps:wsp>
                      <wps:wsp>
                        <wps:cNvPr id="159" name="直接连接符 71"/>
                        <wps:cNvCnPr/>
                        <wps:spPr>
                          <a:xfrm>
                            <a:off x="3674110" y="2360295"/>
                            <a:ext cx="228600" cy="0"/>
                          </a:xfrm>
                          <a:prstGeom prst="line">
                            <a:avLst/>
                          </a:prstGeom>
                          <a:ln w="12700" cap="flat" cmpd="sng">
                            <a:solidFill>
                              <a:srgbClr val="000000"/>
                            </a:solidFill>
                            <a:prstDash val="dash"/>
                            <a:headEnd type="none" w="med" len="med"/>
                            <a:tailEnd type="triangle" w="med" len="med"/>
                          </a:ln>
                          <a:effectLst/>
                        </wps:spPr>
                        <wps:bodyPr/>
                      </wps:wsp>
                      <wps:wsp>
                        <wps:cNvPr id="160" name="文本框 72"/>
                        <wps:cNvSpPr txBox="1"/>
                        <wps:spPr>
                          <a:xfrm>
                            <a:off x="3893820" y="2721610"/>
                            <a:ext cx="1394460" cy="266700"/>
                          </a:xfrm>
                          <a:prstGeom prst="rect">
                            <a:avLst/>
                          </a:prstGeom>
                          <a:noFill/>
                          <a:ln w="12700">
                            <a:noFill/>
                          </a:ln>
                          <a:effectLst/>
                        </wps:spPr>
                        <wps:txbx>
                          <w:txbxContent>
                            <w:p>
                              <w:pPr>
                                <w:rPr>
                                  <w:sz w:val="18"/>
                                  <w:szCs w:val="18"/>
                                </w:rPr>
                              </w:pPr>
                              <w:r>
                                <w:rPr>
                                  <w:rFonts w:hint="eastAsia"/>
                                  <w:sz w:val="18"/>
                                  <w:szCs w:val="18"/>
                                </w:rPr>
                                <w:t>建筑垃圾</w:t>
                              </w:r>
                            </w:p>
                          </w:txbxContent>
                        </wps:txbx>
                        <wps:bodyPr upright="1"/>
                      </wps:wsp>
                      <wps:wsp>
                        <wps:cNvPr id="161" name="直接连接符 133"/>
                        <wps:cNvCnPr/>
                        <wps:spPr>
                          <a:xfrm>
                            <a:off x="3678555" y="2599055"/>
                            <a:ext cx="228600" cy="0"/>
                          </a:xfrm>
                          <a:prstGeom prst="line">
                            <a:avLst/>
                          </a:prstGeom>
                          <a:ln w="12700" cap="flat" cmpd="sng">
                            <a:solidFill>
                              <a:srgbClr val="000000"/>
                            </a:solidFill>
                            <a:prstDash val="dash"/>
                            <a:headEnd type="none" w="med" len="med"/>
                            <a:tailEnd type="triangle" w="med" len="med"/>
                          </a:ln>
                          <a:effectLst/>
                        </wps:spPr>
                        <wps:bodyPr/>
                      </wps:wsp>
                      <wps:wsp>
                        <wps:cNvPr id="162" name="文本框 68"/>
                        <wps:cNvSpPr txBox="1"/>
                        <wps:spPr>
                          <a:xfrm>
                            <a:off x="4199255" y="3917315"/>
                            <a:ext cx="758825" cy="302895"/>
                          </a:xfrm>
                          <a:prstGeom prst="rect">
                            <a:avLst/>
                          </a:prstGeom>
                          <a:noFill/>
                          <a:ln w="12700">
                            <a:noFill/>
                          </a:ln>
                          <a:effectLst/>
                        </wps:spPr>
                        <wps:txbx>
                          <w:txbxContent>
                            <w:p>
                              <w:pPr>
                                <w:rPr>
                                  <w:sz w:val="20"/>
                                  <w:szCs w:val="20"/>
                                </w:rPr>
                              </w:pPr>
                              <w:r>
                                <w:rPr>
                                  <w:rFonts w:hint="eastAsia"/>
                                  <w:sz w:val="20"/>
                                  <w:szCs w:val="20"/>
                                </w:rPr>
                                <w:t>噪声</w:t>
                              </w:r>
                            </w:p>
                          </w:txbxContent>
                        </wps:txbx>
                        <wps:bodyPr upright="1"/>
                      </wps:wsp>
                      <wps:wsp>
                        <wps:cNvPr id="163" name="文本框 68"/>
                        <wps:cNvSpPr txBox="1"/>
                        <wps:spPr>
                          <a:xfrm>
                            <a:off x="4194175" y="4206875"/>
                            <a:ext cx="1085850" cy="1075055"/>
                          </a:xfrm>
                          <a:prstGeom prst="rect">
                            <a:avLst/>
                          </a:prstGeom>
                          <a:noFill/>
                          <a:ln w="12700">
                            <a:noFill/>
                          </a:ln>
                          <a:effectLst/>
                        </wps:spPr>
                        <wps:txbx>
                          <w:txbxContent>
                            <w:p>
                              <w:pPr>
                                <w:rPr>
                                  <w:rFonts w:eastAsia="宋体"/>
                                  <w:sz w:val="20"/>
                                  <w:szCs w:val="20"/>
                                </w:rPr>
                              </w:pPr>
                              <w:r>
                                <w:rPr>
                                  <w:rFonts w:hint="eastAsia"/>
                                  <w:sz w:val="20"/>
                                  <w:szCs w:val="20"/>
                                </w:rPr>
                                <w:t>含油污泥、事故状态下落地油、废润滑油、废弃防渗膜、清管废渣</w:t>
                              </w:r>
                            </w:p>
                          </w:txbxContent>
                        </wps:txbx>
                        <wps:bodyPr upright="1"/>
                      </wps:wsp>
                      <wps:wsp>
                        <wps:cNvPr id="164" name="直接连接符 44"/>
                        <wps:cNvCnPr/>
                        <wps:spPr>
                          <a:xfrm>
                            <a:off x="3977005" y="3693795"/>
                            <a:ext cx="236855" cy="0"/>
                          </a:xfrm>
                          <a:prstGeom prst="line">
                            <a:avLst/>
                          </a:prstGeom>
                          <a:ln w="12700" cap="flat" cmpd="sng">
                            <a:solidFill>
                              <a:srgbClr val="000000"/>
                            </a:solidFill>
                            <a:prstDash val="dash"/>
                            <a:headEnd type="none" w="med" len="med"/>
                            <a:tailEnd type="triangle" w="med" len="med"/>
                          </a:ln>
                          <a:effectLst/>
                        </wps:spPr>
                        <wps:bodyPr/>
                      </wps:wsp>
                      <wps:wsp>
                        <wps:cNvPr id="165" name="直接连接符 44"/>
                        <wps:cNvCnPr/>
                        <wps:spPr>
                          <a:xfrm>
                            <a:off x="3977005" y="4065905"/>
                            <a:ext cx="236855" cy="0"/>
                          </a:xfrm>
                          <a:prstGeom prst="line">
                            <a:avLst/>
                          </a:prstGeom>
                          <a:ln w="12700" cap="flat" cmpd="sng">
                            <a:solidFill>
                              <a:srgbClr val="000000"/>
                            </a:solidFill>
                            <a:prstDash val="dash"/>
                            <a:headEnd type="none" w="med" len="med"/>
                            <a:tailEnd type="triangle" w="med" len="med"/>
                          </a:ln>
                          <a:effectLst/>
                        </wps:spPr>
                        <wps:bodyPr/>
                      </wps:wsp>
                      <wps:wsp>
                        <wps:cNvPr id="178" name="直接连接符 46"/>
                        <wps:cNvCnPr/>
                        <wps:spPr>
                          <a:xfrm>
                            <a:off x="1589405" y="4719955"/>
                            <a:ext cx="448945" cy="635"/>
                          </a:xfrm>
                          <a:prstGeom prst="line">
                            <a:avLst/>
                          </a:prstGeom>
                          <a:ln w="12700" cap="flat" cmpd="sng">
                            <a:solidFill>
                              <a:srgbClr val="000000"/>
                            </a:solidFill>
                            <a:prstDash val="dash"/>
                            <a:headEnd type="triangle" w="med" len="med"/>
                            <a:tailEnd type="none" w="med" len="med"/>
                          </a:ln>
                          <a:effectLst/>
                        </wps:spPr>
                        <wps:bodyPr/>
                      </wps:wsp>
                      <wps:wsp>
                        <wps:cNvPr id="179" name="直接连接符 47"/>
                        <wps:cNvCnPr/>
                        <wps:spPr>
                          <a:xfrm>
                            <a:off x="1583055" y="4408805"/>
                            <a:ext cx="635" cy="621030"/>
                          </a:xfrm>
                          <a:prstGeom prst="line">
                            <a:avLst/>
                          </a:prstGeom>
                          <a:ln w="12700" cap="flat" cmpd="sng">
                            <a:solidFill>
                              <a:srgbClr val="000000"/>
                            </a:solidFill>
                            <a:prstDash val="dash"/>
                            <a:headEnd type="none" w="med" len="med"/>
                            <a:tailEnd type="none" w="med" len="med"/>
                          </a:ln>
                          <a:effectLst/>
                        </wps:spPr>
                        <wps:bodyPr/>
                      </wps:wsp>
                      <wps:wsp>
                        <wps:cNvPr id="180" name="直接连接符 48"/>
                        <wps:cNvCnPr/>
                        <wps:spPr>
                          <a:xfrm>
                            <a:off x="1379855" y="5005705"/>
                            <a:ext cx="236855" cy="0"/>
                          </a:xfrm>
                          <a:prstGeom prst="line">
                            <a:avLst/>
                          </a:prstGeom>
                          <a:ln w="12700" cap="flat" cmpd="sng">
                            <a:solidFill>
                              <a:srgbClr val="000000"/>
                            </a:solidFill>
                            <a:prstDash val="dash"/>
                            <a:headEnd type="triangle" w="med" len="med"/>
                            <a:tailEnd type="none" w="med" len="med"/>
                          </a:ln>
                          <a:effectLst/>
                        </wps:spPr>
                        <wps:bodyPr/>
                      </wps:wsp>
                      <wps:wsp>
                        <wps:cNvPr id="181" name="直接连接符 48"/>
                        <wps:cNvCnPr/>
                        <wps:spPr>
                          <a:xfrm>
                            <a:off x="1360805" y="4421505"/>
                            <a:ext cx="236855" cy="0"/>
                          </a:xfrm>
                          <a:prstGeom prst="line">
                            <a:avLst/>
                          </a:prstGeom>
                          <a:ln w="12700" cap="flat" cmpd="sng">
                            <a:solidFill>
                              <a:srgbClr val="000000"/>
                            </a:solidFill>
                            <a:prstDash val="dash"/>
                            <a:headEnd type="triangle" w="med" len="med"/>
                            <a:tailEnd type="none" w="med" len="med"/>
                          </a:ln>
                          <a:effectLst/>
                        </wps:spPr>
                        <wps:bodyPr/>
                      </wps:wsp>
                      <wps:wsp>
                        <wps:cNvPr id="182" name="文本框 51"/>
                        <wps:cNvSpPr txBox="1"/>
                        <wps:spPr>
                          <a:xfrm>
                            <a:off x="802005" y="4872355"/>
                            <a:ext cx="566420" cy="289560"/>
                          </a:xfrm>
                          <a:prstGeom prst="rect">
                            <a:avLst/>
                          </a:prstGeom>
                          <a:noFill/>
                          <a:ln w="12700">
                            <a:noFill/>
                          </a:ln>
                          <a:effectLst/>
                        </wps:spPr>
                        <wps:txbx>
                          <w:txbxContent>
                            <w:p>
                              <w:pPr>
                                <w:pStyle w:val="43"/>
                                <w:ind w:left="0" w:firstLine="0"/>
                                <w:jc w:val="both"/>
                                <w:rPr>
                                  <w:sz w:val="20"/>
                                  <w:szCs w:val="22"/>
                                </w:rPr>
                              </w:pPr>
                              <w:r>
                                <w:rPr>
                                  <w:rFonts w:hint="eastAsia"/>
                                  <w:sz w:val="20"/>
                                  <w:szCs w:val="22"/>
                                </w:rPr>
                                <w:t>噪声</w:t>
                              </w:r>
                            </w:p>
                          </w:txbxContent>
                        </wps:txbx>
                        <wps:bodyPr upright="1"/>
                      </wps:wsp>
                      <wps:wsp>
                        <wps:cNvPr id="183" name="文本框 51"/>
                        <wps:cNvSpPr txBox="1"/>
                        <wps:spPr>
                          <a:xfrm>
                            <a:off x="509270" y="4262755"/>
                            <a:ext cx="833755" cy="289560"/>
                          </a:xfrm>
                          <a:prstGeom prst="rect">
                            <a:avLst/>
                          </a:prstGeom>
                          <a:noFill/>
                          <a:ln w="12700">
                            <a:noFill/>
                          </a:ln>
                          <a:effectLst/>
                        </wps:spPr>
                        <wps:txbx>
                          <w:txbxContent>
                            <w:p>
                              <w:pPr>
                                <w:pStyle w:val="43"/>
                                <w:ind w:left="0" w:firstLine="0"/>
                                <w:jc w:val="both"/>
                                <w:rPr>
                                  <w:sz w:val="20"/>
                                  <w:szCs w:val="22"/>
                                </w:rPr>
                              </w:pPr>
                              <w:r>
                                <w:rPr>
                                  <w:rFonts w:hint="eastAsia"/>
                                  <w:sz w:val="20"/>
                                  <w:szCs w:val="22"/>
                                </w:rPr>
                                <w:t>无组织挥发</w:t>
                              </w:r>
                            </w:p>
                          </w:txbxContent>
                        </wps:txbx>
                        <wps:bodyPr upright="1"/>
                      </wps:wsp>
                      <wps:wsp>
                        <wps:cNvPr id="184" name="直接连接符 39"/>
                        <wps:cNvCnPr/>
                        <wps:spPr>
                          <a:xfrm>
                            <a:off x="2548255" y="4866005"/>
                            <a:ext cx="635" cy="424815"/>
                          </a:xfrm>
                          <a:prstGeom prst="line">
                            <a:avLst/>
                          </a:prstGeom>
                          <a:ln w="12700" cap="flat" cmpd="sng">
                            <a:solidFill>
                              <a:srgbClr val="000000"/>
                            </a:solidFill>
                            <a:prstDash val="solid"/>
                            <a:headEnd type="none" w="med" len="med"/>
                            <a:tailEnd type="triangle" w="med" len="med"/>
                          </a:ln>
                          <a:effectLst/>
                        </wps:spPr>
                        <wps:bodyPr/>
                      </wps:wsp>
                      <wps:wsp>
                        <wps:cNvPr id="186" name="文本框 38"/>
                        <wps:cNvSpPr txBox="1"/>
                        <wps:spPr>
                          <a:xfrm>
                            <a:off x="2050415" y="5283835"/>
                            <a:ext cx="1088390" cy="280670"/>
                          </a:xfrm>
                          <a:prstGeom prst="rect">
                            <a:avLst/>
                          </a:prstGeom>
                          <a:noFill/>
                          <a:ln w="12700" cap="flat" cmpd="sng">
                            <a:solidFill>
                              <a:srgbClr val="000000"/>
                            </a:solidFill>
                            <a:prstDash val="solid"/>
                            <a:miter/>
                            <a:headEnd type="none" w="med" len="med"/>
                            <a:tailEnd type="none" w="med" len="med"/>
                          </a:ln>
                          <a:effectLst/>
                        </wps:spPr>
                        <wps:txbx>
                          <w:txbxContent>
                            <w:p>
                              <w:pPr>
                                <w:adjustRightInd w:val="0"/>
                                <w:snapToGrid w:val="0"/>
                                <w:jc w:val="center"/>
                                <w:rPr>
                                  <w:rFonts w:hint="default" w:eastAsiaTheme="minorEastAsia"/>
                                  <w:kern w:val="0"/>
                                  <w:sz w:val="20"/>
                                  <w:szCs w:val="22"/>
                                  <w:lang w:val="en-US" w:eastAsia="zh-CN"/>
                                </w:rPr>
                              </w:pPr>
                              <w:r>
                                <w:rPr>
                                  <w:rFonts w:hint="eastAsia"/>
                                  <w:kern w:val="0"/>
                                  <w:sz w:val="20"/>
                                  <w:szCs w:val="22"/>
                                  <w:lang w:val="en-US" w:eastAsia="zh-CN"/>
                                </w:rPr>
                                <w:t>陆梁集中处理站</w:t>
                              </w:r>
                            </w:p>
                          </w:txbxContent>
                        </wps:txbx>
                        <wps:bodyPr upright="1"/>
                      </wps:wsp>
                      <wps:wsp>
                        <wps:cNvPr id="187" name="直接连接符 39"/>
                        <wps:cNvCnPr/>
                        <wps:spPr>
                          <a:xfrm>
                            <a:off x="2568575" y="5575935"/>
                            <a:ext cx="1905" cy="250825"/>
                          </a:xfrm>
                          <a:prstGeom prst="line">
                            <a:avLst/>
                          </a:prstGeom>
                          <a:ln w="12700" cap="flat" cmpd="sng">
                            <a:solidFill>
                              <a:srgbClr val="000000"/>
                            </a:solidFill>
                            <a:prstDash val="solid"/>
                            <a:headEnd type="none" w="med" len="med"/>
                            <a:tailEnd type="triangle" w="med" len="med"/>
                          </a:ln>
                          <a:effectLst/>
                        </wps:spPr>
                        <wps:bodyPr/>
                      </wps:wsp>
                      <wps:wsp>
                        <wps:cNvPr id="188" name="文本框 38"/>
                        <wps:cNvSpPr txBox="1"/>
                        <wps:spPr>
                          <a:xfrm>
                            <a:off x="2181225" y="5828665"/>
                            <a:ext cx="768985" cy="301625"/>
                          </a:xfrm>
                          <a:prstGeom prst="rect">
                            <a:avLst/>
                          </a:prstGeom>
                          <a:noFill/>
                          <a:ln w="12700" cap="flat" cmpd="sng">
                            <a:solidFill>
                              <a:srgbClr val="000000"/>
                            </a:solidFill>
                            <a:prstDash val="solid"/>
                            <a:miter/>
                            <a:headEnd type="none" w="med" len="med"/>
                            <a:tailEnd type="none" w="med" len="med"/>
                          </a:ln>
                          <a:effectLst/>
                        </wps:spPr>
                        <wps:txbx>
                          <w:txbxContent>
                            <w:p>
                              <w:pPr>
                                <w:adjustRightInd w:val="0"/>
                                <w:snapToGrid w:val="0"/>
                                <w:jc w:val="center"/>
                                <w:rPr>
                                  <w:kern w:val="0"/>
                                  <w:sz w:val="20"/>
                                  <w:szCs w:val="22"/>
                                </w:rPr>
                              </w:pPr>
                              <w:r>
                                <w:rPr>
                                  <w:rFonts w:hint="eastAsia"/>
                                  <w:kern w:val="0"/>
                                  <w:sz w:val="20"/>
                                  <w:szCs w:val="22"/>
                                </w:rPr>
                                <w:t>外输</w:t>
                              </w:r>
                            </w:p>
                          </w:txbxContent>
                        </wps:txbx>
                        <wps:bodyPr upright="1"/>
                      </wps:wsp>
                      <wps:wsp>
                        <wps:cNvPr id="189" name="直接连接符 46"/>
                        <wps:cNvCnPr/>
                        <wps:spPr>
                          <a:xfrm>
                            <a:off x="1562735" y="5419725"/>
                            <a:ext cx="448945" cy="635"/>
                          </a:xfrm>
                          <a:prstGeom prst="line">
                            <a:avLst/>
                          </a:prstGeom>
                          <a:ln w="12700" cap="flat" cmpd="sng">
                            <a:solidFill>
                              <a:srgbClr val="000000"/>
                            </a:solidFill>
                            <a:prstDash val="dash"/>
                            <a:headEnd type="triangle" w="med" len="med"/>
                            <a:tailEnd type="none" w="med" len="med"/>
                          </a:ln>
                          <a:effectLst/>
                        </wps:spPr>
                        <wps:bodyPr/>
                      </wps:wsp>
                      <wps:wsp>
                        <wps:cNvPr id="219" name="文本框 51"/>
                        <wps:cNvSpPr txBox="1"/>
                        <wps:spPr>
                          <a:xfrm>
                            <a:off x="1071880" y="5282565"/>
                            <a:ext cx="593090" cy="289560"/>
                          </a:xfrm>
                          <a:prstGeom prst="rect">
                            <a:avLst/>
                          </a:prstGeom>
                          <a:noFill/>
                          <a:ln w="12700">
                            <a:noFill/>
                          </a:ln>
                          <a:effectLst/>
                        </wps:spPr>
                        <wps:txbx>
                          <w:txbxContent>
                            <w:p>
                              <w:pPr>
                                <w:pStyle w:val="43"/>
                                <w:ind w:left="0" w:firstLine="0"/>
                                <w:jc w:val="both"/>
                                <w:rPr>
                                  <w:rFonts w:hint="eastAsia" w:eastAsia="宋体"/>
                                  <w:sz w:val="20"/>
                                  <w:szCs w:val="22"/>
                                  <w:lang w:val="en-US" w:eastAsia="zh-CN"/>
                                </w:rPr>
                              </w:pPr>
                              <w:r>
                                <w:rPr>
                                  <w:rFonts w:hint="eastAsia"/>
                                  <w:sz w:val="20"/>
                                  <w:szCs w:val="22"/>
                                  <w:lang w:val="en-US" w:eastAsia="zh-CN"/>
                                </w:rPr>
                                <w:t>回注</w:t>
                              </w:r>
                            </w:p>
                          </w:txbxContent>
                        </wps:txbx>
                        <wps:bodyPr upright="1"/>
                      </wps:wsp>
                      <wps:wsp>
                        <wps:cNvPr id="220" name="文本框 51"/>
                        <wps:cNvSpPr txBox="1"/>
                        <wps:spPr>
                          <a:xfrm>
                            <a:off x="1492885" y="5160645"/>
                            <a:ext cx="600075" cy="235585"/>
                          </a:xfrm>
                          <a:prstGeom prst="rect">
                            <a:avLst/>
                          </a:prstGeom>
                          <a:noFill/>
                          <a:ln w="12700">
                            <a:noFill/>
                          </a:ln>
                          <a:effectLst/>
                        </wps:spPr>
                        <wps:txbx>
                          <w:txbxContent>
                            <w:p>
                              <w:pPr>
                                <w:pStyle w:val="43"/>
                                <w:ind w:left="0" w:firstLine="0"/>
                                <w:jc w:val="both"/>
                                <w:rPr>
                                  <w:sz w:val="20"/>
                                  <w:szCs w:val="22"/>
                                </w:rPr>
                              </w:pPr>
                              <w:r>
                                <w:rPr>
                                  <w:rFonts w:hint="eastAsia"/>
                                  <w:sz w:val="20"/>
                                  <w:szCs w:val="22"/>
                                </w:rPr>
                                <w:t>采出水</w:t>
                              </w:r>
                            </w:p>
                          </w:txbxContent>
                        </wps:txbx>
                        <wps:bodyPr upright="1"/>
                      </wps:wsp>
                      <wps:wsp>
                        <wps:cNvPr id="221" name="直接连接符 64"/>
                        <wps:cNvCnPr/>
                        <wps:spPr>
                          <a:xfrm flipV="1">
                            <a:off x="3188335" y="5408295"/>
                            <a:ext cx="262255" cy="7620"/>
                          </a:xfrm>
                          <a:prstGeom prst="line">
                            <a:avLst/>
                          </a:prstGeom>
                          <a:ln w="12700" cap="flat" cmpd="sng">
                            <a:solidFill>
                              <a:srgbClr val="000000"/>
                            </a:solidFill>
                            <a:prstDash val="dash"/>
                            <a:headEnd type="none" w="med" len="med"/>
                            <a:tailEnd type="triangle" w="med" len="med"/>
                          </a:ln>
                          <a:effectLst/>
                        </wps:spPr>
                        <wps:bodyPr/>
                      </wps:wsp>
                      <wps:wsp>
                        <wps:cNvPr id="222" name="文本框 68"/>
                        <wps:cNvSpPr txBox="1"/>
                        <wps:spPr>
                          <a:xfrm>
                            <a:off x="3387725" y="5268595"/>
                            <a:ext cx="752475" cy="284480"/>
                          </a:xfrm>
                          <a:prstGeom prst="rect">
                            <a:avLst/>
                          </a:prstGeom>
                          <a:noFill/>
                          <a:ln w="12700">
                            <a:noFill/>
                          </a:ln>
                          <a:effectLst/>
                        </wps:spPr>
                        <wps:txbx>
                          <w:txbxContent>
                            <w:p>
                              <w:pPr>
                                <w:rPr>
                                  <w:sz w:val="20"/>
                                  <w:szCs w:val="20"/>
                                </w:rPr>
                              </w:pPr>
                              <w:r>
                                <w:rPr>
                                  <w:rFonts w:hint="eastAsia"/>
                                  <w:sz w:val="20"/>
                                  <w:szCs w:val="20"/>
                                </w:rPr>
                                <w:t>含油污泥</w:t>
                              </w:r>
                            </w:p>
                          </w:txbxContent>
                        </wps:txbx>
                        <wps:bodyPr upright="1"/>
                      </wps:wsp>
                      <wps:wsp>
                        <wps:cNvPr id="223" name="文本框 68"/>
                        <wps:cNvSpPr txBox="1"/>
                        <wps:spPr>
                          <a:xfrm>
                            <a:off x="4377690" y="5185410"/>
                            <a:ext cx="955675" cy="467995"/>
                          </a:xfrm>
                          <a:prstGeom prst="rect">
                            <a:avLst/>
                          </a:prstGeom>
                          <a:noFill/>
                          <a:ln w="12700">
                            <a:noFill/>
                          </a:ln>
                          <a:effectLst/>
                        </wps:spPr>
                        <wps:txbx>
                          <w:txbxContent>
                            <w:p>
                              <w:pPr>
                                <w:rPr>
                                  <w:sz w:val="20"/>
                                  <w:szCs w:val="20"/>
                                </w:rPr>
                              </w:pPr>
                              <w:r>
                                <w:rPr>
                                  <w:rFonts w:hint="eastAsia"/>
                                  <w:sz w:val="20"/>
                                  <w:szCs w:val="20"/>
                                </w:rPr>
                                <w:t>委托有资质的单位处置</w:t>
                              </w:r>
                            </w:p>
                          </w:txbxContent>
                        </wps:txbx>
                        <wps:bodyPr upright="1"/>
                      </wps:wsp>
                      <wps:wsp>
                        <wps:cNvPr id="224" name="直接连接符 64"/>
                        <wps:cNvCnPr/>
                        <wps:spPr>
                          <a:xfrm>
                            <a:off x="4048760" y="5415915"/>
                            <a:ext cx="352425" cy="1905"/>
                          </a:xfrm>
                          <a:prstGeom prst="line">
                            <a:avLst/>
                          </a:prstGeom>
                          <a:ln w="12700" cap="flat" cmpd="sng">
                            <a:solidFill>
                              <a:srgbClr val="000000"/>
                            </a:solidFill>
                            <a:prstDash val="dash"/>
                            <a:headEnd type="none" w="med" len="med"/>
                            <a:tailEnd type="triangle" w="med" len="med"/>
                          </a:ln>
                          <a:effectLst/>
                        </wps:spPr>
                        <wps:bodyPr/>
                      </wps:wsp>
                    </wpc:wpc>
                  </a:graphicData>
                </a:graphic>
              </wp:inline>
            </w:drawing>
          </mc:Choice>
          <mc:Fallback>
            <w:pict>
              <v:group id="画布 14" o:spid="_x0000_s1026" o:spt="203" style="height:500.8pt;width:419.95pt;" coordsize="5333365,6360160" editas="canvas" o:gfxdata="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">
                <o:lock v:ext="edit" aspectratio="f"/>
                <v:shape id="画布 14" o:spid="_x0000_s1026" style="position:absolute;left:0;top:0;height:6360160;width:5333365;" filled="f" stroked="t" coordsize="21600,21600" o:gfxdata="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">
                  <v:fill on="f" focussize="0,0"/>
                  <v:stroke color="#000000" joinstyle="round"/>
                  <v:imagedata o:title=""/>
                  <o:lock v:ext="edit" aspectratio="f"/>
                </v:shape>
                <v:line id="直接连接符 14" o:spid="_x0000_s1026" o:spt="20" style="position:absolute;left:1223010;top:498475;height:635;width:886460;"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ptm&#10;HtUAAAAGAQAADwAAAAAAAAABACAAAAAiAAAAZHJzL2Rvd25yZXYueG1sUEsBAhQAFAAAAAgAh07i&#10;QIAHK/fsAQAAqgMAAA4AAAAAAAAAAQAgAAAAJAEAAGRycy9lMm9Eb2MueG1sUEsFBgAAAAAGAAYA&#10;WQEAAIIFAAAAAA==&#10;">
                  <v:fill on="f" focussize="0,0"/>
                  <v:stroke weight="1pt" color="#000000" joinstyle="round" dashstyle="dash" startarrow="block"/>
                  <v:imagedata o:title=""/>
                  <o:lock v:ext="edit" aspectratio="f"/>
                </v:line>
                <v:line id="直接连接符 15" o:spid="_x0000_s1026" o:spt="20" style="position:absolute;left:1226185;top:121920;height:738505;width:635;" filled="f" stroked="t" coordsize="21600,21600" o:gfxdata="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OmzqNMAAAAGAQAA&#10;DwAAAAAAAAABACAAAAAiAAAAZHJzL2Rvd25yZXYueG1sUEsBAhQAFAAAAAgAh07iQAyC5TLlAQAA&#10;pgMAAA4AAAAAAAAAAQAgAAAAIgEAAGRycy9lMm9Eb2MueG1sUEsFBgAAAAAGAAYAWQEAAHkFAAAA&#10;AA==&#10;">
                  <v:fill on="f" focussize="0,0"/>
                  <v:stroke weight="1pt" color="#000000" joinstyle="round" dashstyle="dash"/>
                  <v:imagedata o:title=""/>
                  <o:lock v:ext="edit" aspectratio="f"/>
                </v:line>
                <v:line id="直接连接符 16" o:spid="_x0000_s1026" o:spt="20" style="position:absolute;left:997585;top:132080;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m2Ye&#10;1QAAAAYBAAAPAAAAAAAAAAEAIAAAACIAAABkcnMvZG93bnJldi54bWxQSwECFAAUAAAACACHTuJA&#10;mNupuesBAACnAwAADgAAAAAAAAABACAAAAAkAQAAZHJzL2Uyb0RvYy54bWxQSwUGAAAAAAYABgBZ&#10;AQAAgQUAAAAA&#10;">
                  <v:fill on="f" focussize="0,0"/>
                  <v:stroke weight="1pt" color="#000000" joinstyle="round" dashstyle="dash" startarrow="block"/>
                  <v:imagedata o:title=""/>
                  <o:lock v:ext="edit" aspectratio="f"/>
                </v:line>
                <v:line id="直接连接符 17" o:spid="_x0000_s1026" o:spt="20" style="position:absolute;left:997585;top:393700;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m2Ye&#10;1QAAAAYBAAAPAAAAAAAAAAEAIAAAACIAAABkcnMvZG93bnJldi54bWxQSwECFAAUAAAACACHTuJA&#10;N2NbhOsBAACnAwAADgAAAAAAAAABACAAAAAkAQAAZHJzL2Uyb0RvYy54bWxQSwUGAAAAAAYABgBZ&#10;AQAAgQUAAAAA&#10;">
                  <v:fill on="f" focussize="0,0"/>
                  <v:stroke weight="1pt" color="#000000" joinstyle="round" dashstyle="dash" startarrow="block"/>
                  <v:imagedata o:title=""/>
                  <o:lock v:ext="edit" aspectratio="f"/>
                </v:line>
                <v:line id="直接连接符 18" o:spid="_x0000_s1026" o:spt="20" style="position:absolute;left:997585;top:619125;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Zh7VAAAABgEAAA8AAAAAAAAAAQAgAAAAIgAAAGRycy9kb3ducmV2LnhtbFBLAQIUABQAAAAIAIdO&#10;4kCnpaIP7QEAAKcDAAAOAAAAAAAAAAEAIAAAACQBAABkcnMvZTJvRG9jLnhtbFBLBQYAAAAABgAG&#10;AFkBAACDBQAAAAA=&#10;">
                  <v:fill on="f" focussize="0,0"/>
                  <v:stroke weight="1pt" color="#000000" joinstyle="round" dashstyle="dash" startarrow="block"/>
                  <v:imagedata o:title=""/>
                  <o:lock v:ext="edit" aspectratio="f"/>
                </v:line>
                <v:line id="直接连接符 19" o:spid="_x0000_s1026" o:spt="20" style="position:absolute;left:992505;top:862330;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ptm&#10;HtUAAAAGAQAADwAAAAAAAAABACAAAAAiAAAAZHJzL2Rvd25yZXYueG1sUEsBAhQAFAAAAAgAh07i&#10;QPClMK7sAQAApwMAAA4AAAAAAAAAAQAgAAAAJAEAAGRycy9lMm9Eb2MueG1sUEsFBgAAAAAGAAYA&#10;WQEAAIIFAAAAAA==&#10;">
                  <v:fill on="f" focussize="0,0"/>
                  <v:stroke weight="1pt" color="#000000" joinstyle="round" dashstyle="dash" startarrow="block"/>
                  <v:imagedata o:title=""/>
                  <o:lock v:ext="edit" aspectratio="f"/>
                </v:line>
                <v:shape id="文本框 20" o:spid="_x0000_s1026" o:spt="202" type="#_x0000_t202" style="position:absolute;left:12065;top:727075;height:330200;width:100139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H11inVAAAABgEAAA8AAAAA&#10;AAAAAQAgAAAAIgAAAGRycy9kb3ducmV2LnhtbFBLAQIUABQAAAAIAIdO4kBUaZrRpQEAACMDAAAO&#10;AAAAAAAAAAEAIAAAACQBAABkcnMvZTJvRG9jLnhtbFBLBQYAAAAABgAGAFkBAAA7BQAAAAA=&#10;">
                  <v:fill on="f" focussize="0,0"/>
                  <v:stroke on="f" weight="1pt"/>
                  <v:imagedata o:title=""/>
                  <o:lock v:ext="edit" aspectratio="f"/>
                  <v:textbox>
                    <w:txbxContent>
                      <w:p>
                        <w:pPr>
                          <w:rPr>
                            <w:sz w:val="20"/>
                            <w:szCs w:val="20"/>
                          </w:rPr>
                        </w:pPr>
                        <w:r>
                          <w:rPr>
                            <w:rFonts w:hint="eastAsia"/>
                            <w:sz w:val="20"/>
                            <w:szCs w:val="20"/>
                          </w:rPr>
                          <w:t>影响野生动物</w:t>
                        </w:r>
                      </w:p>
                    </w:txbxContent>
                  </v:textbox>
                </v:shape>
                <v:shape id="文本框 21" o:spid="_x0000_s1026" o:spt="202" type="#_x0000_t202" style="position:absolute;left:0;top:483235;height:302260;width:101409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fXWKdUAAAAGAQAADwAA&#10;AAAAAAABACAAAAAiAAAAZHJzL2Rvd25yZXYueG1sUEsBAhQAFAAAAAgAh07iQNvAPrinAQAAHwMA&#10;AA4AAAAAAAAAAQAgAAAAJAEAAGRycy9lMm9Eb2MueG1sUEsFBgAAAAAGAAYAWQEAAD0FAAAAAA==&#10;">
                  <v:fill on="f" focussize="0,0"/>
                  <v:stroke on="f" weight="1pt"/>
                  <v:imagedata o:title=""/>
                  <o:lock v:ext="edit" aspectratio="f"/>
                  <v:textbox>
                    <w:txbxContent>
                      <w:p>
                        <w:pPr>
                          <w:rPr>
                            <w:sz w:val="20"/>
                            <w:szCs w:val="20"/>
                          </w:rPr>
                        </w:pPr>
                        <w:r>
                          <w:rPr>
                            <w:rFonts w:hint="eastAsia"/>
                            <w:sz w:val="20"/>
                            <w:szCs w:val="20"/>
                          </w:rPr>
                          <w:t>破坏地表植被</w:t>
                        </w:r>
                      </w:p>
                    </w:txbxContent>
                  </v:textbox>
                </v:shape>
                <v:shape id="文本框 22" o:spid="_x0000_s1026" o:spt="202" type="#_x0000_t202" style="position:absolute;left:186690;top:0;height:309880;width:76898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H11inVAAAABgEAAA8AAAAA&#10;AAAAAQAgAAAAIgAAAGRycy9kb3ducmV2LnhtbFBLAQIUABQAAAAIAIdO4kCxHkcipQEAAB4DAAAO&#10;AAAAAAAAAAEAIAAAACQBAABkcnMvZTJvRG9jLnhtbFBLBQYAAAAABgAGAFkBAAA7BQAAAAA=&#10;">
                  <v:fill on="f" focussize="0,0"/>
                  <v:stroke on="f" weight="1pt"/>
                  <v:imagedata o:title=""/>
                  <o:lock v:ext="edit" aspectratio="f"/>
                  <v:textbox>
                    <w:txbxContent>
                      <w:p>
                        <w:pPr>
                          <w:rPr>
                            <w:sz w:val="18"/>
                            <w:szCs w:val="18"/>
                          </w:rPr>
                        </w:pPr>
                        <w:r>
                          <w:rPr>
                            <w:rFonts w:hint="eastAsia"/>
                            <w:sz w:val="18"/>
                            <w:szCs w:val="18"/>
                          </w:rPr>
                          <w:t>占用土地</w:t>
                        </w:r>
                      </w:p>
                    </w:txbxContent>
                  </v:textbox>
                </v:shape>
                <v:shape id="文本框 23" o:spid="_x0000_s1026" o:spt="202" type="#_x0000_t202" style="position:absolute;left:71755;top:250190;height:323215;width:99822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R9dYp1QAAAAYBAAAP&#10;AAAAAAAAAAEAIAAAACIAAABkcnMvZG93bnJldi54bWxQSwECFAAUAAAACACHTuJAPyaGUqkBAAAi&#10;AwAADgAAAAAAAAABACAAAAAkAQAAZHJzL2Uyb0RvYy54bWxQSwUGAAAAAAYABgBZAQAAPwUAAAAA&#10;">
                  <v:fill on="f" focussize="0,0"/>
                  <v:stroke on="f" weight="1pt"/>
                  <v:imagedata o:title=""/>
                  <o:lock v:ext="edit" aspectratio="f"/>
                  <v:textbox>
                    <w:txbxContent>
                      <w:p>
                        <w:pPr>
                          <w:rPr>
                            <w:sz w:val="20"/>
                            <w:szCs w:val="20"/>
                          </w:rPr>
                        </w:pPr>
                        <w:r>
                          <w:rPr>
                            <w:rFonts w:hint="eastAsia"/>
                            <w:sz w:val="20"/>
                            <w:szCs w:val="20"/>
                          </w:rPr>
                          <w:t>土壤扰动</w:t>
                        </w:r>
                      </w:p>
                    </w:txbxContent>
                  </v:textbox>
                </v:shape>
                <v:shape id="文本框 24" o:spid="_x0000_s1026" o:spt="202" type="#_x0000_t202" style="position:absolute;left:3420745;top:285115;height:497205;width:126492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fXWKdUAAAAG&#10;AQAADwAAAAAAAAABACAAAAAiAAAAZHJzL2Rvd25yZXYueG1sUEsBAhQAFAAAAAgAh07iQMvfduSt&#10;AQAAJQMAAA4AAAAAAAAAAQAgAAAAJAEAAGRycy9lMm9Eb2MueG1sUEsFBgAAAAAGAAYAWQEAAEMF&#10;AAAAAA==&#10;">
                  <v:fill on="f" focussize="0,0"/>
                  <v:stroke on="f" weight="1pt"/>
                  <v:imagedata o:title=""/>
                  <o:lock v:ext="edit" aspectratio="f"/>
                  <v:textbox>
                    <w:txbxContent>
                      <w:p>
                        <w:pPr>
                          <w:pStyle w:val="43"/>
                          <w:rPr>
                            <w:sz w:val="18"/>
                            <w:szCs w:val="18"/>
                          </w:rPr>
                        </w:pPr>
                        <w:r>
                          <w:rPr>
                            <w:rFonts w:hint="eastAsia"/>
                            <w:sz w:val="18"/>
                            <w:szCs w:val="18"/>
                          </w:rPr>
                          <w:t>施工机械废气</w:t>
                        </w:r>
                      </w:p>
                      <w:p>
                        <w:pPr>
                          <w:pStyle w:val="43"/>
                          <w:rPr>
                            <w:sz w:val="18"/>
                            <w:szCs w:val="18"/>
                          </w:rPr>
                        </w:pPr>
                        <w:r>
                          <w:rPr>
                            <w:rFonts w:hint="eastAsia"/>
                            <w:sz w:val="18"/>
                            <w:szCs w:val="18"/>
                          </w:rPr>
                          <w:t>运输车辆尾气</w:t>
                        </w:r>
                      </w:p>
                    </w:txbxContent>
                  </v:textbox>
                </v:shape>
                <v:shape id="文本框 25" o:spid="_x0000_s1026" o:spt="202" type="#_x0000_t202" style="position:absolute;left:1325880;top:156845;height:349885;width:74231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fXWKdUAAAAGAQAA&#10;DwAAAAAAAAABACAAAAAiAAAAZHJzL2Rvd25yZXYueG1sUEsBAhQAFAAAAAgAh07iQLlVmaqqAQAA&#10;JAMAAA4AAAAAAAAAAQAgAAAAJAEAAGRycy9lMm9Eb2MueG1sUEsFBgAAAAAGAAYAWQEAAEAFAAAA&#10;AA==&#10;">
                  <v:fill on="f" focussize="0,0"/>
                  <v:stroke on="f" weight="1pt"/>
                  <v:imagedata o:title=""/>
                  <o:lock v:ext="edit" aspectratio="f"/>
                  <v:textbox>
                    <w:txbxContent>
                      <w:p>
                        <w:pPr>
                          <w:rPr>
                            <w:sz w:val="20"/>
                            <w:szCs w:val="20"/>
                          </w:rPr>
                        </w:pPr>
                        <w:r>
                          <w:rPr>
                            <w:rFonts w:hint="eastAsia"/>
                            <w:sz w:val="20"/>
                            <w:szCs w:val="20"/>
                          </w:rPr>
                          <w:t>生态影响</w:t>
                        </w:r>
                      </w:p>
                    </w:txbxContent>
                  </v:textbox>
                </v:shape>
                <v:shape id="文本框 26" o:spid="_x0000_s1026" o:spt="202" type="#_x0000_t202" style="position:absolute;left:2104390;top:41275;height:761365;width:768985;" filled="f" stroked="t" coordsize="21600,21600" o:gfxdata="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FhG11AAAAAYBAAAPAAAAAAAAAAEAIAAAACIAAABkcnMvZG93bnJldi54&#10;bWxQSwECFAAUAAAACACHTuJAc4D2l/4BAADZAwAADgAAAAAAAAABACAAAAAjAQAAZHJzL2Uyb0Rv&#10;Yy54bWxQSwUGAAAAAAYABgBZAQAAkwUAAAAA&#10;">
                  <v:fill on="f" focussize="0,0"/>
                  <v:stroke weight="1pt" color="#000000" joinstyle="miter"/>
                  <v:imagedata o:title=""/>
                  <o:lock v:ext="edit" aspectratio="f"/>
                  <v:textbox>
                    <w:txbxContent>
                      <w:p>
                        <w:pPr>
                          <w:pStyle w:val="43"/>
                          <w:ind w:left="0" w:firstLine="0"/>
                        </w:pPr>
                        <w:r>
                          <w:rPr>
                            <w:rFonts w:hint="eastAsia"/>
                            <w:sz w:val="20"/>
                            <w:szCs w:val="22"/>
                          </w:rPr>
                          <w:t>井场建设、</w:t>
                        </w:r>
                        <w:r>
                          <w:rPr>
                            <w:rFonts w:hint="eastAsia"/>
                            <w:sz w:val="20"/>
                            <w:szCs w:val="22"/>
                            <w:lang w:val="en-US" w:eastAsia="zh-CN"/>
                          </w:rPr>
                          <w:t>管线</w:t>
                        </w:r>
                        <w:r>
                          <w:rPr>
                            <w:rFonts w:hint="eastAsia"/>
                            <w:sz w:val="20"/>
                            <w:szCs w:val="22"/>
                          </w:rPr>
                          <w:t>、</w:t>
                        </w:r>
                        <w:r>
                          <w:rPr>
                            <w:rFonts w:hint="eastAsia"/>
                            <w:sz w:val="20"/>
                            <w:szCs w:val="22"/>
                            <w:lang w:val="en-US" w:eastAsia="zh-CN"/>
                          </w:rPr>
                          <w:t>计量装置、电力线架设</w:t>
                        </w:r>
                        <w:r>
                          <w:rPr>
                            <w:rFonts w:hint="eastAsia"/>
                            <w:sz w:val="20"/>
                            <w:szCs w:val="22"/>
                          </w:rPr>
                          <w:t>等</w:t>
                        </w:r>
                      </w:p>
                    </w:txbxContent>
                  </v:textbox>
                </v:shape>
                <v:line id="直接连接符 27" o:spid="_x0000_s1026" o:spt="20" style="position:absolute;left:3329305;top:140335;height:0;width:23685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SitDYAAAABgEAAA8AAAAAAAAAAQAgAAAAIgAAAGRycy9kb3ducmV2LnhtbFBLAQIUABQAAAAI&#10;AIdO4kDxlZko7QEAAKgDAAAOAAAAAAAAAAEAIAAAACcBAABkcnMvZTJvRG9jLnhtbFBLBQYAAAAA&#10;BgAGAFkBAACGBQAAAAA=&#10;">
                  <v:fill on="f" focussize="0,0"/>
                  <v:stroke weight="1pt" color="#000000" joinstyle="round" dashstyle="dash" endarrow="block"/>
                  <v:imagedata o:title=""/>
                  <o:lock v:ext="edit" aspectratio="f"/>
                </v:line>
                <v:line id="直接连接符 28" o:spid="_x0000_s1026" o:spt="20" style="position:absolute;left:3335020;top:499110;height:0;width:23685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SitDYAAAABgEAAA8AAAAAAAAAAQAgAAAAIgAAAGRycy9kb3ducmV2LnhtbFBLAQIUABQAAAAI&#10;AIdO4kADo5k27QEAAKgDAAAOAAAAAAAAAAEAIAAAACcBAABkcnMvZTJvRG9jLnhtbFBLBQYAAAAA&#10;BgAGAFkBAACGBQAAAAA=&#10;">
                  <v:fill on="f" focussize="0,0"/>
                  <v:stroke weight="1pt" color="#000000" joinstyle="round" dashstyle="dash" endarrow="block"/>
                  <v:imagedata o:title=""/>
                  <o:lock v:ext="edit" aspectratio="f"/>
                </v:line>
                <v:line id="直接连接符 29" o:spid="_x0000_s1026" o:spt="20" style="position:absolute;left:2874645;top:494665;height:635;width:44894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BSitDYAAAABgEAAA8AAAAAAAAAAQAgAAAAIgAAAGRycy9kb3ducmV2LnhtbFBLAQIUABQA&#10;AAAIAIdO4kAf2e6P8AEAAKoDAAAOAAAAAAAAAAEAIAAAACcBAABkcnMvZTJvRG9jLnhtbFBLBQYA&#10;AAAABgAGAFkBAACJBQAAAAA=&#10;">
                  <v:fill on="f" focussize="0,0"/>
                  <v:stroke weight="1pt" color="#000000" joinstyle="round" dashstyle="dash" endarrow="block"/>
                  <v:imagedata o:title=""/>
                  <o:lock v:ext="edit" aspectratio="f"/>
                </v:line>
                <v:line id="直接连接符 30" o:spid="_x0000_s1026" o:spt="20" style="position:absolute;left:3317875;top:139700;flip:x;height:723265;width:5080;" filled="f" stroked="t" coordsize="21600,21600" o:gfxdata="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Pv&#10;IrvVAAAABgEAAA8AAAAAAAAAAQAgAAAAIgAAAGRycy9kb3ducmV2LnhtbFBLAQIUABQAAAAIAIdO&#10;4kALJ+no7QEAALEDAAAOAAAAAAAAAAEAIAAAACQBAABkcnMvZTJvRG9jLnhtbFBLBQYAAAAABgAG&#10;AFkBAACDBQAAAAA=&#10;">
                  <v:fill on="f" focussize="0,0"/>
                  <v:stroke weight="1pt" color="#000000" joinstyle="round" dashstyle="dash"/>
                  <v:imagedata o:title=""/>
                  <o:lock v:ext="edit" aspectratio="f"/>
                </v:line>
                <v:line id="直接连接符 31" o:spid="_x0000_s1026" o:spt="20" style="position:absolute;left:3324225;top:855980;height:0;width:23685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SitDYAAAABgEAAA8AAAAAAAAAAQAgAAAAIgAAAGRycy9kb3ducmV2LnhtbFBLAQIUABQAAAAI&#10;AIdO4kASePmv7QEAAKgDAAAOAAAAAAAAAAEAIAAAACcBAABkcnMvZTJvRG9jLnhtbFBLBQYAAAAA&#10;BgAGAFkBAACGBQAAAAA=&#10;">
                  <v:fill on="f" focussize="0,0"/>
                  <v:stroke weight="1pt" color="#000000" joinstyle="round" dashstyle="dash" endarrow="block"/>
                  <v:imagedata o:title=""/>
                  <o:lock v:ext="edit" aspectratio="f"/>
                </v:line>
                <v:shape id="文本框 32" o:spid="_x0000_s1026" o:spt="202" type="#_x0000_t202" style="position:absolute;left:3571875;top:22860;height:275590;width:76898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R9dYp1QAAAAYBAAAP&#10;AAAAAAAAAAEAIAAAACIAAABkcnMvZG93bnJldi54bWxQSwECFAAUAAAACACHTuJAi38l2akBAAAj&#10;AwAADgAAAAAAAAABACAAAAAkAQAAZHJzL2Uyb0RvYy54bWxQSwUGAAAAAAYABgBZAQAAPwUAAAAA&#10;">
                  <v:fill on="f" focussize="0,0"/>
                  <v:stroke on="f" weight="1pt"/>
                  <v:imagedata o:title=""/>
                  <o:lock v:ext="edit" aspectratio="f"/>
                  <v:textbox>
                    <w:txbxContent>
                      <w:p>
                        <w:pPr>
                          <w:pStyle w:val="43"/>
                          <w:rPr>
                            <w:sz w:val="20"/>
                            <w:szCs w:val="22"/>
                          </w:rPr>
                        </w:pPr>
                        <w:r>
                          <w:rPr>
                            <w:rFonts w:hint="eastAsia"/>
                            <w:sz w:val="20"/>
                            <w:szCs w:val="22"/>
                          </w:rPr>
                          <w:t>扬尘</w:t>
                        </w:r>
                      </w:p>
                    </w:txbxContent>
                  </v:textbox>
                </v:shape>
                <v:shape id="文本框 33" o:spid="_x0000_s1026" o:spt="202" type="#_x0000_t202" style="position:absolute;left:3609340;top:757555;height:275590;width:76898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H11inVAAAABgEA&#10;AA8AAAAAAAAAAQAgAAAAIgAAAGRycy9kb3ducmV2LnhtbFBLAQIUABQAAAAIAIdO4kBYmv2nqwEA&#10;ACQDAAAOAAAAAAAAAAEAIAAAACQBAABkcnMvZTJvRG9jLnhtbFBLBQYAAAAABgAGAFkBAABBBQAA&#10;AAA=&#10;">
                  <v:fill on="f" focussize="0,0"/>
                  <v:stroke on="f" weight="1pt"/>
                  <v:imagedata o:title=""/>
                  <o:lock v:ext="edit" aspectratio="f"/>
                  <v:textbox>
                    <w:txbxContent>
                      <w:p>
                        <w:pPr>
                          <w:pStyle w:val="43"/>
                          <w:rPr>
                            <w:sz w:val="20"/>
                            <w:szCs w:val="22"/>
                          </w:rPr>
                        </w:pPr>
                        <w:r>
                          <w:rPr>
                            <w:rFonts w:hint="eastAsia"/>
                            <w:sz w:val="20"/>
                            <w:szCs w:val="22"/>
                          </w:rPr>
                          <w:t>噪声</w:t>
                        </w:r>
                      </w:p>
                    </w:txbxContent>
                  </v:textbox>
                </v:shape>
                <v:shape id="文本框 34" o:spid="_x0000_s1026" o:spt="202" type="#_x0000_t202" style="position:absolute;left:2135505;top:1369060;height:302260;width:768985;" filled="f" stroked="t" coordsize="21600,21600" o:gfxdata="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0WEbXUAAAABgEAAA8AAAAAAAAAAQAgAAAAIgAAAGRycy9kb3ducmV2Lnht&#10;bFBLAQIUABQAAAAIAIdO4kAGmfg5/QEAANsDAAAOAAAAAAAAAAEAIAAAACMBAABkcnMvZTJvRG9j&#10;LnhtbFBLBQYAAAAABgAGAFkBAACSBQAAAAA=&#10;">
                  <v:fill on="f" focussize="0,0"/>
                  <v:stroke weight="1pt" color="#000000" joinstyle="miter"/>
                  <v:imagedata o:title=""/>
                  <o:lock v:ext="edit" aspectratio="f"/>
                  <v:textbox>
                    <w:txbxContent>
                      <w:p>
                        <w:pPr>
                          <w:pStyle w:val="43"/>
                          <w:ind w:left="0" w:firstLine="0"/>
                          <w:rPr>
                            <w:sz w:val="20"/>
                            <w:szCs w:val="22"/>
                          </w:rPr>
                        </w:pPr>
                        <w:r>
                          <w:rPr>
                            <w:rFonts w:hint="eastAsia"/>
                            <w:sz w:val="20"/>
                            <w:szCs w:val="22"/>
                          </w:rPr>
                          <w:t>钻前作业</w:t>
                        </w:r>
                      </w:p>
                    </w:txbxContent>
                  </v:textbox>
                </v:shape>
                <v:line id="直接连接符 35" o:spid="_x0000_s1026" o:spt="20" style="position:absolute;left:2516505;top:1671320;flip:x;height:685165;width:3810;" filled="f" stroked="t" coordsize="21600,21600" o:gfxdata="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cP0Z1wAAAAYBAAAPAAAAAAAAAAEAIAAAACIAAABkcnMvZG93bnJldi54bWxQSwECFAAU&#10;AAAACACHTuJA3geczfIBAAC3AwAADgAAAAAAAAABACAAAAAmAQAAZHJzL2Uyb0RvYy54bWxQSwUG&#10;AAAAAAYABgBZAQAAigUAAAAA&#10;">
                  <v:fill on="f" focussize="0,0"/>
                  <v:stroke weight="1pt" color="#000000" joinstyle="round" endarrow="block"/>
                  <v:imagedata o:title=""/>
                  <o:lock v:ext="edit" aspectratio="f"/>
                </v:line>
                <v:shape id="文本框 36" o:spid="_x0000_s1026" o:spt="202" type="#_x0000_t202" style="position:absolute;left:2143125;top:2384425;height:301625;width:768985;" filled="f" stroked="t" coordsize="21600,21600" o:gfxdata="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FhG11AAAAAYBAAAPAAAAAAAAAAEAIAAAACIAAABkcnMvZG93bnJldi54&#10;bWxQSwECFAAUAAAACACHTuJAQtI/Yv4BAADbAwAADgAAAAAAAAABACAAAAAjAQAAZHJzL2Uyb0Rv&#10;Yy54bWxQSwUGAAAAAAYABgBZAQAAkwUAAAAA&#10;">
                  <v:fill on="f" focussize="0,0"/>
                  <v:stroke weight="1pt" color="#000000" joinstyle="miter"/>
                  <v:imagedata o:title=""/>
                  <o:lock v:ext="edit" aspectratio="f"/>
                  <v:textbox>
                    <w:txbxContent>
                      <w:p>
                        <w:pPr>
                          <w:pStyle w:val="43"/>
                          <w:ind w:left="0" w:firstLine="0"/>
                          <w:rPr>
                            <w:sz w:val="20"/>
                            <w:szCs w:val="22"/>
                          </w:rPr>
                        </w:pPr>
                        <w:r>
                          <w:rPr>
                            <w:rFonts w:hint="eastAsia"/>
                            <w:sz w:val="20"/>
                            <w:szCs w:val="22"/>
                          </w:rPr>
                          <w:t>钻井工程</w:t>
                        </w:r>
                      </w:p>
                    </w:txbxContent>
                  </v:textbox>
                </v:shape>
                <v:line id="直接连接符 37" o:spid="_x0000_s1026" o:spt="20" style="position:absolute;left:2521585;top:2686050;flip:x;height:1121410;width:6350;" filled="f" stroked="t" coordsize="21600,21600" o:gfxdata="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cP0Z1wAAAAYBAAAPAAAAAAAAAAEAIAAAACIAAABkcnMv&#10;ZG93bnJldi54bWxQSwECFAAUAAAACACHTuJA9N3k4QQCAADfAwAADgAAAAAAAAABACAAAAAmAQAA&#10;ZHJzL2Uyb0RvYy54bWxQSwUGAAAAAAYABgBZAQAAnAUAAAAA&#10;">
                  <v:fill on="f" focussize="0,0"/>
                  <v:stroke weight="1pt" color="#000000" joinstyle="round" endarrow="block"/>
                  <v:imagedata o:title=""/>
                  <o:lock v:ext="edit" aspectratio="f"/>
                </v:line>
                <v:shape id="文本框 38" o:spid="_x0000_s1026" o:spt="202" type="#_x0000_t202" style="position:absolute;left:2143760;top:3808730;height:301625;width:768985;" filled="f" stroked="t" coordsize="21600,21600" o:gfxdata="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RYRtdQAAAAGAQAADwAAAAAAAAABACAAAAAiAAAAZHJzL2Rvd25yZXYueG1s&#10;UEsBAhQAFAAAAAgAh07iQKPbBIz8AQAA2wMAAA4AAAAAAAAAAQAgAAAAIwEAAGRycy9lMm9Eb2Mu&#10;eG1sUEsFBgAAAAAGAAYAWQEAAJEFAAAAAA==&#10;">
                  <v:fill on="f" focussize="0,0"/>
                  <v:stroke weight="1pt" color="#000000" joinstyle="miter"/>
                  <v:imagedata o:title=""/>
                  <o:lock v:ext="edit" aspectratio="f"/>
                  <v:textbox>
                    <w:txbxContent>
                      <w:p>
                        <w:pPr>
                          <w:adjustRightInd w:val="0"/>
                          <w:snapToGrid w:val="0"/>
                          <w:jc w:val="center"/>
                          <w:rPr>
                            <w:kern w:val="0"/>
                            <w:sz w:val="20"/>
                            <w:szCs w:val="22"/>
                          </w:rPr>
                        </w:pPr>
                        <w:r>
                          <w:rPr>
                            <w:rFonts w:hint="eastAsia"/>
                            <w:kern w:val="0"/>
                            <w:sz w:val="20"/>
                            <w:szCs w:val="22"/>
                          </w:rPr>
                          <w:t>采油工程</w:t>
                        </w:r>
                      </w:p>
                    </w:txbxContent>
                  </v:textbox>
                </v:shape>
                <v:line id="直接连接符 39" o:spid="_x0000_s1026" o:spt="20" style="position:absolute;left:2520950;top:4131310;height:424815;width:635;" filled="f" stroked="t" coordsize="21600,21600" o:gfxdata="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mP&#10;yZXVAAAABgEAAA8AAAAAAAAAAQAgAAAAIgAAAGRycy9kb3ducmV2LnhtbFBLAQIUABQAAAAIAIdO&#10;4kBjRVRO7QEAAKwDAAAOAAAAAAAAAAEAIAAAACQBAABkcnMvZTJvRG9jLnhtbFBLBQYAAAAABgAG&#10;AFkBAACDBQAAAAA=&#10;">
                  <v:fill on="f" focussize="0,0"/>
                  <v:stroke weight="1pt" color="#000000" joinstyle="round" endarrow="block"/>
                  <v:imagedata o:title=""/>
                  <o:lock v:ext="edit" aspectratio="f"/>
                </v:line>
                <v:shape id="文本框 40" o:spid="_x0000_s1026" o:spt="202" type="#_x0000_t202" style="position:absolute;left:2049780;top:4562475;height:301625;width:966470;" filled="f" stroked="t" coordsize="21600,21600" o:gfxdata="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RYRtdQAAAAGAQAADwAAAAAAAAABACAAAAAiAAAAZHJzL2Rvd25yZXYu&#10;eG1sUEsBAhQAFAAAAAgAh07iQMBnbsb/AQAA2wMAAA4AAAAAAAAAAQAgAAAAIwEAAGRycy9lMm9E&#10;b2MueG1sUEsFBgAAAAAGAAYAWQEAAJQFAAAAAA==&#10;">
                  <v:fill on="f" focussize="0,0"/>
                  <v:stroke weight="1pt" color="#000000" joinstyle="miter"/>
                  <v:imagedata o:title=""/>
                  <o:lock v:ext="edit" aspectratio="f"/>
                  <v:textbox>
                    <w:txbxContent>
                      <w:p>
                        <w:pPr>
                          <w:adjustRightInd w:val="0"/>
                          <w:snapToGrid w:val="0"/>
                          <w:jc w:val="center"/>
                          <w:rPr>
                            <w:kern w:val="0"/>
                            <w:sz w:val="20"/>
                            <w:szCs w:val="22"/>
                          </w:rPr>
                        </w:pPr>
                        <w:r>
                          <w:rPr>
                            <w:rFonts w:hint="eastAsia"/>
                            <w:kern w:val="0"/>
                            <w:sz w:val="20"/>
                            <w:szCs w:val="22"/>
                          </w:rPr>
                          <w:t>计量站</w:t>
                        </w:r>
                      </w:p>
                    </w:txbxContent>
                  </v:textbox>
                </v:shape>
                <v:line id="直接连接符 41" o:spid="_x0000_s1026" o:spt="20" style="position:absolute;left:3667760;top:2068195;height:0;width:23685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BSitDYAAAABgEAAA8AAAAAAAAAAQAgAAAAIgAAAGRycy9kb3ducmV2LnhtbFBLAQIUABQA&#10;AAAIAIdO4kDbPAQw8AEAAKkDAAAOAAAAAAAAAAEAIAAAACcBAABkcnMvZTJvRG9jLnhtbFBLBQYA&#10;AAAABgAGAFkBAACJBQAAAAA=&#10;">
                  <v:fill on="f" focussize="0,0"/>
                  <v:stroke weight="1pt" color="#000000" joinstyle="round" dashstyle="dash" endarrow="block"/>
                  <v:imagedata o:title=""/>
                  <o:lock v:ext="edit" aspectratio="f"/>
                </v:line>
                <v:line id="直接连接符 42" o:spid="_x0000_s1026" o:spt="20" style="position:absolute;left:2921635;top:2505710;height:635;width:73977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UorQ2AAAAAYBAAAPAAAAAAAAAAEAIAAAACIAAABkcnMvZG93bnJldi54bWxQSwECFAAUAAAACACH&#10;TuJAYjwie+sBAACrAwAADgAAAAAAAAABACAAAAAnAQAAZHJzL2Uyb0RvYy54bWxQSwUGAAAAAAYA&#10;BgBZAQAAhAUAAAAA&#10;">
                  <v:fill on="f" focussize="0,0"/>
                  <v:stroke weight="1pt" color="#000000" joinstyle="round" dashstyle="dash" endarrow="block"/>
                  <v:imagedata o:title=""/>
                  <o:lock v:ext="edit" aspectratio="f"/>
                </v:line>
                <v:line id="直接连接符 43" o:spid="_x0000_s1026" o:spt="20" style="position:absolute;left:3663315;top:2066290;height:824230;width:5080;" filled="f" stroked="t" coordsize="21600,21600" o:gfxdata="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6bOo0wAA&#10;AAYBAAAPAAAAAAAAAAEAIAAAACIAAABkcnMvZG93bnJldi54bWxQSwECFAAUAAAACACHTuJAEtIG&#10;quoBAACoAwAADgAAAAAAAAABACAAAAAiAQAAZHJzL2Uyb0RvYy54bWxQSwUGAAAAAAYABgBZAQAA&#10;fgUAAAAA&#10;">
                  <v:fill on="f" focussize="0,0"/>
                  <v:stroke weight="1pt" color="#000000" joinstyle="round" dashstyle="dash"/>
                  <v:imagedata o:title=""/>
                  <o:lock v:ext="edit" aspectratio="f"/>
                </v:line>
                <v:line id="直接连接符 44" o:spid="_x0000_s1026" o:spt="20" style="position:absolute;left:3683000;top:2885440;height:0;width:23685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UorQ2AAAAAYBAAAPAAAAAAAAAAEAIAAAACIAAABkcnMvZG93bnJldi54bWxQSwECFAAUAAAACACH&#10;TuJAMbAiy+sBAACpAwAADgAAAAAAAAABACAAAAAnAQAAZHJzL2Uyb0RvYy54bWxQSwUGAAAAAAYA&#10;BgBZAQAAhAUAAAAA&#10;">
                  <v:fill on="f" focussize="0,0"/>
                  <v:stroke weight="1pt" color="#000000" joinstyle="round" dashstyle="dash" endarrow="block"/>
                  <v:imagedata o:title=""/>
                  <o:lock v:ext="edit" aspectratio="f"/>
                </v:line>
                <v:shape id="文本框 45" o:spid="_x0000_s1026" o:spt="202" type="#_x0000_t202" style="position:absolute;left:570230;top:2766695;height:275590;width:90868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fXWKdUAAAAGAQAA&#10;DwAAAAAAAAABACAAAAAiAAAAZHJzL2Rvd25yZXYueG1sUEsBAhQAFAAAAAgAh07iQLjEppOqAQAA&#10;JAMAAA4AAAAAAAAAAQAgAAAAJAEAAGRycy9lMm9Eb2MueG1sUEsFBgAAAAAGAAYAWQEAAEAFAAAA&#10;AA==&#10;">
                  <v:fill on="f" focussize="0,0"/>
                  <v:stroke on="f" weight="1pt"/>
                  <v:imagedata o:title=""/>
                  <o:lock v:ext="edit" aspectratio="f"/>
                  <v:textbox>
                    <w:txbxContent>
                      <w:p>
                        <w:pPr>
                          <w:pStyle w:val="43"/>
                          <w:rPr>
                            <w:sz w:val="20"/>
                            <w:szCs w:val="22"/>
                          </w:rPr>
                        </w:pPr>
                        <w:r>
                          <w:rPr>
                            <w:rFonts w:hint="eastAsia"/>
                            <w:sz w:val="20"/>
                            <w:szCs w:val="22"/>
                          </w:rPr>
                          <w:t>噪声</w:t>
                        </w:r>
                      </w:p>
                    </w:txbxContent>
                  </v:textbox>
                </v:shape>
                <v:line id="直接连接符 46" o:spid="_x0000_s1026" o:spt="20" style="position:absolute;left:1685290;top:2587625;height:635;width:44894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m2Ye1QAAAAYBAAAPAAAAAAAAAAEAIAAAACIAAABkcnMvZG93bnJldi54bWxQSwECFAAUAAAA&#10;CACHTuJAQN3gYvEBAACrAwAADgAAAAAAAAABACAAAAAkAQAAZHJzL2Uyb0RvYy54bWxQSwUGAAAA&#10;AAYABgBZAQAAhwUAAAAA&#10;">
                  <v:fill on="f" focussize="0,0"/>
                  <v:stroke weight="1pt" color="#000000" joinstyle="round" dashstyle="dash" startarrow="block"/>
                  <v:imagedata o:title=""/>
                  <o:lock v:ext="edit" aspectratio="f"/>
                </v:line>
                <v:line id="直接连接符 47" o:spid="_x0000_s1026" o:spt="20" style="position:absolute;left:1685290;top:2291080;height:621030;width:635;" filled="f" stroked="t" coordsize="21600,21600" o:gfxdata="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OmzqNMAAAAG&#10;AQAADwAAAAAAAAABACAAAAAiAAAAZHJzL2Rvd25yZXYueG1sUEsBAhQAFAAAAAgAh07iQF5W2//o&#10;AQAApwMAAA4AAAAAAAAAAQAgAAAAIgEAAGRycy9lMm9Eb2MueG1sUEsFBgAAAAAGAAYAWQEAAHwF&#10;AAAAAA==&#10;">
                  <v:fill on="f" focussize="0,0"/>
                  <v:stroke weight="1pt" color="#000000" joinstyle="round" dashstyle="dash"/>
                  <v:imagedata o:title=""/>
                  <o:lock v:ext="edit" aspectratio="f"/>
                </v:line>
                <v:line id="直接连接符 48" o:spid="_x0000_s1026" o:spt="20" style="position:absolute;left:1456690;top:2310765;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abZh7VAAAABgEAAA8AAAAAAAAAAQAgAAAAIgAAAGRycy9kb3ducmV2LnhtbFBLAQIUABQAAAAI&#10;AIdO4kBQ14gp8AEAAKkDAAAOAAAAAAAAAAEAIAAAACQBAABkcnMvZTJvRG9jLnhtbFBLBQYAAAAA&#10;BgAGAFkBAACGBQAAAAA=&#10;">
                  <v:fill on="f" focussize="0,0"/>
                  <v:stroke weight="1pt" color="#000000" joinstyle="round" dashstyle="dash" startarrow="block"/>
                  <v:imagedata o:title=""/>
                  <o:lock v:ext="edit" aspectratio="f"/>
                </v:line>
                <v:line id="直接连接符 49" o:spid="_x0000_s1026" o:spt="20" style="position:absolute;left:1456690;top:2594610;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ptmHtUAAAAGAQAADwAAAAAAAAABACAAAAAiAAAAZHJzL2Rvd25yZXYueG1sUEsBAhQAFAAAAAgA&#10;h07iQKS4YfLvAQAAqQMAAA4AAAAAAAAAAQAgAAAAJAEAAGRycy9lMm9Eb2MueG1sUEsFBgAAAAAG&#10;AAYAWQEAAIUFAAAAAA==&#10;">
                  <v:fill on="f" focussize="0,0"/>
                  <v:stroke weight="1pt" color="#000000" joinstyle="round" dashstyle="dash" startarrow="block"/>
                  <v:imagedata o:title=""/>
                  <o:lock v:ext="edit" aspectratio="f"/>
                </v:line>
                <v:shape id="文本框 50" o:spid="_x0000_s1026" o:spt="202" type="#_x0000_t202" style="position:absolute;left:180975;top:1970405;height:519430;width:129413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H11inVAAAABgEAAA8A&#10;AAAAAAAAAQAgAAAAIgAAAGRycy9kb3ducmV2LnhtbFBLAQIUABQAAAAIAIdO4kD3YujTqAEAACUD&#10;AAAOAAAAAAAAAAEAIAAAACQBAABkcnMvZTJvRG9jLnhtbFBLBQYAAAAABgAGAFkBAAA+BQAAAAA=&#10;">
                  <v:fill on="f" focussize="0,0"/>
                  <v:stroke on="f" weight="1pt"/>
                  <v:imagedata o:title=""/>
                  <o:lock v:ext="edit" aspectratio="f"/>
                  <v:textbox>
                    <w:txbxContent>
                      <w:p>
                        <w:pPr>
                          <w:pStyle w:val="43"/>
                          <w:ind w:left="0" w:firstLine="0"/>
                          <w:rPr>
                            <w:sz w:val="20"/>
                            <w:szCs w:val="22"/>
                          </w:rPr>
                        </w:pPr>
                        <w:r>
                          <w:rPr>
                            <w:rFonts w:hint="eastAsia"/>
                            <w:sz w:val="20"/>
                            <w:szCs w:val="22"/>
                          </w:rPr>
                          <w:t>扬尘、运输车辆废气、柴油燃烧废气</w:t>
                        </w:r>
                      </w:p>
                    </w:txbxContent>
                  </v:textbox>
                </v:shape>
                <v:shape id="文本框 51" o:spid="_x0000_s1026" o:spt="202" type="#_x0000_t202" style="position:absolute;left:514985;top:2465705;height:289560;width:99822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fXWKdUAAAAGAQAA&#10;DwAAAAAAAAABACAAAAAiAAAAZHJzL2Rvd25yZXYueG1sUEsBAhQAFAAAAAgAh07iQGeueTOqAQAA&#10;JAMAAA4AAAAAAAAAAQAgAAAAJAEAAGRycy9lMm9Eb2MueG1sUEsFBgAAAAAGAAYAWQEAAEAFAAAA&#10;AA==&#10;">
                  <v:fill on="f" focussize="0,0"/>
                  <v:stroke on="f" weight="1pt"/>
                  <v:imagedata o:title=""/>
                  <o:lock v:ext="edit" aspectratio="f"/>
                  <v:textbox>
                    <w:txbxContent>
                      <w:p>
                        <w:pPr>
                          <w:pStyle w:val="43"/>
                          <w:ind w:left="0" w:firstLine="0"/>
                          <w:jc w:val="both"/>
                          <w:rPr>
                            <w:sz w:val="20"/>
                            <w:szCs w:val="22"/>
                          </w:rPr>
                        </w:pPr>
                        <w:r>
                          <w:rPr>
                            <w:rFonts w:hint="eastAsia"/>
                            <w:sz w:val="20"/>
                            <w:szCs w:val="22"/>
                          </w:rPr>
                          <w:t>管道试压废水</w:t>
                        </w:r>
                      </w:p>
                    </w:txbxContent>
                  </v:textbox>
                </v:shape>
                <v:line id="直接连接符 52" o:spid="_x0000_s1026" o:spt="20" style="position:absolute;left:1451610;top:2883535;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Zh7VAAAABgEAAA8AAAAAAAAAAQAgAAAAIgAAAGRycy9kb3ducmV2LnhtbFBLAQIUABQAAAAIAIdO&#10;4kCJEDO27QEAAKkDAAAOAAAAAAAAAAEAIAAAACQBAABkcnMvZTJvRG9jLnhtbFBLBQYAAAAABgAG&#10;AFkBAACDBQAAAAA=&#10;">
                  <v:fill on="f" focussize="0,0"/>
                  <v:stroke weight="1pt" color="#000000" joinstyle="round" dashstyle="dash" startarrow="block"/>
                  <v:imagedata o:title=""/>
                  <o:lock v:ext="edit" aspectratio="f"/>
                </v:line>
                <v:shape id="文本框 53" o:spid="_x0000_s1026" o:spt="202" type="#_x0000_t202" style="position:absolute;left:3876040;top:1920240;height:275590;width:110807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H11inVAAAABgEA&#10;AA8AAAAAAAAAAQAgAAAAIgAAAGRycy9kb3ducmV2LnhtbFBLAQIUABQAAAAIAIdO4kChSiL7qwEA&#10;ACYDAAAOAAAAAAAAAAEAIAAAACQBAABkcnMvZTJvRG9jLnhtbFBLBQYAAAAABgAGAFkBAABBBQAA&#10;AAA=&#10;">
                  <v:fill on="f" focussize="0,0"/>
                  <v:stroke on="f" weight="1pt"/>
                  <v:imagedata o:title=""/>
                  <o:lock v:ext="edit" aspectratio="f"/>
                  <v:textbox>
                    <w:txbxContent>
                      <w:p>
                        <w:pPr>
                          <w:pStyle w:val="43"/>
                          <w:ind w:left="0" w:firstLine="0"/>
                          <w:jc w:val="both"/>
                          <w:rPr>
                            <w:sz w:val="20"/>
                            <w:szCs w:val="22"/>
                          </w:rPr>
                        </w:pPr>
                        <w:r>
                          <w:rPr>
                            <w:rFonts w:hint="eastAsia"/>
                            <w:sz w:val="20"/>
                            <w:szCs w:val="22"/>
                          </w:rPr>
                          <w:t>钻井岩屑</w:t>
                        </w:r>
                      </w:p>
                    </w:txbxContent>
                  </v:textbox>
                </v:shape>
                <v:shape id="文本框 54" o:spid="_x0000_s1026" o:spt="202" type="#_x0000_t202" style="position:absolute;left:3886200;top:2129790;height:405765;width:139192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fXWKdUAAAAGAQAA&#10;DwAAAAAAAAABACAAAAAiAAAAZHJzL2Rvd25yZXYueG1sUEsBAhQAFAAAAAgAh07iQLTE7rqqAQAA&#10;JgMAAA4AAAAAAAAAAQAgAAAAJAEAAGRycy9lMm9Eb2MueG1sUEsFBgAAAAAGAAYAWQEAAEAFAAAA&#10;AA==&#10;">
                  <v:fill on="f" focussize="0,0"/>
                  <v:stroke on="f" weight="1pt"/>
                  <v:imagedata o:title=""/>
                  <o:lock v:ext="edit" aspectratio="f"/>
                  <v:textbox>
                    <w:txbxContent>
                      <w:p>
                        <w:pPr>
                          <w:pStyle w:val="43"/>
                          <w:ind w:left="0" w:firstLine="0"/>
                          <w:jc w:val="both"/>
                          <w:rPr>
                            <w:sz w:val="20"/>
                            <w:szCs w:val="22"/>
                          </w:rPr>
                        </w:pPr>
                        <w:r>
                          <w:rPr>
                            <w:rFonts w:hint="eastAsia"/>
                            <w:sz w:val="20"/>
                            <w:szCs w:val="22"/>
                          </w:rPr>
                          <w:t>废弃防渗膜、机械设备废油</w:t>
                        </w:r>
                      </w:p>
                      <w:p>
                        <w:pPr>
                          <w:pStyle w:val="43"/>
                          <w:ind w:left="0" w:firstLine="0"/>
                          <w:jc w:val="both"/>
                        </w:pPr>
                      </w:p>
                      <w:p>
                        <w:pPr>
                          <w:pStyle w:val="43"/>
                          <w:ind w:left="0" w:firstLine="0"/>
                          <w:jc w:val="both"/>
                          <w:rPr>
                            <w:sz w:val="20"/>
                            <w:szCs w:val="22"/>
                          </w:rPr>
                        </w:pPr>
                        <w:r>
                          <w:rPr>
                            <w:rFonts w:hint="eastAsia"/>
                            <w:sz w:val="20"/>
                            <w:szCs w:val="22"/>
                          </w:rPr>
                          <w:t>钻井岩屑</w:t>
                        </w:r>
                      </w:p>
                    </w:txbxContent>
                  </v:textbox>
                </v:shape>
                <v:shape id="文本框 55" o:spid="_x0000_s1026" o:spt="202" type="#_x0000_t202" style="position:absolute;left:2701925;top:3197860;height:321310;width:768985;" filled="f" stroked="t" coordsize="21600,21600" o:gfxdata="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0WEbXUAAAABgEAAA8AAAAAAAAAAQAgAAAAIgAAAGRycy9kb3ducmV2Lnht&#10;bFBLAQIUABQAAAAIAIdO4kC2wOcs/QEAANsDAAAOAAAAAAAAAAEAIAAAACMBAABkcnMvZTJvRG9j&#10;LnhtbFBLBQYAAAAABgAGAFkBAACSBQAAAAA=&#10;">
                  <v:fill on="f" focussize="0,0"/>
                  <v:stroke weight="1pt" color="#000000" joinstyle="miter"/>
                  <v:imagedata o:title=""/>
                  <o:lock v:ext="edit" aspectratio="f"/>
                  <v:textbox>
                    <w:txbxContent>
                      <w:p>
                        <w:pPr>
                          <w:pStyle w:val="43"/>
                          <w:ind w:left="0" w:firstLine="0"/>
                          <w:rPr>
                            <w:sz w:val="20"/>
                            <w:szCs w:val="22"/>
                          </w:rPr>
                        </w:pPr>
                        <w:r>
                          <w:rPr>
                            <w:rFonts w:hint="eastAsia"/>
                            <w:sz w:val="20"/>
                            <w:szCs w:val="22"/>
                          </w:rPr>
                          <w:t>井下作业</w:t>
                        </w:r>
                      </w:p>
                    </w:txbxContent>
                  </v:textbox>
                </v:shape>
                <v:line id="直接连接符 56" o:spid="_x0000_s1026" o:spt="20" style="position:absolute;left:2689860;top:3528695;flip:x;height:283210;width:196215;" filled="f" stroked="t" coordsize="21600,21600" o:gfxdata="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cP0Z1wAAAAYBAAAPAAAAAAAAAAEAIAAAACIAAABkcnMvZG93bnJldi54&#10;bWxQSwECFAAUAAAACACHTuJAzXroUfsBAAC5AwAADgAAAAAAAAABACAAAAAmAQAAZHJzL2Uyb0Rv&#10;Yy54bWxQSwUGAAAAAAYABgBZAQAAkwUAAAAA&#10;">
                  <v:fill on="f" focussize="0,0"/>
                  <v:stroke weight="1pt" color="#000000" joinstyle="round" endarrow="block"/>
                  <v:imagedata o:title=""/>
                  <o:lock v:ext="edit" aspectratio="f"/>
                </v:line>
                <v:line id="直接连接符 57" o:spid="_x0000_s1026" o:spt="20" style="position:absolute;left:2914650;top:1517650;height:635;width:44894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FKK0NgAAAAGAQAADwAAAAAAAAABACAAAAAiAAAAZHJzL2Rvd25yZXYueG1sUEsBAhQAFAAAAAgA&#10;h07iQI6soOfsAQAAqwMAAA4AAAAAAAAAAQAgAAAAJwEAAGRycy9lMm9Eb2MueG1sUEsFBgAAAAAG&#10;AAYAWQEAAIUFAAAAAA==&#10;">
                  <v:fill on="f" focussize="0,0"/>
                  <v:stroke weight="1pt" color="#000000" joinstyle="round" dashstyle="dash" endarrow="block"/>
                  <v:imagedata o:title=""/>
                  <o:lock v:ext="edit" aspectratio="f"/>
                </v:line>
                <v:shape id="文本框 58" o:spid="_x0000_s1026" o:spt="202" type="#_x0000_t202" style="position:absolute;left:3430270;top:1198880;height:275590;width:76898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H11inVAAAABgEA&#10;AA8AAAAAAAAAAQAgAAAAIgAAAGRycy9kb3ducmV2LnhtbFBLAQIUABQAAAAIAIdO4kCqtmx2qwEA&#10;ACUDAAAOAAAAAAAAAAEAIAAAACQBAABkcnMvZTJvRG9jLnhtbFBLBQYAAAAABgAGAFkBAABBBQAA&#10;AAA=&#10;">
                  <v:fill on="f" focussize="0,0"/>
                  <v:stroke on="f" weight="1pt"/>
                  <v:imagedata o:title=""/>
                  <o:lock v:ext="edit" aspectratio="f"/>
                  <v:textbox>
                    <w:txbxContent>
                      <w:p>
                        <w:pPr>
                          <w:pStyle w:val="43"/>
                          <w:rPr>
                            <w:sz w:val="20"/>
                            <w:szCs w:val="22"/>
                          </w:rPr>
                        </w:pPr>
                        <w:r>
                          <w:rPr>
                            <w:rFonts w:hint="eastAsia"/>
                            <w:sz w:val="20"/>
                            <w:szCs w:val="22"/>
                          </w:rPr>
                          <w:t>扬尘</w:t>
                        </w:r>
                      </w:p>
                    </w:txbxContent>
                  </v:textbox>
                </v:shape>
                <v:shape id="文本框 59" o:spid="_x0000_s1026" o:spt="202" type="#_x0000_t202" style="position:absolute;left:3433445;top:1529715;height:275590;width:76898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9dYp1QAAAAYB&#10;AAAPAAAAAAAAAAEAIAAAACIAAABkcnMvZG93bnJldi54bWxQSwECFAAUAAAACACHTuJA+XBMjqwB&#10;AAAlAwAADgAAAAAAAAABACAAAAAkAQAAZHJzL2Uyb0RvYy54bWxQSwUGAAAAAAYABgBZAQAAQgUA&#10;AAAA&#10;">
                  <v:fill on="f" focussize="0,0"/>
                  <v:stroke on="f" weight="1pt"/>
                  <v:imagedata o:title=""/>
                  <o:lock v:ext="edit" aspectratio="f"/>
                  <v:textbox>
                    <w:txbxContent>
                      <w:p>
                        <w:pPr>
                          <w:pStyle w:val="43"/>
                        </w:pPr>
                        <w:r>
                          <w:rPr>
                            <w:rFonts w:hint="eastAsia"/>
                            <w:sz w:val="20"/>
                            <w:szCs w:val="22"/>
                          </w:rPr>
                          <w:t>噪声</w:t>
                        </w:r>
                      </w:p>
                    </w:txbxContent>
                  </v:textbox>
                </v:shape>
                <v:line id="直接连接符 64" o:spid="_x0000_s1026" o:spt="20" style="position:absolute;left:3475355;top:3368675;height:635;width:44894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BSitDYAAAABgEAAA8AAAAAAAAAAQAgAAAAIgAAAGRycy9kb3ducmV2LnhtbFBLAQIUABQA&#10;AAAIAIdO4kDJ6QqP8AEAAKwDAAAOAAAAAAAAAAEAIAAAACcBAABkcnMvZTJvRG9jLnhtbFBLBQYA&#10;AAAABgAGAFkBAACJBQAAAAA=&#10;">
                  <v:fill on="f" focussize="0,0"/>
                  <v:stroke weight="1pt" color="#000000" joinstyle="round" dashstyle="dash" endarrow="block"/>
                  <v:imagedata o:title=""/>
                  <o:lock v:ext="edit" aspectratio="f"/>
                </v:line>
                <v:line id="直接连接符 65" o:spid="_x0000_s1026" o:spt="20" style="position:absolute;left:3953510;top:3119120;height:0;width:23685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UorQ2AAAAAYBAAAPAAAAAAAAAAEAIAAAACIAAABkcnMvZG93bnJldi54bWxQSwECFAAUAAAA&#10;CACHTuJAtOCwwe4BAACqAwAADgAAAAAAAAABACAAAAAnAQAAZHJzL2Uyb0RvYy54bWxQSwUGAAAA&#10;AAYABgBZAQAAhwUAAAAA&#10;">
                  <v:fill on="f" focussize="0,0"/>
                  <v:stroke weight="1pt" color="#000000" joinstyle="round" dashstyle="dash" endarrow="block"/>
                  <v:imagedata o:title=""/>
                  <o:lock v:ext="edit" aspectratio="f"/>
                </v:line>
                <v:shape id="文本框 66" o:spid="_x0000_s1026" o:spt="202" type="#_x0000_t202" style="position:absolute;left:4182110;top:2905760;height:491490;width:114935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H11inVAAAABgEA&#10;AA8AAAAAAAAAAQAgAAAAIgAAAGRycy9kb3ducmV2LnhtbFBLAQIUABQAAAAIAIdO4kASpO7WqwEA&#10;ACcDAAAOAAAAAAAAAAEAIAAAACQBAABkcnMvZTJvRG9jLnhtbFBLBQYAAAAABgAGAFkBAABBBQAA&#10;AAA=&#10;">
                  <v:fill on="f" focussize="0,0"/>
                  <v:stroke on="f" weight="1pt"/>
                  <v:imagedata o:title=""/>
                  <o:lock v:ext="edit" aspectratio="f"/>
                  <v:textbox>
                    <w:txbxContent>
                      <w:p>
                        <w:pPr>
                          <w:pStyle w:val="43"/>
                          <w:ind w:left="0" w:firstLine="0"/>
                          <w:jc w:val="both"/>
                          <w:rPr>
                            <w:sz w:val="20"/>
                            <w:szCs w:val="22"/>
                          </w:rPr>
                        </w:pPr>
                        <w:r>
                          <w:rPr>
                            <w:rFonts w:hint="eastAsia"/>
                            <w:sz w:val="20"/>
                            <w:szCs w:val="22"/>
                          </w:rPr>
                          <w:t>无组织挥发（非甲烷总烃、硫化氢）</w:t>
                        </w:r>
                      </w:p>
                    </w:txbxContent>
                  </v:textbox>
                </v:shape>
                <v:line id="直接连接符 67" o:spid="_x0000_s1026" o:spt="20" style="position:absolute;left:3986530;top:4403090;flip:y;height:7620;width:207645;" filled="f" stroked="t" coordsize="21600,21600" o:gfxdata="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AZW41AAAAAYBAAAPAAAAAAAAAAEAIAAAACIAAABkcnMvZG93bnJldi54bWxQSwEC&#10;FAAUAAAACACHTuJAslP7s/gBAAC3AwAADgAAAAAAAAABACAAAAAjAQAAZHJzL2Uyb0RvYy54bWxQ&#10;SwUGAAAAAAYABgBZAQAAjQUAAAAA&#10;">
                  <v:fill on="f" focussize="0,0"/>
                  <v:stroke weight="1pt" color="#000000" joinstyle="round" dashstyle="dash" endarrow="block"/>
                  <v:imagedata o:title=""/>
                  <o:lock v:ext="edit" aspectratio="f"/>
                </v:line>
                <v:shape id="文本框 68" o:spid="_x0000_s1026" o:spt="202" type="#_x0000_t202" style="position:absolute;left:4182110;top:3263265;height:662940;width:109982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9dYp1QAAAAYB&#10;AAAPAAAAAAAAAAEAIAAAACIAAABkcnMvZG93bnJldi54bWxQSwECFAAUAAAACACHTuJAY6HBh6wB&#10;AAAnAwAADgAAAAAAAAABACAAAAAkAQAAZHJzL2Uyb0RvYy54bWxQSwUGAAAAAAYABgBZAQAAQgUA&#10;AAAA&#10;">
                  <v:fill on="f" focussize="0,0"/>
                  <v:stroke on="f" weight="1pt"/>
                  <v:imagedata o:title=""/>
                  <o:lock v:ext="edit" aspectratio="f"/>
                  <v:textbox>
                    <w:txbxContent>
                      <w:p>
                        <w:pPr>
                          <w:rPr>
                            <w:sz w:val="20"/>
                            <w:szCs w:val="20"/>
                          </w:rPr>
                        </w:pPr>
                        <w:r>
                          <w:rPr>
                            <w:rFonts w:hint="eastAsia"/>
                            <w:sz w:val="20"/>
                            <w:szCs w:val="20"/>
                          </w:rPr>
                          <w:t>井下作业废水、</w:t>
                        </w:r>
                        <w:r>
                          <w:rPr>
                            <w:rFonts w:hint="eastAsia"/>
                            <w:sz w:val="20"/>
                            <w:szCs w:val="20"/>
                            <w:lang w:val="en-US" w:eastAsia="zh-CN"/>
                          </w:rPr>
                          <w:t>井下作业废液</w:t>
                        </w:r>
                        <w:r>
                          <w:rPr>
                            <w:rFonts w:hint="eastAsia"/>
                            <w:sz w:val="20"/>
                            <w:szCs w:val="20"/>
                          </w:rPr>
                          <w:t>、采出水</w:t>
                        </w:r>
                      </w:p>
                    </w:txbxContent>
                  </v:textbox>
                </v:shape>
                <v:line id="直接连接符 69" o:spid="_x0000_s1026" o:spt="20" style="position:absolute;left:3948430;top:3121025;height:1268095;width:8890;" filled="f" stroked="t" coordsize="21600,21600" o:gfxdata="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Dps6jTAAAA&#10;BgEAAA8AAAAAAAAAAQAgAAAAIgAAAGRycy9kb3ducmV2LnhtbFBLAQIUABQAAAAIAIdO4kCuKzLG&#10;6QEAAKoDAAAOAAAAAAAAAAEAIAAAACIBAABkcnMvZTJvRG9jLnhtbFBLBQYAAAAABgAGAFkBAAB9&#10;BQAAAAA=&#10;">
                  <v:fill on="f" focussize="0,0"/>
                  <v:stroke weight="1pt" color="#000000" joinstyle="round" dashstyle="dash"/>
                  <v:imagedata o:title=""/>
                  <o:lock v:ext="edit" aspectratio="f"/>
                </v:line>
                <v:shape id="文本框 70" o:spid="_x0000_s1026" o:spt="202" type="#_x0000_t202" style="position:absolute;left:3891915;top:2468880;height:266700;width:86169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fXWKdUAAAAGAQAADwAA&#10;AAAAAAABACAAAAAiAAAAZHJzL2Rvd25yZXYueG1sUEsBAhQAFAAAAAgAh07iQFGjLn6nAQAAJgMA&#10;AA4AAAAAAAAAAQAgAAAAJAEAAGRycy9lMm9Eb2MueG1sUEsFBgAAAAAGAAYAWQEAAD0FAAAAAA==&#10;">
                  <v:fill on="f" focussize="0,0"/>
                  <v:stroke on="f" weight="1pt"/>
                  <v:imagedata o:title=""/>
                  <o:lock v:ext="edit" aspectratio="f"/>
                  <v:textbox>
                    <w:txbxContent>
                      <w:p>
                        <w:pPr>
                          <w:rPr>
                            <w:sz w:val="18"/>
                            <w:szCs w:val="18"/>
                          </w:rPr>
                        </w:pPr>
                        <w:r>
                          <w:rPr>
                            <w:rFonts w:hint="eastAsia"/>
                            <w:sz w:val="18"/>
                            <w:szCs w:val="18"/>
                          </w:rPr>
                          <w:t>生活垃圾</w:t>
                        </w:r>
                      </w:p>
                    </w:txbxContent>
                  </v:textbox>
                </v:shape>
                <v:line id="直接连接符 71" o:spid="_x0000_s1026" o:spt="20" style="position:absolute;left:3674110;top:2360295;height:0;width:228600;"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UorQ2AAAAAYBAAAPAAAAAAAAAAEAIAAAACIAAABkcnMvZG93bnJldi54bWxQSwECFAAUAAAA&#10;CACHTuJAd3ri7e4BAACqAwAADgAAAAAAAAABACAAAAAnAQAAZHJzL2Uyb0RvYy54bWxQSwUGAAAA&#10;AAYABgBZAQAAhwUAAAAA&#10;">
                  <v:fill on="f" focussize="0,0"/>
                  <v:stroke weight="1pt" color="#000000" joinstyle="round" dashstyle="dash" endarrow="block"/>
                  <v:imagedata o:title=""/>
                  <o:lock v:ext="edit" aspectratio="f"/>
                </v:line>
                <v:shape id="文本框 72" o:spid="_x0000_s1026" o:spt="202" type="#_x0000_t202" style="position:absolute;left:3893820;top:2721610;height:266700;width:139446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H11inVAAAABgEAAA8A&#10;AAAAAAAAAQAgAAAAIgAAAGRycy9kb3ducmV2LnhtbFBLAQIUABQAAAAIAIdO4kBCpnHFqAEAACcD&#10;AAAOAAAAAAAAAAEAIAAAACQBAABkcnMvZTJvRG9jLnhtbFBLBQYAAAAABgAGAFkBAAA+BQAAAAA=&#10;">
                  <v:fill on="f" focussize="0,0"/>
                  <v:stroke on="f" weight="1pt"/>
                  <v:imagedata o:title=""/>
                  <o:lock v:ext="edit" aspectratio="f"/>
                  <v:textbox>
                    <w:txbxContent>
                      <w:p>
                        <w:pPr>
                          <w:rPr>
                            <w:sz w:val="18"/>
                            <w:szCs w:val="18"/>
                          </w:rPr>
                        </w:pPr>
                        <w:r>
                          <w:rPr>
                            <w:rFonts w:hint="eastAsia"/>
                            <w:sz w:val="18"/>
                            <w:szCs w:val="18"/>
                          </w:rPr>
                          <w:t>建筑垃圾</w:t>
                        </w:r>
                      </w:p>
                    </w:txbxContent>
                  </v:textbox>
                </v:shape>
                <v:line id="直接连接符 133" o:spid="_x0000_s1026" o:spt="20" style="position:absolute;left:3678555;top:2599055;height:0;width:228600;"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SitDYAAAABgEAAA8AAAAAAAAAAQAgAAAAIgAAAGRycy9kb3ducmV2LnhtbFBLAQIUABQAAAAI&#10;AIdO4kD89RWw7QEAAKsDAAAOAAAAAAAAAAEAIAAAACcBAABkcnMvZTJvRG9jLnhtbFBLBQYAAAAA&#10;BgAGAFkBAACGBQAAAAA=&#10;">
                  <v:fill on="f" focussize="0,0"/>
                  <v:stroke weight="1pt" color="#000000" joinstyle="round" dashstyle="dash" endarrow="block"/>
                  <v:imagedata o:title=""/>
                  <o:lock v:ext="edit" aspectratio="f"/>
                </v:line>
                <v:shape id="文本框 68" o:spid="_x0000_s1026" o:spt="202" type="#_x0000_t202" style="position:absolute;left:4199255;top:3917315;height:302895;width:75882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9dYp1QAAAAYB&#10;AAAPAAAAAAAAAAEAIAAAACIAAABkcnMvZG93bnJldi54bWxQSwECFAAUAAAACACHTuJAYXrVS6wB&#10;AAAmAwAADgAAAAAAAAABACAAAAAkAQAAZHJzL2Uyb0RvYy54bWxQSwUGAAAAAAYABgBZAQAAQgUA&#10;AAAA&#10;">
                  <v:fill on="f" focussize="0,0"/>
                  <v:stroke on="f" weight="1pt"/>
                  <v:imagedata o:title=""/>
                  <o:lock v:ext="edit" aspectratio="f"/>
                  <v:textbox>
                    <w:txbxContent>
                      <w:p>
                        <w:pPr>
                          <w:rPr>
                            <w:sz w:val="20"/>
                            <w:szCs w:val="20"/>
                          </w:rPr>
                        </w:pPr>
                        <w:r>
                          <w:rPr>
                            <w:rFonts w:hint="eastAsia"/>
                            <w:sz w:val="20"/>
                            <w:szCs w:val="20"/>
                          </w:rPr>
                          <w:t>噪声</w:t>
                        </w:r>
                      </w:p>
                    </w:txbxContent>
                  </v:textbox>
                </v:shape>
                <v:shape id="文本框 68" o:spid="_x0000_s1026" o:spt="202" type="#_x0000_t202" style="position:absolute;left:4194175;top:4206875;height:1075055;width:108585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9dYp1QAAAAYB&#10;AAAPAAAAAAAAAAEAIAAAACIAAABkcnMvZG93bnJldi54bWxQSwECFAAUAAAACACHTuJAcdPPqqwB&#10;AAAoAwAADgAAAAAAAAABACAAAAAkAQAAZHJzL2Uyb0RvYy54bWxQSwUGAAAAAAYABgBZAQAAQgUA&#10;AAAA&#10;">
                  <v:fill on="f" focussize="0,0"/>
                  <v:stroke on="f" weight="1pt"/>
                  <v:imagedata o:title=""/>
                  <o:lock v:ext="edit" aspectratio="f"/>
                  <v:textbox>
                    <w:txbxContent>
                      <w:p>
                        <w:pPr>
                          <w:rPr>
                            <w:rFonts w:eastAsia="宋体"/>
                            <w:sz w:val="20"/>
                            <w:szCs w:val="20"/>
                          </w:rPr>
                        </w:pPr>
                        <w:r>
                          <w:rPr>
                            <w:rFonts w:hint="eastAsia"/>
                            <w:sz w:val="20"/>
                            <w:szCs w:val="20"/>
                          </w:rPr>
                          <w:t>含油污泥、事故状态下落地油、废润滑油、废弃防渗膜、清管废渣</w:t>
                        </w:r>
                      </w:p>
                    </w:txbxContent>
                  </v:textbox>
                </v:shape>
                <v:line id="直接连接符 44" o:spid="_x0000_s1026" o:spt="20" style="position:absolute;left:3977005;top:3693795;height:0;width:23685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SitDYAAAABgEAAA8AAAAAAAAAAQAgAAAAIgAAAGRycy9kb3ducmV2LnhtbFBLAQIUABQAAAAI&#10;AIdO4kC4lqTz7QEAAKoDAAAOAAAAAAAAAAEAIAAAACcBAABkcnMvZTJvRG9jLnhtbFBLBQYAAAAA&#10;BgAGAFkBAACGBQAAAAA=&#10;">
                  <v:fill on="f" focussize="0,0"/>
                  <v:stroke weight="1pt" color="#000000" joinstyle="round" dashstyle="dash" endarrow="block"/>
                  <v:imagedata o:title=""/>
                  <o:lock v:ext="edit" aspectratio="f"/>
                </v:line>
                <v:line id="直接连接符 44" o:spid="_x0000_s1026" o:spt="20" style="position:absolute;left:3977005;top:4065905;height:0;width:23685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BSitDYAAAABgEAAA8AAAAAAAAAAQAgAAAAIgAAAGRycy9kb3ducmV2LnhtbFBLAQIUABQAAAAI&#10;AIdO4kAUCiBr7QEAAKoDAAAOAAAAAAAAAAEAIAAAACcBAABkcnMvZTJvRG9jLnhtbFBLBQYAAAAA&#10;BgAGAFkBAACGBQAAAAA=&#10;">
                  <v:fill on="f" focussize="0,0"/>
                  <v:stroke weight="1pt" color="#000000" joinstyle="round" dashstyle="dash" endarrow="block"/>
                  <v:imagedata o:title=""/>
                  <o:lock v:ext="edit" aspectratio="f"/>
                </v:line>
                <v:line id="直接连接符 46" o:spid="_x0000_s1026" o:spt="20" style="position:absolute;left:1589405;top:4719955;height:635;width:44894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abZh7VAAAABgEAAA8AAAAAAAAAAQAgAAAAIgAAAGRycy9kb3ducmV2LnhtbFBLAQIUABQAAAAI&#10;AIdO4kC6hXMD8AEAAKwDAAAOAAAAAAAAAAEAIAAAACQBAABkcnMvZTJvRG9jLnhtbFBLBQYAAAAA&#10;BgAGAFkBAACGBQAAAAA=&#10;">
                  <v:fill on="f" focussize="0,0"/>
                  <v:stroke weight="1pt" color="#000000" joinstyle="round" dashstyle="dash" startarrow="block"/>
                  <v:imagedata o:title=""/>
                  <o:lock v:ext="edit" aspectratio="f"/>
                </v:line>
                <v:line id="直接连接符 47" o:spid="_x0000_s1026" o:spt="20" style="position:absolute;left:1583055;top:4408805;height:621030;width:635;" filled="f" stroked="t" coordsize="21600,21600" o:gfxdata="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OmzqNMAAAAG&#10;AQAADwAAAAAAAAABACAAAAAiAAAAZHJzL2Rvd25yZXYueG1sUEsBAhQAFAAAAAgAh07iQAdmzM3o&#10;AQAAqAMAAA4AAAAAAAAAAQAgAAAAIgEAAGRycy9lMm9Eb2MueG1sUEsFBgAAAAAGAAYAWQEAAHwF&#10;AAAAAA==&#10;">
                  <v:fill on="f" focussize="0,0"/>
                  <v:stroke weight="1pt" color="#000000" joinstyle="round" dashstyle="dash"/>
                  <v:imagedata o:title=""/>
                  <o:lock v:ext="edit" aspectratio="f"/>
                </v:line>
                <v:line id="直接连接符 48" o:spid="_x0000_s1026" o:spt="20" style="position:absolute;left:1379855;top:5005705;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Zh7VAAAABgEAAA8AAAAAAAAAAQAgAAAAIgAAAGRycy9kb3ducmV2LnhtbFBLAQIUABQAAAAIAIdO&#10;4kCVu4zn7QEAAKoDAAAOAAAAAAAAAAEAIAAAACQBAABkcnMvZTJvRG9jLnhtbFBLBQYAAAAABgAG&#10;AFkBAACDBQAAAAA=&#10;">
                  <v:fill on="f" focussize="0,0"/>
                  <v:stroke weight="1pt" color="#000000" joinstyle="round" dashstyle="dash" startarrow="block"/>
                  <v:imagedata o:title=""/>
                  <o:lock v:ext="edit" aspectratio="f"/>
                </v:line>
                <v:line id="直接连接符 48" o:spid="_x0000_s1026" o:spt="20" style="position:absolute;left:1360805;top:4421505;height:0;width:23685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b&#10;Zh7VAAAABgEAAA8AAAAAAAAAAQAgAAAAIgAAAGRycy9kb3ducmV2LnhtbFBLAQIUABQAAAAIAIdO&#10;4kAd5stA7QEAAKoDAAAOAAAAAAAAAAEAIAAAACQBAABkcnMvZTJvRG9jLnhtbFBLBQYAAAAABgAG&#10;AFkBAACDBQAAAAA=&#10;">
                  <v:fill on="f" focussize="0,0"/>
                  <v:stroke weight="1pt" color="#000000" joinstyle="round" dashstyle="dash" startarrow="block"/>
                  <v:imagedata o:title=""/>
                  <o:lock v:ext="edit" aspectratio="f"/>
                </v:line>
                <v:shape id="文本框 51" o:spid="_x0000_s1026" o:spt="202" type="#_x0000_t202" style="position:absolute;left:802005;top:4872355;height:289560;width:56642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H11inVAAAABgEA&#10;AA8AAAAAAAAAAQAgAAAAIgAAAGRycy9kb3ducmV2LnhtbFBLAQIUABQAAAAIAIdO4kCqQfPIqwEA&#10;ACUDAAAOAAAAAAAAAAEAIAAAACQBAABkcnMvZTJvRG9jLnhtbFBLBQYAAAAABgAGAFkBAABBBQAA&#10;AAA=&#10;">
                  <v:fill on="f" focussize="0,0"/>
                  <v:stroke on="f" weight="1pt"/>
                  <v:imagedata o:title=""/>
                  <o:lock v:ext="edit" aspectratio="f"/>
                  <v:textbox>
                    <w:txbxContent>
                      <w:p>
                        <w:pPr>
                          <w:pStyle w:val="43"/>
                          <w:ind w:left="0" w:firstLine="0"/>
                          <w:jc w:val="both"/>
                          <w:rPr>
                            <w:sz w:val="20"/>
                            <w:szCs w:val="22"/>
                          </w:rPr>
                        </w:pPr>
                        <w:r>
                          <w:rPr>
                            <w:rFonts w:hint="eastAsia"/>
                            <w:sz w:val="20"/>
                            <w:szCs w:val="22"/>
                          </w:rPr>
                          <w:t>噪声</w:t>
                        </w:r>
                      </w:p>
                    </w:txbxContent>
                  </v:textbox>
                </v:shape>
                <v:shape id="文本框 51" o:spid="_x0000_s1026" o:spt="202" type="#_x0000_t202" style="position:absolute;left:509270;top:4262755;height:289560;width:83375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H11inVAAAABgEA&#10;AA8AAAAAAAAAAQAgAAAAIgAAAGRycy9kb3ducmV2LnhtbFBLAQIUABQAAAAIAIdO4kB91opdqwEA&#10;ACUDAAAOAAAAAAAAAAEAIAAAACQBAABkcnMvZTJvRG9jLnhtbFBLBQYAAAAABgAGAFkBAABBBQAA&#10;AAA=&#10;">
                  <v:fill on="f" focussize="0,0"/>
                  <v:stroke on="f" weight="1pt"/>
                  <v:imagedata o:title=""/>
                  <o:lock v:ext="edit" aspectratio="f"/>
                  <v:textbox>
                    <w:txbxContent>
                      <w:p>
                        <w:pPr>
                          <w:pStyle w:val="43"/>
                          <w:ind w:left="0" w:firstLine="0"/>
                          <w:jc w:val="both"/>
                          <w:rPr>
                            <w:sz w:val="20"/>
                            <w:szCs w:val="22"/>
                          </w:rPr>
                        </w:pPr>
                        <w:r>
                          <w:rPr>
                            <w:rFonts w:hint="eastAsia"/>
                            <w:sz w:val="20"/>
                            <w:szCs w:val="22"/>
                          </w:rPr>
                          <w:t>无组织挥发</w:t>
                        </w:r>
                      </w:p>
                    </w:txbxContent>
                  </v:textbox>
                </v:shape>
                <v:line id="直接连接符 39" o:spid="_x0000_s1026" o:spt="20" style="position:absolute;left:2548255;top:4866005;height:424815;width:635;" filled="f" stroked="t" coordsize="21600,21600" o:gfxdata="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Y/JldUAAAAGAQAADwAAAAAAAAABACAAAAAiAAAAZHJzL2Rvd25yZXYueG1sUEsBAhQAFAAAAAgA&#10;h07iQBqFRXTvAQAArQMAAA4AAAAAAAAAAQAgAAAAJAEAAGRycy9lMm9Eb2MueG1sUEsFBgAAAAAG&#10;AAYAWQEAAIUFAAAAAA==&#10;">
                  <v:fill on="f" focussize="0,0"/>
                  <v:stroke weight="1pt" color="#000000" joinstyle="round" endarrow="block"/>
                  <v:imagedata o:title=""/>
                  <o:lock v:ext="edit" aspectratio="f"/>
                </v:line>
                <v:shape id="文本框 38" o:spid="_x0000_s1026" o:spt="202" type="#_x0000_t202" style="position:absolute;left:2050415;top:5283835;height:280670;width:1088390;" filled="f" stroked="t" coordsize="21600,21600" o:gfxdata="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RYRtdQAAAAGAQAADwAAAAAAAAABACAAAAAiAAAAZHJzL2Rvd25yZXYu&#10;eG1sUEsBAhQAFAAAAAgAh07iQLnmofT/AQAA3QMAAA4AAAAAAAAAAQAgAAAAIwEAAGRycy9lMm9E&#10;b2MueG1sUEsFBgAAAAAGAAYAWQEAAJQFAAAAAA==&#10;">
                  <v:fill on="f" focussize="0,0"/>
                  <v:stroke weight="1pt" color="#000000" joinstyle="miter"/>
                  <v:imagedata o:title=""/>
                  <o:lock v:ext="edit" aspectratio="f"/>
                  <v:textbox>
                    <w:txbxContent>
                      <w:p>
                        <w:pPr>
                          <w:adjustRightInd w:val="0"/>
                          <w:snapToGrid w:val="0"/>
                          <w:jc w:val="center"/>
                          <w:rPr>
                            <w:rFonts w:hint="default" w:eastAsiaTheme="minorEastAsia"/>
                            <w:kern w:val="0"/>
                            <w:sz w:val="20"/>
                            <w:szCs w:val="22"/>
                            <w:lang w:val="en-US" w:eastAsia="zh-CN"/>
                          </w:rPr>
                        </w:pPr>
                        <w:r>
                          <w:rPr>
                            <w:rFonts w:hint="eastAsia"/>
                            <w:kern w:val="0"/>
                            <w:sz w:val="20"/>
                            <w:szCs w:val="22"/>
                            <w:lang w:val="en-US" w:eastAsia="zh-CN"/>
                          </w:rPr>
                          <w:t>陆梁集中处理站</w:t>
                        </w:r>
                      </w:p>
                    </w:txbxContent>
                  </v:textbox>
                </v:shape>
                <v:line id="直接连接符 39" o:spid="_x0000_s1026" o:spt="20" style="position:absolute;left:2568575;top:5575935;height:250825;width:1905;" filled="f" stroked="t" coordsize="21600,21600" o:gfxdata="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Y/JldUAAAAGAQAADwAAAAAAAAABACAAAAAiAAAAZHJzL2Rvd25yZXYueG1sUEsBAhQAFAAAAAgA&#10;h07iQI9mFFXvAQAArgMAAA4AAAAAAAAAAQAgAAAAJAEAAGRycy9lMm9Eb2MueG1sUEsFBgAAAAAG&#10;AAYAWQEAAIUFAAAAAA==&#10;">
                  <v:fill on="f" focussize="0,0"/>
                  <v:stroke weight="1pt" color="#000000" joinstyle="round" endarrow="block"/>
                  <v:imagedata o:title=""/>
                  <o:lock v:ext="edit" aspectratio="f"/>
                </v:line>
                <v:shape id="文本框 38" o:spid="_x0000_s1026" o:spt="202" type="#_x0000_t202" style="position:absolute;left:2181225;top:5828665;height:301625;width:768985;" filled="f" stroked="t" coordsize="21600,21600" o:gfxdata="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RYRtdQAAAAGAQAADwAAAAAAAAABACAAAAAiAAAAZHJzL2Rvd25yZXYueG1s&#10;UEsBAhQAFAAAAAgAh07iQIv92G/8AQAA3AMAAA4AAAAAAAAAAQAgAAAAIwEAAGRycy9lMm9Eb2Mu&#10;eG1sUEsFBgAAAAAGAAYAWQEAAJEFAAAAAA==&#10;">
                  <v:fill on="f" focussize="0,0"/>
                  <v:stroke weight="1pt" color="#000000" joinstyle="miter"/>
                  <v:imagedata o:title=""/>
                  <o:lock v:ext="edit" aspectratio="f"/>
                  <v:textbox>
                    <w:txbxContent>
                      <w:p>
                        <w:pPr>
                          <w:adjustRightInd w:val="0"/>
                          <w:snapToGrid w:val="0"/>
                          <w:jc w:val="center"/>
                          <w:rPr>
                            <w:kern w:val="0"/>
                            <w:sz w:val="20"/>
                            <w:szCs w:val="22"/>
                          </w:rPr>
                        </w:pPr>
                        <w:r>
                          <w:rPr>
                            <w:rFonts w:hint="eastAsia"/>
                            <w:kern w:val="0"/>
                            <w:sz w:val="20"/>
                            <w:szCs w:val="22"/>
                          </w:rPr>
                          <w:t>外输</w:t>
                        </w:r>
                      </w:p>
                    </w:txbxContent>
                  </v:textbox>
                </v:shape>
                <v:line id="直接连接符 46" o:spid="_x0000_s1026" o:spt="20" style="position:absolute;left:1562735;top:5419725;height:635;width:448945;" filled="f" stroked="t" coordsize="21600,21600" o:gfxdata="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ptmHtUAAAAGAQAADwAAAAAAAAABACAAAAAiAAAAZHJzL2Rvd25yZXYueG1sUEsBAhQAFAAAAAgA&#10;h07iQM4Z+7LvAQAArAMAAA4AAAAAAAAAAQAgAAAAJAEAAGRycy9lMm9Eb2MueG1sUEsFBgAAAAAG&#10;AAYAWQEAAIUFAAAAAA==&#10;">
                  <v:fill on="f" focussize="0,0"/>
                  <v:stroke weight="1pt" color="#000000" joinstyle="round" dashstyle="dash" startarrow="block"/>
                  <v:imagedata o:title=""/>
                  <o:lock v:ext="edit" aspectratio="f"/>
                </v:line>
                <v:shape id="文本框 51" o:spid="_x0000_s1026" o:spt="202" type="#_x0000_t202" style="position:absolute;left:1071880;top:5282565;height:289560;width:593090;"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9dYp1QAAAAYB&#10;AAAPAAAAAAAAAAEAIAAAACIAAABkcnMvZG93bnJldi54bWxQSwECFAAUAAAACACHTuJAeDinZawB&#10;AAAmAwAADgAAAAAAAAABACAAAAAkAQAAZHJzL2Uyb0RvYy54bWxQSwUGAAAAAAYABgBZAQAAQgUA&#10;AAAA&#10;">
                  <v:fill on="f" focussize="0,0"/>
                  <v:stroke on="f" weight="1pt"/>
                  <v:imagedata o:title=""/>
                  <o:lock v:ext="edit" aspectratio="f"/>
                  <v:textbox>
                    <w:txbxContent>
                      <w:p>
                        <w:pPr>
                          <w:pStyle w:val="43"/>
                          <w:ind w:left="0" w:firstLine="0"/>
                          <w:jc w:val="both"/>
                          <w:rPr>
                            <w:rFonts w:hint="eastAsia" w:eastAsia="宋体"/>
                            <w:sz w:val="20"/>
                            <w:szCs w:val="22"/>
                            <w:lang w:val="en-US" w:eastAsia="zh-CN"/>
                          </w:rPr>
                        </w:pPr>
                        <w:r>
                          <w:rPr>
                            <w:rFonts w:hint="eastAsia"/>
                            <w:sz w:val="20"/>
                            <w:szCs w:val="22"/>
                            <w:lang w:val="en-US" w:eastAsia="zh-CN"/>
                          </w:rPr>
                          <w:t>回注</w:t>
                        </w:r>
                      </w:p>
                    </w:txbxContent>
                  </v:textbox>
                </v:shape>
                <v:shape id="文本框 51" o:spid="_x0000_s1026" o:spt="202" type="#_x0000_t202" style="position:absolute;left:1492885;top:5160645;height:235585;width:60007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9dYp1QAAAAYB&#10;AAAPAAAAAAAAAAEAIAAAACIAAABkcnMvZG93bnJldi54bWxQSwECFAAUAAAACACHTuJAMWG9e6wB&#10;AAAmAwAADgAAAAAAAAABACAAAAAkAQAAZHJzL2Uyb0RvYy54bWxQSwUGAAAAAAYABgBZAQAAQgUA&#10;AAAA&#10;">
                  <v:fill on="f" focussize="0,0"/>
                  <v:stroke on="f" weight="1pt"/>
                  <v:imagedata o:title=""/>
                  <o:lock v:ext="edit" aspectratio="f"/>
                  <v:textbox>
                    <w:txbxContent>
                      <w:p>
                        <w:pPr>
                          <w:pStyle w:val="43"/>
                          <w:ind w:left="0" w:firstLine="0"/>
                          <w:jc w:val="both"/>
                          <w:rPr>
                            <w:sz w:val="20"/>
                            <w:szCs w:val="22"/>
                          </w:rPr>
                        </w:pPr>
                        <w:r>
                          <w:rPr>
                            <w:rFonts w:hint="eastAsia"/>
                            <w:sz w:val="20"/>
                            <w:szCs w:val="22"/>
                          </w:rPr>
                          <w:t>采出水</w:t>
                        </w:r>
                      </w:p>
                    </w:txbxContent>
                  </v:textbox>
                </v:shape>
                <v:line id="直接连接符 64" o:spid="_x0000_s1026" o:spt="20" style="position:absolute;left:3188335;top:5408295;flip:y;height:7620;width:262255;" filled="f" stroked="t" coordsize="21600,21600" o:gfxdata="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AZW41AAAAAYBAAAPAAAAAAAAAAEAIAAAACIAAABkcnMvZG93bnJldi54bWxQ&#10;SwECFAAUAAAACACHTuJAf0tq5fsBAAC3AwAADgAAAAAAAAABACAAAAAjAQAAZHJzL2Uyb0RvYy54&#10;bWxQSwUGAAAAAAYABgBZAQAAkAUAAAAA&#10;">
                  <v:fill on="f" focussize="0,0"/>
                  <v:stroke weight="1pt" color="#000000" joinstyle="round" dashstyle="dash" endarrow="block"/>
                  <v:imagedata o:title=""/>
                  <o:lock v:ext="edit" aspectratio="f"/>
                </v:line>
                <v:shape id="文本框 68" o:spid="_x0000_s1026" o:spt="202" type="#_x0000_t202" style="position:absolute;left:3387725;top:5268595;height:284480;width:75247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9dYp1QAAAAYB&#10;AAAPAAAAAAAAAAEAIAAAACIAAABkcnMvZG93bnJldi54bWxQSwECFAAUAAAACACHTuJAGhfmj6wB&#10;AAAmAwAADgAAAAAAAAABACAAAAAkAQAAZHJzL2Uyb0RvYy54bWxQSwUGAAAAAAYABgBZAQAAQgUA&#10;AAAA&#10;">
                  <v:fill on="f" focussize="0,0"/>
                  <v:stroke on="f" weight="1pt"/>
                  <v:imagedata o:title=""/>
                  <o:lock v:ext="edit" aspectratio="f"/>
                  <v:textbox>
                    <w:txbxContent>
                      <w:p>
                        <w:pPr>
                          <w:rPr>
                            <w:sz w:val="20"/>
                            <w:szCs w:val="20"/>
                          </w:rPr>
                        </w:pPr>
                        <w:r>
                          <w:rPr>
                            <w:rFonts w:hint="eastAsia"/>
                            <w:sz w:val="20"/>
                            <w:szCs w:val="20"/>
                          </w:rPr>
                          <w:t>含油污泥</w:t>
                        </w:r>
                      </w:p>
                    </w:txbxContent>
                  </v:textbox>
                </v:shape>
                <v:shape id="文本框 68" o:spid="_x0000_s1026" o:spt="202" type="#_x0000_t202" style="position:absolute;left:4377690;top:5185410;height:467995;width:955675;" filled="f" stroked="f" coordsize="21600,21600" o:gfxdata="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fXWKdUAAAAG&#10;AQAADwAAAAAAAAABACAAAAAiAAAAZHJzL2Rvd25yZXYueG1sUEsBAhQAFAAAAAgAh07iQKPXT2yt&#10;AQAAJgMAAA4AAAAAAAAAAQAgAAAAJAEAAGRycy9lMm9Eb2MueG1sUEsFBgAAAAAGAAYAWQEAAEMF&#10;AAAAAA==&#10;">
                  <v:fill on="f" focussize="0,0"/>
                  <v:stroke on="f" weight="1pt"/>
                  <v:imagedata o:title=""/>
                  <o:lock v:ext="edit" aspectratio="f"/>
                  <v:textbox>
                    <w:txbxContent>
                      <w:p>
                        <w:pPr>
                          <w:rPr>
                            <w:sz w:val="20"/>
                            <w:szCs w:val="20"/>
                          </w:rPr>
                        </w:pPr>
                        <w:r>
                          <w:rPr>
                            <w:rFonts w:hint="eastAsia"/>
                            <w:sz w:val="20"/>
                            <w:szCs w:val="20"/>
                          </w:rPr>
                          <w:t>委托有资质的单位处置</w:t>
                        </w:r>
                      </w:p>
                    </w:txbxContent>
                  </v:textbox>
                </v:shape>
                <v:line id="直接连接符 64" o:spid="_x0000_s1026" o:spt="20" style="position:absolute;left:4048760;top:5415915;height:1905;width:352425;" filled="f" stroked="t" coordsize="21600,21600" o:gfxdata="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FKK0NgAAAAGAQAADwAAAAAAAAABACAAAAAiAAAAZHJzL2Rvd25yZXYueG1sUEsBAhQA&#10;FAAAAAgAh07iQLpq5oLyAQAArQMAAA4AAAAAAAAAAQAgAAAAJwEAAGRycy9lMm9Eb2MueG1sUEsF&#10;BgAAAAAGAAYAWQEAAIsFAAAAAA==&#10;">
                  <v:fill on="f" focussize="0,0"/>
                  <v:stroke weight="1pt" color="#000000" joinstyle="round" dashstyle="dash" endarrow="block"/>
                  <v:imagedata o:title=""/>
                  <o:lock v:ext="edit" aspectratio="f"/>
                </v:line>
                <w10:wrap type="none"/>
                <w10:anchorlock/>
              </v:group>
            </w:pict>
          </mc:Fallback>
        </mc:AlternateContent>
      </w:r>
    </w:p>
    <w:p>
      <w:pPr>
        <w:numPr>
          <w:ilvl w:val="3"/>
          <w:numId w:val="0"/>
        </w:numPr>
        <w:tabs>
          <w:tab w:val="left" w:pos="864"/>
        </w:tabs>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图3.7-1  本项目钻井、采油工程工艺流程及产污节点图</w:t>
      </w:r>
    </w:p>
    <w:p>
      <w:pPr>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mc:AlternateContent>
          <mc:Choice Requires="wpc">
            <w:drawing>
              <wp:inline distT="0" distB="0" distL="114300" distR="114300">
                <wp:extent cx="5333365" cy="3343910"/>
                <wp:effectExtent l="4445" t="4445" r="15240" b="23495"/>
                <wp:docPr id="4" name="画布 2"/>
                <wp:cNvGraphicFramePr/>
                <a:graphic xmlns:a="http://schemas.openxmlformats.org/drawingml/2006/main">
                  <a:graphicData uri="http://schemas.microsoft.com/office/word/2010/wordprocessingCanvas">
                    <wpc:wpc>
                      <wpc:bg>
                        <a:noFill/>
                      </wpc:bg>
                      <wpc:whole>
                        <a:ln w="9525" cap="flat" cmpd="sng">
                          <a:solidFill>
                            <a:srgbClr val="000000"/>
                          </a:solidFill>
                          <a:prstDash val="solid"/>
                          <a:round/>
                          <a:headEnd type="none" w="med" len="med"/>
                          <a:tailEnd type="none" w="med" len="med"/>
                        </a:ln>
                      </wpc:whole>
                      <wps:wsp>
                        <wps:cNvPr id="3" name="直接连接符 14"/>
                        <wps:cNvCnPr/>
                        <wps:spPr>
                          <a:xfrm>
                            <a:off x="1223010" y="498475"/>
                            <a:ext cx="886460" cy="635"/>
                          </a:xfrm>
                          <a:prstGeom prst="line">
                            <a:avLst/>
                          </a:prstGeom>
                          <a:ln w="12700" cap="flat" cmpd="sng">
                            <a:solidFill>
                              <a:srgbClr val="000000"/>
                            </a:solidFill>
                            <a:prstDash val="dash"/>
                            <a:headEnd type="triangle" w="med" len="med"/>
                            <a:tailEnd type="none" w="med" len="med"/>
                          </a:ln>
                          <a:effectLst/>
                        </wps:spPr>
                        <wps:bodyPr/>
                      </wps:wsp>
                      <wps:wsp>
                        <wps:cNvPr id="6" name="直接连接符 15"/>
                        <wps:cNvCnPr/>
                        <wps:spPr>
                          <a:xfrm>
                            <a:off x="1226185" y="121920"/>
                            <a:ext cx="635" cy="738505"/>
                          </a:xfrm>
                          <a:prstGeom prst="line">
                            <a:avLst/>
                          </a:prstGeom>
                          <a:ln w="12700" cap="flat" cmpd="sng">
                            <a:solidFill>
                              <a:srgbClr val="000000"/>
                            </a:solidFill>
                            <a:prstDash val="dash"/>
                            <a:headEnd type="none" w="med" len="med"/>
                            <a:tailEnd type="none" w="med" len="med"/>
                          </a:ln>
                          <a:effectLst/>
                        </wps:spPr>
                        <wps:bodyPr/>
                      </wps:wsp>
                      <wps:wsp>
                        <wps:cNvPr id="11" name="直接连接符 16"/>
                        <wps:cNvCnPr/>
                        <wps:spPr>
                          <a:xfrm>
                            <a:off x="997585" y="132080"/>
                            <a:ext cx="236855" cy="0"/>
                          </a:xfrm>
                          <a:prstGeom prst="line">
                            <a:avLst/>
                          </a:prstGeom>
                          <a:ln w="12700" cap="flat" cmpd="sng">
                            <a:solidFill>
                              <a:srgbClr val="000000"/>
                            </a:solidFill>
                            <a:prstDash val="dash"/>
                            <a:headEnd type="triangle" w="med" len="med"/>
                            <a:tailEnd type="none" w="med" len="med"/>
                          </a:ln>
                          <a:effectLst/>
                        </wps:spPr>
                        <wps:bodyPr/>
                      </wps:wsp>
                      <wps:wsp>
                        <wps:cNvPr id="12" name="直接连接符 17"/>
                        <wps:cNvCnPr/>
                        <wps:spPr>
                          <a:xfrm>
                            <a:off x="997585" y="393700"/>
                            <a:ext cx="236855" cy="0"/>
                          </a:xfrm>
                          <a:prstGeom prst="line">
                            <a:avLst/>
                          </a:prstGeom>
                          <a:ln w="12700" cap="flat" cmpd="sng">
                            <a:solidFill>
                              <a:srgbClr val="000000"/>
                            </a:solidFill>
                            <a:prstDash val="dash"/>
                            <a:headEnd type="triangle" w="med" len="med"/>
                            <a:tailEnd type="none" w="med" len="med"/>
                          </a:ln>
                          <a:effectLst/>
                        </wps:spPr>
                        <wps:bodyPr/>
                      </wps:wsp>
                      <wps:wsp>
                        <wps:cNvPr id="27" name="直接连接符 18"/>
                        <wps:cNvCnPr/>
                        <wps:spPr>
                          <a:xfrm>
                            <a:off x="997585" y="619125"/>
                            <a:ext cx="236855" cy="0"/>
                          </a:xfrm>
                          <a:prstGeom prst="line">
                            <a:avLst/>
                          </a:prstGeom>
                          <a:ln w="12700" cap="flat" cmpd="sng">
                            <a:solidFill>
                              <a:srgbClr val="000000"/>
                            </a:solidFill>
                            <a:prstDash val="dash"/>
                            <a:headEnd type="triangle" w="med" len="med"/>
                            <a:tailEnd type="none" w="med" len="med"/>
                          </a:ln>
                          <a:effectLst/>
                        </wps:spPr>
                        <wps:bodyPr/>
                      </wps:wsp>
                      <wps:wsp>
                        <wps:cNvPr id="28" name="直接连接符 19"/>
                        <wps:cNvCnPr/>
                        <wps:spPr>
                          <a:xfrm>
                            <a:off x="992505" y="862330"/>
                            <a:ext cx="236855" cy="0"/>
                          </a:xfrm>
                          <a:prstGeom prst="line">
                            <a:avLst/>
                          </a:prstGeom>
                          <a:ln w="12700" cap="flat" cmpd="sng">
                            <a:solidFill>
                              <a:srgbClr val="000000"/>
                            </a:solidFill>
                            <a:prstDash val="dash"/>
                            <a:headEnd type="triangle" w="med" len="med"/>
                            <a:tailEnd type="none" w="med" len="med"/>
                          </a:ln>
                          <a:effectLst/>
                        </wps:spPr>
                        <wps:bodyPr/>
                      </wps:wsp>
                      <wps:wsp>
                        <wps:cNvPr id="30" name="文本框 20"/>
                        <wps:cNvSpPr txBox="1"/>
                        <wps:spPr>
                          <a:xfrm>
                            <a:off x="12065" y="727075"/>
                            <a:ext cx="1001395" cy="330200"/>
                          </a:xfrm>
                          <a:prstGeom prst="rect">
                            <a:avLst/>
                          </a:prstGeom>
                          <a:noFill/>
                          <a:ln w="12700">
                            <a:noFill/>
                          </a:ln>
                          <a:effectLst/>
                        </wps:spPr>
                        <wps:txbx>
                          <w:txbxContent>
                            <w:p>
                              <w:pPr>
                                <w:rPr>
                                  <w:sz w:val="20"/>
                                  <w:szCs w:val="20"/>
                                </w:rPr>
                              </w:pPr>
                              <w:r>
                                <w:rPr>
                                  <w:rFonts w:hint="eastAsia"/>
                                  <w:sz w:val="20"/>
                                  <w:szCs w:val="20"/>
                                </w:rPr>
                                <w:t>影响野生动物</w:t>
                              </w:r>
                            </w:p>
                          </w:txbxContent>
                        </wps:txbx>
                        <wps:bodyPr upright="1"/>
                      </wps:wsp>
                      <wps:wsp>
                        <wps:cNvPr id="32" name="文本框 21"/>
                        <wps:cNvSpPr txBox="1"/>
                        <wps:spPr>
                          <a:xfrm>
                            <a:off x="0" y="483235"/>
                            <a:ext cx="1014095" cy="302260"/>
                          </a:xfrm>
                          <a:prstGeom prst="rect">
                            <a:avLst/>
                          </a:prstGeom>
                          <a:noFill/>
                          <a:ln w="12700">
                            <a:noFill/>
                          </a:ln>
                          <a:effectLst/>
                        </wps:spPr>
                        <wps:txbx>
                          <w:txbxContent>
                            <w:p>
                              <w:pPr>
                                <w:rPr>
                                  <w:sz w:val="20"/>
                                  <w:szCs w:val="20"/>
                                </w:rPr>
                              </w:pPr>
                              <w:r>
                                <w:rPr>
                                  <w:rFonts w:hint="eastAsia"/>
                                  <w:sz w:val="20"/>
                                  <w:szCs w:val="20"/>
                                </w:rPr>
                                <w:t>破坏地表植被</w:t>
                              </w:r>
                            </w:p>
                          </w:txbxContent>
                        </wps:txbx>
                        <wps:bodyPr upright="1"/>
                      </wps:wsp>
                      <wps:wsp>
                        <wps:cNvPr id="34" name="文本框 22"/>
                        <wps:cNvSpPr txBox="1"/>
                        <wps:spPr>
                          <a:xfrm>
                            <a:off x="186690" y="0"/>
                            <a:ext cx="768985" cy="309880"/>
                          </a:xfrm>
                          <a:prstGeom prst="rect">
                            <a:avLst/>
                          </a:prstGeom>
                          <a:noFill/>
                          <a:ln w="12700">
                            <a:noFill/>
                          </a:ln>
                          <a:effectLst/>
                        </wps:spPr>
                        <wps:txbx>
                          <w:txbxContent>
                            <w:p>
                              <w:pPr>
                                <w:rPr>
                                  <w:sz w:val="20"/>
                                  <w:szCs w:val="20"/>
                                </w:rPr>
                              </w:pPr>
                              <w:r>
                                <w:rPr>
                                  <w:rFonts w:hint="eastAsia"/>
                                  <w:sz w:val="20"/>
                                  <w:szCs w:val="20"/>
                                </w:rPr>
                                <w:t>占用土地</w:t>
                              </w:r>
                            </w:p>
                          </w:txbxContent>
                        </wps:txbx>
                        <wps:bodyPr upright="1"/>
                      </wps:wsp>
                      <wps:wsp>
                        <wps:cNvPr id="35" name="文本框 23"/>
                        <wps:cNvSpPr txBox="1"/>
                        <wps:spPr>
                          <a:xfrm>
                            <a:off x="71755" y="250190"/>
                            <a:ext cx="998220" cy="323215"/>
                          </a:xfrm>
                          <a:prstGeom prst="rect">
                            <a:avLst/>
                          </a:prstGeom>
                          <a:noFill/>
                          <a:ln w="12700">
                            <a:noFill/>
                          </a:ln>
                          <a:effectLst/>
                        </wps:spPr>
                        <wps:txbx>
                          <w:txbxContent>
                            <w:p>
                              <w:pPr>
                                <w:rPr>
                                  <w:sz w:val="20"/>
                                  <w:szCs w:val="20"/>
                                </w:rPr>
                              </w:pPr>
                              <w:r>
                                <w:rPr>
                                  <w:rFonts w:hint="eastAsia"/>
                                  <w:sz w:val="20"/>
                                  <w:szCs w:val="20"/>
                                </w:rPr>
                                <w:t>土壤扰动</w:t>
                              </w:r>
                            </w:p>
                          </w:txbxContent>
                        </wps:txbx>
                        <wps:bodyPr upright="1"/>
                      </wps:wsp>
                      <wps:wsp>
                        <wps:cNvPr id="36" name="文本框 24"/>
                        <wps:cNvSpPr txBox="1"/>
                        <wps:spPr>
                          <a:xfrm>
                            <a:off x="3420745" y="285115"/>
                            <a:ext cx="1264920" cy="497205"/>
                          </a:xfrm>
                          <a:prstGeom prst="rect">
                            <a:avLst/>
                          </a:prstGeom>
                          <a:noFill/>
                          <a:ln w="12700">
                            <a:noFill/>
                          </a:ln>
                          <a:effectLst/>
                        </wps:spPr>
                        <wps:txbx>
                          <w:txbxContent>
                            <w:p>
                              <w:pPr>
                                <w:pStyle w:val="43"/>
                                <w:rPr>
                                  <w:sz w:val="18"/>
                                  <w:szCs w:val="18"/>
                                </w:rPr>
                              </w:pPr>
                              <w:r>
                                <w:rPr>
                                  <w:rFonts w:hint="eastAsia"/>
                                  <w:sz w:val="18"/>
                                  <w:szCs w:val="18"/>
                                </w:rPr>
                                <w:t>施工机械废气</w:t>
                              </w:r>
                            </w:p>
                            <w:p>
                              <w:pPr>
                                <w:pStyle w:val="43"/>
                                <w:rPr>
                                  <w:sz w:val="18"/>
                                  <w:szCs w:val="18"/>
                                </w:rPr>
                              </w:pPr>
                              <w:r>
                                <w:rPr>
                                  <w:rFonts w:hint="eastAsia"/>
                                  <w:sz w:val="18"/>
                                  <w:szCs w:val="18"/>
                                </w:rPr>
                                <w:t>运输车辆尾气</w:t>
                              </w:r>
                            </w:p>
                          </w:txbxContent>
                        </wps:txbx>
                        <wps:bodyPr upright="1"/>
                      </wps:wsp>
                      <wps:wsp>
                        <wps:cNvPr id="78" name="文本框 25"/>
                        <wps:cNvSpPr txBox="1"/>
                        <wps:spPr>
                          <a:xfrm>
                            <a:off x="1325880" y="156845"/>
                            <a:ext cx="742315" cy="349885"/>
                          </a:xfrm>
                          <a:prstGeom prst="rect">
                            <a:avLst/>
                          </a:prstGeom>
                          <a:noFill/>
                          <a:ln w="12700">
                            <a:noFill/>
                          </a:ln>
                          <a:effectLst/>
                        </wps:spPr>
                        <wps:txbx>
                          <w:txbxContent>
                            <w:p>
                              <w:pPr>
                                <w:rPr>
                                  <w:sz w:val="20"/>
                                  <w:szCs w:val="20"/>
                                </w:rPr>
                              </w:pPr>
                              <w:r>
                                <w:rPr>
                                  <w:rFonts w:hint="eastAsia"/>
                                  <w:sz w:val="20"/>
                                  <w:szCs w:val="20"/>
                                </w:rPr>
                                <w:t>生态影响</w:t>
                              </w:r>
                            </w:p>
                          </w:txbxContent>
                        </wps:txbx>
                        <wps:bodyPr upright="1"/>
                      </wps:wsp>
                      <wps:wsp>
                        <wps:cNvPr id="80" name="文本框 26"/>
                        <wps:cNvSpPr txBox="1"/>
                        <wps:spPr>
                          <a:xfrm>
                            <a:off x="2104390" y="41275"/>
                            <a:ext cx="812165" cy="847090"/>
                          </a:xfrm>
                          <a:prstGeom prst="rect">
                            <a:avLst/>
                          </a:prstGeom>
                          <a:noFill/>
                          <a:ln w="12700" cap="flat" cmpd="sng">
                            <a:solidFill>
                              <a:srgbClr val="000000"/>
                            </a:solidFill>
                            <a:prstDash val="solid"/>
                            <a:miter/>
                            <a:headEnd type="none" w="med" len="med"/>
                            <a:tailEnd type="none" w="med" len="med"/>
                          </a:ln>
                          <a:effectLst/>
                        </wps:spPr>
                        <wps:txbx>
                          <w:txbxContent>
                            <w:p>
                              <w:pPr>
                                <w:pStyle w:val="43"/>
                                <w:ind w:left="0" w:firstLine="0"/>
                                <w:rPr>
                                  <w:rFonts w:hint="eastAsia"/>
                                  <w:sz w:val="21"/>
                                  <w:szCs w:val="21"/>
                                </w:rPr>
                              </w:pPr>
                            </w:p>
                            <w:p>
                              <w:pPr>
                                <w:pStyle w:val="43"/>
                                <w:ind w:left="0" w:firstLine="0"/>
                                <w:rPr>
                                  <w:sz w:val="21"/>
                                  <w:szCs w:val="21"/>
                                </w:rPr>
                              </w:pPr>
                              <w:r>
                                <w:rPr>
                                  <w:rFonts w:hint="eastAsia"/>
                                  <w:sz w:val="21"/>
                                  <w:szCs w:val="21"/>
                                </w:rPr>
                                <w:t>井场、</w:t>
                              </w:r>
                              <w:r>
                                <w:rPr>
                                  <w:rFonts w:hint="eastAsia"/>
                                  <w:sz w:val="21"/>
                                  <w:szCs w:val="21"/>
                                  <w:lang w:val="en-US" w:eastAsia="zh-CN"/>
                                </w:rPr>
                                <w:t>管线建设</w:t>
                              </w:r>
                              <w:r>
                                <w:rPr>
                                  <w:rFonts w:hint="eastAsia"/>
                                  <w:sz w:val="21"/>
                                  <w:szCs w:val="21"/>
                                </w:rPr>
                                <w:t>等</w:t>
                              </w:r>
                            </w:p>
                          </w:txbxContent>
                        </wps:txbx>
                        <wps:bodyPr upright="1"/>
                      </wps:wsp>
                      <wps:wsp>
                        <wps:cNvPr id="81" name="直接连接符 27"/>
                        <wps:cNvCnPr/>
                        <wps:spPr>
                          <a:xfrm>
                            <a:off x="3329305" y="140335"/>
                            <a:ext cx="236855" cy="0"/>
                          </a:xfrm>
                          <a:prstGeom prst="line">
                            <a:avLst/>
                          </a:prstGeom>
                          <a:ln w="12700" cap="flat" cmpd="sng">
                            <a:solidFill>
                              <a:srgbClr val="000000"/>
                            </a:solidFill>
                            <a:prstDash val="dash"/>
                            <a:headEnd type="none" w="med" len="med"/>
                            <a:tailEnd type="triangle" w="med" len="med"/>
                          </a:ln>
                          <a:effectLst/>
                        </wps:spPr>
                        <wps:bodyPr/>
                      </wps:wsp>
                      <wps:wsp>
                        <wps:cNvPr id="83" name="直接连接符 28"/>
                        <wps:cNvCnPr/>
                        <wps:spPr>
                          <a:xfrm>
                            <a:off x="3335020" y="499110"/>
                            <a:ext cx="236855" cy="0"/>
                          </a:xfrm>
                          <a:prstGeom prst="line">
                            <a:avLst/>
                          </a:prstGeom>
                          <a:ln w="12700" cap="flat" cmpd="sng">
                            <a:solidFill>
                              <a:srgbClr val="000000"/>
                            </a:solidFill>
                            <a:prstDash val="dash"/>
                            <a:headEnd type="none" w="med" len="med"/>
                            <a:tailEnd type="triangle" w="med" len="med"/>
                          </a:ln>
                          <a:effectLst/>
                        </wps:spPr>
                        <wps:bodyPr/>
                      </wps:wsp>
                      <wps:wsp>
                        <wps:cNvPr id="92" name="直接连接符 29"/>
                        <wps:cNvCnPr/>
                        <wps:spPr>
                          <a:xfrm>
                            <a:off x="2874645" y="494665"/>
                            <a:ext cx="448945" cy="635"/>
                          </a:xfrm>
                          <a:prstGeom prst="line">
                            <a:avLst/>
                          </a:prstGeom>
                          <a:ln w="12700" cap="flat" cmpd="sng">
                            <a:solidFill>
                              <a:srgbClr val="000000"/>
                            </a:solidFill>
                            <a:prstDash val="dash"/>
                            <a:headEnd type="none" w="med" len="med"/>
                            <a:tailEnd type="triangle" w="med" len="med"/>
                          </a:ln>
                          <a:effectLst/>
                        </wps:spPr>
                        <wps:bodyPr/>
                      </wps:wsp>
                      <wps:wsp>
                        <wps:cNvPr id="93" name="直接连接符 30"/>
                        <wps:cNvCnPr/>
                        <wps:spPr>
                          <a:xfrm flipH="1">
                            <a:off x="3317240" y="139700"/>
                            <a:ext cx="5715" cy="828675"/>
                          </a:xfrm>
                          <a:prstGeom prst="line">
                            <a:avLst/>
                          </a:prstGeom>
                          <a:ln w="12700" cap="flat" cmpd="sng">
                            <a:solidFill>
                              <a:srgbClr val="000000"/>
                            </a:solidFill>
                            <a:prstDash val="dash"/>
                            <a:headEnd type="none" w="med" len="med"/>
                            <a:tailEnd type="none" w="med" len="med"/>
                          </a:ln>
                          <a:effectLst/>
                        </wps:spPr>
                        <wps:bodyPr/>
                      </wps:wsp>
                      <wps:wsp>
                        <wps:cNvPr id="96" name="直接连接符 31"/>
                        <wps:cNvCnPr/>
                        <wps:spPr>
                          <a:xfrm>
                            <a:off x="3315970" y="967105"/>
                            <a:ext cx="236855" cy="0"/>
                          </a:xfrm>
                          <a:prstGeom prst="line">
                            <a:avLst/>
                          </a:prstGeom>
                          <a:ln w="12700" cap="flat" cmpd="sng">
                            <a:solidFill>
                              <a:srgbClr val="000000"/>
                            </a:solidFill>
                            <a:prstDash val="dash"/>
                            <a:headEnd type="none" w="med" len="med"/>
                            <a:tailEnd type="triangle" w="med" len="med"/>
                          </a:ln>
                          <a:effectLst/>
                        </wps:spPr>
                        <wps:bodyPr/>
                      </wps:wsp>
                      <wps:wsp>
                        <wps:cNvPr id="97" name="文本框 32"/>
                        <wps:cNvSpPr txBox="1"/>
                        <wps:spPr>
                          <a:xfrm>
                            <a:off x="3571875" y="22860"/>
                            <a:ext cx="768985" cy="275590"/>
                          </a:xfrm>
                          <a:prstGeom prst="rect">
                            <a:avLst/>
                          </a:prstGeom>
                          <a:noFill/>
                          <a:ln w="12700">
                            <a:noFill/>
                          </a:ln>
                          <a:effectLst/>
                        </wps:spPr>
                        <wps:txbx>
                          <w:txbxContent>
                            <w:p>
                              <w:pPr>
                                <w:pStyle w:val="43"/>
                                <w:rPr>
                                  <w:sz w:val="20"/>
                                  <w:szCs w:val="22"/>
                                </w:rPr>
                              </w:pPr>
                              <w:r>
                                <w:rPr>
                                  <w:rFonts w:hint="eastAsia"/>
                                  <w:sz w:val="20"/>
                                  <w:szCs w:val="22"/>
                                </w:rPr>
                                <w:t>扬尘</w:t>
                              </w:r>
                            </w:p>
                          </w:txbxContent>
                        </wps:txbx>
                        <wps:bodyPr upright="1"/>
                      </wps:wsp>
                      <wps:wsp>
                        <wps:cNvPr id="100" name="文本框 33"/>
                        <wps:cNvSpPr txBox="1"/>
                        <wps:spPr>
                          <a:xfrm>
                            <a:off x="3554095" y="836930"/>
                            <a:ext cx="768985" cy="275590"/>
                          </a:xfrm>
                          <a:prstGeom prst="rect">
                            <a:avLst/>
                          </a:prstGeom>
                          <a:noFill/>
                          <a:ln w="12700">
                            <a:noFill/>
                          </a:ln>
                          <a:effectLst/>
                        </wps:spPr>
                        <wps:txbx>
                          <w:txbxContent>
                            <w:p>
                              <w:pPr>
                                <w:pStyle w:val="43"/>
                                <w:rPr>
                                  <w:sz w:val="20"/>
                                  <w:szCs w:val="22"/>
                                </w:rPr>
                              </w:pPr>
                              <w:r>
                                <w:rPr>
                                  <w:rFonts w:hint="eastAsia"/>
                                  <w:sz w:val="20"/>
                                  <w:szCs w:val="22"/>
                                </w:rPr>
                                <w:t>噪声</w:t>
                              </w:r>
                            </w:p>
                          </w:txbxContent>
                        </wps:txbx>
                        <wps:bodyPr upright="1"/>
                      </wps:wsp>
                      <wps:wsp>
                        <wps:cNvPr id="497" name="直接连接符 31"/>
                        <wps:cNvCnPr/>
                        <wps:spPr>
                          <a:xfrm>
                            <a:off x="3338830" y="758825"/>
                            <a:ext cx="236855" cy="0"/>
                          </a:xfrm>
                          <a:prstGeom prst="line">
                            <a:avLst/>
                          </a:prstGeom>
                          <a:ln w="12700" cap="flat" cmpd="sng">
                            <a:solidFill>
                              <a:srgbClr val="000000"/>
                            </a:solidFill>
                            <a:prstDash val="dash"/>
                            <a:headEnd type="none" w="med" len="med"/>
                            <a:tailEnd type="triangle" w="med" len="med"/>
                          </a:ln>
                          <a:effectLst/>
                        </wps:spPr>
                        <wps:bodyPr/>
                      </wps:wsp>
                      <wps:wsp>
                        <wps:cNvPr id="498" name="文本框 33"/>
                        <wps:cNvSpPr txBox="1"/>
                        <wps:spPr>
                          <a:xfrm>
                            <a:off x="3449320" y="624205"/>
                            <a:ext cx="1884045" cy="275590"/>
                          </a:xfrm>
                          <a:prstGeom prst="rect">
                            <a:avLst/>
                          </a:prstGeom>
                          <a:noFill/>
                          <a:ln w="12700">
                            <a:noFill/>
                          </a:ln>
                          <a:effectLst/>
                        </wps:spPr>
                        <wps:txbx>
                          <w:txbxContent>
                            <w:p>
                              <w:pPr>
                                <w:pStyle w:val="43"/>
                                <w:ind w:left="212" w:leftChars="101" w:firstLine="9" w:firstLineChars="5"/>
                                <w:jc w:val="both"/>
                                <w:rPr>
                                  <w:rFonts w:hint="default" w:eastAsia="宋体"/>
                                  <w:sz w:val="20"/>
                                  <w:szCs w:val="22"/>
                                  <w:lang w:val="en-US" w:eastAsia="zh-CN"/>
                                </w:rPr>
                              </w:pPr>
                              <w:r>
                                <w:rPr>
                                  <w:rFonts w:hint="eastAsia"/>
                                  <w:sz w:val="18"/>
                                  <w:szCs w:val="21"/>
                                  <w:lang w:val="en-US" w:eastAsia="zh-CN"/>
                                </w:rPr>
                                <w:t>管道试压废水</w:t>
                              </w:r>
                            </w:p>
                          </w:txbxContent>
                        </wps:txbx>
                        <wps:bodyPr upright="1"/>
                      </wps:wsp>
                      <wps:wsp>
                        <wps:cNvPr id="499" name="文本框 26"/>
                        <wps:cNvSpPr txBox="1"/>
                        <wps:spPr>
                          <a:xfrm>
                            <a:off x="2028825" y="1433195"/>
                            <a:ext cx="942975" cy="269875"/>
                          </a:xfrm>
                          <a:prstGeom prst="rect">
                            <a:avLst/>
                          </a:prstGeom>
                          <a:noFill/>
                          <a:ln w="12700" cap="flat" cmpd="sng">
                            <a:solidFill>
                              <a:srgbClr val="000000"/>
                            </a:solidFill>
                            <a:prstDash val="solid"/>
                            <a:miter/>
                            <a:headEnd type="none" w="med" len="med"/>
                            <a:tailEnd type="none" w="med" len="med"/>
                          </a:ln>
                          <a:effectLst/>
                        </wps:spPr>
                        <wps:txbx>
                          <w:txbxContent>
                            <w:p>
                              <w:pPr>
                                <w:pStyle w:val="43"/>
                                <w:ind w:left="0" w:firstLine="0"/>
                                <w:rPr>
                                  <w:rFonts w:hint="default" w:eastAsia="宋体"/>
                                  <w:sz w:val="21"/>
                                  <w:szCs w:val="21"/>
                                  <w:lang w:val="en-US" w:eastAsia="zh-CN"/>
                                </w:rPr>
                              </w:pPr>
                              <w:r>
                                <w:rPr>
                                  <w:rFonts w:hint="eastAsia"/>
                                  <w:sz w:val="21"/>
                                  <w:szCs w:val="21"/>
                                  <w:lang w:val="en-US" w:eastAsia="zh-CN"/>
                                </w:rPr>
                                <w:t>陆12注水站</w:t>
                              </w:r>
                            </w:p>
                          </w:txbxContent>
                        </wps:txbx>
                        <wps:bodyPr upright="1"/>
                      </wps:wsp>
                      <wps:wsp>
                        <wps:cNvPr id="500" name="文本框 26"/>
                        <wps:cNvSpPr txBox="1"/>
                        <wps:spPr>
                          <a:xfrm>
                            <a:off x="2029460" y="2148205"/>
                            <a:ext cx="942975" cy="269875"/>
                          </a:xfrm>
                          <a:prstGeom prst="rect">
                            <a:avLst/>
                          </a:prstGeom>
                          <a:noFill/>
                          <a:ln w="12700" cap="flat" cmpd="sng">
                            <a:solidFill>
                              <a:srgbClr val="000000"/>
                            </a:solidFill>
                            <a:prstDash val="solid"/>
                            <a:miter/>
                            <a:headEnd type="none" w="med" len="med"/>
                            <a:tailEnd type="none" w="med" len="med"/>
                          </a:ln>
                          <a:effectLst/>
                        </wps:spPr>
                        <wps:txbx>
                          <w:txbxContent>
                            <w:p>
                              <w:pPr>
                                <w:pStyle w:val="43"/>
                                <w:ind w:left="0" w:firstLine="0"/>
                                <w:rPr>
                                  <w:rFonts w:hint="default" w:eastAsia="宋体"/>
                                  <w:sz w:val="21"/>
                                  <w:szCs w:val="21"/>
                                  <w:lang w:val="en-US" w:eastAsia="zh-CN"/>
                                </w:rPr>
                              </w:pPr>
                              <w:r>
                                <w:rPr>
                                  <w:rFonts w:hint="eastAsia"/>
                                  <w:sz w:val="21"/>
                                  <w:szCs w:val="21"/>
                                  <w:lang w:val="en-US" w:eastAsia="zh-CN"/>
                                </w:rPr>
                                <w:t>配水撬</w:t>
                              </w:r>
                            </w:p>
                          </w:txbxContent>
                        </wps:txbx>
                        <wps:bodyPr upright="1"/>
                      </wps:wsp>
                      <wps:wsp>
                        <wps:cNvPr id="501" name="直接箭头连接符 501"/>
                        <wps:cNvCnPr/>
                        <wps:spPr>
                          <a:xfrm>
                            <a:off x="2500630" y="1703070"/>
                            <a:ext cx="635" cy="445135"/>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502" name="直接箭头连接符 502"/>
                        <wps:cNvCnPr/>
                        <wps:spPr>
                          <a:xfrm>
                            <a:off x="2513330" y="2433955"/>
                            <a:ext cx="635" cy="452755"/>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503" name="文本框 26"/>
                        <wps:cNvSpPr txBox="1"/>
                        <wps:spPr>
                          <a:xfrm>
                            <a:off x="2020570" y="2894330"/>
                            <a:ext cx="942975" cy="269875"/>
                          </a:xfrm>
                          <a:prstGeom prst="rect">
                            <a:avLst/>
                          </a:prstGeom>
                          <a:noFill/>
                          <a:ln w="12700" cap="flat" cmpd="sng">
                            <a:solidFill>
                              <a:srgbClr val="000000"/>
                            </a:solidFill>
                            <a:prstDash val="solid"/>
                            <a:miter/>
                            <a:headEnd type="none" w="med" len="med"/>
                            <a:tailEnd type="none" w="med" len="med"/>
                          </a:ln>
                          <a:effectLst/>
                        </wps:spPr>
                        <wps:txbx>
                          <w:txbxContent>
                            <w:p>
                              <w:pPr>
                                <w:pStyle w:val="43"/>
                                <w:ind w:left="0" w:firstLine="0"/>
                                <w:rPr>
                                  <w:rFonts w:hint="default" w:eastAsia="宋体"/>
                                  <w:lang w:val="en-US" w:eastAsia="zh-CN"/>
                                </w:rPr>
                              </w:pPr>
                              <w:r>
                                <w:rPr>
                                  <w:rFonts w:hint="eastAsia"/>
                                  <w:lang w:val="en-US" w:eastAsia="zh-CN"/>
                                </w:rPr>
                                <w:t>注水井</w:t>
                              </w:r>
                            </w:p>
                          </w:txbxContent>
                        </wps:txbx>
                        <wps:bodyPr upright="1"/>
                      </wps:wsp>
                      <wps:wsp>
                        <wps:cNvPr id="504" name="直接连接符 31"/>
                        <wps:cNvCnPr/>
                        <wps:spPr>
                          <a:xfrm>
                            <a:off x="2989580" y="2275840"/>
                            <a:ext cx="236855" cy="0"/>
                          </a:xfrm>
                          <a:prstGeom prst="line">
                            <a:avLst/>
                          </a:prstGeom>
                          <a:ln w="12700" cap="flat" cmpd="sng">
                            <a:solidFill>
                              <a:srgbClr val="000000"/>
                            </a:solidFill>
                            <a:prstDash val="dash"/>
                            <a:headEnd type="none" w="med" len="med"/>
                            <a:tailEnd type="triangle" w="med" len="med"/>
                          </a:ln>
                          <a:effectLst/>
                        </wps:spPr>
                        <wps:bodyPr/>
                      </wps:wsp>
                      <wps:wsp>
                        <wps:cNvPr id="505" name="文本框 33"/>
                        <wps:cNvSpPr txBox="1"/>
                        <wps:spPr>
                          <a:xfrm>
                            <a:off x="3164205" y="2124075"/>
                            <a:ext cx="768985" cy="275590"/>
                          </a:xfrm>
                          <a:prstGeom prst="rect">
                            <a:avLst/>
                          </a:prstGeom>
                          <a:noFill/>
                          <a:ln w="12700">
                            <a:noFill/>
                          </a:ln>
                          <a:effectLst/>
                        </wps:spPr>
                        <wps:txbx>
                          <w:txbxContent>
                            <w:p>
                              <w:pPr>
                                <w:pStyle w:val="43"/>
                                <w:rPr>
                                  <w:sz w:val="20"/>
                                  <w:szCs w:val="22"/>
                                </w:rPr>
                              </w:pPr>
                              <w:r>
                                <w:rPr>
                                  <w:rFonts w:hint="eastAsia"/>
                                  <w:sz w:val="20"/>
                                  <w:szCs w:val="22"/>
                                </w:rPr>
                                <w:t>噪声</w:t>
                              </w:r>
                            </w:p>
                          </w:txbxContent>
                        </wps:txbx>
                        <wps:bodyPr upright="1"/>
                      </wps:wsp>
                    </wpc:wpc>
                  </a:graphicData>
                </a:graphic>
              </wp:inline>
            </w:drawing>
          </mc:Choice>
          <mc:Fallback>
            <w:pict>
              <v:group id="画布 2" o:spid="_x0000_s1026" o:spt="203" style="height:263.3pt;width:419.95pt;" coordsize="5333365,3343910" editas="canvas" o:gfxdata="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">
                <o:lock v:ext="edit" aspectratio="f"/>
                <v:shape id="画布 2" o:spid="_x0000_s1026" style="position:absolute;left:0;top:0;height:3343910;width:5333365;" filled="f" stroked="t" coordsize="21600,21600" o:gfxdata="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maKtLtUAAAAFAQAADwAAAAAAAAABACAAAAAiAAAAZHJzL2Rvd25yZXYueG1sUEsBAhQAFAAAAAgA&#10;h07iQMrGWN/VBgAAwzsAAA4AAAAAAAAAAQAgAAAAJAEAAGRycy9lMm9Eb2MueG1sUEsFBgAAAAAG&#10;AAYAWQEAAGsKAAAAAA==&#10;">
                  <v:fill on="f" focussize="0,0"/>
                  <v:stroke color="#000000" joinstyle="round"/>
                  <v:imagedata o:title=""/>
                  <o:lock v:ext="edit" aspectratio="f"/>
                </v:shape>
                <v:line id="直接连接符 14" o:spid="_x0000_s1026" o:spt="20" style="position:absolute;left:1223010;top:498475;height:635;width:886460;" filled="f" stroked="t" coordsize="21600,21600" o:gfxdata="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PY&#10;99UAAAAFAQAADwAAAAAAAAABACAAAAAiAAAAZHJzL2Rvd25yZXYueG1sUEsBAhQAFAAAAAgAh07i&#10;QC1U1lHsAQAAqQMAAA4AAAAAAAAAAQAgAAAAJAEAAGRycy9lMm9Eb2MueG1sUEsFBgAAAAAGAAYA&#10;WQEAAIIFAAAAAA==&#10;">
                  <v:fill on="f" focussize="0,0"/>
                  <v:stroke weight="1pt" color="#000000" joinstyle="round" dashstyle="dash" startarrow="block"/>
                  <v:imagedata o:title=""/>
                  <o:lock v:ext="edit" aspectratio="f"/>
                </v:line>
                <v:line id="直接连接符 15" o:spid="_x0000_s1026" o:spt="20" style="position:absolute;left:1226185;top:121920;height:738505;width:635;" filled="f" stroked="t" coordsize="21600,21600" o:gfxdata="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c6IdE0wAAAAUBAAAP&#10;AAAAAAAAAAEAIAAAACIAAABkcnMvZG93bnJldi54bWxQSwECFAAUAAAACACHTuJASN9oT+QBAACl&#10;AwAADgAAAAAAAAABACAAAAAiAQAAZHJzL2Uyb0RvYy54bWxQSwUGAAAAAAYABgBZAQAAeAUAAAAA&#10;">
                  <v:fill on="f" focussize="0,0"/>
                  <v:stroke weight="1pt" color="#000000" joinstyle="round" dashstyle="dash"/>
                  <v:imagedata o:title=""/>
                  <o:lock v:ext="edit" aspectratio="f"/>
                </v:line>
                <v:line id="直接连接符 16" o:spid="_x0000_s1026" o:spt="20" style="position:absolute;left:997585;top:132080;height:0;width:236855;" filled="f" stroked="t" coordsize="21600,21600" o:gfxdata="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Pz2PfV&#10;AAAABQEAAA8AAAAAAAAAAQAgAAAAIgAAAGRycy9kb3ducmV2LnhtbFBLAQIUABQAAAAIAIdO4kAB&#10;oz7b6gEAAKcDAAAOAAAAAAAAAAEAIAAAACQBAABkcnMvZTJvRG9jLnhtbFBLBQYAAAAABgAGAFkB&#10;AACABQAAAAA=&#10;">
                  <v:fill on="f" focussize="0,0"/>
                  <v:stroke weight="1pt" color="#000000" joinstyle="round" dashstyle="dash" startarrow="block"/>
                  <v:imagedata o:title=""/>
                  <o:lock v:ext="edit" aspectratio="f"/>
                </v:line>
                <v:line id="直接连接符 17" o:spid="_x0000_s1026" o:spt="20" style="position:absolute;left:997585;top:393700;height:0;width:236855;" filled="f" stroked="t" coordsize="21600,21600" o:gfxdata="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PY99UA&#10;AAAFAQAADwAAAAAAAAABACAAAAAiAAAAZHJzL2Rvd25yZXYueG1sUEsBAhQAFAAAAAgAh07iQG4w&#10;LCDpAQAApwMAAA4AAAAAAAAAAQAgAAAAJAEAAGRycy9lMm9Eb2MueG1sUEsFBgAAAAAGAAYAWQEA&#10;AH8FAAAAAA==&#10;">
                  <v:fill on="f" focussize="0,0"/>
                  <v:stroke weight="1pt" color="#000000" joinstyle="round" dashstyle="dash" startarrow="block"/>
                  <v:imagedata o:title=""/>
                  <o:lock v:ext="edit" aspectratio="f"/>
                </v:line>
                <v:line id="直接连接符 18" o:spid="_x0000_s1026" o:spt="20" style="position:absolute;left:997585;top:619125;height:0;width:236855;" filled="f" stroked="t" coordsize="21600,21600" o:gfxdata="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PY&#10;99UAAAAFAQAADwAAAAAAAAABACAAAAAiAAAAZHJzL2Rvd25yZXYueG1sUEsBAhQAFAAAAAgAh07i&#10;QDHOcDDsAQAApwMAAA4AAAAAAAAAAQAgAAAAJAEAAGRycy9lMm9Eb2MueG1sUEsFBgAAAAAGAAYA&#10;WQEAAIIFAAAAAA==&#10;">
                  <v:fill on="f" focussize="0,0"/>
                  <v:stroke weight="1pt" color="#000000" joinstyle="round" dashstyle="dash" startarrow="block"/>
                  <v:imagedata o:title=""/>
                  <o:lock v:ext="edit" aspectratio="f"/>
                </v:line>
                <v:line id="直接连接符 19" o:spid="_x0000_s1026" o:spt="20" style="position:absolute;left:992505;top:862330;height:0;width:236855;" filled="f" stroked="t" coordsize="21600,21600" o:gfxdata="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PY&#10;99UAAAAFAQAADwAAAAAAAAABACAAAAAiAAAAZHJzL2Rvd25yZXYueG1sUEsBAhQAFAAAAAgAh07i&#10;QMEOw6bsAQAApwMAAA4AAAAAAAAAAQAgAAAAJAEAAGRycy9lMm9Eb2MueG1sUEsFBgAAAAAGAAYA&#10;WQEAAIIFAAAAAA==&#10;">
                  <v:fill on="f" focussize="0,0"/>
                  <v:stroke weight="1pt" color="#000000" joinstyle="round" dashstyle="dash" startarrow="block"/>
                  <v:imagedata o:title=""/>
                  <o:lock v:ext="edit" aspectratio="f"/>
                </v:line>
                <v:shape id="文本框 20" o:spid="_x0000_s1026" o:spt="202" type="#_x0000_t202" style="position:absolute;left:12065;top:727075;height:330200;width:1001395;"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MSNn9UAAAAFAQAADwAAAAAA&#10;AAABACAAAAAiAAAAZHJzL2Rvd25yZXYueG1sUEsBAhQAFAAAAAgAh07iQKXc7ZGkAQAAIwMAAA4A&#10;AAAAAAAAAQAgAAAAJAEAAGRycy9lMm9Eb2MueG1sUEsFBgAAAAAGAAYAWQEAADoFAAAAAA==&#10;">
                  <v:fill on="f" focussize="0,0"/>
                  <v:stroke on="f" weight="1pt"/>
                  <v:imagedata o:title=""/>
                  <o:lock v:ext="edit" aspectratio="f"/>
                  <v:textbox>
                    <w:txbxContent>
                      <w:p>
                        <w:pPr>
                          <w:rPr>
                            <w:sz w:val="20"/>
                            <w:szCs w:val="20"/>
                          </w:rPr>
                        </w:pPr>
                        <w:r>
                          <w:rPr>
                            <w:rFonts w:hint="eastAsia"/>
                            <w:sz w:val="20"/>
                            <w:szCs w:val="20"/>
                          </w:rPr>
                          <w:t>影响野生动物</w:t>
                        </w:r>
                      </w:p>
                    </w:txbxContent>
                  </v:textbox>
                </v:shape>
                <v:shape id="文本框 21" o:spid="_x0000_s1026" o:spt="202" type="#_x0000_t202" style="position:absolute;left:0;top:483235;height:302260;width:1014095;"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MSNn9UAAAAFAQAADwAA&#10;AAAAAAABACAAAAAiAAAAZHJzL2Rvd25yZXYueG1sUEsBAhQAFAAAAAgAh07iQO9FahinAQAAHwMA&#10;AA4AAAAAAAAAAQAgAAAAJAEAAGRycy9lMm9Eb2MueG1sUEsFBgAAAAAGAAYAWQEAAD0FAAAAAA==&#10;">
                  <v:fill on="f" focussize="0,0"/>
                  <v:stroke on="f" weight="1pt"/>
                  <v:imagedata o:title=""/>
                  <o:lock v:ext="edit" aspectratio="f"/>
                  <v:textbox>
                    <w:txbxContent>
                      <w:p>
                        <w:pPr>
                          <w:rPr>
                            <w:sz w:val="20"/>
                            <w:szCs w:val="20"/>
                          </w:rPr>
                        </w:pPr>
                        <w:r>
                          <w:rPr>
                            <w:rFonts w:hint="eastAsia"/>
                            <w:sz w:val="20"/>
                            <w:szCs w:val="20"/>
                          </w:rPr>
                          <w:t>破坏地表植被</w:t>
                        </w:r>
                      </w:p>
                    </w:txbxContent>
                  </v:textbox>
                </v:shape>
                <v:shape id="文本框 22" o:spid="_x0000_s1026" o:spt="202" type="#_x0000_t202" style="position:absolute;left:186690;top:0;height:309880;width:768985;"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IxI2f1QAAAAUBAAAPAAAA&#10;AAAAAAEAIAAAACIAAABkcnMvZG93bnJldi54bWxQSwECFAAUAAAACACHTuJALX2qeqYBAAAeAwAA&#10;DgAAAAAAAAABACAAAAAkAQAAZHJzL2Uyb0RvYy54bWxQSwUGAAAAAAYABgBZAQAAPAUAAAAA&#10;">
                  <v:fill on="f" focussize="0,0"/>
                  <v:stroke on="f" weight="1pt"/>
                  <v:imagedata o:title=""/>
                  <o:lock v:ext="edit" aspectratio="f"/>
                  <v:textbox>
                    <w:txbxContent>
                      <w:p>
                        <w:pPr>
                          <w:rPr>
                            <w:sz w:val="20"/>
                            <w:szCs w:val="20"/>
                          </w:rPr>
                        </w:pPr>
                        <w:r>
                          <w:rPr>
                            <w:rFonts w:hint="eastAsia"/>
                            <w:sz w:val="20"/>
                            <w:szCs w:val="20"/>
                          </w:rPr>
                          <w:t>占用土地</w:t>
                        </w:r>
                      </w:p>
                    </w:txbxContent>
                  </v:textbox>
                </v:shape>
                <v:shape id="文本框 23" o:spid="_x0000_s1026" o:spt="202" type="#_x0000_t202" style="position:absolute;left:71755;top:250190;height:323215;width:998220;"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jEjZ/VAAAABQEAAA8A&#10;AAAAAAAAAQAgAAAAIgAAAGRycy9kb3ducmV2LnhtbFBLAQIUABQAAAAIAIdO4kDVsTj6qAEAACID&#10;AAAOAAAAAAAAAAEAIAAAACQBAABkcnMvZTJvRG9jLnhtbFBLBQYAAAAABgAGAFkBAAA+BQAAAAA=&#10;">
                  <v:fill on="f" focussize="0,0"/>
                  <v:stroke on="f" weight="1pt"/>
                  <v:imagedata o:title=""/>
                  <o:lock v:ext="edit" aspectratio="f"/>
                  <v:textbox>
                    <w:txbxContent>
                      <w:p>
                        <w:pPr>
                          <w:rPr>
                            <w:sz w:val="20"/>
                            <w:szCs w:val="20"/>
                          </w:rPr>
                        </w:pPr>
                        <w:r>
                          <w:rPr>
                            <w:rFonts w:hint="eastAsia"/>
                            <w:sz w:val="20"/>
                            <w:szCs w:val="20"/>
                          </w:rPr>
                          <w:t>土壤扰动</w:t>
                        </w:r>
                      </w:p>
                    </w:txbxContent>
                  </v:textbox>
                </v:shape>
                <v:shape id="文本框 24" o:spid="_x0000_s1026" o:spt="202" type="#_x0000_t202" style="position:absolute;left:3420745;top:285115;height:497205;width:1264920;"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MSNn9UAAAAF&#10;AQAADwAAAAAAAAABACAAAAAiAAAAZHJzL2Rvd25yZXYueG1sUEsBAhQAFAAAAAgAh07iQFSag5yt&#10;AQAAJQMAAA4AAAAAAAAAAQAgAAAAJAEAAGRycy9lMm9Eb2MueG1sUEsFBgAAAAAGAAYAWQEAAEMF&#10;AAAAAA==&#10;">
                  <v:fill on="f" focussize="0,0"/>
                  <v:stroke on="f" weight="1pt"/>
                  <v:imagedata o:title=""/>
                  <o:lock v:ext="edit" aspectratio="f"/>
                  <v:textbox>
                    <w:txbxContent>
                      <w:p>
                        <w:pPr>
                          <w:pStyle w:val="43"/>
                          <w:rPr>
                            <w:sz w:val="18"/>
                            <w:szCs w:val="18"/>
                          </w:rPr>
                        </w:pPr>
                        <w:r>
                          <w:rPr>
                            <w:rFonts w:hint="eastAsia"/>
                            <w:sz w:val="18"/>
                            <w:szCs w:val="18"/>
                          </w:rPr>
                          <w:t>施工机械废气</w:t>
                        </w:r>
                      </w:p>
                      <w:p>
                        <w:pPr>
                          <w:pStyle w:val="43"/>
                          <w:rPr>
                            <w:sz w:val="18"/>
                            <w:szCs w:val="18"/>
                          </w:rPr>
                        </w:pPr>
                        <w:r>
                          <w:rPr>
                            <w:rFonts w:hint="eastAsia"/>
                            <w:sz w:val="18"/>
                            <w:szCs w:val="18"/>
                          </w:rPr>
                          <w:t>运输车辆尾气</w:t>
                        </w:r>
                      </w:p>
                    </w:txbxContent>
                  </v:textbox>
                </v:shape>
                <v:shape id="文本框 25" o:spid="_x0000_s1026" o:spt="202" type="#_x0000_t202" style="position:absolute;left:1325880;top:156845;height:349885;width:742315;"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MSNn9UAAAAFAQAA&#10;DwAAAAAAAAABACAAAAAiAAAAZHJzL2Rvd25yZXYueG1sUEsBAhQAFAAAAAgAh07iQIWNVO6qAQAA&#10;JAMAAA4AAAAAAAAAAQAgAAAAJAEAAGRycy9lMm9Eb2MueG1sUEsFBgAAAAAGAAYAWQEAAEAFAAAA&#10;AA==&#10;">
                  <v:fill on="f" focussize="0,0"/>
                  <v:stroke on="f" weight="1pt"/>
                  <v:imagedata o:title=""/>
                  <o:lock v:ext="edit" aspectratio="f"/>
                  <v:textbox>
                    <w:txbxContent>
                      <w:p>
                        <w:pPr>
                          <w:rPr>
                            <w:sz w:val="20"/>
                            <w:szCs w:val="20"/>
                          </w:rPr>
                        </w:pPr>
                        <w:r>
                          <w:rPr>
                            <w:rFonts w:hint="eastAsia"/>
                            <w:sz w:val="20"/>
                            <w:szCs w:val="20"/>
                          </w:rPr>
                          <w:t>生态影响</w:t>
                        </w:r>
                      </w:p>
                    </w:txbxContent>
                  </v:textbox>
                </v:shape>
                <v:shape id="文本框 26" o:spid="_x0000_s1026" o:spt="202" type="#_x0000_t202" style="position:absolute;left:2104390;top:41275;height:847090;width:812165;" filled="f" stroked="t" coordsize="21600,21600" o:gfxdata="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sWhR1AAAAAUBAAAPAAAAAAAAAAEAIAAAACIAAABkcnMvZG93bnJldi54bWxQ&#10;SwECFAAUAAAACACHTuJA+RyBNvsBAADZAwAADgAAAAAAAAABACAAAAAjAQAAZHJzL2Uyb0RvYy54&#10;bWxQSwUGAAAAAAYABgBZAQAAkAUAAAAA&#10;">
                  <v:fill on="f" focussize="0,0"/>
                  <v:stroke weight="1pt" color="#000000" joinstyle="miter"/>
                  <v:imagedata o:title=""/>
                  <o:lock v:ext="edit" aspectratio="f"/>
                  <v:textbox>
                    <w:txbxContent>
                      <w:p>
                        <w:pPr>
                          <w:pStyle w:val="43"/>
                          <w:ind w:left="0" w:firstLine="0"/>
                          <w:rPr>
                            <w:rFonts w:hint="eastAsia"/>
                            <w:sz w:val="21"/>
                            <w:szCs w:val="21"/>
                          </w:rPr>
                        </w:pPr>
                      </w:p>
                      <w:p>
                        <w:pPr>
                          <w:pStyle w:val="43"/>
                          <w:ind w:left="0" w:firstLine="0"/>
                          <w:rPr>
                            <w:sz w:val="21"/>
                            <w:szCs w:val="21"/>
                          </w:rPr>
                        </w:pPr>
                        <w:r>
                          <w:rPr>
                            <w:rFonts w:hint="eastAsia"/>
                            <w:sz w:val="21"/>
                            <w:szCs w:val="21"/>
                          </w:rPr>
                          <w:t>井场、</w:t>
                        </w:r>
                        <w:r>
                          <w:rPr>
                            <w:rFonts w:hint="eastAsia"/>
                            <w:sz w:val="21"/>
                            <w:szCs w:val="21"/>
                            <w:lang w:val="en-US" w:eastAsia="zh-CN"/>
                          </w:rPr>
                          <w:t>管线建设</w:t>
                        </w:r>
                        <w:r>
                          <w:rPr>
                            <w:rFonts w:hint="eastAsia"/>
                            <w:sz w:val="21"/>
                            <w:szCs w:val="21"/>
                          </w:rPr>
                          <w:t>等</w:t>
                        </w:r>
                      </w:p>
                    </w:txbxContent>
                  </v:textbox>
                </v:shape>
                <v:line id="直接连接符 27" o:spid="_x0000_s1026" o:spt="20" style="position:absolute;left:3329305;top:140335;height:0;width:236855;" filled="f" stroked="t" coordsize="21600,21600" o:gfxdata="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SvV62AAAAAUBAAAPAAAAAAAAAAEAIAAAACIAAABkcnMvZG93bnJldi54bWxQSwECFAAUAAAA&#10;CACHTuJAtRvcVu4BAACoAwAADgAAAAAAAAABACAAAAAnAQAAZHJzL2Uyb0RvYy54bWxQSwUGAAAA&#10;AAYABgBZAQAAhwUAAAAA&#10;">
                  <v:fill on="f" focussize="0,0"/>
                  <v:stroke weight="1pt" color="#000000" joinstyle="round" dashstyle="dash" endarrow="block"/>
                  <v:imagedata o:title=""/>
                  <o:lock v:ext="edit" aspectratio="f"/>
                </v:line>
                <v:line id="直接连接符 28" o:spid="_x0000_s1026" o:spt="20" style="position:absolute;left:3335020;top:499110;height:0;width:236855;" filled="f" stroked="t" coordsize="21600,21600" o:gfxdata="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RK9XrYAAAABQEAAA8AAAAAAAAAAQAgAAAAIgAAAGRycy9kb3ducmV2LnhtbFBLAQIUABQAAAAI&#10;AIdO4kAVqpnB7QEAAKgDAAAOAAAAAAAAAAEAIAAAACcBAABkcnMvZTJvRG9jLnhtbFBLBQYAAAAA&#10;BgAGAFkBAACGBQAAAAA=&#10;">
                  <v:fill on="f" focussize="0,0"/>
                  <v:stroke weight="1pt" color="#000000" joinstyle="round" dashstyle="dash" endarrow="block"/>
                  <v:imagedata o:title=""/>
                  <o:lock v:ext="edit" aspectratio="f"/>
                </v:line>
                <v:line id="直接连接符 29" o:spid="_x0000_s1026" o:spt="20" style="position:absolute;left:2874645;top:494665;height:635;width:448945;" filled="f" stroked="t" coordsize="21600,21600" o:gfxdata="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Er1etgAAAAFAQAADwAAAAAAAAABACAAAAAiAAAAZHJzL2Rvd25yZXYueG1sUEsBAhQAFAAA&#10;AAgAh07iQA/e3/rvAQAAqgMAAA4AAAAAAAAAAQAgAAAAJwEAAGRycy9lMm9Eb2MueG1sUEsFBgAA&#10;AAAGAAYAWQEAAIgFAAAAAA==&#10;">
                  <v:fill on="f" focussize="0,0"/>
                  <v:stroke weight="1pt" color="#000000" joinstyle="round" dashstyle="dash" endarrow="block"/>
                  <v:imagedata o:title=""/>
                  <o:lock v:ext="edit" aspectratio="f"/>
                </v:line>
                <v:line id="直接连接符 30" o:spid="_x0000_s1026" o:spt="20" style="position:absolute;left:3317240;top:139700;flip:x;height:828675;width:5715;" filled="f" stroked="t" coordsize="21600,21600" o:gfxdata="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Rt&#10;GbnUAAAABQEAAA8AAAAAAAAAAQAgAAAAIgAAAGRycy9kb3ducmV2LnhtbFBLAQIUABQAAAAIAIdO&#10;4kA+rUt47gEAALEDAAAOAAAAAAAAAAEAIAAAACMBAABkcnMvZTJvRG9jLnhtbFBLBQYAAAAABgAG&#10;AFkBAACDBQAAAAA=&#10;">
                  <v:fill on="f" focussize="0,0"/>
                  <v:stroke weight="1pt" color="#000000" joinstyle="round" dashstyle="dash"/>
                  <v:imagedata o:title=""/>
                  <o:lock v:ext="edit" aspectratio="f"/>
                </v:line>
                <v:line id="直接连接符 31" o:spid="_x0000_s1026" o:spt="20" style="position:absolute;left:3315970;top:967105;height:0;width:236855;" filled="f" stroked="t" coordsize="21600,21600" o:gfxdata="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RK9XrYAAAABQEAAA8AAAAAAAAAAQAgAAAAIgAAAGRycy9kb3ducmV2LnhtbFBLAQIUABQAAAAI&#10;AIdO4kCc4etj7QEAAKgDAAAOAAAAAAAAAAEAIAAAACcBAABkcnMvZTJvRG9jLnhtbFBLBQYAAAAA&#10;BgAGAFkBAACGBQAAAAA=&#10;">
                  <v:fill on="f" focussize="0,0"/>
                  <v:stroke weight="1pt" color="#000000" joinstyle="round" dashstyle="dash" endarrow="block"/>
                  <v:imagedata o:title=""/>
                  <o:lock v:ext="edit" aspectratio="f"/>
                </v:line>
                <v:shape id="文本框 32" o:spid="_x0000_s1026" o:spt="202" type="#_x0000_t202" style="position:absolute;left:3571875;top:22860;height:275590;width:768985;"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IxI2f1QAAAAUBAAAP&#10;AAAAAAAAAAEAIAAAACIAAABkcnMvZG93bnJldi54bWxQSwECFAAUAAAACACHTuJAG/1Y5qkBAAAj&#10;AwAADgAAAAAAAAABACAAAAAkAQAAZHJzL2Uyb0RvYy54bWxQSwUGAAAAAAYABgBZAQAAPwUAAAAA&#10;">
                  <v:fill on="f" focussize="0,0"/>
                  <v:stroke on="f" weight="1pt"/>
                  <v:imagedata o:title=""/>
                  <o:lock v:ext="edit" aspectratio="f"/>
                  <v:textbox>
                    <w:txbxContent>
                      <w:p>
                        <w:pPr>
                          <w:pStyle w:val="43"/>
                          <w:rPr>
                            <w:sz w:val="20"/>
                            <w:szCs w:val="22"/>
                          </w:rPr>
                        </w:pPr>
                        <w:r>
                          <w:rPr>
                            <w:rFonts w:hint="eastAsia"/>
                            <w:sz w:val="20"/>
                            <w:szCs w:val="22"/>
                          </w:rPr>
                          <w:t>扬尘</w:t>
                        </w:r>
                      </w:p>
                    </w:txbxContent>
                  </v:textbox>
                </v:shape>
                <v:shape id="文本框 33" o:spid="_x0000_s1026" o:spt="202" type="#_x0000_t202" style="position:absolute;left:3554095;top:836930;height:275590;width:768985;"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IxI2f1QAAAAUBAAAP&#10;AAAAAAAAAAEAIAAAACIAAABkcnMvZG93bnJldi54bWxQSwECFAAUAAAACACHTuJAg9Pm+6kBAAAl&#10;AwAADgAAAAAAAAABACAAAAAkAQAAZHJzL2Uyb0RvYy54bWxQSwUGAAAAAAYABgBZAQAAPwUAAAAA&#10;">
                  <v:fill on="f" focussize="0,0"/>
                  <v:stroke on="f" weight="1pt"/>
                  <v:imagedata o:title=""/>
                  <o:lock v:ext="edit" aspectratio="f"/>
                  <v:textbox>
                    <w:txbxContent>
                      <w:p>
                        <w:pPr>
                          <w:pStyle w:val="43"/>
                          <w:rPr>
                            <w:sz w:val="20"/>
                            <w:szCs w:val="22"/>
                          </w:rPr>
                        </w:pPr>
                        <w:r>
                          <w:rPr>
                            <w:rFonts w:hint="eastAsia"/>
                            <w:sz w:val="20"/>
                            <w:szCs w:val="22"/>
                          </w:rPr>
                          <w:t>噪声</w:t>
                        </w:r>
                      </w:p>
                    </w:txbxContent>
                  </v:textbox>
                </v:shape>
                <v:line id="直接连接符 31" o:spid="_x0000_s1026" o:spt="20" style="position:absolute;left:3338830;top:758825;height:0;width:236855;" filled="f" stroked="t" coordsize="21600,21600" o:gfxdata="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Er1etgAAAAFAQAADwAAAAAAAAABACAAAAAiAAAAZHJzL2Rvd25yZXYueG1sUEsBAhQAFAAA&#10;AAgAh07iQM8KSuTvAQAAqQMAAA4AAAAAAAAAAQAgAAAAJwEAAGRycy9lMm9Eb2MueG1sUEsFBgAA&#10;AAAGAAYAWQEAAIgFAAAAAA==&#10;">
                  <v:fill on="f" focussize="0,0"/>
                  <v:stroke weight="1pt" color="#000000" joinstyle="round" dashstyle="dash" endarrow="block"/>
                  <v:imagedata o:title=""/>
                  <o:lock v:ext="edit" aspectratio="f"/>
                </v:line>
                <v:shape id="文本框 33" o:spid="_x0000_s1026" o:spt="202" type="#_x0000_t202" style="position:absolute;left:3449320;top:624205;height:275590;width:1884045;"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jEjZ/VAAAA&#10;BQEAAA8AAAAAAAAAAQAgAAAAIgAAAGRycy9kb3ducmV2LnhtbFBLAQIUABQAAAAIAIdO4kA+x/2U&#10;rgEAACYDAAAOAAAAAAAAAAEAIAAAACQBAABkcnMvZTJvRG9jLnhtbFBLBQYAAAAABgAGAFkBAABE&#10;BQAAAAA=&#10;">
                  <v:fill on="f" focussize="0,0"/>
                  <v:stroke on="f" weight="1pt"/>
                  <v:imagedata o:title=""/>
                  <o:lock v:ext="edit" aspectratio="f"/>
                  <v:textbox>
                    <w:txbxContent>
                      <w:p>
                        <w:pPr>
                          <w:pStyle w:val="43"/>
                          <w:ind w:left="212" w:leftChars="101" w:firstLine="9" w:firstLineChars="5"/>
                          <w:jc w:val="both"/>
                          <w:rPr>
                            <w:rFonts w:hint="default" w:eastAsia="宋体"/>
                            <w:sz w:val="20"/>
                            <w:szCs w:val="22"/>
                            <w:lang w:val="en-US" w:eastAsia="zh-CN"/>
                          </w:rPr>
                        </w:pPr>
                        <w:r>
                          <w:rPr>
                            <w:rFonts w:hint="eastAsia"/>
                            <w:sz w:val="18"/>
                            <w:szCs w:val="21"/>
                            <w:lang w:val="en-US" w:eastAsia="zh-CN"/>
                          </w:rPr>
                          <w:t>管道试压废水</w:t>
                        </w:r>
                      </w:p>
                    </w:txbxContent>
                  </v:textbox>
                </v:shape>
                <v:shape id="文本框 26" o:spid="_x0000_s1026" o:spt="202" type="#_x0000_t202" style="position:absolute;left:2028825;top:1433195;height:269875;width:942975;" filled="f" stroked="t" coordsize="21600,21600" o:gfxdata="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sWhR1AAAAAUBAAAPAAAAAAAAAAEAIAAAACIAAABkcnMvZG93bnJldi54&#10;bWxQSwECFAAUAAAACACHTuJACyDK1/4BAADcAwAADgAAAAAAAAABACAAAAAjAQAAZHJzL2Uyb0Rv&#10;Yy54bWxQSwUGAAAAAAYABgBZAQAAkwUAAAAA&#10;">
                  <v:fill on="f" focussize="0,0"/>
                  <v:stroke weight="1pt" color="#000000" joinstyle="miter"/>
                  <v:imagedata o:title=""/>
                  <o:lock v:ext="edit" aspectratio="f"/>
                  <v:textbox>
                    <w:txbxContent>
                      <w:p>
                        <w:pPr>
                          <w:pStyle w:val="43"/>
                          <w:ind w:left="0" w:firstLine="0"/>
                          <w:rPr>
                            <w:rFonts w:hint="default" w:eastAsia="宋体"/>
                            <w:sz w:val="21"/>
                            <w:szCs w:val="21"/>
                            <w:lang w:val="en-US" w:eastAsia="zh-CN"/>
                          </w:rPr>
                        </w:pPr>
                        <w:r>
                          <w:rPr>
                            <w:rFonts w:hint="eastAsia"/>
                            <w:sz w:val="21"/>
                            <w:szCs w:val="21"/>
                            <w:lang w:val="en-US" w:eastAsia="zh-CN"/>
                          </w:rPr>
                          <w:t>陆12注水站</w:t>
                        </w:r>
                      </w:p>
                    </w:txbxContent>
                  </v:textbox>
                </v:shape>
                <v:shape id="文本框 26" o:spid="_x0000_s1026" o:spt="202" type="#_x0000_t202" style="position:absolute;left:2029460;top:2148205;height:269875;width:942975;" filled="f" stroked="t" coordsize="21600,21600" o:gfxdata="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sWhR1AAAAAUBAAAPAAAAAAAAAAEAIAAAACIAAABkcnMvZG93bnJldi54bWxQ&#10;SwECFAAUAAAACACHTuJAm8+DPfsBAADcAwAADgAAAAAAAAABACAAAAAjAQAAZHJzL2Uyb0RvYy54&#10;bWxQSwUGAAAAAAYABgBZAQAAkAUAAAAA&#10;">
                  <v:fill on="f" focussize="0,0"/>
                  <v:stroke weight="1pt" color="#000000" joinstyle="miter"/>
                  <v:imagedata o:title=""/>
                  <o:lock v:ext="edit" aspectratio="f"/>
                  <v:textbox>
                    <w:txbxContent>
                      <w:p>
                        <w:pPr>
                          <w:pStyle w:val="43"/>
                          <w:ind w:left="0" w:firstLine="0"/>
                          <w:rPr>
                            <w:rFonts w:hint="default" w:eastAsia="宋体"/>
                            <w:sz w:val="21"/>
                            <w:szCs w:val="21"/>
                            <w:lang w:val="en-US" w:eastAsia="zh-CN"/>
                          </w:rPr>
                        </w:pPr>
                        <w:r>
                          <w:rPr>
                            <w:rFonts w:hint="eastAsia"/>
                            <w:sz w:val="21"/>
                            <w:szCs w:val="21"/>
                            <w:lang w:val="en-US" w:eastAsia="zh-CN"/>
                          </w:rPr>
                          <w:t>配水撬</w:t>
                        </w:r>
                      </w:p>
                    </w:txbxContent>
                  </v:textbox>
                </v:shape>
                <v:shape id="_x0000_s1026" o:spid="_x0000_s1026" o:spt="32" type="#_x0000_t32" style="position:absolute;left:2500630;top:1703070;height:445135;width:635;" filled="f" stroked="t" coordsize="21600,21600" o:gfxdata="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NjLrXWAAAABQEAAA8AAAAAAAAA&#10;AQAgAAAAIgAAAGRycy9kb3ducmV2LnhtbFBLAQIUABQAAAAIAIdO4kAI5B6+EwIAAN0DAAAOAAAA&#10;AAAAAAEAIAAAACUBAABkcnMvZTJvRG9jLnhtbFBLBQYAAAAABgAGAFkBAACqBQAAAAA=&#10;">
                  <v:fill on="f" focussize="0,0"/>
                  <v:stroke weight="1pt" color="#000000" miterlimit="8" joinstyle="miter" endarrow="block"/>
                  <v:imagedata o:title=""/>
                  <o:lock v:ext="edit" aspectratio="f"/>
                </v:shape>
                <v:shape id="_x0000_s1026" o:spid="_x0000_s1026" o:spt="32" type="#_x0000_t32" style="position:absolute;left:2513330;top:2433955;height:452755;width:635;" filled="f" stroked="t" coordsize="21600,21600" o:gfxdata="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Yy611gAAAAUBAAAPAAAAAAAA&#10;AAEAIAAAACIAAABkcnMvZG93bnJldi54bWxQSwECFAAUAAAACACHTuJArehkjxQCAADdAwAADgAA&#10;AAAAAAABACAAAAAlAQAAZHJzL2Uyb0RvYy54bWxQSwUGAAAAAAYABgBZAQAAqwUAAAAA&#10;">
                  <v:fill on="f" focussize="0,0"/>
                  <v:stroke weight="1pt" color="#000000" miterlimit="8" joinstyle="miter" endarrow="block"/>
                  <v:imagedata o:title=""/>
                  <o:lock v:ext="edit" aspectratio="f"/>
                </v:shape>
                <v:shape id="文本框 26" o:spid="_x0000_s1026" o:spt="202" type="#_x0000_t202" style="position:absolute;left:2020570;top:2894330;height:269875;width:942975;" filled="f" stroked="t" coordsize="21600,21600" o:gfxdata="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yxaFHUAAAABQEAAA8AAAAAAAAAAQAgAAAAIgAAAGRycy9kb3ducmV2Lnht&#10;bFBLAQIUABQAAAAIAIdO4kAax41N/QEAANwDAAAOAAAAAAAAAAEAIAAAACMBAABkcnMvZTJvRG9j&#10;LnhtbFBLBQYAAAAABgAGAFkBAACSBQAAAAA=&#10;">
                  <v:fill on="f" focussize="0,0"/>
                  <v:stroke weight="1pt" color="#000000" joinstyle="miter"/>
                  <v:imagedata o:title=""/>
                  <o:lock v:ext="edit" aspectratio="f"/>
                  <v:textbox>
                    <w:txbxContent>
                      <w:p>
                        <w:pPr>
                          <w:pStyle w:val="43"/>
                          <w:ind w:left="0" w:firstLine="0"/>
                          <w:rPr>
                            <w:rFonts w:hint="default" w:eastAsia="宋体"/>
                            <w:lang w:val="en-US" w:eastAsia="zh-CN"/>
                          </w:rPr>
                        </w:pPr>
                        <w:r>
                          <w:rPr>
                            <w:rFonts w:hint="eastAsia"/>
                            <w:lang w:val="en-US" w:eastAsia="zh-CN"/>
                          </w:rPr>
                          <w:t>注水井</w:t>
                        </w:r>
                      </w:p>
                    </w:txbxContent>
                  </v:textbox>
                </v:shape>
                <v:line id="直接连接符 31" o:spid="_x0000_s1026" o:spt="20" style="position:absolute;left:2989580;top:2275840;height:0;width:236855;" filled="f" stroked="t" coordsize="21600,21600" o:gfxdata="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SvV62AAAAAUBAAAPAAAAAAAAAAEAIAAAACIAAABkcnMvZG93bnJldi54bWxQSwECFAAUAAAA&#10;CACHTuJAcCtaEe4BAACqAwAADgAAAAAAAAABACAAAAAnAQAAZHJzL2Uyb0RvYy54bWxQSwUGAAAA&#10;AAYABgBZAQAAhwUAAAAA&#10;">
                  <v:fill on="f" focussize="0,0"/>
                  <v:stroke weight="1pt" color="#000000" joinstyle="round" dashstyle="dash" endarrow="block"/>
                  <v:imagedata o:title=""/>
                  <o:lock v:ext="edit" aspectratio="f"/>
                </v:line>
                <v:shape id="文本框 33" o:spid="_x0000_s1026" o:spt="202" type="#_x0000_t202" style="position:absolute;left:3164205;top:2124075;height:275590;width:768985;" filled="f" stroked="f" coordsize="21600,21600" o:gfxdata="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jEjZ/VAAAABQEA&#10;AA8AAAAAAAAAAQAgAAAAIgAAAGRycy9kb3ducmV2LnhtbFBLAQIUABQAAAAIAIdO4kDBuMwtqwEA&#10;ACYDAAAOAAAAAAAAAAEAIAAAACQBAABkcnMvZTJvRG9jLnhtbFBLBQYAAAAABgAGAFkBAABBBQAA&#10;AAA=&#10;">
                  <v:fill on="f" focussize="0,0"/>
                  <v:stroke on="f" weight="1pt"/>
                  <v:imagedata o:title=""/>
                  <o:lock v:ext="edit" aspectratio="f"/>
                  <v:textbox>
                    <w:txbxContent>
                      <w:p>
                        <w:pPr>
                          <w:pStyle w:val="43"/>
                          <w:rPr>
                            <w:sz w:val="20"/>
                            <w:szCs w:val="22"/>
                          </w:rPr>
                        </w:pPr>
                        <w:r>
                          <w:rPr>
                            <w:rFonts w:hint="eastAsia"/>
                            <w:sz w:val="20"/>
                            <w:szCs w:val="22"/>
                          </w:rPr>
                          <w:t>噪声</w:t>
                        </w:r>
                      </w:p>
                    </w:txbxContent>
                  </v:textbox>
                </v:shape>
                <w10:wrap type="none"/>
                <w10:anchorlock/>
              </v:group>
            </w:pict>
          </mc:Fallback>
        </mc:AlternateContent>
      </w:r>
    </w:p>
    <w:p>
      <w:pPr>
        <w:tabs>
          <w:tab w:val="left" w:pos="3465"/>
        </w:tabs>
        <w:spacing w:line="360" w:lineRule="auto"/>
        <w:jc w:val="center"/>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Cs w:val="21"/>
        </w:rPr>
        <w:t>图3.7-2  本项目注水工程工艺流程及产污节点图</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3.7.3施工期主要施工工艺及产污环节</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本项目施工期主要包括钻前工程、钻井工程、储层改造工程、</w:t>
      </w:r>
      <w:r>
        <w:rPr>
          <w:rFonts w:hint="default" w:ascii="Times New Roman" w:hAnsi="Times New Roman" w:eastAsia="宋体" w:cs="Times New Roman"/>
          <w:color w:val="auto"/>
          <w:lang w:val="en-US" w:eastAsia="zh-CN"/>
        </w:rPr>
        <w:t>修井工程、</w:t>
      </w:r>
      <w:r>
        <w:rPr>
          <w:rFonts w:hint="default" w:ascii="Times New Roman" w:hAnsi="Times New Roman" w:eastAsia="宋体" w:cs="Times New Roman"/>
          <w:color w:val="auto"/>
        </w:rPr>
        <w:t>管线、电力线等地面工程。</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3.7.3.1钻前工程</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钻前准备工作中，在预选井位前首先根据井的深浅、设备的类型及设计的要求来进行平整井场，进行设备基础施工（包括钻井、井架、钻井泵等基础设备），其次是搬运钻井设备及安装。</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3.7.3.2钻井工程</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钻井工艺主要包括：钻进、录井、测井、固井和完井。钻井过程中产生的污染物主要有施工扬尘、车辆设备尾气、柴油机废气、钻井废水、试压废水、生活垃圾、钻井岩屑、废防渗膜、废润滑油及其包装桶，施工废料等。</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（1）钻井</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钻进主要是利用钻头高效率地破碎岩石，钻进过程中通过循环的钻井液将岩屑带出，施工过程中需时刻注意钻井泥浆的各项指标，以满足钻井需求。</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（2）录井</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1）钻井参数录取资料要求</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钻井参数悬重、钻压、转数、排量、泵压等钻开油气层前1h测量一次，钻开油气层后0.5h测量一次，如有异常情况加密测量。</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2）钻井液参数录取资料要求</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开钻至一开完钻，每间隔1h测量一次钻井液密度、粘度。</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二开钻开油层前，每间隔1h测量一次钻井液密度、粘度，每间隔8h测量一次钻井液全套性能；钻开油层后，每间隔0.5h测量一次钻井液密度和粘度，每间隔4h测量一次钻井液全套性能和钻井液电阻率；造斜后每间隔12h测量一次泥饼摩阻系数。</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固井前测量钻井液密度、粘度、切力、失水。并做好记录。循环过程中每间隔0.5h观察一次钻井液池液面高度、钻井液性能变化，以及是否含有气泡、油气侵等异常情况，如有异常加密测量钻井液密度、粘度，并进行相应处理。</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（3）测井</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测井配备专门的测井队，测井方式为电测井，电测井井控主要要求为：</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1）若电测时间将要大于安全作业时间时，中途通井循环再电测。</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2）测井队到井后向钻井队了解井况，确认安全作业时间，电测时发生溢流立即停止电测，尽快</w:t>
      </w:r>
      <w:r>
        <w:rPr>
          <w:rFonts w:hint="default" w:ascii="Times New Roman" w:hAnsi="Times New Roman" w:eastAsia="宋体" w:cs="Times New Roman"/>
          <w:color w:val="auto"/>
          <w:lang w:eastAsia="zh-CN"/>
        </w:rPr>
        <w:t>取出</w:t>
      </w:r>
      <w:r>
        <w:rPr>
          <w:rFonts w:hint="default" w:ascii="Times New Roman" w:hAnsi="Times New Roman" w:eastAsia="宋体" w:cs="Times New Roman"/>
          <w:color w:val="auto"/>
        </w:rPr>
        <w:t>井内电缆。当不具备</w:t>
      </w:r>
      <w:r>
        <w:rPr>
          <w:rFonts w:hint="default" w:ascii="Times New Roman" w:hAnsi="Times New Roman" w:eastAsia="宋体" w:cs="Times New Roman"/>
          <w:color w:val="auto"/>
          <w:lang w:eastAsia="zh-CN"/>
        </w:rPr>
        <w:t>取出</w:t>
      </w:r>
      <w:r>
        <w:rPr>
          <w:rFonts w:hint="default" w:ascii="Times New Roman" w:hAnsi="Times New Roman" w:eastAsia="宋体" w:cs="Times New Roman"/>
          <w:color w:val="auto"/>
        </w:rPr>
        <w:t>电缆条件，立即实施剪断电缆。</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3）由钻井队值班干部决定何时切断电缆，测井队专用剪切工具放置在钻台上，测井中随时处于待命状态，测井队队长实施剪断电缆工作。</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（4）固井</w:t>
      </w:r>
    </w:p>
    <w:p>
      <w:pPr>
        <w:spacing w:line="360" w:lineRule="auto"/>
        <w:ind w:firstLine="496"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4"/>
          <w:sz w:val="24"/>
        </w:rPr>
        <w:t>1）</w:t>
      </w:r>
      <w:r>
        <w:rPr>
          <w:rFonts w:hint="default" w:ascii="Times New Roman" w:hAnsi="Times New Roman" w:eastAsia="宋体" w:cs="Times New Roman"/>
          <w:color w:val="auto"/>
          <w:sz w:val="24"/>
        </w:rPr>
        <w:t>Ф</w:t>
      </w:r>
      <w:r>
        <w:rPr>
          <w:rFonts w:hint="eastAsia" w:ascii="Times New Roman" w:hAnsi="Times New Roman" w:eastAsia="宋体" w:cs="Times New Roman"/>
          <w:color w:val="auto"/>
          <w:sz w:val="24"/>
          <w:lang w:eastAsia="zh-CN"/>
        </w:rPr>
        <w:t>339.7</w:t>
      </w:r>
      <w:r>
        <w:rPr>
          <w:rFonts w:hint="default" w:ascii="Times New Roman" w:hAnsi="Times New Roman" w:eastAsia="宋体" w:cs="Times New Roman"/>
          <w:color w:val="auto"/>
          <w:sz w:val="24"/>
        </w:rPr>
        <w:t>mm表层套管</w:t>
      </w:r>
    </w:p>
    <w:p>
      <w:pPr>
        <w:pStyle w:val="15"/>
        <w:spacing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①采用G级水泥常规固井。</w:t>
      </w:r>
    </w:p>
    <w:p>
      <w:pPr>
        <w:pStyle w:val="15"/>
        <w:spacing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②下完表层套管后循环洗井，找正并固定好井口后再固井。</w:t>
      </w:r>
    </w:p>
    <w:p>
      <w:pPr>
        <w:pStyle w:val="15"/>
        <w:spacing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③注水泥前注入2m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清水作隔离液。</w:t>
      </w:r>
    </w:p>
    <w:p>
      <w:pPr>
        <w:pStyle w:val="15"/>
        <w:spacing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④现场注水泥施工要连续进行，套管外水泥浆应返出地面。</w:t>
      </w:r>
    </w:p>
    <w:p>
      <w:pPr>
        <w:pStyle w:val="15"/>
        <w:spacing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⑤注水泥时要随时观察井口钻井液返出情况，若发生井漏，水泥浆未返至地面，井口应打水泥帽子至地面。</w:t>
      </w:r>
    </w:p>
    <w:p>
      <w:pPr>
        <w:pStyle w:val="15"/>
        <w:spacing w:line="360" w:lineRule="auto"/>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rPr>
        <w:t>⑥注水泥结束后候凝24h后进行固井质量检测，再动井口。</w:t>
      </w:r>
    </w:p>
    <w:p>
      <w:pPr>
        <w:spacing w:line="360" w:lineRule="auto"/>
        <w:ind w:firstLine="496"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4"/>
          <w:sz w:val="24"/>
        </w:rPr>
        <w:t>2）Φ139.7mm</w:t>
      </w:r>
      <w:r>
        <w:rPr>
          <w:rFonts w:hint="default" w:ascii="Times New Roman" w:hAnsi="Times New Roman" w:eastAsia="宋体" w:cs="Times New Roman"/>
          <w:color w:val="auto"/>
          <w:sz w:val="24"/>
        </w:rPr>
        <w:t>油层套管</w:t>
      </w:r>
    </w:p>
    <w:p>
      <w:pPr>
        <w:pStyle w:val="15"/>
        <w:spacing w:line="360" w:lineRule="auto"/>
        <w:ind w:left="0" w:right="0" w:firstLine="496"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①采用超低密度+自愈合低密度水泥浆体系常规固井。</w:t>
      </w:r>
    </w:p>
    <w:p>
      <w:pPr>
        <w:pStyle w:val="15"/>
        <w:spacing w:line="360" w:lineRule="auto"/>
        <w:ind w:left="0" w:right="0" w:firstLine="496"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②电测结束后使用原钻具或带扶正器通井，再次校核井深，对于缩径或者阻卡井段进行反复划眼、通井，确保井眼畅通无阻卡。</w:t>
      </w:r>
    </w:p>
    <w:p>
      <w:pPr>
        <w:pStyle w:val="15"/>
        <w:spacing w:line="360" w:lineRule="auto"/>
        <w:ind w:left="0" w:right="0" w:firstLine="496"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③为确保完井固井正常施工和固井质量，电测完后根据实际完钻钻井液密度和使用的水泥浆密度，采用井口憋压或者大排量洗井的方式做地层承压试验，井口憋压压力值以现场计算为准，要求稳压15min以上，压降不大于0.5MPa。大排量洗井要求按照固井最大排量循环15min，无井漏，井口液面稳定可见为准。</w:t>
      </w:r>
    </w:p>
    <w:p>
      <w:pPr>
        <w:pStyle w:val="15"/>
        <w:spacing w:line="360" w:lineRule="auto"/>
        <w:ind w:left="0" w:right="0" w:firstLine="496"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④承压试验结束后采用原钻具或带扶正器通井，对于缩径或者阻卡井段进行反复划眼、通井，确保井眼畅通无阻卡。</w:t>
      </w:r>
    </w:p>
    <w:p>
      <w:pPr>
        <w:pStyle w:val="15"/>
        <w:spacing w:line="360" w:lineRule="auto"/>
        <w:ind w:left="0" w:right="0" w:firstLine="496"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⑤下套管前换Φ139.7mm防喷器芯子并按照井口装置试压要求试压合格，提前准备好防喷单根和循环洗井接头。下完套管后要进行循环洗井，循环洗井不少于2个循环周。</w:t>
      </w:r>
    </w:p>
    <w:p>
      <w:pPr>
        <w:pStyle w:val="15"/>
        <w:spacing w:line="360" w:lineRule="auto"/>
        <w:ind w:left="0" w:right="0" w:firstLine="496"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⑥套管串使用符合API标准的螺纹密封脂，保证套管柱密封可靠。</w:t>
      </w:r>
    </w:p>
    <w:p>
      <w:pPr>
        <w:pStyle w:val="15"/>
        <w:spacing w:line="360" w:lineRule="auto"/>
        <w:ind w:left="0" w:right="0" w:firstLine="496"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⑦专业下套管作业队进行下套管作业，使用带扭矩仪的液压套管钳紧扣。</w:t>
      </w:r>
    </w:p>
    <w:p>
      <w:pPr>
        <w:pStyle w:val="15"/>
        <w:spacing w:line="360" w:lineRule="auto"/>
        <w:ind w:left="0" w:right="0" w:firstLine="496"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⑧采用过渡罐注水泥，水泥浆密度允许偏差范围±0.02g/cm</w:t>
      </w:r>
      <w:r>
        <w:rPr>
          <w:rFonts w:hint="default" w:ascii="Times New Roman" w:hAnsi="Times New Roman" w:eastAsia="宋体" w:cs="Times New Roman"/>
          <w:color w:val="auto"/>
          <w:spacing w:val="4"/>
          <w:sz w:val="24"/>
          <w:szCs w:val="24"/>
          <w:vertAlign w:val="superscript"/>
        </w:rPr>
        <w:t>3</w:t>
      </w:r>
      <w:r>
        <w:rPr>
          <w:rFonts w:hint="default" w:ascii="Times New Roman" w:hAnsi="Times New Roman" w:eastAsia="宋体" w:cs="Times New Roman"/>
          <w:color w:val="auto"/>
          <w:spacing w:val="4"/>
          <w:sz w:val="24"/>
          <w:szCs w:val="24"/>
        </w:rPr>
        <w:t>，采用流变学注水泥方法进行固井施工，注水泥施工连续进行，水泥浆返至地面。</w:t>
      </w:r>
    </w:p>
    <w:p>
      <w:pPr>
        <w:adjustRightInd w:val="0"/>
        <w:snapToGrid w:val="0"/>
        <w:spacing w:line="360" w:lineRule="auto"/>
        <w:ind w:firstLine="496"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4"/>
          <w:sz w:val="24"/>
        </w:rPr>
        <w:t>⑨固完井候凝48h后进行固井质量检测，再进行套管内试压。</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（5）完井</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完井是钻井工程的最后环节，整个钻井工艺结束。一般情况下，完井即钻开油层，完井方式采用套管固井完井。</w:t>
      </w:r>
    </w:p>
    <w:p>
      <w:pPr>
        <w:pStyle w:val="84"/>
        <w:numPr>
          <w:ilvl w:val="0"/>
          <w:numId w:val="6"/>
        </w:num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完井井口要求：井口使用Φ245mm×Φ140mm×35MPa正规套管头；保持钻井井场面积，井场内平整无杂物及材料，以井口为中心，30m×30m范围内井场水平度高差≤10cm。</w:t>
      </w:r>
    </w:p>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钻井工程作业流程见图3.7-3所示。</w:t>
      </w:r>
    </w:p>
    <w:p>
      <w:pPr>
        <w:pStyle w:val="85"/>
        <w:spacing w:line="240" w:lineRule="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05680" cy="3221990"/>
            <wp:effectExtent l="0" t="0" r="13970" b="16510"/>
            <wp:docPr id="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
                    <pic:cNvPicPr>
                      <a:picLocks noChangeAspect="1"/>
                    </pic:cNvPicPr>
                  </pic:nvPicPr>
                  <pic:blipFill>
                    <a:blip r:embed="rId25" cstate="print"/>
                    <a:stretch>
                      <a:fillRect/>
                    </a:stretch>
                  </pic:blipFill>
                  <pic:spPr>
                    <a:xfrm>
                      <a:off x="0" y="0"/>
                      <a:ext cx="4805680" cy="3221990"/>
                    </a:xfrm>
                    <a:prstGeom prst="rect">
                      <a:avLst/>
                    </a:prstGeom>
                    <a:noFill/>
                    <a:ln>
                      <a:noFill/>
                    </a:ln>
                  </pic:spPr>
                </pic:pic>
              </a:graphicData>
            </a:graphic>
          </wp:inline>
        </w:drawing>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图3.7-3  钻井</w:t>
      </w:r>
      <w:r>
        <w:rPr>
          <w:rFonts w:hint="default" w:ascii="Times New Roman" w:hAnsi="Times New Roman" w:cs="Times New Roman"/>
          <w:b/>
          <w:color w:val="auto"/>
          <w:sz w:val="21"/>
          <w:szCs w:val="15"/>
          <w:lang w:eastAsia="zh-CN"/>
        </w:rPr>
        <w:t>工艺</w:t>
      </w:r>
      <w:r>
        <w:rPr>
          <w:rFonts w:hint="default" w:ascii="Times New Roman" w:hAnsi="Times New Roman" w:cs="Times New Roman"/>
          <w:b/>
          <w:color w:val="auto"/>
          <w:sz w:val="21"/>
          <w:szCs w:val="15"/>
        </w:rPr>
        <w:t>及产污节点图</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本项目钻井泥浆不落地设备工艺如下：</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由于开挖大循环池存放岩屑及钻井液的形式会造成土壤及地下水污染，破坏生态环境，对本工程施</w:t>
      </w:r>
      <w:bookmarkStart w:id="75" w:name="_Hlk26200389"/>
      <w:r>
        <w:rPr>
          <w:rFonts w:hint="default" w:ascii="Times New Roman" w:hAnsi="Times New Roman" w:eastAsia="宋体" w:cs="Times New Roman"/>
          <w:color w:val="auto"/>
        </w:rPr>
        <w:t>工期产生的岩屑及钻井液全部进行不落地处理，使施工期固体废物实现回用及妥善处理。泥浆进入钻井不落地系统中处理并实现固液分离，分离后的液相循环使用，固相（水基岩屑）收集于储罐内，</w:t>
      </w:r>
      <w:r>
        <w:rPr>
          <w:rFonts w:hint="default" w:ascii="Times New Roman" w:hAnsi="Times New Roman" w:eastAsia="宋体" w:cs="Times New Roman"/>
          <w:color w:val="auto"/>
          <w:highlight w:val="none"/>
        </w:rPr>
        <w:t>直接委托岩屑公司</w:t>
      </w:r>
      <w:r>
        <w:rPr>
          <w:rFonts w:hint="default" w:ascii="Times New Roman" w:hAnsi="Times New Roman" w:eastAsia="宋体" w:cs="Times New Roman"/>
          <w:color w:val="auto"/>
        </w:rPr>
        <w:t>处置</w:t>
      </w:r>
      <w:r>
        <w:rPr>
          <w:rFonts w:hint="default" w:ascii="Times New Roman" w:hAnsi="Times New Roman" w:eastAsia="宋体" w:cs="Times New Roman"/>
          <w:color w:val="auto"/>
          <w:szCs w:val="21"/>
        </w:rPr>
        <w:t>。</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※工艺流程说明：</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不落地系统由振动筛、除砂器、除泥器、离心机等设备组成，钻井液（泥浆）进入不落地系统后，经以下步骤进行处理：</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a.钻井液（泥浆）经振动筛、除砂器、离心机多级分离后，实现初步分离，分离后的固相进入收集箱，再输送至甩干机和离心机进行二次深度固液分离，二次分离出的液相（泥浆）回用，分离出的固相（岩屑）收集于储罐内；</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b.初步分离出的液相进入废水收集罐。通过废水收集罐进行处理，处理后的再生钻井液进入处理水储罐内用于钻井液配制。工艺流程图见图3.7-4。</w:t>
      </w:r>
    </w:p>
    <w:bookmarkEnd w:id="75"/>
    <w:p>
      <w:pPr>
        <w:pStyle w:val="86"/>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134610" cy="2469515"/>
            <wp:effectExtent l="0" t="0" r="8890" b="6985"/>
            <wp:docPr id="227"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6" descr="图片1"/>
                    <pic:cNvPicPr>
                      <a:picLocks noChangeAspect="1"/>
                    </pic:cNvPicPr>
                  </pic:nvPicPr>
                  <pic:blipFill>
                    <a:blip r:embed="rId26" cstate="print"/>
                    <a:srcRect l="403" t="253" r="758" b="1166"/>
                    <a:stretch>
                      <a:fillRect/>
                    </a:stretch>
                  </pic:blipFill>
                  <pic:spPr>
                    <a:xfrm>
                      <a:off x="0" y="0"/>
                      <a:ext cx="5134610" cy="2469515"/>
                    </a:xfrm>
                    <a:prstGeom prst="rect">
                      <a:avLst/>
                    </a:prstGeom>
                    <a:noFill/>
                    <a:ln>
                      <a:noFill/>
                    </a:ln>
                  </pic:spPr>
                </pic:pic>
              </a:graphicData>
            </a:graphic>
          </wp:inline>
        </w:drawing>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图3.7-4  泥浆不落地工艺流程图</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3.7.3.3储层改造工程</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油层改造工程一般在采油井投产前进行。本项目施工期的油层改造工程主要为射孔作业。</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射孔即在井内下入专门的射孔器在油层部位射孔，穿透套管的水泥环进入地层，使油层通过这些孔道与井底连通，从而为油流入井内造成通道的过程。本项目</w:t>
      </w:r>
      <w:r>
        <w:rPr>
          <w:rFonts w:hint="eastAsia" w:ascii="Times New Roman" w:hAnsi="Times New Roman" w:eastAsia="宋体" w:cs="Times New Roman"/>
          <w:color w:val="auto"/>
          <w:kern w:val="0"/>
          <w:sz w:val="24"/>
          <w:lang w:eastAsia="zh-CN"/>
        </w:rPr>
        <w:t>6口</w:t>
      </w:r>
      <w:r>
        <w:rPr>
          <w:rFonts w:hint="default" w:ascii="Times New Roman" w:hAnsi="Times New Roman" w:eastAsia="宋体" w:cs="Times New Roman"/>
          <w:color w:val="auto"/>
          <w:kern w:val="0"/>
          <w:sz w:val="24"/>
        </w:rPr>
        <w:t>新钻井均进行射孔作业。本项目采用等孔径射孔弹（有效孔径≥10mm）和89型射孔枪。</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3.7.3.</w:t>
      </w:r>
      <w:r>
        <w:rPr>
          <w:rFonts w:hint="eastAsia" w:ascii="Times New Roman" w:hAnsi="Times New Roman" w:cs="Times New Roman"/>
          <w:color w:val="auto"/>
          <w:kern w:val="0"/>
          <w:sz w:val="28"/>
          <w:szCs w:val="28"/>
          <w:lang w:val="en-US" w:eastAsia="zh-CN"/>
        </w:rPr>
        <w:t>4</w:t>
      </w:r>
      <w:r>
        <w:rPr>
          <w:rFonts w:hint="default" w:ascii="Times New Roman" w:hAnsi="Times New Roman" w:cs="Times New Roman"/>
          <w:color w:val="auto"/>
          <w:kern w:val="0"/>
          <w:sz w:val="28"/>
          <w:szCs w:val="28"/>
        </w:rPr>
        <w:t>地面工程建设</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地面工程建设主要包括井场建设、设备安装、管线敷设等内容。</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（1）井场建设</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拟建项目新建井场全部采用素土压实。</w:t>
      </w:r>
    </w:p>
    <w:p>
      <w:pPr>
        <w:spacing w:line="360" w:lineRule="auto"/>
        <w:ind w:left="420" w:left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（2）井口设备安装</w:t>
      </w:r>
    </w:p>
    <w:p>
      <w:pPr>
        <w:pStyle w:val="15"/>
        <w:spacing w:line="360" w:lineRule="auto"/>
        <w:ind w:left="0" w:firstLine="480" w:firstLineChars="200"/>
        <w:jc w:val="both"/>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①采油井</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新建采油井采用DN50 25MPa采油井口。</w:t>
      </w:r>
      <w:r>
        <w:rPr>
          <w:rFonts w:hint="eastAsia" w:ascii="Times New Roman" w:hAnsi="Times New Roman" w:eastAsia="宋体" w:cs="Times New Roman"/>
          <w:color w:val="auto"/>
          <w:kern w:val="0"/>
          <w:sz w:val="24"/>
          <w:lang w:eastAsia="zh-CN"/>
        </w:rPr>
        <w:t>采油井口采用10型抽油机</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配套电机功率</w:t>
      </w:r>
      <w:r>
        <w:rPr>
          <w:rFonts w:hint="eastAsia" w:ascii="Times New Roman" w:hAnsi="Times New Roman" w:eastAsia="宋体" w:cs="Times New Roman"/>
          <w:color w:val="auto"/>
          <w:sz w:val="24"/>
          <w:lang w:eastAsia="zh-CN"/>
        </w:rPr>
        <w:t>22kW</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0"/>
          <w:sz w:val="24"/>
        </w:rPr>
        <w:t>井口设置保温盒保温，保温盒内设0.25kW防爆电加热器，压力表置于保温盒内。</w:t>
      </w:r>
      <w:r>
        <w:rPr>
          <w:rFonts w:hint="default" w:ascii="Times New Roman" w:hAnsi="Times New Roman" w:eastAsia="宋体" w:cs="Times New Roman"/>
          <w:color w:val="auto"/>
          <w:sz w:val="24"/>
        </w:rPr>
        <w:t>同时设置热洗清蜡接口及安全标示牌。</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采油井安装井口装置、10型抽油机及配套电机等。主要工程活动包括10型抽油机基础施工、电加热设备等安装。</w:t>
      </w:r>
    </w:p>
    <w:p>
      <w:pPr>
        <w:pStyle w:val="15"/>
        <w:spacing w:line="360" w:lineRule="auto"/>
        <w:ind w:firstLine="480" w:firstLineChars="200"/>
        <w:jc w:val="both"/>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②注水井</w:t>
      </w:r>
    </w:p>
    <w:p>
      <w:pPr>
        <w:pStyle w:val="16"/>
        <w:spacing w:line="360" w:lineRule="auto"/>
        <w:ind w:lef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eastAsia="zh-CN"/>
        </w:rPr>
        <w:t>MPa注水井口装置</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座，</w:t>
      </w:r>
      <w:r>
        <w:rPr>
          <w:rFonts w:hint="default" w:ascii="Times New Roman" w:hAnsi="Times New Roman" w:eastAsia="宋体" w:cs="Times New Roman"/>
          <w:color w:val="auto"/>
          <w:sz w:val="24"/>
          <w:szCs w:val="24"/>
        </w:rPr>
        <w:t>井口设保温盒，来水管道设止回阀和截断阀。</w:t>
      </w:r>
    </w:p>
    <w:p>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（3）管线敷设</w:t>
      </w:r>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集输工程建设工艺流程及产污环节详见图3.7-5。</w:t>
      </w:r>
    </w:p>
    <w:p>
      <w:pPr>
        <w:pStyle w:val="65"/>
        <w:spacing w:line="36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225415" cy="939800"/>
            <wp:effectExtent l="9525" t="9525" r="22860" b="22225"/>
            <wp:docPr id="2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
                    <pic:cNvPicPr>
                      <a:picLocks noChangeAspect="1"/>
                    </pic:cNvPicPr>
                  </pic:nvPicPr>
                  <pic:blipFill>
                    <a:blip r:embed="rId27" cstate="print"/>
                    <a:srcRect l="2834" t="10987" r="2969" b="11659"/>
                    <a:stretch>
                      <a:fillRect/>
                    </a:stretch>
                  </pic:blipFill>
                  <pic:spPr>
                    <a:xfrm>
                      <a:off x="0" y="0"/>
                      <a:ext cx="5225415" cy="939800"/>
                    </a:xfrm>
                    <a:prstGeom prst="rect">
                      <a:avLst/>
                    </a:prstGeom>
                    <a:noFill/>
                    <a:ln>
                      <a:solidFill>
                        <a:srgbClr val="000000">
                          <a:alpha val="0"/>
                        </a:srgbClr>
                      </a:solidFill>
                    </a:ln>
                  </pic:spPr>
                </pic:pic>
              </a:graphicData>
            </a:graphic>
          </wp:inline>
        </w:drawing>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图3.7-5  集输工程建设工艺流程及产污环节示意图</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①</w:t>
      </w:r>
      <w:r>
        <w:rPr>
          <w:rFonts w:hint="default" w:ascii="Times New Roman" w:hAnsi="Times New Roman" w:eastAsia="宋体" w:cs="Times New Roman"/>
          <w:color w:val="auto"/>
          <w:sz w:val="24"/>
        </w:rPr>
        <w:t>场地平整</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管线工程施工首先进行施工放线，现场施工放线确定路由后，即进行施工作业带线路的清理，对施工作业带内地上、地下各种建（构）筑物和植物等进行清点造册。</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清理和平整施工作业带时，应注意保护线路控制桩，如有损坏应立即补桩恢复。施工作业带范围内，对于影响施工机具通行或施工作业的石块、杂草、树木、构筑物等应适当清理，沟、坎应予平整，有积水的地势低洼地段应排水填平。施工完毕之后，要注意施工作业带的恢复工作，使土地恢复原有状态。</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②管沟开挖</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管道运输和布管在管沟堆土的另一侧进行，要求堆放地点地势平整、无水、无尖硬物的地方。布管过程不允许地面拖拉，以防损坏。</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③管道敷设</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本工程管道敷设采用埋地。</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新建单井出油管道采用DN50 2.5MPa热塑性塑料内衬玻璃钢复合管，长度</w:t>
      </w:r>
      <w:r>
        <w:rPr>
          <w:rFonts w:hint="eastAsia" w:ascii="Times New Roman" w:hAnsi="Times New Roman" w:eastAsia="宋体" w:cs="Times New Roman"/>
          <w:color w:val="auto"/>
          <w:kern w:val="0"/>
          <w:sz w:val="24"/>
          <w:lang w:eastAsia="zh-CN"/>
        </w:rPr>
        <w:t>4.2</w:t>
      </w:r>
      <w:r>
        <w:rPr>
          <w:rFonts w:hint="default" w:ascii="Times New Roman" w:hAnsi="Times New Roman" w:eastAsia="宋体" w:cs="Times New Roman"/>
          <w:color w:val="auto"/>
          <w:kern w:val="0"/>
          <w:sz w:val="24"/>
        </w:rPr>
        <w:t>km，保温埋地敷设，保温层采用30mm厚发泡保温橡塑海绵，防护层采用2mm厚聚乙烯胶粘带，管底标高-1.70m。</w:t>
      </w:r>
    </w:p>
    <w:p>
      <w:pPr>
        <w:widowControl/>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新建单井注水管线采用DN50 16MPa</w:t>
      </w:r>
      <w:r>
        <w:rPr>
          <w:rFonts w:hint="default" w:ascii="Times New Roman" w:hAnsi="Times New Roman" w:eastAsia="宋体" w:cs="Times New Roman"/>
          <w:color w:val="auto"/>
          <w:kern w:val="0"/>
          <w:sz w:val="24"/>
        </w:rPr>
        <w:t>热塑性塑料内衬玻璃钢复合管</w:t>
      </w:r>
      <w:r>
        <w:rPr>
          <w:rFonts w:hint="default" w:ascii="Times New Roman" w:hAnsi="Times New Roman" w:eastAsia="宋体" w:cs="Times New Roman"/>
          <w:color w:val="auto"/>
          <w:sz w:val="24"/>
        </w:rPr>
        <w:t>（耐温70℃），长度</w:t>
      </w:r>
      <w:r>
        <w:rPr>
          <w:rFonts w:hint="eastAsia" w:ascii="Times New Roman" w:hAnsi="Times New Roman" w:eastAsia="宋体" w:cs="Times New Roman"/>
          <w:color w:val="auto"/>
          <w:sz w:val="24"/>
          <w:lang w:val="en-US" w:eastAsia="zh-CN"/>
        </w:rPr>
        <w:t>4.2</w:t>
      </w:r>
      <w:r>
        <w:rPr>
          <w:rFonts w:hint="default" w:ascii="Times New Roman" w:hAnsi="Times New Roman" w:eastAsia="宋体" w:cs="Times New Roman"/>
          <w:color w:val="auto"/>
          <w:sz w:val="24"/>
        </w:rPr>
        <w:t>km，埋地不保温敷设，管底标高-1.80m。</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④试压回填</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道回填时，先用细土回填50cm，再用其他土回填并夯实，原有熟土最后恢复。回填土中不得有坚硬土石、垃圾、腐殖质等，管道两侧及管顶0.5m内的回填土，不得含有碎石砖块等杂物，且不得用灰土回填，距管顶0.5m上的回填土中的石块不得多于10%，直径不得大于0.1米，且均匀分布。主管道警示带敷设前应将敷设面压实，并平整地敷设于管道顶正上方0.5m，且不得敷设于路基和路面里。</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⑤场地恢复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施工结束后，进行生态恢复，及时清除施工垃圾，对施工现场进行回填平整，尽可能覆土压实，采用自然恢复的方式对区域植被进行恢复，对井场周围已建成的永久性占地进行砾石铺垫，以减少风蚀量。</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）输配电工程施工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线路布设与输油管线采用同沟埋地敷设方式。一般地段管沟坡比为1</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0.33，沟底宽度0.8m，管沟挖深1.7～1.9m，管道在一般地段覆土高出设计地面0.5m，形成管堤。管沟开挖采用原土回填，管沟回填土需每隔0.3m分层夯实，回填后地面设标志桩、转角桩和里程桩。</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3.7.3.</w:t>
      </w:r>
      <w:r>
        <w:rPr>
          <w:rFonts w:hint="eastAsia" w:ascii="Times New Roman" w:hAnsi="Times New Roman" w:cs="Times New Roman"/>
          <w:color w:val="auto"/>
          <w:kern w:val="0"/>
          <w:sz w:val="28"/>
          <w:szCs w:val="28"/>
          <w:lang w:val="en-US" w:eastAsia="zh-CN"/>
        </w:rPr>
        <w:t>5</w:t>
      </w:r>
      <w:r>
        <w:rPr>
          <w:rFonts w:hint="default" w:ascii="Times New Roman" w:hAnsi="Times New Roman" w:cs="Times New Roman"/>
          <w:color w:val="auto"/>
          <w:kern w:val="0"/>
          <w:sz w:val="28"/>
          <w:szCs w:val="28"/>
        </w:rPr>
        <w:t>产污环节分析</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（1）废气</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本项目施工期产生的大气污染物主要包括施工扬尘、施工车辆废气</w:t>
      </w:r>
      <w:r>
        <w:rPr>
          <w:rFonts w:hint="eastAsia" w:ascii="Times New Roman" w:hAnsi="Times New Roman" w:cs="Times New Roman"/>
          <w:color w:val="auto"/>
          <w:kern w:val="0"/>
          <w:lang w:val="en-US" w:eastAsia="zh-CN"/>
        </w:rPr>
        <w:t>及</w:t>
      </w:r>
      <w:r>
        <w:rPr>
          <w:rFonts w:hint="default" w:ascii="Times New Roman" w:hAnsi="Times New Roman" w:cs="Times New Roman"/>
          <w:color w:val="auto"/>
          <w:kern w:val="0"/>
        </w:rPr>
        <w:t>钻井时柴油机排放的废气。</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施工扬尘主要产生于管线施工、井场施工以及施工机械及运输车辆往来；施工车辆废气主要为施工过程中各类车辆尾气；钻井时柴油机排放的废气。</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（2）废水</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本项目施工期产生的废水主要包括钻井废水、管道试压废水。</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钻井废水主要来自钻井过程中冲洗钻台、钻具和设备等产生的废水；管道试压废水是管线敷设完成后，对其进行分段试压过程中产</w:t>
      </w:r>
      <w:r>
        <w:rPr>
          <w:rFonts w:hint="default" w:ascii="Times New Roman" w:hAnsi="Times New Roman" w:cs="Times New Roman"/>
          <w:color w:val="auto"/>
          <w:kern w:val="0"/>
          <w:lang w:eastAsia="zh-CN"/>
        </w:rPr>
        <w:t>生的</w:t>
      </w:r>
      <w:r>
        <w:rPr>
          <w:rFonts w:hint="default" w:ascii="Times New Roman" w:hAnsi="Times New Roman" w:cs="Times New Roman"/>
          <w:color w:val="auto"/>
          <w:kern w:val="0"/>
        </w:rPr>
        <w:t>废水。</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（3）噪声</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施工噪声为项目施工活动中机械设施及车辆运输产生的噪声。</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（4）固废</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施工期产生的固体废物主要有岩屑、机械设备废油、废防渗膜、施工土方、建筑垃圾和生活垃圾等固废。</w:t>
      </w:r>
    </w:p>
    <w:p>
      <w:pPr>
        <w:pStyle w:val="51"/>
        <w:spacing w:after="0"/>
        <w:ind w:firstLine="480" w:firstLineChars="200"/>
        <w:rPr>
          <w:rFonts w:hint="default" w:ascii="Times New Roman" w:hAnsi="Times New Roman" w:cs="Times New Roman"/>
          <w:color w:val="auto"/>
          <w:kern w:val="0"/>
        </w:rPr>
      </w:pPr>
      <w:r>
        <w:rPr>
          <w:rFonts w:hint="default" w:ascii="Times New Roman" w:hAnsi="Times New Roman" w:cs="Times New Roman"/>
          <w:color w:val="auto"/>
          <w:kern w:val="0"/>
        </w:rPr>
        <w:t>钻井固废主要为钻井过程中产生的岩屑；</w:t>
      </w:r>
      <w:r>
        <w:rPr>
          <w:rFonts w:ascii="Times New Roman" w:hAnsi="Times New Roman"/>
          <w:color w:val="auto"/>
        </w:rPr>
        <w:t>落地油主要产生于试油等井下作业过程中，会有少量原油散落井场；</w:t>
      </w:r>
      <w:r>
        <w:rPr>
          <w:rFonts w:hint="default" w:ascii="Times New Roman" w:hAnsi="Times New Roman" w:cs="Times New Roman"/>
          <w:color w:val="auto"/>
          <w:kern w:val="0"/>
        </w:rPr>
        <w:t>其他固废主要是产生于钻井、试油等作业过程中，主要有废防渗膜、钻井添加剂的外包装袋、钻机更换的机械设备废油；管道敷设开挖产生的施工土方，施工人员生活垃圾主要是施工现场人员产生的生活垃圾。</w:t>
      </w:r>
    </w:p>
    <w:p>
      <w:pPr>
        <w:pStyle w:val="51"/>
        <w:spacing w:after="0"/>
        <w:ind w:firstLine="480" w:firstLineChars="200"/>
        <w:rPr>
          <w:rFonts w:hint="default" w:ascii="Times New Roman" w:hAnsi="Times New Roman" w:cs="Times New Roman"/>
          <w:color w:val="auto"/>
          <w:kern w:val="0"/>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kern w:val="0"/>
        </w:rPr>
        <w:t>施工期主要工艺流程及产污环节见图3.7-6。</w:t>
      </w:r>
    </w:p>
    <w:p>
      <w:pPr>
        <w:pStyle w:val="51"/>
        <w:spacing w:after="0"/>
        <w:ind w:left="0" w:leftChars="0" w:firstLine="0" w:firstLineChars="0"/>
        <w:rPr>
          <w:rFonts w:hint="default" w:ascii="Times New Roman" w:hAnsi="Times New Roman" w:cs="Times New Roman"/>
          <w:color w:val="auto"/>
          <w:kern w:val="0"/>
        </w:rPr>
      </w:pPr>
      <w:r>
        <w:rPr>
          <w:rFonts w:hint="default" w:ascii="Times New Roman" w:hAnsi="Times New Roman" w:cs="Times New Roman"/>
          <w:color w:val="auto"/>
        </w:rPr>
        <mc:AlternateContent>
          <mc:Choice Requires="wps">
            <w:drawing>
              <wp:anchor distT="0" distB="0" distL="114300" distR="114300" simplePos="0" relativeHeight="251671552" behindDoc="0" locked="0" layoutInCell="1" allowOverlap="1">
                <wp:simplePos x="0" y="0"/>
                <wp:positionH relativeFrom="column">
                  <wp:posOffset>907415</wp:posOffset>
                </wp:positionH>
                <wp:positionV relativeFrom="paragraph">
                  <wp:posOffset>1736725</wp:posOffset>
                </wp:positionV>
                <wp:extent cx="560705" cy="873125"/>
                <wp:effectExtent l="5080" t="3175" r="5715" b="0"/>
                <wp:wrapNone/>
                <wp:docPr id="322" name="直接箭头连接符 322"/>
                <wp:cNvGraphicFramePr/>
                <a:graphic xmlns:a="http://schemas.openxmlformats.org/drawingml/2006/main">
                  <a:graphicData uri="http://schemas.microsoft.com/office/word/2010/wordprocessingShape">
                    <wps:wsp>
                      <wps:cNvCnPr>
                        <a:stCxn id="151" idx="3"/>
                        <a:endCxn id="324" idx="1"/>
                      </wps:cNvCnPr>
                      <wps:spPr>
                        <a:xfrm>
                          <a:off x="0" y="0"/>
                          <a:ext cx="560705" cy="873125"/>
                        </a:xfrm>
                        <a:prstGeom prst="straightConnector1">
                          <a:avLst/>
                        </a:prstGeom>
                        <a:noFill/>
                        <a:ln w="12700"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margin-left:71.45pt;margin-top:136.75pt;height:68.75pt;width:44.15pt;z-index:251671552;mso-width-relative:page;mso-height-relative:page;" filled="f" stroked="t" coordsize="21600,21600" o:gfxdata="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3HPqdkAAAALAQAADwAAAAAAAAABACAAAAAiAAAAZHJzL2Rvd25yZXYueG1sUEsBAhQAFAAAAAgA&#10;h07iQFribykkAgAAGAQAAA4AAAAAAAAAAQAgAAAAKAEAAGRycy9lMm9Eb2MueG1sUEsFBgAAAAAG&#10;AAYAWQEAAL4FAAAAAA==&#10;">
                <v:fill on="f" focussize="0,0"/>
                <v:stroke weight="1pt" color="#000000" miterlimit="8" joinstyle="miter" endarrow="block"/>
                <v:imagedata o:title=""/>
                <o:lock v:ext="edit" aspectratio="f"/>
              </v:shape>
            </w:pict>
          </mc:Fallback>
        </mc:AlternateContent>
      </w:r>
      <w:r>
        <w:rPr>
          <w:rFonts w:hint="default" w:ascii="Times New Roman" w:hAnsi="Times New Roman" w:eastAsia="宋体" w:cs="Times New Roman"/>
          <w:color w:val="auto"/>
        </w:rPr>
        <mc:AlternateContent>
          <mc:Choice Requires="wpg">
            <w:drawing>
              <wp:anchor distT="0" distB="0" distL="114300" distR="114300" simplePos="0" relativeHeight="251665408" behindDoc="0" locked="0" layoutInCell="1" allowOverlap="1">
                <wp:simplePos x="0" y="0"/>
                <wp:positionH relativeFrom="column">
                  <wp:posOffset>-85725</wp:posOffset>
                </wp:positionH>
                <wp:positionV relativeFrom="paragraph">
                  <wp:posOffset>-191135</wp:posOffset>
                </wp:positionV>
                <wp:extent cx="9001125" cy="5912485"/>
                <wp:effectExtent l="6350" t="6350" r="3175" b="0"/>
                <wp:wrapNone/>
                <wp:docPr id="421" name="组合 421"/>
                <wp:cNvGraphicFramePr/>
                <a:graphic xmlns:a="http://schemas.openxmlformats.org/drawingml/2006/main">
                  <a:graphicData uri="http://schemas.microsoft.com/office/word/2010/wordprocessingGroup">
                    <wpg:wgp>
                      <wpg:cNvGrpSpPr/>
                      <wpg:grpSpPr>
                        <a:xfrm>
                          <a:off x="828675" y="951865"/>
                          <a:ext cx="9001125" cy="5912485"/>
                          <a:chOff x="1612" y="2481600"/>
                          <a:chExt cx="14175" cy="9311"/>
                        </a:xfrm>
                        <a:effectLst/>
                      </wpg:grpSpPr>
                      <wpg:grpSp>
                        <wpg:cNvPr id="419" name="组合 419"/>
                        <wpg:cNvGrpSpPr/>
                        <wpg:grpSpPr>
                          <a:xfrm>
                            <a:off x="1612" y="2481600"/>
                            <a:ext cx="14138" cy="8831"/>
                            <a:chOff x="1612" y="2481600"/>
                            <a:chExt cx="14138" cy="8831"/>
                          </a:xfrm>
                          <a:effectLst/>
                        </wpg:grpSpPr>
                        <wpg:grpSp>
                          <wpg:cNvPr id="418" name="组合 418"/>
                          <wpg:cNvGrpSpPr/>
                          <wpg:grpSpPr>
                            <a:xfrm>
                              <a:off x="1789" y="2481710"/>
                              <a:ext cx="13839" cy="8511"/>
                              <a:chOff x="1789" y="2481710"/>
                              <a:chExt cx="13839" cy="8511"/>
                            </a:xfrm>
                            <a:effectLst/>
                          </wpg:grpSpPr>
                          <wpg:grpSp>
                            <wpg:cNvPr id="414" name="组合 414"/>
                            <wpg:cNvGrpSpPr/>
                            <wpg:grpSpPr>
                              <a:xfrm>
                                <a:off x="11165" y="2482463"/>
                                <a:ext cx="4463" cy="7300"/>
                                <a:chOff x="11165" y="2482463"/>
                                <a:chExt cx="4463" cy="7300"/>
                              </a:xfrm>
                              <a:effectLst/>
                            </wpg:grpSpPr>
                            <wps:wsp>
                              <wps:cNvPr id="371" name="文本框 371"/>
                              <wps:cNvSpPr txBox="1"/>
                              <wps:spPr>
                                <a:xfrm>
                                  <a:off x="11276" y="2482463"/>
                                  <a:ext cx="2307" cy="450"/>
                                </a:xfrm>
                                <a:prstGeom prst="rect">
                                  <a:avLst/>
                                </a:prstGeom>
                                <a:noFill/>
                                <a:ln w="6350">
                                  <a:noFill/>
                                </a:ln>
                                <a:effectLst/>
                              </wps:spPr>
                              <wps:txbx>
                                <w:txbxContent>
                                  <w:p>
                                    <w:r>
                                      <w:rPr>
                                        <w:rFonts w:hint="eastAsia"/>
                                      </w:rPr>
                                      <w:t>无组织排入大气环境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文本框 372"/>
                              <wps:cNvSpPr txBox="1"/>
                              <wps:spPr>
                                <a:xfrm>
                                  <a:off x="11280" y="2483228"/>
                                  <a:ext cx="1433" cy="438"/>
                                </a:xfrm>
                                <a:prstGeom prst="rect">
                                  <a:avLst/>
                                </a:prstGeom>
                                <a:noFill/>
                                <a:ln w="6350">
                                  <a:noFill/>
                                </a:ln>
                                <a:effectLst/>
                              </wps:spPr>
                              <wps:txbx>
                                <w:txbxContent>
                                  <w:p>
                                    <w:r>
                                      <w:rPr>
                                        <w:rFonts w:hint="eastAsia"/>
                                      </w:rPr>
                                      <w:t>周围环境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3" name="文本框 373"/>
                              <wps:cNvSpPr txBox="1"/>
                              <wps:spPr>
                                <a:xfrm>
                                  <a:off x="11165" y="2483947"/>
                                  <a:ext cx="4463" cy="497"/>
                                </a:xfrm>
                                <a:prstGeom prst="rect">
                                  <a:avLst/>
                                </a:prstGeom>
                                <a:noFill/>
                                <a:ln w="6350">
                                  <a:noFill/>
                                </a:ln>
                                <a:effectLst/>
                              </wps:spPr>
                              <wps:txbx>
                                <w:txbxContent>
                                  <w:p>
                                    <w:r>
                                      <w:rPr>
                                        <w:rFonts w:hint="eastAsia"/>
                                      </w:rPr>
                                      <w:t>进入泥浆不落地系统处理后，循环利用不外排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5" name="文本框 375"/>
                              <wps:cNvSpPr txBox="1"/>
                              <wps:spPr>
                                <a:xfrm>
                                  <a:off x="11203" y="2484724"/>
                                  <a:ext cx="3257" cy="461"/>
                                </a:xfrm>
                                <a:prstGeom prst="rect">
                                  <a:avLst/>
                                </a:prstGeom>
                                <a:noFill/>
                                <a:ln w="6350">
                                  <a:noFill/>
                                </a:ln>
                                <a:effectLst/>
                              </wps:spPr>
                              <wps:txbx>
                                <w:txbxContent>
                                  <w:p>
                                    <w:r>
                                      <w:rPr>
                                        <w:rFonts w:hint="eastAsia"/>
                                      </w:rPr>
                                      <w:t>沉淀后用于施工现场洒水降尘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 name="文本框 376"/>
                              <wps:cNvSpPr txBox="1"/>
                              <wps:spPr>
                                <a:xfrm>
                                  <a:off x="11336" y="2485554"/>
                                  <a:ext cx="4118" cy="462"/>
                                </a:xfrm>
                                <a:prstGeom prst="rect">
                                  <a:avLst/>
                                </a:prstGeom>
                                <a:noFill/>
                                <a:ln w="6350">
                                  <a:noFill/>
                                </a:ln>
                                <a:effectLst/>
                              </wps:spPr>
                              <wps:txbx>
                                <w:txbxContent>
                                  <w:p>
                                    <w:r>
                                      <w:rPr>
                                        <w:rFonts w:hint="eastAsia" w:ascii="Times New Roman" w:hAnsi="Times New Roman"/>
                                        <w:color w:val="000000" w:themeColor="text1"/>
                                        <w14:textFill>
                                          <w14:solidFill>
                                            <w14:schemeClr w14:val="tx1"/>
                                          </w14:solidFill>
                                        </w14:textFill>
                                      </w:rPr>
                                      <w:t>岩屑</w:t>
                                    </w:r>
                                    <w:r>
                                      <w:rPr>
                                        <w:rFonts w:ascii="Times New Roman" w:hAnsi="Times New Roman"/>
                                        <w:color w:val="000000" w:themeColor="text1"/>
                                        <w14:textFill>
                                          <w14:solidFill>
                                            <w14:schemeClr w14:val="tx1"/>
                                          </w14:solidFill>
                                        </w14:textFill>
                                      </w:rPr>
                                      <w:t>委托</w:t>
                                    </w:r>
                                    <w:r>
                                      <w:rPr>
                                        <w:rFonts w:hint="eastAsia" w:ascii="Times New Roman" w:hAnsi="Times New Roman"/>
                                        <w:color w:val="000000" w:themeColor="text1"/>
                                        <w:lang w:val="en-US" w:eastAsia="zh-CN"/>
                                        <w14:textFill>
                                          <w14:solidFill>
                                            <w14:schemeClr w14:val="tx1"/>
                                          </w14:solidFill>
                                        </w14:textFill>
                                      </w:rPr>
                                      <w:t>岩屑处置单位</w:t>
                                    </w:r>
                                    <w:r>
                                      <w:rPr>
                                        <w:rFonts w:ascii="Times New Roman" w:hAnsi="Times New Roman"/>
                                        <w:color w:val="000000" w:themeColor="text1"/>
                                        <w14:textFill>
                                          <w14:solidFill>
                                            <w14:schemeClr w14:val="tx1"/>
                                          </w14:solidFill>
                                        </w14:textFill>
                                      </w:rPr>
                                      <w:t>合规处置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6" name="文本框 386"/>
                              <wps:cNvSpPr txBox="1"/>
                              <wps:spPr>
                                <a:xfrm>
                                  <a:off x="11272" y="2486712"/>
                                  <a:ext cx="3519" cy="448"/>
                                </a:xfrm>
                                <a:prstGeom prst="rect">
                                  <a:avLst/>
                                </a:prstGeom>
                                <a:noFill/>
                                <a:ln w="6350">
                                  <a:noFill/>
                                </a:ln>
                                <a:effectLst/>
                              </wps:spPr>
                              <wps:txbx>
                                <w:txbxContent>
                                  <w:p>
                                    <w:r>
                                      <w:rPr>
                                        <w:rFonts w:cs="Times New Roman"/>
                                        <w:color w:val="000000" w:themeColor="text1"/>
                                        <w:lang w:val="en-GB"/>
                                        <w14:textFill>
                                          <w14:solidFill>
                                            <w14:schemeClr w14:val="tx1"/>
                                          </w14:solidFill>
                                        </w14:textFill>
                                      </w:rPr>
                                      <w:t>收集后委托有资质的单位进行处置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7" name="文本框 387"/>
                              <wps:cNvSpPr txBox="1"/>
                              <wps:spPr>
                                <a:xfrm>
                                  <a:off x="11294" y="2487606"/>
                                  <a:ext cx="1969" cy="448"/>
                                </a:xfrm>
                                <a:prstGeom prst="rect">
                                  <a:avLst/>
                                </a:prstGeom>
                                <a:noFill/>
                                <a:ln w="6350">
                                  <a:noFill/>
                                </a:ln>
                                <a:effectLst/>
                              </wps:spPr>
                              <wps:txbx>
                                <w:txbxContent>
                                  <w:p>
                                    <w:r>
                                      <w:rPr>
                                        <w:rFonts w:cs="Times New Roman"/>
                                        <w:color w:val="000000" w:themeColor="text1"/>
                                        <w:lang w:val="en-GB"/>
                                        <w14:textFill>
                                          <w14:solidFill>
                                            <w14:schemeClr w14:val="tx1"/>
                                          </w14:solidFill>
                                        </w14:textFill>
                                      </w:rPr>
                                      <w:t>回填管沟、管廊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9" name="文本框 389"/>
                              <wps:cNvSpPr txBox="1"/>
                              <wps:spPr>
                                <a:xfrm>
                                  <a:off x="11271" y="2488319"/>
                                  <a:ext cx="3291" cy="747"/>
                                </a:xfrm>
                                <a:prstGeom prst="rect">
                                  <a:avLst/>
                                </a:prstGeom>
                                <a:noFill/>
                                <a:ln w="6350">
                                  <a:noFill/>
                                </a:ln>
                                <a:effectLst/>
                              </wps:spPr>
                              <wps:txbx>
                                <w:txbxContent>
                                  <w:p>
                                    <w:r>
                                      <w:rPr>
                                        <w:rFonts w:cs="Times New Roman"/>
                                        <w:color w:val="000000" w:themeColor="text1"/>
                                        <w:lang w:val="en-GB"/>
                                        <w14:textFill>
                                          <w14:solidFill>
                                            <w14:schemeClr w14:val="tx1"/>
                                          </w14:solidFill>
                                        </w14:textFill>
                                      </w:rPr>
                                      <w:t>由施工单位统一收集后拉运至</w:t>
                                    </w:r>
                                    <w:r>
                                      <w:rPr>
                                        <w:rFonts w:hint="eastAsia" w:ascii="Times New Roman" w:hAnsi="Times New Roman" w:eastAsia="宋体" w:cs="Times New Roman"/>
                                        <w:color w:val="000000" w:themeColor="text1"/>
                                        <w:lang w:val="en-US" w:eastAsia="zh-CN"/>
                                        <w14:textFill>
                                          <w14:solidFill>
                                            <w14:schemeClr w14:val="tx1"/>
                                          </w14:solidFill>
                                        </w14:textFill>
                                      </w:rPr>
                                      <w:t>陆梁油田</w:t>
                                    </w:r>
                                    <w:r>
                                      <w:rPr>
                                        <w:rFonts w:cs="Times New Roman"/>
                                        <w:color w:val="000000" w:themeColor="text1"/>
                                        <w:lang w:val="en-GB"/>
                                        <w14:textFill>
                                          <w14:solidFill>
                                            <w14:schemeClr w14:val="tx1"/>
                                          </w14:solidFill>
                                        </w14:textFill>
                                      </w:rPr>
                                      <w:t>生活垃圾填埋场处置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0" name="文本框 390"/>
                              <wps:cNvSpPr txBox="1"/>
                              <wps:spPr>
                                <a:xfrm>
                                  <a:off x="11286" y="2489028"/>
                                  <a:ext cx="3304" cy="735"/>
                                </a:xfrm>
                                <a:prstGeom prst="rect">
                                  <a:avLst/>
                                </a:prstGeom>
                                <a:noFill/>
                                <a:ln w="6350">
                                  <a:noFill/>
                                </a:ln>
                                <a:effectLst/>
                              </wps:spPr>
                              <wps:txbx>
                                <w:txbxContent>
                                  <w:p>
                                    <w:r>
                                      <w:rPr>
                                        <w:rFonts w:ascii="Times New Roman" w:hAnsi="Times New Roman" w:cs="Times New Roman"/>
                                        <w:color w:val="000000" w:themeColor="text1"/>
                                        <w:szCs w:val="21"/>
                                        <w:lang w:val="en-GB"/>
                                        <w14:textFill>
                                          <w14:solidFill>
                                            <w14:schemeClr w14:val="tx1"/>
                                          </w14:solidFill>
                                        </w14:textFill>
                                      </w:rPr>
                                      <w:t>施工废包装材料尽量回收利用，建筑垃圾由施工单位清运</w:t>
                                    </w:r>
                                    <w:r>
                                      <w:rPr>
                                        <w:rFonts w:cs="Times New Roman"/>
                                        <w:color w:val="000000" w:themeColor="text1"/>
                                        <w:lang w:val="en-GB"/>
                                        <w14:textFill>
                                          <w14:solidFill>
                                            <w14:schemeClr w14:val="tx1"/>
                                          </w14:solidFill>
                                        </w14:textFill>
                                      </w:rPr>
                                      <w:t>场处置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17" name="组合 417"/>
                            <wpg:cNvGrpSpPr/>
                            <wpg:grpSpPr>
                              <a:xfrm>
                                <a:off x="1789" y="2481710"/>
                                <a:ext cx="11940" cy="8511"/>
                                <a:chOff x="1789" y="2481710"/>
                                <a:chExt cx="11940" cy="8511"/>
                              </a:xfrm>
                              <a:effectLst/>
                            </wpg:grpSpPr>
                            <wpg:grpSp>
                              <wpg:cNvPr id="412" name="组合 412"/>
                              <wpg:cNvGrpSpPr/>
                              <wpg:grpSpPr>
                                <a:xfrm>
                                  <a:off x="6908" y="2482295"/>
                                  <a:ext cx="3251" cy="7321"/>
                                  <a:chOff x="6908" y="2482295"/>
                                  <a:chExt cx="3251" cy="7321"/>
                                </a:xfrm>
                                <a:effectLst/>
                              </wpg:grpSpPr>
                              <wps:wsp>
                                <wps:cNvPr id="201" name="文本框 201"/>
                                <wps:cNvSpPr txBox="1"/>
                                <wps:spPr>
                                  <a:xfrm>
                                    <a:off x="7065" y="2483210"/>
                                    <a:ext cx="1198" cy="437"/>
                                  </a:xfrm>
                                  <a:prstGeom prst="rect">
                                    <a:avLst/>
                                  </a:prstGeom>
                                  <a:solidFill>
                                    <a:srgbClr val="FFFFFF"/>
                                  </a:solidFill>
                                  <a:ln w="6350">
                                    <a:solidFill>
                                      <a:prstClr val="black"/>
                                    </a:solidFill>
                                    <a:prstDash val="sysDot"/>
                                  </a:ln>
                                  <a:effectLst/>
                                </wps:spPr>
                                <wps:txbx>
                                  <w:txbxContent>
                                    <w:p>
                                      <w:r>
                                        <w:rPr>
                                          <w:rFonts w:hint="eastAsia"/>
                                        </w:rPr>
                                        <w:t>施工噪声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 name="文本框 202"/>
                                <wps:cNvSpPr txBox="1"/>
                                <wps:spPr>
                                  <a:xfrm>
                                    <a:off x="7063" y="2482295"/>
                                    <a:ext cx="3096" cy="761"/>
                                  </a:xfrm>
                                  <a:prstGeom prst="rect">
                                    <a:avLst/>
                                  </a:prstGeom>
                                  <a:solidFill>
                                    <a:srgbClr val="FFFFFF"/>
                                  </a:solidFill>
                                  <a:ln w="6350">
                                    <a:solidFill>
                                      <a:prstClr val="black"/>
                                    </a:solidFill>
                                    <a:prstDash val="sysDot"/>
                                  </a:ln>
                                  <a:effectLst/>
                                </wps:spPr>
                                <wps:txbx>
                                  <w:txbxContent>
                                    <w:p>
                                      <w:r>
                                        <w:rPr>
                                          <w:rFonts w:hint="eastAsia"/>
                                        </w:rPr>
                                        <w:t>施工扬尘、施工车辆废气、柴油发电机排放废气</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文本框 204"/>
                                <wps:cNvSpPr txBox="1"/>
                                <wps:spPr>
                                  <a:xfrm>
                                    <a:off x="7110" y="2485511"/>
                                    <a:ext cx="1057" cy="437"/>
                                  </a:xfrm>
                                  <a:prstGeom prst="rect">
                                    <a:avLst/>
                                  </a:prstGeom>
                                  <a:solidFill>
                                    <a:srgbClr val="FFFFFF"/>
                                  </a:solidFill>
                                  <a:ln w="6350">
                                    <a:solidFill>
                                      <a:prstClr val="black"/>
                                    </a:solidFill>
                                    <a:prstDash val="sysDot"/>
                                  </a:ln>
                                  <a:effectLst/>
                                </wps:spPr>
                                <wps:txbx>
                                  <w:txbxContent>
                                    <w:p>
                                      <w:pPr>
                                        <w:jc w:val="center"/>
                                      </w:pPr>
                                      <w:r>
                                        <w:rPr>
                                          <w:rFonts w:hint="eastAsia"/>
                                        </w:rPr>
                                        <w:t>岩屑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5" name="文本框 345"/>
                                <wps:cNvSpPr txBox="1"/>
                                <wps:spPr>
                                  <a:xfrm>
                                    <a:off x="7073" y="2483984"/>
                                    <a:ext cx="1199" cy="437"/>
                                  </a:xfrm>
                                  <a:prstGeom prst="rect">
                                    <a:avLst/>
                                  </a:prstGeom>
                                  <a:solidFill>
                                    <a:srgbClr val="FFFFFF"/>
                                  </a:solidFill>
                                  <a:ln w="6350">
                                    <a:solidFill>
                                      <a:prstClr val="black"/>
                                    </a:solidFill>
                                    <a:prstDash val="sysDot"/>
                                  </a:ln>
                                  <a:effectLst/>
                                </wps:spPr>
                                <wps:txbx>
                                  <w:txbxContent>
                                    <w:p>
                                      <w:r>
                                        <w:rPr>
                                          <w:rFonts w:hint="eastAsia"/>
                                        </w:rPr>
                                        <w:t>钻井废水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6" name="文本框 346"/>
                                <wps:cNvSpPr txBox="1"/>
                                <wps:spPr>
                                  <a:xfrm>
                                    <a:off x="6946" y="2484745"/>
                                    <a:ext cx="1597" cy="437"/>
                                  </a:xfrm>
                                  <a:prstGeom prst="rect">
                                    <a:avLst/>
                                  </a:prstGeom>
                                  <a:solidFill>
                                    <a:srgbClr val="FFFFFF"/>
                                  </a:solidFill>
                                  <a:ln w="6350">
                                    <a:solidFill>
                                      <a:prstClr val="black"/>
                                    </a:solidFill>
                                    <a:prstDash val="sysDot"/>
                                  </a:ln>
                                  <a:effectLst/>
                                </wps:spPr>
                                <wps:txbx>
                                  <w:txbxContent>
                                    <w:p>
                                      <w:r>
                                        <w:rPr>
                                          <w:rFonts w:hint="eastAsia"/>
                                        </w:rPr>
                                        <w:t>管线试压废水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7" name="文本框 347"/>
                                <wps:cNvSpPr txBox="1"/>
                                <wps:spPr>
                                  <a:xfrm>
                                    <a:off x="7010" y="2488492"/>
                                    <a:ext cx="1247" cy="437"/>
                                  </a:xfrm>
                                  <a:prstGeom prst="rect">
                                    <a:avLst/>
                                  </a:prstGeom>
                                  <a:solidFill>
                                    <a:srgbClr val="FFFFFF"/>
                                  </a:solidFill>
                                  <a:ln w="6350">
                                    <a:solidFill>
                                      <a:prstClr val="black"/>
                                    </a:solidFill>
                                    <a:prstDash val="sysDot"/>
                                  </a:ln>
                                  <a:effectLst/>
                                </wps:spPr>
                                <wps:txbx>
                                  <w:txbxContent>
                                    <w:p>
                                      <w:r>
                                        <w:rPr>
                                          <w:rFonts w:hint="eastAsia"/>
                                        </w:rPr>
                                        <w:t>生活垃圾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8" name="文本框 348"/>
                                <wps:cNvSpPr txBox="1"/>
                                <wps:spPr>
                                  <a:xfrm>
                                    <a:off x="6908" y="2486697"/>
                                    <a:ext cx="2869" cy="437"/>
                                  </a:xfrm>
                                  <a:prstGeom prst="rect">
                                    <a:avLst/>
                                  </a:prstGeom>
                                  <a:solidFill>
                                    <a:srgbClr val="FFFFFF"/>
                                  </a:solidFill>
                                  <a:ln w="6350">
                                    <a:solidFill>
                                      <a:prstClr val="black"/>
                                    </a:solidFill>
                                    <a:prstDash val="sysDot"/>
                                  </a:ln>
                                  <a:effectLst/>
                                </wps:spPr>
                                <wps:txbx>
                                  <w:txbxContent>
                                    <w:p>
                                      <w:r>
                                        <w:rPr>
                                          <w:rFonts w:hint="eastAsia"/>
                                        </w:rPr>
                                        <w:t>机械设备废油、废弃防渗膜</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9" name="文本框 349"/>
                                <wps:cNvSpPr txBox="1"/>
                                <wps:spPr>
                                  <a:xfrm>
                                    <a:off x="7067" y="2487614"/>
                                    <a:ext cx="1173" cy="437"/>
                                  </a:xfrm>
                                  <a:prstGeom prst="rect">
                                    <a:avLst/>
                                  </a:prstGeom>
                                  <a:solidFill>
                                    <a:srgbClr val="FFFFFF"/>
                                  </a:solidFill>
                                  <a:ln w="6350">
                                    <a:solidFill>
                                      <a:prstClr val="black"/>
                                    </a:solidFill>
                                    <a:prstDash val="sysDot"/>
                                  </a:ln>
                                  <a:effectLst/>
                                </wps:spPr>
                                <wps:txbx>
                                  <w:txbxContent>
                                    <w:p>
                                      <w:r>
                                        <w:rPr>
                                          <w:rFonts w:hint="eastAsia"/>
                                        </w:rPr>
                                        <w:t>施工土方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1" name="文本框 351"/>
                                <wps:cNvSpPr txBox="1"/>
                                <wps:spPr>
                                  <a:xfrm>
                                    <a:off x="7006" y="2489179"/>
                                    <a:ext cx="1310" cy="437"/>
                                  </a:xfrm>
                                  <a:prstGeom prst="rect">
                                    <a:avLst/>
                                  </a:prstGeom>
                                  <a:solidFill>
                                    <a:srgbClr val="FFFFFF"/>
                                  </a:solidFill>
                                  <a:ln w="6350">
                                    <a:solidFill>
                                      <a:prstClr val="black"/>
                                    </a:solidFill>
                                    <a:prstDash val="sysDot"/>
                                  </a:ln>
                                  <a:effectLst/>
                                </wps:spPr>
                                <wps:txbx>
                                  <w:txbxContent>
                                    <w:p>
                                      <w:r>
                                        <w:rPr>
                                          <w:rFonts w:hint="eastAsia"/>
                                        </w:rPr>
                                        <w:t>建筑垃圾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07" name="组合 407"/>
                              <wpg:cNvGrpSpPr/>
                              <wpg:grpSpPr>
                                <a:xfrm>
                                  <a:off x="2030" y="2482321"/>
                                  <a:ext cx="3716" cy="1429"/>
                                  <a:chOff x="2030" y="2482321"/>
                                  <a:chExt cx="3716" cy="1429"/>
                                </a:xfrm>
                                <a:effectLst/>
                              </wpg:grpSpPr>
                              <wps:wsp>
                                <wps:cNvPr id="145" name="文本框 145"/>
                                <wps:cNvSpPr txBox="1"/>
                                <wps:spPr>
                                  <a:xfrm>
                                    <a:off x="2030" y="2482680"/>
                                    <a:ext cx="1209" cy="438"/>
                                  </a:xfrm>
                                  <a:prstGeom prst="rect">
                                    <a:avLst/>
                                  </a:prstGeom>
                                  <a:solidFill>
                                    <a:srgbClr val="FFFFFF"/>
                                  </a:solidFill>
                                  <a:ln w="6350">
                                    <a:solidFill>
                                      <a:prstClr val="black"/>
                                    </a:solidFill>
                                  </a:ln>
                                  <a:effectLst/>
                                </wps:spPr>
                                <wps:txbx>
                                  <w:txbxContent>
                                    <w:p>
                                      <w:r>
                                        <w:rPr>
                                          <w:rFonts w:hint="eastAsia"/>
                                        </w:rPr>
                                        <w:t>钻前准备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3977" y="2482321"/>
                                    <a:ext cx="1589" cy="438"/>
                                  </a:xfrm>
                                  <a:prstGeom prst="rect">
                                    <a:avLst/>
                                  </a:prstGeom>
                                  <a:solidFill>
                                    <a:srgbClr val="FFFFFF"/>
                                  </a:solidFill>
                                  <a:ln w="6350">
                                    <a:solidFill>
                                      <a:prstClr val="black"/>
                                    </a:solidFill>
                                  </a:ln>
                                  <a:effectLst/>
                                </wps:spPr>
                                <wps:txbx>
                                  <w:txbxContent>
                                    <w:p>
                                      <w:r>
                                        <w:rPr>
                                          <w:rFonts w:hint="eastAsia"/>
                                        </w:rPr>
                                        <w:t>修筑钻井平台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149"/>
                                <wps:cNvSpPr txBox="1"/>
                                <wps:spPr>
                                  <a:xfrm>
                                    <a:off x="4105" y="2482831"/>
                                    <a:ext cx="1152" cy="438"/>
                                  </a:xfrm>
                                  <a:prstGeom prst="rect">
                                    <a:avLst/>
                                  </a:prstGeom>
                                  <a:solidFill>
                                    <a:srgbClr val="FFFFFF"/>
                                  </a:solidFill>
                                  <a:ln w="6350">
                                    <a:solidFill>
                                      <a:prstClr val="black"/>
                                    </a:solidFill>
                                  </a:ln>
                                  <a:effectLst/>
                                </wps:spPr>
                                <wps:txbx>
                                  <w:txbxContent>
                                    <w:p>
                                      <w:r>
                                        <w:rPr>
                                          <w:rFonts w:hint="eastAsia"/>
                                        </w:rPr>
                                        <w:t>设备进场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150"/>
                                <wps:cNvSpPr txBox="1"/>
                                <wps:spPr>
                                  <a:xfrm>
                                    <a:off x="3965" y="2483312"/>
                                    <a:ext cx="1781" cy="438"/>
                                  </a:xfrm>
                                  <a:prstGeom prst="rect">
                                    <a:avLst/>
                                  </a:prstGeom>
                                  <a:solidFill>
                                    <a:srgbClr val="FFFFFF"/>
                                  </a:solidFill>
                                  <a:ln w="6350">
                                    <a:solidFill>
                                      <a:prstClr val="black"/>
                                    </a:solidFill>
                                  </a:ln>
                                  <a:effectLst/>
                                </wps:spPr>
                                <wps:txbx>
                                  <w:txbxContent>
                                    <w:p>
                                      <w:r>
                                        <w:rPr>
                                          <w:rFonts w:hint="eastAsia"/>
                                        </w:rPr>
                                        <w:t>泥浆不落地系统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直接箭头连接符 364"/>
                                <wps:cNvCnPr>
                                  <a:stCxn id="145" idx="3"/>
                                  <a:endCxn id="149" idx="1"/>
                                </wps:cNvCnPr>
                                <wps:spPr>
                                  <a:xfrm>
                                    <a:off x="3239" y="2482899"/>
                                    <a:ext cx="872" cy="151"/>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65" name="直接箭头连接符 365"/>
                                <wps:cNvCnPr>
                                  <a:stCxn id="145" idx="3"/>
                                  <a:endCxn id="147" idx="1"/>
                                </wps:cNvCnPr>
                                <wps:spPr>
                                  <a:xfrm flipV="1">
                                    <a:off x="3239" y="2482540"/>
                                    <a:ext cx="744" cy="359"/>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66" name="直接箭头连接符 366"/>
                                <wps:cNvCnPr>
                                  <a:stCxn id="145" idx="3"/>
                                  <a:endCxn id="150" idx="1"/>
                                </wps:cNvCnPr>
                                <wps:spPr>
                                  <a:xfrm>
                                    <a:off x="3234" y="2482878"/>
                                    <a:ext cx="730" cy="653"/>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g:grpSp>
                              <wpg:cNvPr id="410" name="组合 410"/>
                              <wpg:cNvGrpSpPr/>
                              <wpg:grpSpPr>
                                <a:xfrm>
                                  <a:off x="1789" y="2483094"/>
                                  <a:ext cx="3976" cy="6858"/>
                                  <a:chOff x="1789" y="2483094"/>
                                  <a:chExt cx="3976" cy="6858"/>
                                </a:xfrm>
                                <a:effectLst/>
                              </wpg:grpSpPr>
                              <wps:wsp>
                                <wps:cNvPr id="174" name="文本框 174"/>
                                <wps:cNvSpPr txBox="1"/>
                                <wps:spPr>
                                  <a:xfrm>
                                    <a:off x="1899" y="2488427"/>
                                    <a:ext cx="1563" cy="438"/>
                                  </a:xfrm>
                                  <a:prstGeom prst="rect">
                                    <a:avLst/>
                                  </a:prstGeom>
                                  <a:solidFill>
                                    <a:srgbClr val="FFFFFF"/>
                                  </a:solidFill>
                                  <a:ln w="6350">
                                    <a:solidFill>
                                      <a:prstClr val="black"/>
                                    </a:solidFill>
                                  </a:ln>
                                  <a:effectLst/>
                                </wps:spPr>
                                <wps:txbx>
                                  <w:txbxContent>
                                    <w:p>
                                      <w:r>
                                        <w:rPr>
                                          <w:rFonts w:hint="eastAsia"/>
                                        </w:rPr>
                                        <w:t>地面工程建设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175"/>
                                <wps:cNvSpPr txBox="1"/>
                                <wps:spPr>
                                  <a:xfrm>
                                    <a:off x="3992" y="2487802"/>
                                    <a:ext cx="1706" cy="738"/>
                                  </a:xfrm>
                                  <a:prstGeom prst="rect">
                                    <a:avLst/>
                                  </a:prstGeom>
                                  <a:solidFill>
                                    <a:srgbClr val="FFFFFF"/>
                                  </a:solidFill>
                                  <a:ln w="6350">
                                    <a:solidFill>
                                      <a:prstClr val="black"/>
                                    </a:solidFill>
                                  </a:ln>
                                  <a:effectLst/>
                                </wps:spPr>
                                <wps:txbx>
                                  <w:txbxContent>
                                    <w:p>
                                      <w:r>
                                        <w:rPr>
                                          <w:rFonts w:hint="eastAsia"/>
                                          <w:lang w:val="en-US" w:eastAsia="zh-CN"/>
                                        </w:rPr>
                                        <w:t>采油井、注水井</w:t>
                                      </w:r>
                                      <w:r>
                                        <w:rPr>
                                          <w:rFonts w:hint="eastAsia"/>
                                        </w:rPr>
                                        <w:t>井口设备安装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文本框 177"/>
                                <wps:cNvSpPr txBox="1"/>
                                <wps:spPr>
                                  <a:xfrm>
                                    <a:off x="3988" y="2488601"/>
                                    <a:ext cx="1620" cy="710"/>
                                  </a:xfrm>
                                  <a:prstGeom prst="rect">
                                    <a:avLst/>
                                  </a:prstGeom>
                                  <a:solidFill>
                                    <a:srgbClr val="FFFFFF"/>
                                  </a:solidFill>
                                  <a:ln w="6350">
                                    <a:solidFill>
                                      <a:prstClr val="black"/>
                                    </a:solidFill>
                                  </a:ln>
                                  <a:effectLst/>
                                </wps:spPr>
                                <wps:txbx>
                                  <w:txbxContent>
                                    <w:p>
                                      <w:r>
                                        <w:rPr>
                                          <w:rFonts w:hint="eastAsia"/>
                                          <w:lang w:val="en-US" w:eastAsia="zh-CN"/>
                                        </w:rPr>
                                        <w:t>输油、注水</w:t>
                                      </w:r>
                                      <w:r>
                                        <w:rPr>
                                          <w:rFonts w:hint="eastAsia"/>
                                        </w:rPr>
                                        <w:t>管线敷设</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文本框 199"/>
                                <wps:cNvSpPr txBox="1"/>
                                <wps:spPr>
                                  <a:xfrm>
                                    <a:off x="3986" y="2489514"/>
                                    <a:ext cx="1779" cy="438"/>
                                  </a:xfrm>
                                  <a:prstGeom prst="rect">
                                    <a:avLst/>
                                  </a:prstGeom>
                                  <a:solidFill>
                                    <a:srgbClr val="FFFFFF"/>
                                  </a:solidFill>
                                  <a:ln w="6350">
                                    <a:solidFill>
                                      <a:prstClr val="black"/>
                                    </a:solidFill>
                                  </a:ln>
                                  <a:effectLst/>
                                </wps:spPr>
                                <wps:txbx>
                                  <w:txbxContent>
                                    <w:p>
                                      <w:r>
                                        <w:rPr>
                                          <w:rFonts w:hint="eastAsia"/>
                                        </w:rPr>
                                        <w:t>电力等设施建设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4" name="直接箭头连接符 354"/>
                                <wps:cNvCnPr>
                                  <a:stCxn id="169" idx="2"/>
                                </wps:cNvCnPr>
                                <wps:spPr>
                                  <a:xfrm>
                                    <a:off x="2626" y="2486982"/>
                                    <a:ext cx="9" cy="1422"/>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g:cNvPr id="409" name="组合 409"/>
                                <wpg:cNvGrpSpPr/>
                                <wpg:grpSpPr>
                                  <a:xfrm>
                                    <a:off x="1789" y="2483094"/>
                                    <a:ext cx="3615" cy="4626"/>
                                    <a:chOff x="1789" y="2483094"/>
                                    <a:chExt cx="3615" cy="4626"/>
                                  </a:xfrm>
                                  <a:effectLst/>
                                </wpg:grpSpPr>
                                <wps:wsp>
                                  <wps:cNvPr id="169" name="文本框 169"/>
                                  <wps:cNvSpPr txBox="1"/>
                                  <wps:spPr>
                                    <a:xfrm>
                                      <a:off x="1789" y="2486544"/>
                                      <a:ext cx="1673" cy="438"/>
                                    </a:xfrm>
                                    <a:prstGeom prst="rect">
                                      <a:avLst/>
                                    </a:prstGeom>
                                    <a:solidFill>
                                      <a:srgbClr val="FFFFFF"/>
                                    </a:solidFill>
                                    <a:ln w="6350">
                                      <a:solidFill>
                                        <a:prstClr val="black"/>
                                      </a:solidFill>
                                    </a:ln>
                                    <a:effectLst/>
                                  </wps:spPr>
                                  <wps:txbx>
                                    <w:txbxContent>
                                      <w:p>
                                        <w:r>
                                          <w:rPr>
                                            <w:rFonts w:hint="eastAsia"/>
                                          </w:rPr>
                                          <w:t>储层改造工程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文本框 170"/>
                                  <wps:cNvSpPr txBox="1"/>
                                  <wps:spPr>
                                    <a:xfrm>
                                      <a:off x="3979" y="2486315"/>
                                      <a:ext cx="746" cy="438"/>
                                    </a:xfrm>
                                    <a:prstGeom prst="rect">
                                      <a:avLst/>
                                    </a:prstGeom>
                                    <a:solidFill>
                                      <a:srgbClr val="FFFFFF"/>
                                    </a:solidFill>
                                    <a:ln w="6350">
                                      <a:solidFill>
                                        <a:prstClr val="black"/>
                                      </a:solidFill>
                                    </a:ln>
                                    <a:effectLst/>
                                  </wps:spPr>
                                  <wps:txbx>
                                    <w:txbxContent>
                                      <w:p>
                                        <w:r>
                                          <w:rPr>
                                            <w:rFonts w:hint="eastAsia"/>
                                          </w:rPr>
                                          <w:t>射孔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172"/>
                                  <wps:cNvSpPr txBox="1"/>
                                  <wps:spPr>
                                    <a:xfrm>
                                      <a:off x="3982" y="2486819"/>
                                      <a:ext cx="746" cy="438"/>
                                    </a:xfrm>
                                    <a:prstGeom prst="rect">
                                      <a:avLst/>
                                    </a:prstGeom>
                                    <a:solidFill>
                                      <a:srgbClr val="FFFFFF"/>
                                    </a:solidFill>
                                    <a:ln w="6350">
                                      <a:solidFill>
                                        <a:prstClr val="black"/>
                                      </a:solidFill>
                                    </a:ln>
                                    <a:effectLst/>
                                  </wps:spPr>
                                  <wps:txbx>
                                    <w:txbxContent>
                                      <w:p>
                                        <w:r>
                                          <w:rPr>
                                            <w:rFonts w:hint="eastAsia"/>
                                          </w:rPr>
                                          <w:t>完井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73"/>
                                  <wps:cNvSpPr txBox="1"/>
                                  <wps:spPr>
                                    <a:xfrm>
                                      <a:off x="3968" y="2487282"/>
                                      <a:ext cx="746" cy="438"/>
                                    </a:xfrm>
                                    <a:prstGeom prst="rect">
                                      <a:avLst/>
                                    </a:prstGeom>
                                    <a:solidFill>
                                      <a:srgbClr val="FFFFFF"/>
                                    </a:solidFill>
                                    <a:ln w="6350">
                                      <a:solidFill>
                                        <a:prstClr val="black"/>
                                      </a:solidFill>
                                    </a:ln>
                                    <a:effectLst/>
                                  </wps:spPr>
                                  <wps:txbx>
                                    <w:txbxContent>
                                      <w:p>
                                        <w:r>
                                          <w:rPr>
                                            <w:rFonts w:hint="eastAsia"/>
                                          </w:rPr>
                                          <w:t>试油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3" name="直接箭头连接符 353"/>
                                  <wps:cNvCnPr>
                                    <a:stCxn id="151" idx="2"/>
                                    <a:endCxn id="169" idx="0"/>
                                  </wps:cNvCnPr>
                                  <wps:spPr>
                                    <a:xfrm>
                                      <a:off x="2613" y="2484855"/>
                                      <a:ext cx="13" cy="1689"/>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g:cNvPr id="408" name="组合 408"/>
                                  <wpg:cNvGrpSpPr/>
                                  <wpg:grpSpPr>
                                    <a:xfrm>
                                      <a:off x="2027" y="2483094"/>
                                      <a:ext cx="3377" cy="2664"/>
                                      <a:chOff x="2027" y="2483094"/>
                                      <a:chExt cx="3377" cy="2664"/>
                                    </a:xfrm>
                                    <a:effectLst/>
                                  </wpg:grpSpPr>
                                  <wps:wsp>
                                    <wps:cNvPr id="151" name="文本框 151"/>
                                    <wps:cNvSpPr txBox="1"/>
                                    <wps:spPr>
                                      <a:xfrm>
                                        <a:off x="2027" y="2484417"/>
                                        <a:ext cx="1149" cy="438"/>
                                      </a:xfrm>
                                      <a:prstGeom prst="rect">
                                        <a:avLst/>
                                      </a:prstGeom>
                                      <a:solidFill>
                                        <a:srgbClr val="FFFFFF"/>
                                      </a:solidFill>
                                      <a:ln w="6350">
                                        <a:solidFill>
                                          <a:prstClr val="black"/>
                                        </a:solidFill>
                                      </a:ln>
                                      <a:effectLst/>
                                    </wps:spPr>
                                    <wps:txbx>
                                      <w:txbxContent>
                                        <w:p>
                                          <w:r>
                                            <w:rPr>
                                              <w:rFonts w:hint="eastAsia"/>
                                            </w:rPr>
                                            <w:t>钻井工程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52"/>
                                    <wps:cNvSpPr txBox="1"/>
                                    <wps:spPr>
                                      <a:xfrm>
                                        <a:off x="4042" y="2483821"/>
                                        <a:ext cx="746" cy="438"/>
                                      </a:xfrm>
                                      <a:prstGeom prst="rect">
                                        <a:avLst/>
                                      </a:prstGeom>
                                      <a:solidFill>
                                        <a:srgbClr val="FFFFFF"/>
                                      </a:solidFill>
                                      <a:ln w="6350">
                                        <a:solidFill>
                                          <a:prstClr val="black"/>
                                        </a:solidFill>
                                      </a:ln>
                                      <a:effectLst/>
                                    </wps:spPr>
                                    <wps:txbx>
                                      <w:txbxContent>
                                        <w:p>
                                          <w:r>
                                            <w:rPr>
                                              <w:rFonts w:hint="eastAsia"/>
                                            </w:rPr>
                                            <w:t>一开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4052" y="2484319"/>
                                        <a:ext cx="746" cy="438"/>
                                      </a:xfrm>
                                      <a:prstGeom prst="rect">
                                        <a:avLst/>
                                      </a:prstGeom>
                                      <a:solidFill>
                                        <a:srgbClr val="FFFFFF"/>
                                      </a:solidFill>
                                      <a:ln w="6350">
                                        <a:solidFill>
                                          <a:prstClr val="black"/>
                                        </a:solidFill>
                                      </a:ln>
                                      <a:effectLst/>
                                    </wps:spPr>
                                    <wps:txbx>
                                      <w:txbxContent>
                                        <w:p>
                                          <w:r>
                                            <w:rPr>
                                              <w:rFonts w:hint="eastAsia"/>
                                            </w:rPr>
                                            <w:t>二开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4051" y="2484825"/>
                                        <a:ext cx="746" cy="438"/>
                                      </a:xfrm>
                                      <a:prstGeom prst="rect">
                                        <a:avLst/>
                                      </a:prstGeom>
                                      <a:solidFill>
                                        <a:srgbClr val="FFFFFF"/>
                                      </a:solidFill>
                                      <a:ln w="6350">
                                        <a:solidFill>
                                          <a:prstClr val="black"/>
                                        </a:solidFill>
                                      </a:ln>
                                      <a:effectLst/>
                                    </wps:spPr>
                                    <wps:txbx>
                                      <w:txbxContent>
                                        <w:p>
                                          <w:r>
                                            <w:rPr>
                                              <w:rFonts w:hint="eastAsia"/>
                                            </w:rPr>
                                            <w:t>完井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168"/>
                                    <wps:cNvSpPr txBox="1"/>
                                    <wps:spPr>
                                      <a:xfrm>
                                        <a:off x="4037" y="2485320"/>
                                        <a:ext cx="1367" cy="438"/>
                                      </a:xfrm>
                                      <a:prstGeom prst="rect">
                                        <a:avLst/>
                                      </a:prstGeom>
                                      <a:solidFill>
                                        <a:srgbClr val="FFFFFF"/>
                                      </a:solidFill>
                                      <a:ln w="6350">
                                        <a:solidFill>
                                          <a:prstClr val="black"/>
                                        </a:solidFill>
                                      </a:ln>
                                      <a:effectLst/>
                                    </wps:spPr>
                                    <wps:txbx>
                                      <w:txbxContent>
                                        <w:p>
                                          <w:r>
                                            <w:rPr>
                                              <w:rFonts w:hint="eastAsia"/>
                                            </w:rPr>
                                            <w:t>测井、固井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2" name="直接箭头连接符 352"/>
                                    <wps:cNvCnPr/>
                                    <wps:spPr>
                                      <a:xfrm flipH="1">
                                        <a:off x="2589" y="2483094"/>
                                        <a:ext cx="7" cy="1339"/>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56" name="直接箭头连接符 356"/>
                                    <wps:cNvCnPr>
                                      <a:endCxn id="168" idx="1"/>
                                    </wps:cNvCnPr>
                                    <wps:spPr>
                                      <a:xfrm>
                                        <a:off x="3189" y="2484665"/>
                                        <a:ext cx="848" cy="874"/>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57" name="直接箭头连接符 357"/>
                                    <wps:cNvCnPr>
                                      <a:stCxn id="151" idx="3"/>
                                      <a:endCxn id="167" idx="1"/>
                                    </wps:cNvCnPr>
                                    <wps:spPr>
                                      <a:xfrm>
                                        <a:off x="3176" y="2484636"/>
                                        <a:ext cx="870" cy="408"/>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58" name="直接箭头连接符 358"/>
                                    <wps:cNvCnPr>
                                      <a:stCxn id="151" idx="3"/>
                                      <a:endCxn id="166" idx="1"/>
                                    </wps:cNvCnPr>
                                    <wps:spPr>
                                      <a:xfrm flipV="1">
                                        <a:off x="3176" y="2484538"/>
                                        <a:ext cx="871" cy="98"/>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59" name="直接箭头连接符 359"/>
                                    <wps:cNvCnPr>
                                      <a:stCxn id="151" idx="3"/>
                                      <a:endCxn id="152" idx="1"/>
                                    </wps:cNvCnPr>
                                    <wps:spPr>
                                      <a:xfrm flipV="1">
                                        <a:off x="3176" y="2484040"/>
                                        <a:ext cx="861" cy="596"/>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s:wsp>
                                  <wps:cNvPr id="360" name="直接箭头连接符 360"/>
                                  <wps:cNvCnPr>
                                    <a:endCxn id="173" idx="1"/>
                                  </wps:cNvCnPr>
                                  <wps:spPr>
                                    <a:xfrm>
                                      <a:off x="3485" y="2486808"/>
                                      <a:ext cx="483" cy="693"/>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61" name="直接箭头连接符 361"/>
                                  <wps:cNvCnPr>
                                    <a:stCxn id="169" idx="3"/>
                                    <a:endCxn id="172" idx="1"/>
                                  </wps:cNvCnPr>
                                  <wps:spPr>
                                    <a:xfrm>
                                      <a:off x="3462" y="2486763"/>
                                      <a:ext cx="520" cy="275"/>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63" name="直接箭头连接符 363"/>
                                  <wps:cNvCnPr>
                                    <a:stCxn id="169" idx="3"/>
                                    <a:endCxn id="170" idx="1"/>
                                  </wps:cNvCnPr>
                                  <wps:spPr>
                                    <a:xfrm flipV="1">
                                      <a:off x="3462" y="2486534"/>
                                      <a:ext cx="517" cy="229"/>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s:wsp>
                                <wps:cNvPr id="368" name="直接箭头连接符 368"/>
                                <wps:cNvCnPr>
                                  <a:stCxn id="174" idx="3"/>
                                  <a:endCxn id="177" idx="1"/>
                                </wps:cNvCnPr>
                                <wps:spPr>
                                  <a:xfrm>
                                    <a:off x="3462" y="2488646"/>
                                    <a:ext cx="526" cy="310"/>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69" name="直接箭头连接符 369"/>
                                <wps:cNvCnPr>
                                  <a:stCxn id="174" idx="3"/>
                                  <a:endCxn id="175" idx="1"/>
                                </wps:cNvCnPr>
                                <wps:spPr>
                                  <a:xfrm flipV="1">
                                    <a:off x="3462" y="2488171"/>
                                    <a:ext cx="530" cy="475"/>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70" name="直接箭头连接符 370"/>
                                <wps:cNvCnPr>
                                  <a:stCxn id="174" idx="3"/>
                                  <a:endCxn id="199" idx="1"/>
                                </wps:cNvCnPr>
                                <wps:spPr>
                                  <a:xfrm>
                                    <a:off x="3462" y="2488646"/>
                                    <a:ext cx="524" cy="1087"/>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g:grpSp>
                              <wpg:cNvPr id="413" name="组合 413"/>
                              <wpg:cNvGrpSpPr/>
                              <wpg:grpSpPr>
                                <a:xfrm>
                                  <a:off x="8180" y="2482254"/>
                                  <a:ext cx="3131" cy="7967"/>
                                  <a:chOff x="8180" y="2482254"/>
                                  <a:chExt cx="3131" cy="7967"/>
                                </a:xfrm>
                                <a:effectLst/>
                              </wpg:grpSpPr>
                              <wps:wsp>
                                <wps:cNvPr id="378" name="直接箭头连接符 378"/>
                                <wps:cNvCnPr>
                                  <a:stCxn id="202" idx="3"/>
                                  <a:endCxn id="371" idx="1"/>
                                </wps:cNvCnPr>
                                <wps:spPr>
                                  <a:xfrm>
                                    <a:off x="10171" y="2482676"/>
                                    <a:ext cx="1105" cy="12"/>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79" name="直接箭头连接符 379"/>
                                <wps:cNvCnPr>
                                  <a:stCxn id="201" idx="3"/>
                                  <a:endCxn id="372" idx="1"/>
                                </wps:cNvCnPr>
                                <wps:spPr>
                                  <a:xfrm>
                                    <a:off x="8263" y="2483429"/>
                                    <a:ext cx="3017" cy="18"/>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80" name="直接箭头连接符 380"/>
                                <wps:cNvCnPr>
                                  <a:stCxn id="345" idx="3"/>
                                </wps:cNvCnPr>
                                <wps:spPr>
                                  <a:xfrm>
                                    <a:off x="8272" y="2484203"/>
                                    <a:ext cx="2908" cy="4"/>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82" name="直接箭头连接符 382"/>
                                <wps:cNvCnPr>
                                  <a:stCxn id="346" idx="3"/>
                                </wps:cNvCnPr>
                                <wps:spPr>
                                  <a:xfrm>
                                    <a:off x="8524" y="2484964"/>
                                    <a:ext cx="2563" cy="6"/>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83" name="直接箭头连接符 383"/>
                                <wps:cNvCnPr/>
                                <wps:spPr>
                                  <a:xfrm>
                                    <a:off x="8180" y="2485738"/>
                                    <a:ext cx="3131" cy="22"/>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92" name="直接箭头连接符 392"/>
                                <wps:cNvCnPr>
                                  <a:stCxn id="348" idx="3"/>
                                </wps:cNvCnPr>
                                <wps:spPr>
                                  <a:xfrm flipV="1">
                                    <a:off x="9781" y="2486908"/>
                                    <a:ext cx="1428" cy="8"/>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93" name="直接箭头连接符 393"/>
                                <wps:cNvCnPr>
                                  <a:stCxn id="349" idx="3"/>
                                </wps:cNvCnPr>
                                <wps:spPr>
                                  <a:xfrm>
                                    <a:off x="8240" y="2487833"/>
                                    <a:ext cx="3057" cy="23"/>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95" name="直接箭头连接符 395"/>
                                <wps:cNvCnPr>
                                  <a:stCxn id="347" idx="3"/>
                                  <a:endCxn id="389" idx="1"/>
                                </wps:cNvCnPr>
                                <wps:spPr>
                                  <a:xfrm flipV="1">
                                    <a:off x="8257" y="2488693"/>
                                    <a:ext cx="3014" cy="18"/>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96" name="直接箭头连接符 396"/>
                                <wps:cNvCnPr>
                                  <a:stCxn id="351" idx="3"/>
                                  <a:endCxn id="390" idx="1"/>
                                </wps:cNvCnPr>
                                <wps:spPr>
                                  <a:xfrm flipV="1">
                                    <a:off x="8316" y="2489396"/>
                                    <a:ext cx="2970" cy="2"/>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98" name="直接连接符 398"/>
                                <wps:cNvCnPr/>
                                <wps:spPr>
                                  <a:xfrm>
                                    <a:off x="10610" y="2482254"/>
                                    <a:ext cx="12" cy="7967"/>
                                  </a:xfrm>
                                  <a:prstGeom prst="line">
                                    <a:avLst/>
                                  </a:prstGeom>
                                  <a:noFill/>
                                  <a:ln w="12700" cap="flat" cmpd="sng" algn="ctr">
                                    <a:solidFill>
                                      <a:srgbClr val="000000"/>
                                    </a:solidFill>
                                    <a:prstDash val="sysDash"/>
                                    <a:miter lim="800000"/>
                                  </a:ln>
                                  <a:effectLst/>
                                </wps:spPr>
                                <wps:bodyPr/>
                              </wps:wsp>
                            </wpg:grpSp>
                            <wpg:grpSp>
                              <wpg:cNvPr id="411" name="组合 411"/>
                              <wpg:cNvGrpSpPr/>
                              <wpg:grpSpPr>
                                <a:xfrm>
                                  <a:off x="5860" y="2482226"/>
                                  <a:ext cx="889" cy="7967"/>
                                  <a:chOff x="5860" y="2482226"/>
                                  <a:chExt cx="889" cy="7967"/>
                                </a:xfrm>
                                <a:effectLst/>
                              </wpg:grpSpPr>
                              <wps:wsp>
                                <wps:cNvPr id="397" name="直接连接符 397"/>
                                <wps:cNvCnPr/>
                                <wps:spPr>
                                  <a:xfrm>
                                    <a:off x="6287" y="2482226"/>
                                    <a:ext cx="12" cy="7967"/>
                                  </a:xfrm>
                                  <a:prstGeom prst="line">
                                    <a:avLst/>
                                  </a:prstGeom>
                                  <a:noFill/>
                                  <a:ln w="12700" cap="flat" cmpd="sng" algn="ctr">
                                    <a:solidFill>
                                      <a:srgbClr val="000000"/>
                                    </a:solidFill>
                                    <a:prstDash val="sysDash"/>
                                    <a:miter lim="800000"/>
                                  </a:ln>
                                  <a:effectLst/>
                                </wps:spPr>
                                <wps:bodyPr/>
                              </wps:wsp>
                              <wps:wsp>
                                <wps:cNvPr id="400" name="右箭头 400"/>
                                <wps:cNvSpPr/>
                                <wps:spPr>
                                  <a:xfrm>
                                    <a:off x="5862" y="2483129"/>
                                    <a:ext cx="838" cy="30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01" name="右箭头 401"/>
                                <wps:cNvSpPr/>
                                <wps:spPr>
                                  <a:xfrm>
                                    <a:off x="5863" y="2488519"/>
                                    <a:ext cx="838" cy="30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02" name="右箭头 402"/>
                                <wps:cNvSpPr/>
                                <wps:spPr>
                                  <a:xfrm>
                                    <a:off x="5860" y="2486759"/>
                                    <a:ext cx="838" cy="30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03" name="右箭头 403"/>
                                <wps:cNvSpPr/>
                                <wps:spPr>
                                  <a:xfrm>
                                    <a:off x="5911" y="2484811"/>
                                    <a:ext cx="838" cy="30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415" name="组合 415"/>
                              <wpg:cNvGrpSpPr/>
                              <wpg:grpSpPr>
                                <a:xfrm>
                                  <a:off x="3307" y="2481710"/>
                                  <a:ext cx="10422" cy="432"/>
                                  <a:chOff x="3307" y="2481710"/>
                                  <a:chExt cx="10422" cy="432"/>
                                </a:xfrm>
                                <a:effectLst/>
                              </wpg:grpSpPr>
                              <wps:wsp>
                                <wps:cNvPr id="404" name="文本框 404"/>
                                <wps:cNvSpPr txBox="1"/>
                                <wps:spPr>
                                  <a:xfrm>
                                    <a:off x="3307" y="2481727"/>
                                    <a:ext cx="1221" cy="415"/>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5" name="文本框 405"/>
                                <wps:cNvSpPr txBox="1"/>
                                <wps:spPr>
                                  <a:xfrm>
                                    <a:off x="7967" y="2481710"/>
                                    <a:ext cx="1221" cy="415"/>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产污环节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6" name="文本框 406"/>
                                <wps:cNvSpPr txBox="1"/>
                                <wps:spPr>
                                  <a:xfrm>
                                    <a:off x="11291" y="2481710"/>
                                    <a:ext cx="2438" cy="415"/>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污染物处置措施及去向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416" name="矩形 416"/>
                          <wps:cNvSpPr/>
                          <wps:spPr>
                            <a:xfrm>
                              <a:off x="1612" y="2481600"/>
                              <a:ext cx="14138" cy="8831"/>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20" name="文本框 420"/>
                        <wps:cNvSpPr txBox="1"/>
                        <wps:spPr>
                          <a:xfrm>
                            <a:off x="1614" y="2490448"/>
                            <a:ext cx="14173" cy="463"/>
                          </a:xfrm>
                          <a:prstGeom prst="rect">
                            <a:avLst/>
                          </a:prstGeom>
                          <a:noFill/>
                          <a:ln w="6350">
                            <a:noFill/>
                          </a:ln>
                          <a:effectLst/>
                        </wps:spPr>
                        <wps:txbx>
                          <w:txbxContent>
                            <w:p>
                              <w:pPr>
                                <w:widowControl/>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lang w:bidi="ar"/>
                                </w:rPr>
                                <w:t>图3.7-</w:t>
                              </w:r>
                              <w:r>
                                <w:rPr>
                                  <w:rFonts w:hint="eastAsia" w:ascii="Times New Roman" w:hAnsi="Times New Roman" w:eastAsia="宋体" w:cs="Times New Roman"/>
                                  <w:b/>
                                  <w:bCs/>
                                  <w:color w:val="000000"/>
                                  <w:kern w:val="0"/>
                                  <w:szCs w:val="21"/>
                                  <w:lang w:val="en-US" w:eastAsia="zh-CN" w:bidi="ar"/>
                                </w:rPr>
                                <w:t>6</w:t>
                              </w:r>
                              <w:r>
                                <w:rPr>
                                  <w:rFonts w:ascii="Times New Roman" w:hAnsi="Times New Roman" w:eastAsia="宋体" w:cs="Times New Roman"/>
                                  <w:b/>
                                  <w:bCs/>
                                  <w:color w:val="000000"/>
                                  <w:kern w:val="0"/>
                                  <w:szCs w:val="21"/>
                                  <w:lang w:bidi="ar"/>
                                </w:rPr>
                                <w:t xml:space="preserve">  施工期主要工艺流程及产污环节示意图</w:t>
                              </w:r>
                            </w:p>
                            <w:p>
                              <w:pPr>
                                <w:jc w:val="center"/>
                                <w:rPr>
                                  <w:rFonts w:ascii="Times New Roman" w:hAnsi="Times New Roman" w:eastAsia="宋体" w:cs="Times New Roman"/>
                                  <w:b/>
                                  <w:bCs/>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5pt;margin-top:-15.05pt;height:465.55pt;width:708.75pt;z-index:251665408;mso-width-relative:page;mso-height-relative:page;" coordorigin="1612,2481600" coordsize="14175,9311" o:gfxdata="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">
                <o:lock v:ext="edit" aspectratio="f"/>
                <v:group id="_x0000_s1026" o:spid="_x0000_s1026" o:spt="203" style="position:absolute;left:1612;top:2481600;height:8831;width:14138;" coordorigin="1612,2481600" coordsize="14138,8831"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789;top:2481710;height:8511;width:13839;" coordorigin="1789,2481710" coordsize="13839,8511" o:gfxdata="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W6SO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11165;top:2482463;height:7300;width:4463;" coordorigin="11165,2482463" coordsize="4463,7300"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1276;top:2482463;height:450;width:2307;" filled="f" stroked="f" coordsize="21600,21600" o:gfxdata="UEsDBAoAAAAAAIdO4kAAAAAAAAAAAAAAAAAEAAAAZHJzL1BLAwQUAAAACACHTuJANUS1icEAAADc&#10;AAAADwAAAGRycy9kb3ducmV2LnhtbEWPT2vCQBTE74V+h+UVequbWGwl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US1&#10;i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无组织排入大气环境</w:t>
                              </w:r>
                            </w:p>
                          </w:txbxContent>
                        </v:textbox>
                      </v:shape>
                      <v:shape id="_x0000_s1026" o:spid="_x0000_s1026" o:spt="202" type="#_x0000_t202" style="position:absolute;left:11280;top:2483228;height:438;width:1433;" filled="f" stroked="f" coordsize="21600,21600" o:gfxdata="UEsDBAoAAAAAAIdO4kAAAAAAAAAAAAAAAAAEAAAAZHJzL1BLAwQUAAAACACHTuJAxZYr/r8AAADc&#10;AAAADwAAAGRycy9kb3ducmV2LnhtbEWPT4vCMBTE78J+h/AW9qapFV2p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WK/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周围环境</w:t>
                              </w:r>
                            </w:p>
                          </w:txbxContent>
                        </v:textbox>
                      </v:shape>
                      <v:shape id="_x0000_s1026" o:spid="_x0000_s1026" o:spt="202" type="#_x0000_t202" style="position:absolute;left:11165;top:2483947;height:497;width:4463;" filled="f" stroked="f" coordsize="21600,21600" o:gfxdata="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qO&#10;Z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进入泥浆不落地系统处理后，循环利用不外排</w:t>
                              </w:r>
                            </w:p>
                          </w:txbxContent>
                        </v:textbox>
                      </v:shape>
                      <v:shape id="_x0000_s1026" o:spid="_x0000_s1026" o:spt="202" type="#_x0000_t202" style="position:absolute;left:11203;top:2484724;height:461;width:3257;" filled="f" stroked="f" coordsize="21600,21600" o:gfxdata="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z&#10;i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沉淀后用于施工现场洒水降尘</w:t>
                              </w:r>
                            </w:p>
                          </w:txbxContent>
                        </v:textbox>
                      </v:shape>
                      <v:shape id="_x0000_s1026" o:spid="_x0000_s1026" o:spt="202" type="#_x0000_t202" style="position:absolute;left:11336;top:2485554;height:462;width:4118;" filled="f" stroked="f" coordsize="21600,21600" o:gfxdata="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rS3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ascii="Times New Roman" w:hAnsi="Times New Roman"/>
                                  <w:color w:val="000000" w:themeColor="text1"/>
                                  <w14:textFill>
                                    <w14:solidFill>
                                      <w14:schemeClr w14:val="tx1"/>
                                    </w14:solidFill>
                                  </w14:textFill>
                                </w:rPr>
                                <w:t>岩屑</w:t>
                              </w:r>
                              <w:r>
                                <w:rPr>
                                  <w:rFonts w:ascii="Times New Roman" w:hAnsi="Times New Roman"/>
                                  <w:color w:val="000000" w:themeColor="text1"/>
                                  <w14:textFill>
                                    <w14:solidFill>
                                      <w14:schemeClr w14:val="tx1"/>
                                    </w14:solidFill>
                                  </w14:textFill>
                                </w:rPr>
                                <w:t>委托</w:t>
                              </w:r>
                              <w:r>
                                <w:rPr>
                                  <w:rFonts w:hint="eastAsia" w:ascii="Times New Roman" w:hAnsi="Times New Roman"/>
                                  <w:color w:val="000000" w:themeColor="text1"/>
                                  <w:lang w:val="en-US" w:eastAsia="zh-CN"/>
                                  <w14:textFill>
                                    <w14:solidFill>
                                      <w14:schemeClr w14:val="tx1"/>
                                    </w14:solidFill>
                                  </w14:textFill>
                                </w:rPr>
                                <w:t>岩屑处置单位</w:t>
                              </w:r>
                              <w:r>
                                <w:rPr>
                                  <w:rFonts w:ascii="Times New Roman" w:hAnsi="Times New Roman"/>
                                  <w:color w:val="000000" w:themeColor="text1"/>
                                  <w14:textFill>
                                    <w14:solidFill>
                                      <w14:schemeClr w14:val="tx1"/>
                                    </w14:solidFill>
                                  </w14:textFill>
                                </w:rPr>
                                <w:t>合规处置</w:t>
                              </w:r>
                            </w:p>
                          </w:txbxContent>
                        </v:textbox>
                      </v:shape>
                      <v:shape id="_x0000_s1026" o:spid="_x0000_s1026" o:spt="202" type="#_x0000_t202" style="position:absolute;left:11272;top:2486712;height:448;width:3519;" filled="f" stroked="f" coordsize="21600,21600" o:gfxdata="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3hd&#10;2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cs="Times New Roman"/>
                                  <w:color w:val="000000" w:themeColor="text1"/>
                                  <w:lang w:val="en-GB"/>
                                  <w14:textFill>
                                    <w14:solidFill>
                                      <w14:schemeClr w14:val="tx1"/>
                                    </w14:solidFill>
                                  </w14:textFill>
                                </w:rPr>
                                <w:t>收集后委托有资质的单位进行处置</w:t>
                              </w:r>
                            </w:p>
                          </w:txbxContent>
                        </v:textbox>
                      </v:shape>
                      <v:shape id="_x0000_s1026" o:spid="_x0000_s1026" o:spt="202" type="#_x0000_t202" style="position:absolute;left:11294;top:2487606;height:448;width:1969;" filled="f" stroked="f" coordsize="21600,21600" o:gfxdata="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Ph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cs="Times New Roman"/>
                                  <w:color w:val="000000" w:themeColor="text1"/>
                                  <w:lang w:val="en-GB"/>
                                  <w14:textFill>
                                    <w14:solidFill>
                                      <w14:schemeClr w14:val="tx1"/>
                                    </w14:solidFill>
                                  </w14:textFill>
                                </w:rPr>
                                <w:t>回填管沟、管廊</w:t>
                              </w:r>
                            </w:p>
                          </w:txbxContent>
                        </v:textbox>
                      </v:shape>
                      <v:shape id="_x0000_s1026" o:spid="_x0000_s1026" o:spt="202" type="#_x0000_t202" style="position:absolute;left:11271;top:2488319;height:747;width:3291;" filled="f" stroked="f" coordsize="21600,21600" o:gfxdata="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8m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cs="Times New Roman"/>
                                  <w:color w:val="000000" w:themeColor="text1"/>
                                  <w:lang w:val="en-GB"/>
                                  <w14:textFill>
                                    <w14:solidFill>
                                      <w14:schemeClr w14:val="tx1"/>
                                    </w14:solidFill>
                                  </w14:textFill>
                                </w:rPr>
                                <w:t>由施工单位统一收集后拉运至</w:t>
                              </w:r>
                              <w:r>
                                <w:rPr>
                                  <w:rFonts w:hint="eastAsia" w:ascii="Times New Roman" w:hAnsi="Times New Roman" w:eastAsia="宋体" w:cs="Times New Roman"/>
                                  <w:color w:val="000000" w:themeColor="text1"/>
                                  <w:lang w:val="en-US" w:eastAsia="zh-CN"/>
                                  <w14:textFill>
                                    <w14:solidFill>
                                      <w14:schemeClr w14:val="tx1"/>
                                    </w14:solidFill>
                                  </w14:textFill>
                                </w:rPr>
                                <w:t>陆梁油田</w:t>
                              </w:r>
                              <w:r>
                                <w:rPr>
                                  <w:rFonts w:cs="Times New Roman"/>
                                  <w:color w:val="000000" w:themeColor="text1"/>
                                  <w:lang w:val="en-GB"/>
                                  <w14:textFill>
                                    <w14:solidFill>
                                      <w14:schemeClr w14:val="tx1"/>
                                    </w14:solidFill>
                                  </w14:textFill>
                                </w:rPr>
                                <w:t>生活垃圾填埋场处置</w:t>
                              </w:r>
                            </w:p>
                          </w:txbxContent>
                        </v:textbox>
                      </v:shape>
                      <v:shape id="_x0000_s1026" o:spid="_x0000_s1026" o:spt="202" type="#_x0000_t202" style="position:absolute;left:11286;top:2489028;height:735;width:3304;" filled="f" stroked="f" coordsize="21600,21600" o:gfxdata="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T26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r>
                                <w:rPr>
                                  <w:rFonts w:ascii="Times New Roman" w:hAnsi="Times New Roman" w:cs="Times New Roman"/>
                                  <w:color w:val="000000" w:themeColor="text1"/>
                                  <w:szCs w:val="21"/>
                                  <w:lang w:val="en-GB"/>
                                  <w14:textFill>
                                    <w14:solidFill>
                                      <w14:schemeClr w14:val="tx1"/>
                                    </w14:solidFill>
                                  </w14:textFill>
                                </w:rPr>
                                <w:t>施工废包装材料尽量回收利用，建筑垃圾由施工单位清运</w:t>
                              </w:r>
                              <w:r>
                                <w:rPr>
                                  <w:rFonts w:cs="Times New Roman"/>
                                  <w:color w:val="000000" w:themeColor="text1"/>
                                  <w:lang w:val="en-GB"/>
                                  <w14:textFill>
                                    <w14:solidFill>
                                      <w14:schemeClr w14:val="tx1"/>
                                    </w14:solidFill>
                                  </w14:textFill>
                                </w:rPr>
                                <w:t>场处置</w:t>
                              </w:r>
                            </w:p>
                          </w:txbxContent>
                        </v:textbox>
                      </v:shape>
                    </v:group>
                    <v:group id="_x0000_s1026" o:spid="_x0000_s1026" o:spt="203" style="position:absolute;left:1789;top:2481710;height:8511;width:11940;" coordorigin="1789,2481710" coordsize="11940,8511"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908;top:2482295;height:7321;width:3251;" coordorigin="6908,2482295" coordsize="3251,7321"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065;top:2483210;height:437;width:1198;" fillcolor="#FFFFFF" filled="t" stroked="t" coordsize="21600,21600" o:gfxdata="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7q5vQAA&#10;ANwAAAAPAAAAAAAAAAEAIAAAACIAAABkcnMvZG93bnJldi54bWxQSwECFAAUAAAACACHTuJAMy8F&#10;njsAAAA5AAAAEAAAAAAAAAABACAAAAAMAQAAZHJzL3NoYXBleG1sLnhtbFBLBQYAAAAABgAGAFsB&#10;AAC2AwAAAAA=&#10;">
                          <v:fill on="t" focussize="0,0"/>
                          <v:stroke weight="0.5pt" color="#000000" joinstyle="round" dashstyle="1 1"/>
                          <v:imagedata o:title=""/>
                          <o:lock v:ext="edit" aspectratio="f"/>
                          <v:textbox>
                            <w:txbxContent>
                              <w:p>
                                <w:r>
                                  <w:rPr>
                                    <w:rFonts w:hint="eastAsia"/>
                                  </w:rPr>
                                  <w:t>施工噪声</w:t>
                                </w:r>
                              </w:p>
                            </w:txbxContent>
                          </v:textbox>
                        </v:shape>
                        <v:shape id="_x0000_s1026" o:spid="_x0000_s1026" o:spt="202" type="#_x0000_t202" style="position:absolute;left:7063;top:2482295;height:761;width:3096;" fillcolor="#FFFFFF" filled="t" stroked="t" coordsize="21600,21600" o:gfxdata="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2STOvQAA&#10;ANwAAAAPAAAAAAAAAAEAIAAAACIAAABkcnMvZG93bnJldi54bWxQSwECFAAUAAAACACHTuJAMy8F&#10;njsAAAA5AAAAEAAAAAAAAAABACAAAAAMAQAAZHJzL3NoYXBleG1sLnhtbFBLBQYAAAAABgAGAFsB&#10;AAC2AwAAAAA=&#10;">
                          <v:fill on="t" focussize="0,0"/>
                          <v:stroke weight="0.5pt" color="#000000" joinstyle="round" dashstyle="1 1"/>
                          <v:imagedata o:title=""/>
                          <o:lock v:ext="edit" aspectratio="f"/>
                          <v:textbox>
                            <w:txbxContent>
                              <w:p>
                                <w:r>
                                  <w:rPr>
                                    <w:rFonts w:hint="eastAsia"/>
                                  </w:rPr>
                                  <w:t>施工扬尘、施工车辆废气、柴油发电机排放废气</w:t>
                                </w:r>
                              </w:p>
                              <w:p/>
                            </w:txbxContent>
                          </v:textbox>
                        </v:shape>
                        <v:shape id="_x0000_s1026" o:spid="_x0000_s1026" o:spt="202" type="#_x0000_t202" style="position:absolute;left:7110;top:2485511;height:437;width:1057;" fillcolor="#FFFFFF" filled="t" stroked="t" coordsize="21600,21600" o:gfxdata="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8GSG8AAAA&#10;3AAAAA8AAAAAAAAAAQAgAAAAIgAAAGRycy9kb3ducmV2LnhtbFBLAQIUABQAAAAIAIdO4kAzLwWe&#10;OwAAADkAAAAQAAAAAAAAAAEAIAAAAAsBAABkcnMvc2hhcGV4bWwueG1sUEsFBgAAAAAGAAYAWwEA&#10;ALUDAAAAAA==&#10;">
                          <v:fill on="t" focussize="0,0"/>
                          <v:stroke weight="0.5pt" color="#000000" joinstyle="round" dashstyle="1 1"/>
                          <v:imagedata o:title=""/>
                          <o:lock v:ext="edit" aspectratio="f"/>
                          <v:textbox>
                            <w:txbxContent>
                              <w:p>
                                <w:pPr>
                                  <w:jc w:val="center"/>
                                </w:pPr>
                                <w:r>
                                  <w:rPr>
                                    <w:rFonts w:hint="eastAsia"/>
                                  </w:rPr>
                                  <w:t>岩屑</w:t>
                                </w:r>
                              </w:p>
                            </w:txbxContent>
                          </v:textbox>
                        </v:shape>
                        <v:shape id="_x0000_s1026" o:spid="_x0000_s1026" o:spt="202" type="#_x0000_t202" style="position:absolute;left:7073;top:2483984;height:437;width:1199;" fillcolor="#FFFFFF" filled="t" stroked="t" coordsize="21600,21600" o:gfxdata="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wrnvQAA&#10;ANwAAAAPAAAAAAAAAAEAIAAAACIAAABkcnMvZG93bnJldi54bWxQSwECFAAUAAAACACHTuJAMy8F&#10;njsAAAA5AAAAEAAAAAAAAAABACAAAAAMAQAAZHJzL3NoYXBleG1sLnhtbFBLBQYAAAAABgAGAFsB&#10;AAC2AwAAAAA=&#10;">
                          <v:fill on="t" focussize="0,0"/>
                          <v:stroke weight="0.5pt" color="#000000" joinstyle="round" dashstyle="1 1"/>
                          <v:imagedata o:title=""/>
                          <o:lock v:ext="edit" aspectratio="f"/>
                          <v:textbox>
                            <w:txbxContent>
                              <w:p>
                                <w:r>
                                  <w:rPr>
                                    <w:rFonts w:hint="eastAsia"/>
                                  </w:rPr>
                                  <w:t>钻井废水</w:t>
                                </w:r>
                              </w:p>
                            </w:txbxContent>
                          </v:textbox>
                        </v:shape>
                        <v:shape id="_x0000_s1026" o:spid="_x0000_s1026" o:spt="202" type="#_x0000_t202" style="position:absolute;left:6946;top:2484745;height:437;width:1597;" fillcolor="#FFFFFF" filled="t" stroked="t" coordsize="21600,21600" o:gfxdata="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mUkL4A&#10;AADcAAAADwAAAAAAAAABACAAAAAiAAAAZHJzL2Rvd25yZXYueG1sUEsBAhQAFAAAAAgAh07iQDMv&#10;BZ47AAAAOQAAABAAAAAAAAAAAQAgAAAADQEAAGRycy9zaGFwZXhtbC54bWxQSwUGAAAAAAYABgBb&#10;AQAAtwMAAAAA&#10;">
                          <v:fill on="t" focussize="0,0"/>
                          <v:stroke weight="0.5pt" color="#000000" joinstyle="round" dashstyle="1 1"/>
                          <v:imagedata o:title=""/>
                          <o:lock v:ext="edit" aspectratio="f"/>
                          <v:textbox>
                            <w:txbxContent>
                              <w:p>
                                <w:r>
                                  <w:rPr>
                                    <w:rFonts w:hint="eastAsia"/>
                                  </w:rPr>
                                  <w:t>管线试压废水</w:t>
                                </w:r>
                              </w:p>
                            </w:txbxContent>
                          </v:textbox>
                        </v:shape>
                        <v:shape id="_x0000_s1026" o:spid="_x0000_s1026" o:spt="202" type="#_x0000_t202" style="position:absolute;left:7010;top:2488492;height:437;width:1247;" fillcolor="#FFFFFF" filled="t" stroked="t" coordsize="21600,21600" o:gfxdata="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TELvQAA&#10;ANwAAAAPAAAAAAAAAAEAIAAAACIAAABkcnMvZG93bnJldi54bWxQSwECFAAUAAAACACHTuJAMy8F&#10;njsAAAA5AAAAEAAAAAAAAAABACAAAAAMAQAAZHJzL3NoYXBleG1sLnhtbFBLBQYAAAAABgAGAFsB&#10;AAC2AwAAAAA=&#10;">
                          <v:fill on="t" focussize="0,0"/>
                          <v:stroke weight="0.5pt" color="#000000" joinstyle="round" dashstyle="1 1"/>
                          <v:imagedata o:title=""/>
                          <o:lock v:ext="edit" aspectratio="f"/>
                          <v:textbox>
                            <w:txbxContent>
                              <w:p>
                                <w:r>
                                  <w:rPr>
                                    <w:rFonts w:hint="eastAsia"/>
                                  </w:rPr>
                                  <w:t>生活垃圾</w:t>
                                </w:r>
                              </w:p>
                            </w:txbxContent>
                          </v:textbox>
                        </v:shape>
                        <v:shape id="_x0000_s1026" o:spid="_x0000_s1026" o:spt="202" type="#_x0000_t202" style="position:absolute;left:6908;top:2486697;height:437;width:2869;" fillcolor="#FFFFFF" filled="t" stroked="t" coordsize="21600,21600" o:gfxdata="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uqV5ugAAANwA&#10;AAAPAAAAAAAAAAEAIAAAACIAAABkcnMvZG93bnJldi54bWxQSwECFAAUAAAACACHTuJAMy8FnjsA&#10;AAA5AAAAEAAAAAAAAAABACAAAAAJAQAAZHJzL3NoYXBleG1sLnhtbFBLBQYAAAAABgAGAFsBAACz&#10;AwAAAAA=&#10;">
                          <v:fill on="t" focussize="0,0"/>
                          <v:stroke weight="0.5pt" color="#000000" joinstyle="round" dashstyle="1 1"/>
                          <v:imagedata o:title=""/>
                          <o:lock v:ext="edit" aspectratio="f"/>
                          <v:textbox>
                            <w:txbxContent>
                              <w:p>
                                <w:r>
                                  <w:rPr>
                                    <w:rFonts w:hint="eastAsia"/>
                                  </w:rPr>
                                  <w:t>机械设备废油、废弃防渗膜</w:t>
                                </w:r>
                              </w:p>
                              <w:p/>
                            </w:txbxContent>
                          </v:textbox>
                        </v:shape>
                        <v:shape id="_x0000_s1026" o:spid="_x0000_s1026" o:spt="202" type="#_x0000_t202" style="position:absolute;left:7067;top:2487614;height:437;width:1173;" fillcolor="#FFFFFF" filled="t" stroked="t" coordsize="21600,21600" o:gfxdata="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9gDivQAA&#10;ANwAAAAPAAAAAAAAAAEAIAAAACIAAABkcnMvZG93bnJldi54bWxQSwECFAAUAAAACACHTuJAMy8F&#10;njsAAAA5AAAAEAAAAAAAAAABACAAAAAMAQAAZHJzL3NoYXBleG1sLnhtbFBLBQYAAAAABgAGAFsB&#10;AAC2AwAAAAA=&#10;">
                          <v:fill on="t" focussize="0,0"/>
                          <v:stroke weight="0.5pt" color="#000000" joinstyle="round" dashstyle="1 1"/>
                          <v:imagedata o:title=""/>
                          <o:lock v:ext="edit" aspectratio="f"/>
                          <v:textbox>
                            <w:txbxContent>
                              <w:p>
                                <w:r>
                                  <w:rPr>
                                    <w:rFonts w:hint="eastAsia"/>
                                  </w:rPr>
                                  <w:t>施工土方</w:t>
                                </w:r>
                              </w:p>
                            </w:txbxContent>
                          </v:textbox>
                        </v:shape>
                        <v:shape id="_x0000_s1026" o:spid="_x0000_s1026" o:spt="202" type="#_x0000_t202" style="position:absolute;left:7006;top:2489179;height:437;width:1310;" fillcolor="#FFFFFF" filled="t" stroked="t" coordsize="21600,21600" o:gfxdata="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Zo5vQAA&#10;ANwAAAAPAAAAAAAAAAEAIAAAACIAAABkcnMvZG93bnJldi54bWxQSwECFAAUAAAACACHTuJAMy8F&#10;njsAAAA5AAAAEAAAAAAAAAABACAAAAAMAQAAZHJzL3NoYXBleG1sLnhtbFBLBQYAAAAABgAGAFsB&#10;AAC2AwAAAAA=&#10;">
                          <v:fill on="t" focussize="0,0"/>
                          <v:stroke weight="0.5pt" color="#000000" joinstyle="round" dashstyle="1 1"/>
                          <v:imagedata o:title=""/>
                          <o:lock v:ext="edit" aspectratio="f"/>
                          <v:textbox>
                            <w:txbxContent>
                              <w:p>
                                <w:r>
                                  <w:rPr>
                                    <w:rFonts w:hint="eastAsia"/>
                                  </w:rPr>
                                  <w:t>建筑垃圾</w:t>
                                </w:r>
                              </w:p>
                            </w:txbxContent>
                          </v:textbox>
                        </v:shape>
                      </v:group>
                      <v:group id="_x0000_s1026" o:spid="_x0000_s1026" o:spt="203" style="position:absolute;left:2030;top:2482321;height:1429;width:3716;" coordorigin="2030,2482321" coordsize="3716,1429"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030;top:2482680;height:438;width:1209;" fillcolor="#FFFFFF" filled="t" stroked="t" coordsize="21600,21600" o:gfxdata="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rkMb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钻前准备</w:t>
                                </w:r>
                              </w:p>
                            </w:txbxContent>
                          </v:textbox>
                        </v:shape>
                        <v:shape id="_x0000_s1026" o:spid="_x0000_s1026" o:spt="202" type="#_x0000_t202" style="position:absolute;left:3977;top:2482321;height:438;width:1589;" fillcolor="#FFFFFF" filled="t" stroked="t" coordsize="21600,21600" o:gfxdata="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nN4K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r>
                                  <w:rPr>
                                    <w:rFonts w:hint="eastAsia"/>
                                  </w:rPr>
                                  <w:t>修筑钻井平台</w:t>
                                </w:r>
                              </w:p>
                            </w:txbxContent>
                          </v:textbox>
                        </v:shape>
                        <v:shape id="_x0000_s1026" o:spid="_x0000_s1026" o:spt="202" type="#_x0000_t202" style="position:absolute;left:4105;top:2482831;height:438;width:1152;" fillcolor="#FFFFFF" filled="t" stroked="t" coordsize="21600,21600" o:gfxdata="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f0Bmu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r>
                                  <w:rPr>
                                    <w:rFonts w:hint="eastAsia"/>
                                  </w:rPr>
                                  <w:t>设备进场</w:t>
                                </w:r>
                              </w:p>
                            </w:txbxContent>
                          </v:textbox>
                        </v:shape>
                        <v:shape id="_x0000_s1026" o:spid="_x0000_s1026" o:spt="202" type="#_x0000_t202" style="position:absolute;left:3965;top:2483312;height:438;width:1781;" fillcolor="#FFFFFF" filled="t" stroked="t" coordsize="21600,21600" o:gfxdata="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c5K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r>
                                  <w:rPr>
                                    <w:rFonts w:hint="eastAsia"/>
                                  </w:rPr>
                                  <w:t>泥浆不落地系统</w:t>
                                </w:r>
                              </w:p>
                            </w:txbxContent>
                          </v:textbox>
                        </v:shape>
                        <v:shape id="_x0000_s1026" o:spid="_x0000_s1026" o:spt="32" type="#_x0000_t32" style="position:absolute;left:3239;top:2482899;height:151;width:872;" filled="f" stroked="t" coordsize="21600,21600" o:gfxdata="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f2yL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2" type="#_x0000_t32" style="position:absolute;left:3239;top:2482540;flip:y;height:359;width:744;" filled="f" stroked="t" coordsize="21600,21600" o:gfxdata="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AJfL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2" type="#_x0000_t32" style="position:absolute;left:3234;top:2482878;height:653;width:730;" filled="f" stroked="t" coordsize="21600,21600" o:gfxdata="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nNJL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group>
                      <v:group id="_x0000_s1026" o:spid="_x0000_s1026" o:spt="203" style="position:absolute;left:1789;top:2483094;height:6858;width:3976;" coordorigin="1789,2483094" coordsize="3976,6858" o:gfxdata="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LaiI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1899;top:2488427;height:438;width:1563;" fillcolor="#FFFFFF" filled="t" stroked="t" coordsize="21600,21600" o:gfxdata="UEsDBAoAAAAAAIdO4kAAAAAAAAAAAAAAAAAEAAAAZHJzL1BLAwQUAAAACACHTuJAV5ljSLYAAADc&#10;AAAADwAAAGRycy9kb3ducmV2LnhtbEVPSwrCMBDdC94hjOBOUz+o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eZY0i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r>
                                  <w:rPr>
                                    <w:rFonts w:hint="eastAsia"/>
                                  </w:rPr>
                                  <w:t>地面工程建设</w:t>
                                </w:r>
                              </w:p>
                            </w:txbxContent>
                          </v:textbox>
                        </v:shape>
                        <v:shape id="_x0000_s1026" o:spid="_x0000_s1026" o:spt="202" type="#_x0000_t202" style="position:absolute;left:3992;top:2487802;height:738;width:1706;" fillcolor="#FFFFFF" filled="t" stroked="t" coordsize="21600,21600" o:gfxdata="UEsDBAoAAAAAAIdO4kAAAAAAAAAAAAAAAAAEAAAAZHJzL1BLAwQUAAAACACHTuJAONXG07YAAADc&#10;AAAADwAAAGRycy9kb3ducmV2LnhtbEVPSwrCMBDdC94hjOBOUxU/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jVxtO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r>
                                  <w:rPr>
                                    <w:rFonts w:hint="eastAsia"/>
                                    <w:lang w:val="en-US" w:eastAsia="zh-CN"/>
                                  </w:rPr>
                                  <w:t>采油井、注水井</w:t>
                                </w:r>
                                <w:r>
                                  <w:rPr>
                                    <w:rFonts w:hint="eastAsia"/>
                                  </w:rPr>
                                  <w:t>井口设备安装</w:t>
                                </w:r>
                              </w:p>
                            </w:txbxContent>
                          </v:textbox>
                        </v:shape>
                        <v:shape id="_x0000_s1026" o:spid="_x0000_s1026" o:spt="202" type="#_x0000_t202" style="position:absolute;left:3988;top:2488601;height:710;width:1620;" fillcolor="#FFFFFF" filled="t" stroked="t" coordsize="21600,21600" o:gfxdata="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L/T+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r>
                                  <w:rPr>
                                    <w:rFonts w:hint="eastAsia"/>
                                    <w:lang w:val="en-US" w:eastAsia="zh-CN"/>
                                  </w:rPr>
                                  <w:t>输油、注水</w:t>
                                </w:r>
                                <w:r>
                                  <w:rPr>
                                    <w:rFonts w:hint="eastAsia"/>
                                  </w:rPr>
                                  <w:t>管线敷设</w:t>
                                </w:r>
                              </w:p>
                              <w:p/>
                            </w:txbxContent>
                          </v:textbox>
                        </v:shape>
                        <v:shape id="_x0000_s1026" o:spid="_x0000_s1026" o:spt="202" type="#_x0000_t202" style="position:absolute;left:3986;top:2489514;height:438;width:1779;" fillcolor="#FFFFFF" filled="t" stroked="t" coordsize="21600,21600" o:gfxdata="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mUKiy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r>
                                  <w:rPr>
                                    <w:rFonts w:hint="eastAsia"/>
                                  </w:rPr>
                                  <w:t>电力等设施建设</w:t>
                                </w:r>
                              </w:p>
                            </w:txbxContent>
                          </v:textbox>
                        </v:shape>
                        <v:shape id="_x0000_s1026" o:spid="_x0000_s1026" o:spt="32" type="#_x0000_t32" style="position:absolute;left:2626;top:2486982;height:1422;width:9;" filled="f" stroked="t" coordsize="21600,21600" o:gfxdata="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LPHW/&#10;AAAA3A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group id="_x0000_s1026" o:spid="_x0000_s1026" o:spt="203" style="position:absolute;left:1789;top:2483094;height:4626;width:3615;" coordorigin="1789,2483094" coordsize="3615,4626" o:gfxdata="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zpfI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789;top:2486544;height:438;width:1673;" fillcolor="#FFFFFF" filled="t" stroked="t" coordsize="21600,21600" o:gfxdata="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EFaC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储层改造工程</w:t>
                                  </w:r>
                                </w:p>
                              </w:txbxContent>
                            </v:textbox>
                          </v:shape>
                          <v:shape id="_x0000_s1026" o:spid="_x0000_s1026" o:spt="202" type="#_x0000_t202" style="position:absolute;left:3979;top:2486315;height:438;width:746;" fillcolor="#FFFFFF" filled="t" stroked="t" coordsize="21600,21600" o:gfxdata="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lS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r>
                                    <w:rPr>
                                      <w:rFonts w:hint="eastAsia"/>
                                    </w:rPr>
                                    <w:t>射孔</w:t>
                                  </w:r>
                                </w:p>
                              </w:txbxContent>
                            </v:textbox>
                          </v:shape>
                          <v:shape id="_x0000_s1026" o:spid="_x0000_s1026" o:spt="202" type="#_x0000_t202" style="position:absolute;left:3982;top:2486819;height:438;width:746;" fillcolor="#FFFFFF" filled="t" stroked="t" coordsize="21600,21600" o:gfxdata="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zxep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完井</w:t>
                                  </w:r>
                                </w:p>
                              </w:txbxContent>
                            </v:textbox>
                          </v:shape>
                          <v:shape id="_x0000_s1026" o:spid="_x0000_s1026" o:spt="202" type="#_x0000_t202" style="position:absolute;left:3968;top:2487282;height:438;width:746;" fillcolor="#FFFFFF"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试油</w:t>
                                  </w:r>
                                </w:p>
                              </w:txbxContent>
                            </v:textbox>
                          </v:shape>
                          <v:shape id="_x0000_s1026" o:spid="_x0000_s1026" o:spt="32" type="#_x0000_t32" style="position:absolute;left:2613;top:2484855;height:1689;width:13;" filled="f" stroked="t" coordsize="21600,21600" o:gfxdata="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ipAG/&#10;AAAA3A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group id="_x0000_s1026" o:spid="_x0000_s1026" o:spt="203" style="position:absolute;left:2027;top:2483094;height:2664;width:3377;" coordorigin="2027,2483094" coordsize="3377,2664" o:gfxdata="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6CMlO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027;top:2484417;height:438;width:1149;" fillcolor="#FFFFFF" filled="t" stroked="t" coordsize="21600,21600" o:gfxdata="UEsDBAoAAAAAAIdO4kAAAAAAAAAAAAAAAAAEAAAAZHJzL1BLAwQUAAAACACHTuJADFucsLUAAADc&#10;AAAADwAAAGRycy9kb3ducmV2LnhtbEVPvQrCMBDeBd8hnOCmaRVF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Fucs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钻井工程</w:t>
                                    </w:r>
                                  </w:p>
                                </w:txbxContent>
                              </v:textbox>
                            </v:shape>
                            <v:shape id="_x0000_s1026" o:spid="_x0000_s1026" o:spt="202" type="#_x0000_t202" style="position:absolute;left:4042;top:2483821;height:438;width:746;" fillcolor="#FFFFFF" filled="t" stroked="t" coordsize="21600,21600" o:gfxdata="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kCx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一开</w:t>
                                    </w:r>
                                  </w:p>
                                </w:txbxContent>
                              </v:textbox>
                            </v:shape>
                            <v:shape id="_x0000_s1026" o:spid="_x0000_s1026" o:spt="202" type="#_x0000_t202" style="position:absolute;left:4052;top:2484319;height:438;width:746;" fillcolor="#FFFFFF" filled="t" stroked="t" coordsize="21600,21600" o:gfxdata="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d7Oe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二开</w:t>
                                    </w:r>
                                  </w:p>
                                </w:txbxContent>
                              </v:textbox>
                            </v:shape>
                            <v:shape id="_x0000_s1026" o:spid="_x0000_s1026" o:spt="202" type="#_x0000_t202" style="position:absolute;left:4051;top:2484825;height:438;width:746;" fillcolor="#FFFFFF" filled="t" stroked="t" coordsize="21600,21600" o:gfxdata="UEsDBAoAAAAAAIdO4kAAAAAAAAAAAAAAAAAEAAAAZHJzL1BLAwQUAAAACACHTuJAIpJr4rUAAADc&#10;AAAADwAAAGRycy9kb3ducmV2LnhtbEVPvQrCMBDeBd8hnOCmqQpV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Jr4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完井</w:t>
                                    </w:r>
                                  </w:p>
                                </w:txbxContent>
                              </v:textbox>
                            </v:shape>
                            <v:shape id="_x0000_s1026" o:spid="_x0000_s1026" o:spt="202" type="#_x0000_t202" style="position:absolute;left:4037;top:2485320;height:438;width:1367;" fillcolor="#FFFFFF" filled="t" stroked="t" coordsize="21600,21600" o:gfxdata="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N/5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r>
                                      <w:rPr>
                                        <w:rFonts w:hint="eastAsia"/>
                                      </w:rPr>
                                      <w:t>测井、固井</w:t>
                                    </w:r>
                                  </w:p>
                                </w:txbxContent>
                              </v:textbox>
                            </v:shape>
                            <v:shape id="_x0000_s1026" o:spid="_x0000_s1026" o:spt="32" type="#_x0000_t32" style="position:absolute;left:2589;top:2483094;flip:x;height:1339;width:7;" filled="f" stroked="t" coordsize="21600,21600" o:gfxdata="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5Vu1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_x0000_s1026" o:spid="_x0000_s1026" o:spt="32" type="#_x0000_t32" style="position:absolute;left:3189;top:2484665;height:874;width:848;" filled="f" stroked="t" coordsize="21600,21600" o:gfxdata="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UHmb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2" type="#_x0000_t32" style="position:absolute;left:3176;top:2484636;height:408;width:870;" filled="f" stroked="t" coordsize="21600,21600" o:gfxdata="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ogK/&#10;AAAA3A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shape id="_x0000_s1026" o:spid="_x0000_s1026" o:spt="32" type="#_x0000_t32" style="position:absolute;left:3176;top:2484538;flip:y;height:98;width:871;" filled="f" stroked="t" coordsize="21600,21600" o:gfxdata="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DWxfugAAANw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_x0000_s1026" o:spid="_x0000_s1026" o:spt="32" type="#_x0000_t32" style="position:absolute;left:3176;top:2484040;flip:y;height:596;width:861;" filled="f" stroked="t" coordsize="21600,21600" o:gfxdata="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JxL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group>
                          <v:shape id="_x0000_s1026" o:spid="_x0000_s1026" o:spt="32" type="#_x0000_t32" style="position:absolute;left:3485;top:2486808;height:693;width:483;" filled="f" stroked="t" coordsize="21600,21600" o:gfxdata="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PDLugAAANw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_x0000_s1026" o:spid="_x0000_s1026" o:spt="32" type="#_x0000_t32" style="position:absolute;left:3462;top:2486763;height:275;width:520;" filled="f" stroked="t" coordsize="21600,21600" o:gfxdata="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BVUL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2" type="#_x0000_t32" style="position:absolute;left:3462;top:2486534;flip:y;height:229;width:517;" filled="f" stroked="t" coordsize="21600,21600" o:gfxdata="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xTST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group>
                        <v:shape id="_x0000_s1026" o:spid="_x0000_s1026" o:spt="32" type="#_x0000_t32" style="position:absolute;left:3462;top:2488646;height:310;width:526;" filled="f" stroked="t" coordsize="21600,21600" o:gfxdata="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6vzNugAAANw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_x0000_s1026" o:spid="_x0000_s1026" o:spt="32" type="#_x0000_t32" style="position:absolute;left:3462;top:2488171;flip:y;height:475;width:530;" filled="f" stroked="t" coordsize="21600,21600" o:gfxdata="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LQN5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_x0000_s1026" o:spid="_x0000_s1026" o:spt="32" type="#_x0000_t32" style="position:absolute;left:3462;top:2488646;height:1087;width:524;" filled="f" stroked="t" coordsize="21600,21600" o:gfxdata="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FZha8AAAA&#10;3A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group>
                      <v:group id="_x0000_s1026" o:spid="_x0000_s1026" o:spt="203" style="position:absolute;left:8180;top:2482254;height:7967;width:3131;" coordorigin="8180,2482254" coordsize="3131,7967" o:gfxdata="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b/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0171;top:2482676;height:12;width:1105;" filled="f" stroked="t" coordsize="21600,21600" o:gfxdata="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poK8AAAA&#10;3AAAAA8AAAAAAAAAAQAgAAAAIgAAAGRycy9kb3ducmV2LnhtbFBLAQIUABQAAAAIAIdO4kAzLwWe&#10;OwAAADkAAAAQAAAAAAAAAAEAIAAAAAsBAABkcnMvc2hhcGV4bWwueG1sUEsFBgAAAAAGAAYAWwEA&#10;ALUDAAAAAA==&#10;">
                          <v:fill on="f" focussize="0,0"/>
                          <v:stroke weight="1pt" color="#000000" miterlimit="8" joinstyle="miter" dashstyle="3 1" endarrow="block"/>
                          <v:imagedata o:title=""/>
                          <o:lock v:ext="edit" aspectratio="f"/>
                        </v:shape>
                        <v:shape id="_x0000_s1026" o:spid="_x0000_s1026" o:spt="32" type="#_x0000_t32" style="position:absolute;left:8263;top:2483429;height:18;width:3017;" filled="f" stroked="t" coordsize="21600,21600" o:gfxdata="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1AMZ&#10;wAAAANwAAAAPAAAAAAAAAAEAIAAAACIAAABkcnMvZG93bnJldi54bWxQSwECFAAUAAAACACHTuJA&#10;My8FnjsAAAA5AAAAEAAAAAAAAAABACAAAAAPAQAAZHJzL3NoYXBleG1sLnhtbFBLBQYAAAAABgAG&#10;AFsBAAC5AwAAAAA=&#10;">
                          <v:fill on="f" focussize="0,0"/>
                          <v:stroke weight="1pt" color="#000000" miterlimit="8" joinstyle="miter" dashstyle="3 1" endarrow="block"/>
                          <v:imagedata o:title=""/>
                          <o:lock v:ext="edit" aspectratio="f"/>
                        </v:shape>
                        <v:shape id="_x0000_s1026" o:spid="_x0000_s1026" o:spt="32" type="#_x0000_t32" style="position:absolute;left:8272;top:2484203;height:4;width:2908;" filled="f" stroked="t" coordsize="21600,21600" o:gfxdata="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9qjvQAA&#10;ANwAAAAPAAAAAAAAAAEAIAAAACIAAABkcnMvZG93bnJldi54bWxQSwECFAAUAAAACACHTuJAMy8F&#10;njsAAAA5AAAAEAAAAAAAAAABACAAAAAMAQAAZHJzL3NoYXBleG1sLnhtbFBLBQYAAAAABgAGAFsB&#10;AAC2AwAAAAA=&#10;">
                          <v:fill on="f" focussize="0,0"/>
                          <v:stroke weight="1pt" color="#000000" miterlimit="8" joinstyle="miter" dashstyle="3 1" endarrow="block"/>
                          <v:imagedata o:title=""/>
                          <o:lock v:ext="edit" aspectratio="f"/>
                        </v:shape>
                        <v:shape id="_x0000_s1026" o:spid="_x0000_s1026" o:spt="32" type="#_x0000_t32" style="position:absolute;left:8524;top:2484964;height:6;width:2563;" filled="f" stroked="t" coordsize="21600,21600" o:gfxdata="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l4U+/&#10;AAAA3AAAAA8AAAAAAAAAAQAgAAAAIgAAAGRycy9kb3ducmV2LnhtbFBLAQIUABQAAAAIAIdO4kAz&#10;LwWeOwAAADkAAAAQAAAAAAAAAAEAIAAAAA4BAABkcnMvc2hhcGV4bWwueG1sUEsFBgAAAAAGAAYA&#10;WwEAALgDAAAAAA==&#10;">
                          <v:fill on="f" focussize="0,0"/>
                          <v:stroke weight="1pt" color="#000000" miterlimit="8" joinstyle="miter" dashstyle="3 1" endarrow="block"/>
                          <v:imagedata o:title=""/>
                          <o:lock v:ext="edit" aspectratio="f"/>
                        </v:shape>
                        <v:shape id="_x0000_s1026" o:spid="_x0000_s1026" o:spt="32" type="#_x0000_t32" style="position:absolute;left:8180;top:2485738;height:22;width:3131;" filled="f" stroked="t" coordsize="21600,21600" o:gfxdata="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pRNS/&#10;AAAA3AAAAA8AAAAAAAAAAQAgAAAAIgAAAGRycy9kb3ducmV2LnhtbFBLAQIUABQAAAAIAIdO4kAz&#10;LwWeOwAAADkAAAAQAAAAAAAAAAEAIAAAAA4BAABkcnMvc2hhcGV4bWwueG1sUEsFBgAAAAAGAAYA&#10;WwEAALgDAAAAAA==&#10;">
                          <v:fill on="f" focussize="0,0"/>
                          <v:stroke weight="1pt" color="#000000" miterlimit="8" joinstyle="miter" dashstyle="3 1" endarrow="block"/>
                          <v:imagedata o:title=""/>
                          <o:lock v:ext="edit" aspectratio="f"/>
                        </v:shape>
                        <v:shape id="_x0000_s1026" o:spid="_x0000_s1026" o:spt="32" type="#_x0000_t32" style="position:absolute;left:9781;top:2486908;flip:y;height:8;width:1428;" filled="f" stroked="t" coordsize="21600,21600" o:gfxdata="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xhMLsAAADc&#10;AAAADwAAAAAAAAABACAAAAAiAAAAZHJzL2Rvd25yZXYueG1sUEsBAhQAFAAAAAgAh07iQDMvBZ47&#10;AAAAOQAAABAAAAAAAAAAAQAgAAAACgEAAGRycy9zaGFwZXhtbC54bWxQSwUGAAAAAAYABgBbAQAA&#10;tAMAAAAA&#10;">
                          <v:fill on="f" focussize="0,0"/>
                          <v:stroke weight="1pt" color="#000000" miterlimit="8" joinstyle="miter" dashstyle="3 1" endarrow="block"/>
                          <v:imagedata o:title=""/>
                          <o:lock v:ext="edit" aspectratio="f"/>
                        </v:shape>
                        <v:shape id="_x0000_s1026" o:spid="_x0000_s1026" o:spt="32" type="#_x0000_t32" style="position:absolute;left:8240;top:2487833;height:23;width:3057;" filled="f" stroked="t" coordsize="21600,21600" o:gfxdata="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MNIJ&#10;wAAAANwAAAAPAAAAAAAAAAEAIAAAACIAAABkcnMvZG93bnJldi54bWxQSwECFAAUAAAACACHTuJA&#10;My8FnjsAAAA5AAAAEAAAAAAAAAABACAAAAAPAQAAZHJzL3NoYXBleG1sLnhtbFBLBQYAAAAABgAG&#10;AFsBAAC5AwAAAAA=&#10;">
                          <v:fill on="f" focussize="0,0"/>
                          <v:stroke weight="1pt" color="#000000" miterlimit="8" joinstyle="miter" dashstyle="3 1" endarrow="block"/>
                          <v:imagedata o:title=""/>
                          <o:lock v:ext="edit" aspectratio="f"/>
                        </v:shape>
                        <v:shape id="_x0000_s1026" o:spid="_x0000_s1026" o:spt="32" type="#_x0000_t32" style="position:absolute;left:8257;top:2488693;flip:y;height:18;width:3014;" filled="f" stroked="t" coordsize="21600,21600" o:gfxdata="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X5RLsAAADc&#10;AAAADwAAAAAAAAABACAAAAAiAAAAZHJzL2Rvd25yZXYueG1sUEsBAhQAFAAAAAgAh07iQDMvBZ47&#10;AAAAOQAAABAAAAAAAAAAAQAgAAAACgEAAGRycy9zaGFwZXhtbC54bWxQSwUGAAAAAAYABgBbAQAA&#10;tAMAAAAA&#10;">
                          <v:fill on="f" focussize="0,0"/>
                          <v:stroke weight="1pt" color="#000000" miterlimit="8" joinstyle="miter" dashstyle="3 1" endarrow="block"/>
                          <v:imagedata o:title=""/>
                          <o:lock v:ext="edit" aspectratio="f"/>
                        </v:shape>
                        <v:shape id="_x0000_s1026" o:spid="_x0000_s1026" o:spt="32" type="#_x0000_t32" style="position:absolute;left:8316;top:2489396;flip:y;height:2;width:2970;" filled="f" stroked="t" coordsize="21600,21600" o:gfxdata="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3ZzO8AAAA&#10;3AAAAA8AAAAAAAAAAQAgAAAAIgAAAGRycy9kb3ducmV2LnhtbFBLAQIUABQAAAAIAIdO4kAzLwWe&#10;OwAAADkAAAAQAAAAAAAAAAEAIAAAAAsBAABkcnMvc2hhcGV4bWwueG1sUEsFBgAAAAAGAAYAWwEA&#10;ALUDAAAAAA==&#10;">
                          <v:fill on="f" focussize="0,0"/>
                          <v:stroke weight="1pt" color="#000000" miterlimit="8" joinstyle="miter" dashstyle="3 1" endarrow="block"/>
                          <v:imagedata o:title=""/>
                          <o:lock v:ext="edit" aspectratio="f"/>
                        </v:shape>
                        <v:line id="_x0000_s1026" o:spid="_x0000_s1026" o:spt="20" style="position:absolute;left:10610;top:2482254;height:7967;width:12;" filled="f" stroked="t" coordsize="21600,21600" o:gfxdata="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fInugAAANwA&#10;AAAPAAAAAAAAAAEAIAAAACIAAABkcnMvZG93bnJldi54bWxQSwECFAAUAAAACACHTuJAMy8FnjsA&#10;AAA5AAAAEAAAAAAAAAABACAAAAAJAQAAZHJzL3NoYXBleG1sLnhtbFBLBQYAAAAABgAGAFsBAACz&#10;AwAAAAA=&#10;">
                          <v:fill on="f" focussize="0,0"/>
                          <v:stroke weight="1pt" color="#000000" miterlimit="8" joinstyle="miter" dashstyle="3 1"/>
                          <v:imagedata o:title=""/>
                          <o:lock v:ext="edit" aspectratio="f"/>
                        </v:line>
                      </v:group>
                      <v:group id="_x0000_s1026" o:spid="_x0000_s1026" o:spt="203" style="position:absolute;left:5860;top:2482226;height:7967;width:889;" coordorigin="5860,2482226" coordsize="889,7967"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line id="_x0000_s1026" o:spid="_x0000_s1026" o:spt="20" style="position:absolute;left:6287;top:2482226;height:7967;width:12;" filled="f" stroked="t" coordsize="21600,21600" o:gfxdata="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mZVvQAA&#10;ANwAAAAPAAAAAAAAAAEAIAAAACIAAABkcnMvZG93bnJldi54bWxQSwECFAAUAAAACACHTuJAMy8F&#10;njsAAAA5AAAAEAAAAAAAAAABACAAAAAMAQAAZHJzL3NoYXBleG1sLnhtbFBLBQYAAAAABgAGAFsB&#10;AAC2AwAAAAA=&#10;">
                          <v:fill on="f" focussize="0,0"/>
                          <v:stroke weight="1pt" color="#000000" miterlimit="8" joinstyle="miter" dashstyle="3 1"/>
                          <v:imagedata o:title=""/>
                          <o:lock v:ext="edit" aspectratio="f"/>
                        </v:line>
                        <v:shape id="_x0000_s1026" o:spid="_x0000_s1026" o:spt="13" type="#_x0000_t13" style="position:absolute;left:5862;top:2483129;height:300;width:838;v-text-anchor:middle;" fillcolor="#000000" filled="t" stroked="t" coordsize="21600,21600" o:gfxdata="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vX1bugAAANwA&#10;AAAPAAAAAAAAAAEAIAAAACIAAABkcnMvZG93bnJldi54bWxQSwECFAAUAAAACACHTuJAMy8FnjsA&#10;AAA5AAAAEAAAAAAAAAABACAAAAAJAQAAZHJzL3NoYXBleG1sLnhtbFBLBQYAAAAABgAGAFsBAACz&#10;AwAAAAA=&#10;" adj="17734,5400">
                          <v:fill on="t" focussize="0,0"/>
                          <v:stroke weight="1pt" color="#000000" miterlimit="8" joinstyle="miter"/>
                          <v:imagedata o:title=""/>
                          <o:lock v:ext="edit" aspectratio="f"/>
                        </v:shape>
                        <v:shape id="_x0000_s1026" o:spid="_x0000_s1026" o:spt="13" type="#_x0000_t13" style="position:absolute;left:5863;top:2488519;height:300;width:838;v-text-anchor:middle;" fillcolor="#000000" filled="t" stroked="t" coordsize="21600,21600" o:gfxdata="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8djAvQAA&#10;ANwAAAAPAAAAAAAAAAEAIAAAACIAAABkcnMvZG93bnJldi54bWxQSwECFAAUAAAACACHTuJAMy8F&#10;njsAAAA5AAAAEAAAAAAAAAABACAAAAAMAQAAZHJzL3NoYXBleG1sLnhtbFBLBQYAAAAABgAGAFsB&#10;AAC2AwAAAAA=&#10;" adj="17734,5400">
                          <v:fill on="t" focussize="0,0"/>
                          <v:stroke weight="1pt" color="#000000" miterlimit="8" joinstyle="miter"/>
                          <v:imagedata o:title=""/>
                          <o:lock v:ext="edit" aspectratio="f"/>
                        </v:shape>
                        <v:shape id="_x0000_s1026" o:spid="_x0000_s1026" o:spt="13" type="#_x0000_t13" style="position:absolute;left:5860;top:2486759;height:300;width:838;v-text-anchor:middle;" fillcolor="#000000" filled="t" stroked="t" coordsize="21600,21600" o:gfxdata="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0a3vQAA&#10;ANwAAAAPAAAAAAAAAAEAIAAAACIAAABkcnMvZG93bnJldi54bWxQSwECFAAUAAAACACHTuJAMy8F&#10;njsAAAA5AAAAEAAAAAAAAAABACAAAAAMAQAAZHJzL3NoYXBleG1sLnhtbFBLBQYAAAAABgAGAFsB&#10;AAC2AwAAAAA=&#10;" adj="17734,5400">
                          <v:fill on="t" focussize="0,0"/>
                          <v:stroke weight="1pt" color="#000000" miterlimit="8" joinstyle="miter"/>
                          <v:imagedata o:title=""/>
                          <o:lock v:ext="edit" aspectratio="f"/>
                        </v:shape>
                        <v:shape id="_x0000_s1026" o:spid="_x0000_s1026" o:spt="13" type="#_x0000_t13" style="position:absolute;left:5911;top:2484811;height:300;width:838;v-text-anchor:middle;" fillcolor="#000000" filled="t" stroked="t" coordsize="21600,21600" o:gfxdata="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jLL4A&#10;AADcAAAADwAAAAAAAAABACAAAAAiAAAAZHJzL2Rvd25yZXYueG1sUEsBAhQAFAAAAAgAh07iQDMv&#10;BZ47AAAAOQAAABAAAAAAAAAAAQAgAAAADQEAAGRycy9zaGFwZXhtbC54bWxQSwUGAAAAAAYABgBb&#10;AQAAtwMAAAAA&#10;" adj="17734,5400">
                          <v:fill on="t" focussize="0,0"/>
                          <v:stroke weight="1pt" color="#000000" miterlimit="8" joinstyle="miter"/>
                          <v:imagedata o:title=""/>
                          <o:lock v:ext="edit" aspectratio="f"/>
                        </v:shape>
                      </v:group>
                      <v:group id="_x0000_s1026" o:spid="_x0000_s1026" o:spt="203" style="position:absolute;left:3307;top:2481710;height:432;width:10422;" coordorigin="3307,2481710" coordsize="10422,432"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3307;top:2481727;height:415;width:1221;" fillcolor="#6C6C6C" filled="t" stroked="t" coordsize="21600,21600" o:gfxdata="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flpE&#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rPr>
                                    <w:b/>
                                    <w:bCs/>
                                  </w:rPr>
                                </w:pPr>
                                <w:r>
                                  <w:rPr>
                                    <w:rFonts w:hint="eastAsia"/>
                                    <w:b/>
                                    <w:bCs/>
                                  </w:rPr>
                                  <w:t>工艺流程</w:t>
                                </w:r>
                              </w:p>
                            </w:txbxContent>
                          </v:textbox>
                        </v:shape>
                        <v:shape id="_x0000_s1026" o:spid="_x0000_s1026" o:spt="202" type="#_x0000_t202" style="position:absolute;left:7967;top:2481710;height:415;width:1221;" fillcolor="#6C6C6C" filled="t" stroked="t" coordsize="21600,21600" o:gfxdata="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y/9+/&#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rPr>
                                    <w:b/>
                                    <w:bCs/>
                                  </w:rPr>
                                </w:pPr>
                                <w:r>
                                  <w:rPr>
                                    <w:rFonts w:hint="eastAsia"/>
                                    <w:b/>
                                    <w:bCs/>
                                  </w:rPr>
                                  <w:t>产污环节</w:t>
                                </w:r>
                              </w:p>
                            </w:txbxContent>
                          </v:textbox>
                        </v:shape>
                        <v:shape id="_x0000_s1026" o:spid="_x0000_s1026" o:spt="202" type="#_x0000_t202" style="position:absolute;left:11291;top:2481710;height:415;width:2438;" fillcolor="#6C6C6C" filled="t" stroked="t" coordsize="21600,21600" o:gfxdata="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4GGo&#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rPr>
                                    <w:b/>
                                    <w:bCs/>
                                  </w:rPr>
                                </w:pPr>
                                <w:r>
                                  <w:rPr>
                                    <w:rFonts w:hint="eastAsia"/>
                                    <w:b/>
                                    <w:bCs/>
                                  </w:rPr>
                                  <w:t>污染物处置措施及去向</w:t>
                                </w:r>
                              </w:p>
                            </w:txbxContent>
                          </v:textbox>
                        </v:shape>
                      </v:group>
                    </v:group>
                  </v:group>
                  <v:rect id="_x0000_s1026" o:spid="_x0000_s1026" o:spt="1" style="position:absolute;left:1612;top:2481600;height:8831;width:14138;v-text-anchor:middle;" filled="f" stroked="t" coordsize="21600,21600" o:gfxdata="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ybA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rect>
                </v:group>
                <v:shape id="_x0000_s1026" o:spid="_x0000_s1026" o:spt="202" type="#_x0000_t202" style="position:absolute;left:1614;top:2490448;height:463;width:14173;" filled="f" stroked="f" coordsize="21600,21600" o:gfxdata="UEsDBAoAAAAAAIdO4kAAAAAAAAAAAAAAAAAEAAAAZHJzL1BLAwQUAAAACACHTuJAiRHyar0AAADc&#10;AAAADwAAAGRycy9kb3ducmV2LnhtbEVPTWvCQBC9C/6HZQredGPQ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J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widowControl/>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lang w:bidi="ar"/>
                          </w:rPr>
                          <w:t>图3.7-</w:t>
                        </w:r>
                        <w:r>
                          <w:rPr>
                            <w:rFonts w:hint="eastAsia" w:ascii="Times New Roman" w:hAnsi="Times New Roman" w:eastAsia="宋体" w:cs="Times New Roman"/>
                            <w:b/>
                            <w:bCs/>
                            <w:color w:val="000000"/>
                            <w:kern w:val="0"/>
                            <w:szCs w:val="21"/>
                            <w:lang w:val="en-US" w:eastAsia="zh-CN" w:bidi="ar"/>
                          </w:rPr>
                          <w:t>6</w:t>
                        </w:r>
                        <w:r>
                          <w:rPr>
                            <w:rFonts w:ascii="Times New Roman" w:hAnsi="Times New Roman" w:eastAsia="宋体" w:cs="Times New Roman"/>
                            <w:b/>
                            <w:bCs/>
                            <w:color w:val="000000"/>
                            <w:kern w:val="0"/>
                            <w:szCs w:val="21"/>
                            <w:lang w:bidi="ar"/>
                          </w:rPr>
                          <w:t xml:space="preserve">  施工期主要工艺流程及产污环节示意图</w:t>
                        </w:r>
                      </w:p>
                      <w:p>
                        <w:pPr>
                          <w:jc w:val="center"/>
                          <w:rPr>
                            <w:rFonts w:ascii="Times New Roman" w:hAnsi="Times New Roman" w:eastAsia="宋体" w:cs="Times New Roman"/>
                            <w:b/>
                            <w:bCs/>
                            <w:szCs w:val="21"/>
                          </w:rPr>
                        </w:pPr>
                      </w:p>
                    </w:txbxContent>
                  </v:textbox>
                </v:shape>
              </v:group>
            </w:pict>
          </mc:Fallback>
        </mc:AlternateContent>
      </w: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pPr>
      <w:r>
        <w:rPr>
          <w:rFonts w:hint="default" w:ascii="Times New Roman" w:hAnsi="Times New Roman" w:cs="Times New Roman"/>
          <w:color w:val="auto"/>
        </w:rPr>
        <mc:AlternateContent>
          <mc:Choice Requires="wps">
            <w:drawing>
              <wp:anchor distT="0" distB="0" distL="114300" distR="114300" simplePos="0" relativeHeight="251672576" behindDoc="0" locked="0" layoutInCell="1" allowOverlap="1">
                <wp:simplePos x="0" y="0"/>
                <wp:positionH relativeFrom="column">
                  <wp:posOffset>1468120</wp:posOffset>
                </wp:positionH>
                <wp:positionV relativeFrom="paragraph">
                  <wp:posOffset>283845</wp:posOffset>
                </wp:positionV>
                <wp:extent cx="495935" cy="278130"/>
                <wp:effectExtent l="4445" t="4445" r="13970" b="22225"/>
                <wp:wrapNone/>
                <wp:docPr id="324" name="文本框 324"/>
                <wp:cNvGraphicFramePr/>
                <a:graphic xmlns:a="http://schemas.openxmlformats.org/drawingml/2006/main">
                  <a:graphicData uri="http://schemas.microsoft.com/office/word/2010/wordprocessingShape">
                    <wps:wsp>
                      <wps:cNvSpPr txBox="1"/>
                      <wps:spPr>
                        <a:xfrm>
                          <a:off x="0" y="0"/>
                          <a:ext cx="495935" cy="278130"/>
                        </a:xfrm>
                        <a:prstGeom prst="rect">
                          <a:avLst/>
                        </a:prstGeom>
                        <a:solidFill>
                          <a:srgbClr val="FFFFFF"/>
                        </a:solidFill>
                        <a:ln w="6350">
                          <a:solidFill>
                            <a:prstClr val="black"/>
                          </a:solidFill>
                        </a:ln>
                        <a:effectLst/>
                      </wps:spPr>
                      <wps:txbx>
                        <w:txbxContent>
                          <w:p>
                            <w:pP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修井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6pt;margin-top:22.35pt;height:21.9pt;width:39.05pt;z-index:251672576;mso-width-relative:page;mso-height-relative:page;" fillcolor="#FFFFFF" filled="t" stroked="t" coordsize="21600,21600" o:gfxdata="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vbBo1wAAAAkBAAAPAAAAAAAAAAEAIAAA&#10;ACIAAABkcnMvZG93bnJldi54bWxQSwECFAAUAAAACACHTuJAb8e1ZUYCAAB6BAAADgAAAAAAAAAB&#10;ACAAAAAmAQAAZHJzL2Uyb0RvYy54bWxQSwUGAAAAAAYABgBZAQAA3gUAAAAA&#10;">
                <v:fill on="t" focussize="0,0"/>
                <v:stroke weight="0.5pt" color="#000000" joinstyle="round"/>
                <v:imagedata o:title=""/>
                <o:lock v:ext="edit" aspectratio="f"/>
                <v:textbox>
                  <w:txbxContent>
                    <w:p>
                      <w:pP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修井</w:t>
                      </w:r>
                    </w:p>
                  </w:txbxContent>
                </v:textbox>
              </v:shape>
            </w:pict>
          </mc:Fallback>
        </mc:AlternateContent>
      </w: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pPr>
    </w:p>
    <w:p>
      <w:pPr>
        <w:pStyle w:val="51"/>
        <w:ind w:firstLine="0" w:firstLineChars="0"/>
        <w:rPr>
          <w:rFonts w:hint="default" w:ascii="Times New Roman" w:hAnsi="Times New Roman" w:cs="Times New Roman"/>
          <w:color w:val="auto"/>
          <w:kern w:val="0"/>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3.7.4运营期主要工艺流程及产污环节</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运营期主要有采油、油气集输及处理、井下作业、注水工程等作业过程。</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3.7.4.1采油</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采油是借助油层的自身压力或使用机械方式，使原油从地下储油层产出的工艺过程。本区块开井后先自喷生产，不能自喷后转抽生产。</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3.7.4.2油气集输及处理</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本项目运营期</w:t>
      </w:r>
      <w:r>
        <w:rPr>
          <w:rFonts w:hint="default" w:ascii="Times New Roman" w:hAnsi="Times New Roman" w:eastAsia="宋体" w:cs="Times New Roman"/>
          <w:color w:val="auto"/>
          <w:sz w:val="24"/>
        </w:rPr>
        <w:t>油气集输采用密闭集输工艺，</w:t>
      </w:r>
      <w:r>
        <w:rPr>
          <w:rFonts w:hint="default" w:ascii="Times New Roman" w:hAnsi="Times New Roman" w:eastAsia="宋体" w:cs="Times New Roman"/>
          <w:color w:val="auto"/>
          <w:kern w:val="0"/>
          <w:sz w:val="24"/>
        </w:rPr>
        <w:t>新建</w:t>
      </w:r>
      <w:r>
        <w:rPr>
          <w:rFonts w:hint="eastAsia" w:ascii="Times New Roman" w:hAnsi="Times New Roman" w:eastAsia="宋体" w:cs="Times New Roman"/>
          <w:color w:val="auto"/>
          <w:kern w:val="0"/>
          <w:sz w:val="24"/>
          <w:lang w:eastAsia="zh-CN"/>
        </w:rPr>
        <w:t>6口</w:t>
      </w:r>
      <w:r>
        <w:rPr>
          <w:rFonts w:hint="default" w:ascii="Times New Roman" w:hAnsi="Times New Roman" w:eastAsia="宋体" w:cs="Times New Roman"/>
          <w:color w:val="auto"/>
          <w:kern w:val="0"/>
          <w:sz w:val="24"/>
        </w:rPr>
        <w:t>采油井采用</w:t>
      </w:r>
      <w:r>
        <w:rPr>
          <w:rFonts w:hint="eastAsia" w:ascii="Times New Roman" w:hAnsi="Times New Roman" w:eastAsia="宋体" w:cs="Times New Roman"/>
          <w:color w:val="auto"/>
          <w:kern w:val="0"/>
          <w:sz w:val="24"/>
          <w:lang w:eastAsia="zh-CN"/>
        </w:rPr>
        <w:t>三级布站</w:t>
      </w:r>
      <w:r>
        <w:rPr>
          <w:rFonts w:hint="default" w:ascii="Times New Roman" w:hAnsi="Times New Roman" w:eastAsia="宋体" w:cs="Times New Roman"/>
          <w:color w:val="auto"/>
          <w:kern w:val="0"/>
          <w:sz w:val="24"/>
        </w:rPr>
        <w:t>输送工艺，即：</w:t>
      </w:r>
      <w:r>
        <w:rPr>
          <w:rFonts w:hint="eastAsia" w:ascii="Times New Roman" w:hAnsi="Times New Roman" w:eastAsia="宋体" w:cs="Times New Roman"/>
          <w:color w:val="auto"/>
          <w:kern w:val="0"/>
          <w:sz w:val="24"/>
          <w:lang w:eastAsia="zh-CN"/>
        </w:rPr>
        <w:t>井口→计量站→混输泵站→陆梁集中处理站</w:t>
      </w:r>
      <w:r>
        <w:rPr>
          <w:rFonts w:hint="default" w:ascii="Times New Roman" w:hAnsi="Times New Roman" w:eastAsia="宋体" w:cs="Times New Roman"/>
          <w:color w:val="auto"/>
          <w:kern w:val="0"/>
          <w:sz w:val="24"/>
        </w:rPr>
        <w:t>的布站方式。</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本项目油气集输工艺见图3.7-7。</w:t>
      </w:r>
    </w:p>
    <w:p>
      <w:pPr>
        <w:rPr>
          <w:rFonts w:hint="default" w:ascii="Times New Roman" w:hAnsi="Times New Roman" w:eastAsia="宋体" w:cs="Times New Roman"/>
          <w:color w:val="auto"/>
          <w:sz w:val="24"/>
        </w:rPr>
      </w:pPr>
    </w:p>
    <w:p>
      <w:pPr>
        <w:rPr>
          <w:rFonts w:hint="default" w:ascii="Times New Roman" w:hAnsi="Times New Roman" w:eastAsia="宋体" w:cs="Times New Roman"/>
          <w:color w:val="auto"/>
          <w:sz w:val="24"/>
        </w:rPr>
      </w:pPr>
      <w:r>
        <w:rPr>
          <w:color w:val="auto"/>
          <w:sz w:val="24"/>
        </w:rPr>
        <mc:AlternateContent>
          <mc:Choice Requires="wpg">
            <w:drawing>
              <wp:anchor distT="0" distB="0" distL="114300" distR="114300" simplePos="0" relativeHeight="251666432" behindDoc="0" locked="0" layoutInCell="1" allowOverlap="1">
                <wp:simplePos x="0" y="0"/>
                <wp:positionH relativeFrom="column">
                  <wp:posOffset>199390</wp:posOffset>
                </wp:positionH>
                <wp:positionV relativeFrom="paragraph">
                  <wp:posOffset>29210</wp:posOffset>
                </wp:positionV>
                <wp:extent cx="4794250" cy="546100"/>
                <wp:effectExtent l="4445" t="0" r="20955" b="0"/>
                <wp:wrapNone/>
                <wp:docPr id="105" name="组合 262"/>
                <wp:cNvGraphicFramePr/>
                <a:graphic xmlns:a="http://schemas.openxmlformats.org/drawingml/2006/main">
                  <a:graphicData uri="http://schemas.microsoft.com/office/word/2010/wordprocessingGroup">
                    <wpg:wgp>
                      <wpg:cNvGrpSpPr/>
                      <wpg:grpSpPr>
                        <a:xfrm rot="0">
                          <a:off x="1342390" y="4128770"/>
                          <a:ext cx="4794250" cy="546100"/>
                          <a:chOff x="2362" y="845115"/>
                          <a:chExt cx="7550" cy="860"/>
                        </a:xfrm>
                        <a:effectLst/>
                      </wpg:grpSpPr>
                      <wps:wsp>
                        <wps:cNvPr id="263" name="文本框 30"/>
                        <wps:cNvSpPr txBox="1"/>
                        <wps:spPr>
                          <a:xfrm>
                            <a:off x="2362" y="845302"/>
                            <a:ext cx="1023" cy="426"/>
                          </a:xfrm>
                          <a:prstGeom prst="rect">
                            <a:avLst/>
                          </a:prstGeom>
                          <a:solidFill>
                            <a:srgbClr val="FFFFFF"/>
                          </a:solidFill>
                          <a:ln w="6350">
                            <a:solidFill>
                              <a:prstClr val="black"/>
                            </a:solidFill>
                          </a:ln>
                          <a:effectLst/>
                        </wps:spPr>
                        <wps:txbx>
                          <w:txbxContent>
                            <w:p>
                              <w:pPr>
                                <w:rPr>
                                  <w:rFonts w:ascii="Times New Roman" w:hAnsi="Times New Roman" w:cs="Times New Roman"/>
                                </w:rPr>
                              </w:pPr>
                              <w:r>
                                <w:rPr>
                                  <w:rFonts w:ascii="Times New Roman" w:hAnsi="Times New Roman" w:cs="Times New Roman"/>
                                </w:rPr>
                                <w:t>采油井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4" name="文本框 31"/>
                        <wps:cNvSpPr txBox="1"/>
                        <wps:spPr>
                          <a:xfrm>
                            <a:off x="8126" y="845323"/>
                            <a:ext cx="1786" cy="401"/>
                          </a:xfrm>
                          <a:prstGeom prst="rect">
                            <a:avLst/>
                          </a:prstGeom>
                          <a:solidFill>
                            <a:srgbClr val="FFFFFF"/>
                          </a:solidFill>
                          <a:ln w="6350">
                            <a:solidFill>
                              <a:prstClr val="black"/>
                            </a:solidFill>
                          </a:ln>
                          <a:effectLst/>
                        </wps:spPr>
                        <wps:txbx>
                          <w:txbxContent>
                            <w:p>
                              <w:r>
                                <w:rPr>
                                  <w:rFonts w:hint="eastAsia"/>
                                  <w:lang w:val="en-US" w:eastAsia="zh-CN"/>
                                </w:rPr>
                                <w:t>陆梁集中处理</w:t>
                              </w:r>
                              <w:r>
                                <w:rPr>
                                  <w:rFonts w:hint="eastAsia"/>
                                </w:rPr>
                                <w:t>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文本框 32"/>
                        <wps:cNvSpPr txBox="1"/>
                        <wps:spPr>
                          <a:xfrm>
                            <a:off x="4405" y="845320"/>
                            <a:ext cx="1000" cy="401"/>
                          </a:xfrm>
                          <a:prstGeom prst="rect">
                            <a:avLst/>
                          </a:prstGeom>
                          <a:solidFill>
                            <a:srgbClr val="FFFFFF"/>
                          </a:solidFill>
                          <a:ln w="6350">
                            <a:solidFill>
                              <a:prstClr val="black"/>
                            </a:solidFill>
                          </a:ln>
                          <a:effectLst/>
                        </wps:spPr>
                        <wps:txbx>
                          <w:txbxContent>
                            <w:p>
                              <w:r>
                                <w:rPr>
                                  <w:rFonts w:hint="eastAsia"/>
                                </w:rPr>
                                <w:t>计量站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6" name="直接箭头连接符 33"/>
                        <wps:cNvCnPr>
                          <a:stCxn id="263" idx="3"/>
                        </wps:cNvCnPr>
                        <wps:spPr>
                          <a:xfrm flipV="1">
                            <a:off x="3385" y="845511"/>
                            <a:ext cx="1005" cy="4"/>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67" name="直接箭头连接符 34"/>
                        <wps:cNvCnPr/>
                        <wps:spPr>
                          <a:xfrm>
                            <a:off x="5405" y="845521"/>
                            <a:ext cx="860" cy="0"/>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69" name="文本框 36"/>
                        <wps:cNvSpPr txBox="1"/>
                        <wps:spPr>
                          <a:xfrm>
                            <a:off x="3260" y="845139"/>
                            <a:ext cx="1203" cy="836"/>
                          </a:xfrm>
                          <a:prstGeom prst="rect">
                            <a:avLst/>
                          </a:prstGeom>
                          <a:noFill/>
                          <a:ln w="6350">
                            <a:noFill/>
                          </a:ln>
                          <a:effectLst/>
                        </wps:spPr>
                        <wps:txbx>
                          <w:txbxContent>
                            <w:p>
                              <w:pPr>
                                <w:jc w:val="center"/>
                                <w:rPr>
                                  <w:rFonts w:hint="eastAsia" w:ascii="Times New Roman" w:hAnsi="Times New Roman" w:cs="Times New Roman"/>
                                </w:rPr>
                              </w:pPr>
                              <w:r>
                                <w:rPr>
                                  <w:rFonts w:ascii="Times New Roman" w:hAnsi="Times New Roman" w:cs="Times New Roman"/>
                                </w:rPr>
                                <w:t>采出液</w:t>
                              </w:r>
                              <w:r>
                                <w:rPr>
                                  <w:rFonts w:hint="eastAsia" w:ascii="Times New Roman" w:hAnsi="Times New Roman" w:cs="Times New Roman"/>
                                </w:rPr>
                                <w:t>密</w:t>
                              </w:r>
                            </w:p>
                            <w:p>
                              <w:pPr>
                                <w:jc w:val="center"/>
                                <w:rPr>
                                  <w:rFonts w:ascii="Times New Roman" w:hAnsi="Times New Roman" w:cs="Times New Roman"/>
                                </w:rPr>
                              </w:pPr>
                              <w:r>
                                <w:rPr>
                                  <w:rFonts w:hint="eastAsia" w:ascii="Times New Roman" w:hAnsi="Times New Roman" w:cs="Times New Roman"/>
                                </w:rPr>
                                <w:t>闭集输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 name="文本框 32"/>
                        <wps:cNvSpPr txBox="1"/>
                        <wps:spPr>
                          <a:xfrm>
                            <a:off x="6265" y="845320"/>
                            <a:ext cx="1000" cy="4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bidi w:val="0"/>
                                <w:adjustRightInd/>
                                <w:snapToGrid/>
                                <w:ind w:left="-105" w:leftChars="-50" w:right="-105" w:rightChars="-50"/>
                                <w:textAlignment w:val="auto"/>
                                <w:rPr>
                                  <w:rFonts w:hint="default" w:eastAsiaTheme="minorEastAsia"/>
                                  <w:lang w:val="en-US" w:eastAsia="zh-CN"/>
                                </w:rPr>
                              </w:pPr>
                              <w:r>
                                <w:rPr>
                                  <w:rFonts w:hint="eastAsia"/>
                                  <w:lang w:val="en-US" w:eastAsia="zh-CN"/>
                                </w:rPr>
                                <w:t>混输泵站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7" name="文本框 36"/>
                        <wps:cNvSpPr txBox="1"/>
                        <wps:spPr>
                          <a:xfrm>
                            <a:off x="5214" y="845115"/>
                            <a:ext cx="1203" cy="836"/>
                          </a:xfrm>
                          <a:prstGeom prst="rect">
                            <a:avLst/>
                          </a:prstGeom>
                          <a:noFill/>
                          <a:ln w="6350">
                            <a:noFill/>
                          </a:ln>
                          <a:effectLst/>
                        </wps:spPr>
                        <wps:txbx>
                          <w:txbxContent>
                            <w:p>
                              <w:pPr>
                                <w:jc w:val="center"/>
                                <w:rPr>
                                  <w:rFonts w:hint="eastAsia" w:ascii="Times New Roman" w:hAnsi="Times New Roman" w:cs="Times New Roman"/>
                                </w:rPr>
                              </w:pPr>
                              <w:r>
                                <w:rPr>
                                  <w:rFonts w:ascii="Times New Roman" w:hAnsi="Times New Roman" w:cs="Times New Roman"/>
                                </w:rPr>
                                <w:t>采出液</w:t>
                              </w:r>
                              <w:r>
                                <w:rPr>
                                  <w:rFonts w:hint="eastAsia" w:ascii="Times New Roman" w:hAnsi="Times New Roman" w:cs="Times New Roman"/>
                                </w:rPr>
                                <w:t>密</w:t>
                              </w:r>
                            </w:p>
                            <w:p>
                              <w:pPr>
                                <w:jc w:val="center"/>
                                <w:rPr>
                                  <w:rFonts w:ascii="Times New Roman" w:hAnsi="Times New Roman" w:cs="Times New Roman"/>
                                </w:rPr>
                              </w:pPr>
                              <w:r>
                                <w:rPr>
                                  <w:rFonts w:hint="eastAsia" w:ascii="Times New Roman" w:hAnsi="Times New Roman" w:cs="Times New Roman"/>
                                </w:rPr>
                                <w:t>闭集输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8" name="直接箭头连接符 34"/>
                        <wps:cNvCnPr/>
                        <wps:spPr>
                          <a:xfrm>
                            <a:off x="7268" y="845521"/>
                            <a:ext cx="860" cy="0"/>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29" name="文本框 36"/>
                        <wps:cNvSpPr txBox="1"/>
                        <wps:spPr>
                          <a:xfrm>
                            <a:off x="7084" y="845115"/>
                            <a:ext cx="1203" cy="836"/>
                          </a:xfrm>
                          <a:prstGeom prst="rect">
                            <a:avLst/>
                          </a:prstGeom>
                          <a:noFill/>
                          <a:ln w="6350">
                            <a:noFill/>
                          </a:ln>
                          <a:effectLst/>
                        </wps:spPr>
                        <wps:txbx>
                          <w:txbxContent>
                            <w:p>
                              <w:pPr>
                                <w:jc w:val="center"/>
                                <w:rPr>
                                  <w:rFonts w:hint="eastAsia" w:ascii="Times New Roman" w:hAnsi="Times New Roman" w:cs="Times New Roman"/>
                                </w:rPr>
                              </w:pPr>
                              <w:r>
                                <w:rPr>
                                  <w:rFonts w:ascii="Times New Roman" w:hAnsi="Times New Roman" w:cs="Times New Roman"/>
                                </w:rPr>
                                <w:t>采出液</w:t>
                              </w:r>
                              <w:r>
                                <w:rPr>
                                  <w:rFonts w:hint="eastAsia" w:ascii="Times New Roman" w:hAnsi="Times New Roman" w:cs="Times New Roman"/>
                                </w:rPr>
                                <w:t>密</w:t>
                              </w:r>
                            </w:p>
                            <w:p>
                              <w:pPr>
                                <w:jc w:val="center"/>
                                <w:rPr>
                                  <w:rFonts w:ascii="Times New Roman" w:hAnsi="Times New Roman" w:cs="Times New Roman"/>
                                </w:rPr>
                              </w:pPr>
                              <w:r>
                                <w:rPr>
                                  <w:rFonts w:hint="eastAsia" w:ascii="Times New Roman" w:hAnsi="Times New Roman" w:cs="Times New Roman"/>
                                </w:rPr>
                                <w:t>闭集输</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62" o:spid="_x0000_s1026" o:spt="203" style="position:absolute;left:0pt;margin-left:15.7pt;margin-top:2.3pt;height:43pt;width:377.5pt;z-index:251666432;mso-width-relative:page;mso-height-relative:page;" coordorigin="2362,845115" coordsize="7550,860" o:gfxdata="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QI+T19cAAAAHAQAADwAAAAAAAAABACAAAAAiAAAAZHJzL2Rvd25yZXYueG1sUEsB&#10;AhQAFAAAAAgAh07iQBI07fTbBAAAZB0AAA4AAAAAAAAAAQAgAAAAJgEAAGRycy9lMm9Eb2MueG1s&#10;UEsFBgAAAAAGAAYAWQEAAHMIAAAAAA==&#10;">
                <o:lock v:ext="edit" aspectratio="f"/>
                <v:shape id="文本框 30" o:spid="_x0000_s1026" o:spt="202" type="#_x0000_t202" style="position:absolute;left:2362;top:845302;height:426;width:1023;" fillcolor="#FFFFFF" filled="t" stroked="t" coordsize="21600,21600" o:gfxdata="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Mn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rFonts w:ascii="Times New Roman" w:hAnsi="Times New Roman" w:cs="Times New Roman"/>
                          </w:rPr>
                        </w:pPr>
                        <w:r>
                          <w:rPr>
                            <w:rFonts w:ascii="Times New Roman" w:hAnsi="Times New Roman" w:cs="Times New Roman"/>
                          </w:rPr>
                          <w:t>采油井</w:t>
                        </w:r>
                      </w:p>
                    </w:txbxContent>
                  </v:textbox>
                </v:shape>
                <v:shape id="文本框 31" o:spid="_x0000_s1026" o:spt="202" type="#_x0000_t202" style="position:absolute;left:8126;top:845323;height:401;width:1786;" fillcolor="#FFFFFF" filled="t" stroked="t" coordsize="21600,21600" o:gfxdata="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llOm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r>
                          <w:rPr>
                            <w:rFonts w:hint="eastAsia"/>
                            <w:lang w:val="en-US" w:eastAsia="zh-CN"/>
                          </w:rPr>
                          <w:t>陆梁集中处理</w:t>
                        </w:r>
                        <w:r>
                          <w:rPr>
                            <w:rFonts w:hint="eastAsia"/>
                          </w:rPr>
                          <w:t>站</w:t>
                        </w:r>
                      </w:p>
                    </w:txbxContent>
                  </v:textbox>
                </v:shape>
                <v:shape id="文本框 32" o:spid="_x0000_s1026" o:spt="202" type="#_x0000_t202" style="position:absolute;left:4405;top:845320;height:401;width:1000;" fillcolor="#FFFFFF" filled="t" stroked="t" coordsize="21600,21600" o:gfxdata="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pMX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r>
                          <w:rPr>
                            <w:rFonts w:hint="eastAsia"/>
                          </w:rPr>
                          <w:t>计量站</w:t>
                        </w:r>
                      </w:p>
                    </w:txbxContent>
                  </v:textbox>
                </v:shape>
                <v:shape id="直接箭头连接符 33" o:spid="_x0000_s1026" o:spt="32" type="#_x0000_t32" style="position:absolute;left:3385;top:845511;flip:y;height:4;width:1005;" filled="f" stroked="t" coordsize="21600,21600" o:gfxdata="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5iW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直接箭头连接符 34" o:spid="_x0000_s1026" o:spt="32" type="#_x0000_t32" style="position:absolute;left:5405;top:845521;height:0;width:860;" filled="f" stroked="t" coordsize="21600,21600" o:gfxdata="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RnIr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文本框 36" o:spid="_x0000_s1026" o:spt="202" type="#_x0000_t202" style="position:absolute;left:3260;top:845139;height:836;width:1203;" filled="f" stroked="f" coordsize="21600,21600" o:gfxdata="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KI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ascii="Times New Roman" w:hAnsi="Times New Roman" w:cs="Times New Roman"/>
                          </w:rPr>
                        </w:pPr>
                        <w:r>
                          <w:rPr>
                            <w:rFonts w:ascii="Times New Roman" w:hAnsi="Times New Roman" w:cs="Times New Roman"/>
                          </w:rPr>
                          <w:t>采出液</w:t>
                        </w:r>
                        <w:r>
                          <w:rPr>
                            <w:rFonts w:hint="eastAsia" w:ascii="Times New Roman" w:hAnsi="Times New Roman" w:cs="Times New Roman"/>
                          </w:rPr>
                          <w:t>密</w:t>
                        </w:r>
                      </w:p>
                      <w:p>
                        <w:pPr>
                          <w:jc w:val="center"/>
                          <w:rPr>
                            <w:rFonts w:ascii="Times New Roman" w:hAnsi="Times New Roman" w:cs="Times New Roman"/>
                          </w:rPr>
                        </w:pPr>
                        <w:r>
                          <w:rPr>
                            <w:rFonts w:hint="eastAsia" w:ascii="Times New Roman" w:hAnsi="Times New Roman" w:cs="Times New Roman"/>
                          </w:rPr>
                          <w:t>闭集输</w:t>
                        </w:r>
                      </w:p>
                    </w:txbxContent>
                  </v:textbox>
                </v:shape>
                <v:shape id="文本框 32" o:spid="_x0000_s1026" o:spt="202" type="#_x0000_t202" style="position:absolute;left:6265;top:845320;height:401;width:1000;" fillcolor="#FFFFFF" filled="t" stroked="t" coordsize="21600,21600" o:gfxdata="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AZW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ind w:left="-105" w:leftChars="-50" w:right="-105" w:rightChars="-50"/>
                          <w:textAlignment w:val="auto"/>
                          <w:rPr>
                            <w:rFonts w:hint="default" w:eastAsiaTheme="minorEastAsia"/>
                            <w:lang w:val="en-US" w:eastAsia="zh-CN"/>
                          </w:rPr>
                        </w:pPr>
                        <w:r>
                          <w:rPr>
                            <w:rFonts w:hint="eastAsia"/>
                            <w:lang w:val="en-US" w:eastAsia="zh-CN"/>
                          </w:rPr>
                          <w:t>混输泵站</w:t>
                        </w:r>
                      </w:p>
                    </w:txbxContent>
                  </v:textbox>
                </v:shape>
                <v:shape id="文本框 36" o:spid="_x0000_s1026" o:spt="202" type="#_x0000_t202" style="position:absolute;left:5214;top:845115;height:836;width:1203;" filled="f" stroked="f" coordsize="21600,21600" o:gfxdata="UEsDBAoAAAAAAIdO4kAAAAAAAAAAAAAAAAAEAAAAZHJzL1BLAwQUAAAACACHTuJAxlKne78AAADc&#10;AAAADwAAAGRycy9kb3ducmV2LnhtbEWPT4vCMBTE78J+h/AW9qapFV2p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Sp3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ascii="Times New Roman" w:hAnsi="Times New Roman" w:cs="Times New Roman"/>
                          </w:rPr>
                        </w:pPr>
                        <w:r>
                          <w:rPr>
                            <w:rFonts w:ascii="Times New Roman" w:hAnsi="Times New Roman" w:cs="Times New Roman"/>
                          </w:rPr>
                          <w:t>采出液</w:t>
                        </w:r>
                        <w:r>
                          <w:rPr>
                            <w:rFonts w:hint="eastAsia" w:ascii="Times New Roman" w:hAnsi="Times New Roman" w:cs="Times New Roman"/>
                          </w:rPr>
                          <w:t>密</w:t>
                        </w:r>
                      </w:p>
                      <w:p>
                        <w:pPr>
                          <w:jc w:val="center"/>
                          <w:rPr>
                            <w:rFonts w:ascii="Times New Roman" w:hAnsi="Times New Roman" w:cs="Times New Roman"/>
                          </w:rPr>
                        </w:pPr>
                        <w:r>
                          <w:rPr>
                            <w:rFonts w:hint="eastAsia" w:ascii="Times New Roman" w:hAnsi="Times New Roman" w:cs="Times New Roman"/>
                          </w:rPr>
                          <w:t>闭集输</w:t>
                        </w:r>
                      </w:p>
                    </w:txbxContent>
                  </v:textbox>
                </v:shape>
                <v:shape id="直接箭头连接符 34" o:spid="_x0000_s1026" o:spt="32" type="#_x0000_t32" style="position:absolute;left:7268;top:845521;height:0;width:860;" filled="f" stroked="t" coordsize="21600,21600" o:gfxdata="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ARQ28AAAA&#10;3A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文本框 36" o:spid="_x0000_s1026" o:spt="202" type="#_x0000_t202" style="position:absolute;left:7084;top:845115;height:836;width:1203;" filled="f" stroked="f" coordsize="21600,21600" o:gfxdata="UEsDBAoAAAAAAIdO4kAAAAAAAAAAAAAAAAAEAAAAZHJzL1BLAwQUAAAACACHTuJA2IGWkr8AAADc&#10;AAAADwAAAGRycy9kb3ducmV2LnhtbEWPT4vCMBTE78J+h/AW9qapF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lp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ascii="Times New Roman" w:hAnsi="Times New Roman" w:cs="Times New Roman"/>
                          </w:rPr>
                        </w:pPr>
                        <w:r>
                          <w:rPr>
                            <w:rFonts w:ascii="Times New Roman" w:hAnsi="Times New Roman" w:cs="Times New Roman"/>
                          </w:rPr>
                          <w:t>采出液</w:t>
                        </w:r>
                        <w:r>
                          <w:rPr>
                            <w:rFonts w:hint="eastAsia" w:ascii="Times New Roman" w:hAnsi="Times New Roman" w:cs="Times New Roman"/>
                          </w:rPr>
                          <w:t>密</w:t>
                        </w:r>
                      </w:p>
                      <w:p>
                        <w:pPr>
                          <w:jc w:val="center"/>
                          <w:rPr>
                            <w:rFonts w:ascii="Times New Roman" w:hAnsi="Times New Roman" w:cs="Times New Roman"/>
                          </w:rPr>
                        </w:pPr>
                        <w:r>
                          <w:rPr>
                            <w:rFonts w:hint="eastAsia" w:ascii="Times New Roman" w:hAnsi="Times New Roman" w:cs="Times New Roman"/>
                          </w:rPr>
                          <w:t>闭集输</w:t>
                        </w:r>
                      </w:p>
                    </w:txbxContent>
                  </v:textbox>
                </v:shape>
              </v:group>
            </w:pict>
          </mc:Fallback>
        </mc:AlternateContent>
      </w:r>
    </w:p>
    <w:p>
      <w:pPr>
        <w:rPr>
          <w:rFonts w:hint="default" w:ascii="Times New Roman" w:hAnsi="Times New Roman" w:eastAsia="宋体" w:cs="Times New Roman"/>
          <w:color w:val="auto"/>
        </w:rPr>
      </w:pPr>
    </w:p>
    <w:p>
      <w:pPr>
        <w:pStyle w:val="85"/>
        <w:rPr>
          <w:rFonts w:hint="default" w:ascii="Times New Roman" w:hAnsi="Times New Roman" w:cs="Times New Roman"/>
          <w:snapToGrid/>
          <w:color w:val="auto"/>
          <w:kern w:val="2"/>
          <w:szCs w:val="21"/>
        </w:rPr>
      </w:pPr>
    </w:p>
    <w:p>
      <w:pPr>
        <w:pStyle w:val="85"/>
        <w:rPr>
          <w:rFonts w:hint="default" w:ascii="Times New Roman" w:hAnsi="Times New Roman" w:cs="Times New Roman"/>
          <w:snapToGrid/>
          <w:color w:val="auto"/>
          <w:kern w:val="2"/>
          <w:szCs w:val="21"/>
        </w:rPr>
      </w:pPr>
      <w:r>
        <w:rPr>
          <w:rFonts w:hint="default" w:ascii="Times New Roman" w:hAnsi="Times New Roman" w:cs="Times New Roman"/>
          <w:snapToGrid/>
          <w:color w:val="auto"/>
          <w:kern w:val="2"/>
          <w:szCs w:val="21"/>
        </w:rPr>
        <w:t>图3.7-7  集输工艺流程图</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3.7.4.3井下作业</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井下作业主要包括维护性作业和措施性作业。</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维护性作业主要以井下故障维修和产能恢复为目的，从而恢复采油井产能、封堵无效层以及其他井下故障处理的过程。</w:t>
      </w:r>
    </w:p>
    <w:p>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措施性作业主要包括改造、修井、洗井、冲砂等，其主要作业环节基本相同，污染物主要为刮削作业过程产生的含油污泥、烃类气体挥发，以及洗井环节产生的洗井废水。</w:t>
      </w:r>
    </w:p>
    <w:p>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压裂改造主要针对低产采油井，通过改造实体提高产量。作业时长约30d，压裂改造的工艺步骤与新钻井相同，主要包括：井架安装，试压，起原井杆柱，防喷、试压、起管柱，填砂，通井、刮削，压裂，压力扩散、放喷求产，试压，冲砂，通井，下完钻管，试抽等环节，其施工流程及产污环节见下图。</w:t>
      </w:r>
    </w:p>
    <w:p>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目前陆梁油田作业区范围内还未有运营期进行压裂的油井。</w:t>
      </w:r>
    </w:p>
    <w:p>
      <w:pPr>
        <w:pStyle w:val="33"/>
        <w:rPr>
          <w:rFonts w:hint="default" w:ascii="Times New Roman" w:hAnsi="Times New Roman" w:eastAsia="宋体" w:cs="Times New Roman"/>
          <w:color w:val="auto"/>
          <w:kern w:val="0"/>
        </w:rPr>
      </w:pPr>
    </w:p>
    <w:p>
      <w:pPr>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g">
            <w:drawing>
              <wp:anchor distT="0" distB="0" distL="114300" distR="114300" simplePos="0" relativeHeight="251667456" behindDoc="0" locked="0" layoutInCell="1" allowOverlap="1">
                <wp:simplePos x="0" y="0"/>
                <wp:positionH relativeFrom="column">
                  <wp:posOffset>29845</wp:posOffset>
                </wp:positionH>
                <wp:positionV relativeFrom="paragraph">
                  <wp:posOffset>55880</wp:posOffset>
                </wp:positionV>
                <wp:extent cx="5149215" cy="1875790"/>
                <wp:effectExtent l="4445" t="0" r="142240" b="0"/>
                <wp:wrapNone/>
                <wp:docPr id="258" name="组合 258"/>
                <wp:cNvGraphicFramePr/>
                <a:graphic xmlns:a="http://schemas.openxmlformats.org/drawingml/2006/main">
                  <a:graphicData uri="http://schemas.microsoft.com/office/word/2010/wordprocessingGroup">
                    <wpg:wgp>
                      <wpg:cNvGrpSpPr/>
                      <wpg:grpSpPr>
                        <a:xfrm>
                          <a:off x="1172845" y="1144905"/>
                          <a:ext cx="5149215" cy="1875790"/>
                          <a:chOff x="2118" y="2437719"/>
                          <a:chExt cx="8109" cy="2954"/>
                        </a:xfrm>
                        <a:effectLst/>
                      </wpg:grpSpPr>
                      <wpg:grpSp>
                        <wpg:cNvPr id="242" name="组合 242"/>
                        <wpg:cNvGrpSpPr/>
                        <wpg:grpSpPr>
                          <a:xfrm>
                            <a:off x="2118" y="2438486"/>
                            <a:ext cx="8109" cy="1408"/>
                            <a:chOff x="2199" y="2438002"/>
                            <a:chExt cx="8109" cy="1408"/>
                          </a:xfrm>
                          <a:effectLst/>
                        </wpg:grpSpPr>
                        <wpg:grpSp>
                          <wpg:cNvPr id="240" name="组合 240"/>
                          <wpg:cNvGrpSpPr/>
                          <wpg:grpSpPr>
                            <a:xfrm>
                              <a:off x="2199" y="2438002"/>
                              <a:ext cx="8105" cy="1408"/>
                              <a:chOff x="2199" y="2438002"/>
                              <a:chExt cx="8105" cy="1408"/>
                            </a:xfrm>
                            <a:effectLst/>
                          </wpg:grpSpPr>
                          <wps:wsp>
                            <wps:cNvPr id="206" name="文本框 206"/>
                            <wps:cNvSpPr txBox="1"/>
                            <wps:spPr>
                              <a:xfrm>
                                <a:off x="2199" y="2438018"/>
                                <a:ext cx="1579" cy="422"/>
                              </a:xfrm>
                              <a:prstGeom prst="rect">
                                <a:avLst/>
                              </a:prstGeom>
                              <a:solidFill>
                                <a:srgbClr val="FFFFFF"/>
                              </a:solidFill>
                              <a:ln w="6350">
                                <a:solidFill>
                                  <a:prstClr val="black"/>
                                </a:solidFill>
                              </a:ln>
                              <a:effectLst/>
                            </wps:spPr>
                            <wps:txbx>
                              <w:txbxContent>
                                <w:p>
                                  <w:r>
                                    <w:rPr>
                                      <w:rFonts w:hint="eastAsia"/>
                                    </w:rPr>
                                    <w:t>井架设备安装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7" name="文本框 207"/>
                            <wps:cNvSpPr txBox="1"/>
                            <wps:spPr>
                              <a:xfrm>
                                <a:off x="4298" y="2438011"/>
                                <a:ext cx="783" cy="422"/>
                              </a:xfrm>
                              <a:prstGeom prst="rect">
                                <a:avLst/>
                              </a:prstGeom>
                              <a:solidFill>
                                <a:srgbClr val="FFFFFF"/>
                              </a:solidFill>
                              <a:ln w="6350">
                                <a:solidFill>
                                  <a:prstClr val="black"/>
                                </a:solidFill>
                              </a:ln>
                              <a:effectLst/>
                            </wps:spPr>
                            <wps:txbx>
                              <w:txbxContent>
                                <w:p>
                                  <w:r>
                                    <w:rPr>
                                      <w:rFonts w:hint="eastAsia"/>
                                    </w:rPr>
                                    <w:t>试压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文本框 208"/>
                            <wps:cNvSpPr txBox="1"/>
                            <wps:spPr>
                              <a:xfrm>
                                <a:off x="5574" y="2438004"/>
                                <a:ext cx="1417" cy="422"/>
                              </a:xfrm>
                              <a:prstGeom prst="rect">
                                <a:avLst/>
                              </a:prstGeom>
                              <a:solidFill>
                                <a:srgbClr val="FFFFFF"/>
                              </a:solidFill>
                              <a:ln w="6350">
                                <a:solidFill>
                                  <a:prstClr val="black"/>
                                </a:solidFill>
                              </a:ln>
                              <a:effectLst/>
                            </wps:spPr>
                            <wps:txbx>
                              <w:txbxContent>
                                <w:p>
                                  <w:r>
                                    <w:rPr>
                                      <w:rFonts w:hint="eastAsia"/>
                                    </w:rPr>
                                    <w:t>起原井杆柱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文本框 209"/>
                            <wps:cNvSpPr txBox="1"/>
                            <wps:spPr>
                              <a:xfrm>
                                <a:off x="7498" y="2438002"/>
                                <a:ext cx="1417" cy="422"/>
                              </a:xfrm>
                              <a:prstGeom prst="rect">
                                <a:avLst/>
                              </a:prstGeom>
                              <a:solidFill>
                                <a:srgbClr val="FFFFFF"/>
                              </a:solidFill>
                              <a:ln w="6350">
                                <a:solidFill>
                                  <a:prstClr val="black"/>
                                </a:solidFill>
                              </a:ln>
                              <a:effectLst/>
                            </wps:spPr>
                            <wps:txbx>
                              <w:txbxContent>
                                <w:p>
                                  <w:r>
                                    <w:rPr>
                                      <w:rFonts w:hint="eastAsia"/>
                                    </w:rPr>
                                    <w:t>防喷、试压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215"/>
                            <wps:cNvSpPr txBox="1"/>
                            <wps:spPr>
                              <a:xfrm>
                                <a:off x="3369" y="2438986"/>
                                <a:ext cx="748" cy="422"/>
                              </a:xfrm>
                              <a:prstGeom prst="rect">
                                <a:avLst/>
                              </a:prstGeom>
                              <a:solidFill>
                                <a:srgbClr val="FFFFFF"/>
                              </a:solidFill>
                              <a:ln w="6350">
                                <a:solidFill>
                                  <a:prstClr val="black"/>
                                </a:solidFill>
                              </a:ln>
                              <a:effectLst/>
                            </wps:spPr>
                            <wps:txbx>
                              <w:txbxContent>
                                <w:p>
                                  <w:r>
                                    <w:rPr>
                                      <w:rFonts w:hint="eastAsia"/>
                                    </w:rPr>
                                    <w:t>试抽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6" name="文本框 216"/>
                            <wps:cNvSpPr txBox="1"/>
                            <wps:spPr>
                              <a:xfrm>
                                <a:off x="2206" y="2438988"/>
                                <a:ext cx="748" cy="422"/>
                              </a:xfrm>
                              <a:prstGeom prst="rect">
                                <a:avLst/>
                              </a:prstGeom>
                              <a:solidFill>
                                <a:srgbClr val="FFFFFF"/>
                              </a:solidFill>
                              <a:ln w="6350">
                                <a:solidFill>
                                  <a:prstClr val="black"/>
                                </a:solidFill>
                              </a:ln>
                              <a:effectLst/>
                            </wps:spPr>
                            <wps:txbx>
                              <w:txbxContent>
                                <w:p>
                                  <w:r>
                                    <w:rPr>
                                      <w:rFonts w:hint="eastAsia"/>
                                    </w:rPr>
                                    <w:t>完井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文本框 210"/>
                            <wps:cNvSpPr txBox="1"/>
                            <wps:spPr>
                              <a:xfrm>
                                <a:off x="9360" y="2438005"/>
                                <a:ext cx="944" cy="422"/>
                              </a:xfrm>
                              <a:prstGeom prst="rect">
                                <a:avLst/>
                              </a:prstGeom>
                              <a:solidFill>
                                <a:srgbClr val="FFFFFF"/>
                              </a:solidFill>
                              <a:ln w="6350">
                                <a:solidFill>
                                  <a:prstClr val="black"/>
                                </a:solidFill>
                              </a:ln>
                              <a:effectLst/>
                            </wps:spPr>
                            <wps:txbx>
                              <w:txbxContent>
                                <w:p>
                                  <w:r>
                                    <w:rPr>
                                      <w:rFonts w:hint="eastAsia"/>
                                    </w:rPr>
                                    <w:t>起管柱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7681" y="2438957"/>
                                <a:ext cx="748" cy="422"/>
                              </a:xfrm>
                              <a:prstGeom prst="rect">
                                <a:avLst/>
                              </a:prstGeom>
                              <a:solidFill>
                                <a:srgbClr val="FFFFFF"/>
                              </a:solidFill>
                              <a:ln w="6350">
                                <a:solidFill>
                                  <a:prstClr val="black"/>
                                </a:solidFill>
                              </a:ln>
                              <a:effectLst/>
                            </wps:spPr>
                            <wps:txbx>
                              <w:txbxContent>
                                <w:p>
                                  <w:r>
                                    <w:rPr>
                                      <w:rFonts w:hint="eastAsia"/>
                                    </w:rPr>
                                    <w:t>压裂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文本框 213"/>
                            <wps:cNvSpPr txBox="1"/>
                            <wps:spPr>
                              <a:xfrm>
                                <a:off x="6139" y="2438972"/>
                                <a:ext cx="1153" cy="422"/>
                              </a:xfrm>
                              <a:prstGeom prst="rect">
                                <a:avLst/>
                              </a:prstGeom>
                              <a:solidFill>
                                <a:srgbClr val="FFFFFF"/>
                              </a:solidFill>
                              <a:ln w="6350">
                                <a:solidFill>
                                  <a:prstClr val="black"/>
                                </a:solidFill>
                              </a:ln>
                              <a:effectLst/>
                            </wps:spPr>
                            <wps:txbx>
                              <w:txbxContent>
                                <w:p>
                                  <w:r>
                                    <w:rPr>
                                      <w:rFonts w:hint="eastAsia"/>
                                    </w:rPr>
                                    <w:t>放喷求产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 name="文本框 214"/>
                            <wps:cNvSpPr txBox="1"/>
                            <wps:spPr>
                              <a:xfrm>
                                <a:off x="4559" y="2438977"/>
                                <a:ext cx="1175" cy="422"/>
                              </a:xfrm>
                              <a:prstGeom prst="rect">
                                <a:avLst/>
                              </a:prstGeom>
                              <a:solidFill>
                                <a:srgbClr val="FFFFFF"/>
                              </a:solidFill>
                              <a:ln w="6350">
                                <a:solidFill>
                                  <a:prstClr val="black"/>
                                </a:solidFill>
                              </a:ln>
                              <a:effectLst/>
                            </wps:spPr>
                            <wps:txbx>
                              <w:txbxContent>
                                <w:p>
                                  <w:r>
                                    <w:t>下完钻管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文本框 211"/>
                            <wps:cNvSpPr txBox="1"/>
                            <wps:spPr>
                              <a:xfrm>
                                <a:off x="8887" y="2438948"/>
                                <a:ext cx="1417" cy="422"/>
                              </a:xfrm>
                              <a:prstGeom prst="rect">
                                <a:avLst/>
                              </a:prstGeom>
                              <a:solidFill>
                                <a:srgbClr val="FFFFFF"/>
                              </a:solidFill>
                              <a:ln w="6350">
                                <a:solidFill>
                                  <a:prstClr val="black"/>
                                </a:solidFill>
                              </a:ln>
                              <a:effectLst/>
                            </wps:spPr>
                            <wps:txbx>
                              <w:txbxContent>
                                <w:p>
                                  <w:r>
                                    <w:t>通井、刮削</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41" name="组合 241"/>
                          <wpg:cNvGrpSpPr/>
                          <wpg:grpSpPr>
                            <a:xfrm>
                              <a:off x="2954" y="2438213"/>
                              <a:ext cx="7354" cy="986"/>
                              <a:chOff x="2954" y="2438213"/>
                              <a:chExt cx="7354" cy="986"/>
                            </a:xfrm>
                            <a:effectLst/>
                          </wpg:grpSpPr>
                          <wps:wsp>
                            <wps:cNvPr id="218" name="直接箭头连接符 218"/>
                            <wps:cNvCnPr>
                              <a:stCxn id="207" idx="3"/>
                              <a:endCxn id="208" idx="1"/>
                            </wps:cNvCnPr>
                            <wps:spPr>
                              <a:xfrm flipV="1">
                                <a:off x="5081" y="2438215"/>
                                <a:ext cx="493" cy="7"/>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30" name="直接箭头连接符 230"/>
                            <wps:cNvCnPr>
                              <a:stCxn id="208" idx="3"/>
                              <a:endCxn id="209" idx="1"/>
                            </wps:cNvCnPr>
                            <wps:spPr>
                              <a:xfrm flipV="1">
                                <a:off x="6991" y="2438213"/>
                                <a:ext cx="507" cy="2"/>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31" name="直接箭头连接符 231"/>
                            <wps:cNvCnPr>
                              <a:stCxn id="209" idx="3"/>
                              <a:endCxn id="210" idx="1"/>
                            </wps:cNvCnPr>
                            <wps:spPr>
                              <a:xfrm>
                                <a:off x="8915" y="2438213"/>
                                <a:ext cx="445" cy="3"/>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34" name="直接箭头连接符 234"/>
                            <wps:cNvCnPr>
                              <a:stCxn id="215" idx="1"/>
                              <a:endCxn id="216" idx="3"/>
                            </wps:cNvCnPr>
                            <wps:spPr>
                              <a:xfrm flipH="1">
                                <a:off x="2954" y="2439197"/>
                                <a:ext cx="415" cy="2"/>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36" name="直接箭头连接符 236"/>
                            <wps:cNvCnPr>
                              <a:stCxn id="214" idx="1"/>
                              <a:endCxn id="215" idx="3"/>
                            </wps:cNvCnPr>
                            <wps:spPr>
                              <a:xfrm flipH="1">
                                <a:off x="4117" y="2439188"/>
                                <a:ext cx="442" cy="9"/>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37" name="直接箭头连接符 237"/>
                            <wps:cNvCnPr>
                              <a:stCxn id="213" idx="1"/>
                              <a:endCxn id="214" idx="3"/>
                            </wps:cNvCnPr>
                            <wps:spPr>
                              <a:xfrm flipH="1">
                                <a:off x="5734" y="2439183"/>
                                <a:ext cx="405" cy="5"/>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39" name="直接箭头连接符 239"/>
                            <wps:cNvCnPr>
                              <a:stCxn id="212" idx="1"/>
                              <a:endCxn id="213" idx="3"/>
                            </wps:cNvCnPr>
                            <wps:spPr>
                              <a:xfrm flipH="1">
                                <a:off x="7292" y="2439168"/>
                                <a:ext cx="389" cy="15"/>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17" name="直接箭头连接符 217"/>
                            <wps:cNvCnPr>
                              <a:stCxn id="206" idx="3"/>
                              <a:endCxn id="207" idx="1"/>
                            </wps:cNvCnPr>
                            <wps:spPr>
                              <a:xfrm flipV="1">
                                <a:off x="3778" y="2438222"/>
                                <a:ext cx="520" cy="7"/>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32" name="肘形连接符 232"/>
                            <wps:cNvCnPr>
                              <a:stCxn id="210" idx="3"/>
                              <a:endCxn id="211" idx="3"/>
                            </wps:cNvCnPr>
                            <wps:spPr>
                              <a:xfrm>
                                <a:off x="10304" y="2438216"/>
                                <a:ext cx="5" cy="943"/>
                              </a:xfrm>
                              <a:prstGeom prst="bentConnector3">
                                <a:avLst>
                                  <a:gd name="adj1" fmla="val 4280000"/>
                                </a:avLst>
                              </a:prstGeom>
                              <a:noFill/>
                              <a:ln w="12700" cap="flat" cmpd="sng" algn="ctr">
                                <a:solidFill>
                                  <a:srgbClr val="000000"/>
                                </a:solidFill>
                                <a:prstDash val="solid"/>
                                <a:miter lim="800000"/>
                                <a:headEnd type="none"/>
                                <a:tailEnd type="triangle" w="med" len="med"/>
                              </a:ln>
                              <a:effectLst/>
                            </wps:spPr>
                            <wps:bodyPr/>
                          </wps:wsp>
                          <wps:wsp>
                            <wps:cNvPr id="233" name="直接箭头连接符 233"/>
                            <wps:cNvCnPr>
                              <a:stCxn id="211" idx="1"/>
                              <a:endCxn id="212" idx="3"/>
                            </wps:cNvCnPr>
                            <wps:spPr>
                              <a:xfrm flipH="1">
                                <a:off x="8429" y="2439159"/>
                                <a:ext cx="458" cy="9"/>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g:grpSp>
                      <wpg:grpSp>
                        <wpg:cNvPr id="257" name="组合 257"/>
                        <wpg:cNvGrpSpPr/>
                        <wpg:grpSpPr>
                          <a:xfrm>
                            <a:off x="2511" y="2437719"/>
                            <a:ext cx="7609" cy="2954"/>
                            <a:chOff x="2511" y="2437719"/>
                            <a:chExt cx="7609" cy="2954"/>
                          </a:xfrm>
                          <a:effectLst/>
                        </wpg:grpSpPr>
                        <wpg:grpSp>
                          <wpg:cNvPr id="255" name="组合 255"/>
                          <wpg:cNvGrpSpPr/>
                          <wpg:grpSpPr>
                            <a:xfrm>
                              <a:off x="2511" y="2437719"/>
                              <a:ext cx="7609" cy="2954"/>
                              <a:chOff x="2511" y="2437719"/>
                              <a:chExt cx="7609" cy="2954"/>
                            </a:xfrm>
                            <a:effectLst/>
                          </wpg:grpSpPr>
                          <wps:wsp>
                            <wps:cNvPr id="243" name="文本框 243"/>
                            <wps:cNvSpPr txBox="1"/>
                            <wps:spPr>
                              <a:xfrm>
                                <a:off x="2511" y="2437719"/>
                                <a:ext cx="783" cy="422"/>
                              </a:xfrm>
                              <a:prstGeom prst="rect">
                                <a:avLst/>
                              </a:prstGeom>
                              <a:noFill/>
                              <a:ln w="6350">
                                <a:noFill/>
                              </a:ln>
                              <a:effectLst/>
                            </wps:spPr>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文本框 246"/>
                            <wps:cNvSpPr txBox="1"/>
                            <wps:spPr>
                              <a:xfrm>
                                <a:off x="4676" y="2440251"/>
                                <a:ext cx="783" cy="422"/>
                              </a:xfrm>
                              <a:prstGeom prst="rect">
                                <a:avLst/>
                              </a:prstGeom>
                              <a:noFill/>
                              <a:ln w="6350">
                                <a:noFill/>
                              </a:ln>
                              <a:effectLst/>
                            </wps:spPr>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 name="文本框 247"/>
                            <wps:cNvSpPr txBox="1"/>
                            <wps:spPr>
                              <a:xfrm>
                                <a:off x="8936" y="2440220"/>
                                <a:ext cx="1184" cy="422"/>
                              </a:xfrm>
                              <a:prstGeom prst="rect">
                                <a:avLst/>
                              </a:prstGeom>
                              <a:noFill/>
                              <a:ln w="6350">
                                <a:noFill/>
                              </a:ln>
                              <a:effectLst/>
                            </wps:spPr>
                            <wps:txbx>
                              <w:txbxContent>
                                <w:p>
                                  <w:r>
                                    <w:rPr>
                                      <w:rFonts w:hint="eastAsia"/>
                                    </w:rPr>
                                    <w:t>含油污泥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文本框 248"/>
                            <wps:cNvSpPr txBox="1"/>
                            <wps:spPr>
                              <a:xfrm>
                                <a:off x="7295" y="2440234"/>
                                <a:ext cx="1370" cy="422"/>
                              </a:xfrm>
                              <a:prstGeom prst="rect">
                                <a:avLst/>
                              </a:prstGeom>
                              <a:noFill/>
                              <a:ln w="6350">
                                <a:noFill/>
                              </a:ln>
                              <a:effectLst/>
                            </wps:spPr>
                            <wps:txbx>
                              <w:txbxContent>
                                <w:p>
                                  <w:r>
                                    <w:rPr>
                                      <w:rFonts w:hint="eastAsia"/>
                                    </w:rPr>
                                    <w:t>压裂返排液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直接箭头连接符 249"/>
                            <wps:cNvCnPr>
                              <a:stCxn id="206" idx="0"/>
                              <a:endCxn id="243" idx="2"/>
                            </wps:cNvCnPr>
                            <wps:spPr>
                              <a:xfrm flipH="1" flipV="1">
                                <a:off x="2903" y="2438141"/>
                                <a:ext cx="5" cy="361"/>
                              </a:xfrm>
                              <a:prstGeom prst="straightConnector1">
                                <a:avLst/>
                              </a:prstGeom>
                              <a:noFill/>
                              <a:ln w="12700" cap="flat" cmpd="sng" algn="ctr">
                                <a:solidFill>
                                  <a:srgbClr val="000000"/>
                                </a:solidFill>
                                <a:prstDash val="sysDash"/>
                                <a:miter lim="800000"/>
                                <a:headEnd type="none"/>
                                <a:tailEnd type="triangle" w="med" len="med"/>
                              </a:ln>
                              <a:effectLst/>
                            </wps:spPr>
                            <wps:bodyPr/>
                          </wps:wsp>
                        </wpg:grpSp>
                        <wpg:grpSp>
                          <wpg:cNvPr id="256" name="组合 256"/>
                          <wpg:cNvGrpSpPr/>
                          <wpg:grpSpPr>
                            <a:xfrm>
                              <a:off x="5066" y="2439854"/>
                              <a:ext cx="4461" cy="397"/>
                              <a:chOff x="5066" y="2439854"/>
                              <a:chExt cx="4461" cy="397"/>
                            </a:xfrm>
                            <a:effectLst/>
                          </wpg:grpSpPr>
                          <wps:wsp>
                            <wps:cNvPr id="253" name="直接箭头连接符 253"/>
                            <wps:cNvCnPr>
                              <a:stCxn id="212" idx="2"/>
                              <a:endCxn id="248" idx="0"/>
                            </wps:cNvCnPr>
                            <wps:spPr>
                              <a:xfrm>
                                <a:off x="7974" y="2439863"/>
                                <a:ext cx="6" cy="371"/>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254" name="直接箭头连接符 254"/>
                            <wps:cNvCnPr>
                              <a:stCxn id="214" idx="2"/>
                              <a:endCxn id="246" idx="0"/>
                            </wps:cNvCnPr>
                            <wps:spPr>
                              <a:xfrm>
                                <a:off x="5066" y="2439883"/>
                                <a:ext cx="2" cy="368"/>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252" name="直接箭头连接符 252"/>
                            <wps:cNvCnPr>
                              <a:stCxn id="211" idx="2"/>
                              <a:endCxn id="247" idx="0"/>
                            </wps:cNvCnPr>
                            <wps:spPr>
                              <a:xfrm>
                                <a:off x="9515" y="2439854"/>
                                <a:ext cx="13" cy="366"/>
                              </a:xfrm>
                              <a:prstGeom prst="straightConnector1">
                                <a:avLst/>
                              </a:prstGeom>
                              <a:noFill/>
                              <a:ln w="12700" cap="flat" cmpd="sng" algn="ctr">
                                <a:solidFill>
                                  <a:srgbClr val="000000"/>
                                </a:solidFill>
                                <a:prstDash val="sysDash"/>
                                <a:miter lim="800000"/>
                                <a:headEnd type="none"/>
                                <a:tailEnd type="triangle" w="med" len="med"/>
                              </a:ln>
                              <a:effectLst/>
                            </wps:spPr>
                            <wps:bodyPr/>
                          </wps:wsp>
                        </wpg:grpSp>
                      </wpg:grpSp>
                    </wpg:wgp>
                  </a:graphicData>
                </a:graphic>
              </wp:anchor>
            </w:drawing>
          </mc:Choice>
          <mc:Fallback>
            <w:pict>
              <v:group id="_x0000_s1026" o:spid="_x0000_s1026" o:spt="203" style="position:absolute;left:0pt;margin-left:2.35pt;margin-top:4.4pt;height:147.7pt;width:405.45pt;z-index:251667456;mso-width-relative:page;mso-height-relative:page;" coordorigin="2118,2437719" coordsize="8109,2954" o:gfxdata="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">
                <o:lock v:ext="edit" aspectratio="f"/>
                <v:group id="_x0000_s1026" o:spid="_x0000_s1026" o:spt="203" style="position:absolute;left:2118;top:2438486;height:1408;width:8109;" coordorigin="2199,2438002" coordsize="8109,1408" o:gfxdata="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9Lfo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199;top:2438002;height:1408;width:8105;" coordorigin="2199,2438002" coordsize="8105,1408"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199;top:2438018;height:422;width:1579;" fillcolor="#FFFFFF" filled="t" stroked="t" coordsize="21600,21600" o:gfxdata="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SqW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r>
                              <w:rPr>
                                <w:rFonts w:hint="eastAsia"/>
                              </w:rPr>
                              <w:t>井架设备安装</w:t>
                            </w:r>
                          </w:p>
                        </w:txbxContent>
                      </v:textbox>
                    </v:shape>
                    <v:shape id="_x0000_s1026" o:spid="_x0000_s1026" o:spt="202" type="#_x0000_t202" style="position:absolute;left:4298;top:2438011;height:422;width:783;" fillcolor="#FFFFFF" filled="t" stroked="t" coordsize="21600,21600" o:gfxdata="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o7z6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r>
                              <w:rPr>
                                <w:rFonts w:hint="eastAsia"/>
                              </w:rPr>
                              <w:t>试压</w:t>
                            </w:r>
                          </w:p>
                        </w:txbxContent>
                      </v:textbox>
                    </v:shape>
                    <v:shape id="_x0000_s1026" o:spid="_x0000_s1026" o:spt="202" type="#_x0000_t202" style="position:absolute;left:5574;top:2438004;height:422;width:1417;" fillcolor="#FFFFFF" filled="t" stroked="t" coordsize="21600,21600" o:gfxdata="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V93tMtAAAANw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r>
                              <w:rPr>
                                <w:rFonts w:hint="eastAsia"/>
                              </w:rPr>
                              <w:t>起原井杆柱</w:t>
                            </w:r>
                          </w:p>
                        </w:txbxContent>
                      </v:textbox>
                    </v:shape>
                    <v:shape id="_x0000_s1026" o:spid="_x0000_s1026" o:spt="202" type="#_x0000_t202" style="position:absolute;left:7498;top:2438002;height:422;width:1417;" fillcolor="#FFFFFF" filled="t" stroked="t" coordsize="21600,21600" o:gfxdata="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73te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r>
                              <w:rPr>
                                <w:rFonts w:hint="eastAsia"/>
                              </w:rPr>
                              <w:t>防喷、试压</w:t>
                            </w:r>
                          </w:p>
                        </w:txbxContent>
                      </v:textbox>
                    </v:shape>
                    <v:shape id="_x0000_s1026" o:spid="_x0000_s1026" o:spt="202" type="#_x0000_t202" style="position:absolute;left:3369;top:2438986;height:422;width:748;" fillcolor="#FFFFFF" filled="t" stroked="t" coordsize="21600,21600" o:gfxdata="UEsDBAoAAAAAAIdO4kAAAAAAAAAAAAAAAAAEAAAAZHJzL1BLAwQUAAAACACHTuJAPi9CD7wAAADc&#10;AAAADwAAAGRycy9kb3ducmV2LnhtbEWPS2vDMBCE74X8B7GB3Br5QUN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Q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r>
                              <w:rPr>
                                <w:rFonts w:hint="eastAsia"/>
                              </w:rPr>
                              <w:t>试抽</w:t>
                            </w:r>
                          </w:p>
                        </w:txbxContent>
                      </v:textbox>
                    </v:shape>
                    <v:shape id="_x0000_s1026" o:spid="_x0000_s1026" o:spt="202" type="#_x0000_t202" style="position:absolute;left:2206;top:2438988;height:422;width:748;" fillcolor="#FFFFFF" filled="t" stroked="t" coordsize="21600,21600" o:gfxdata="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3ce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r>
                              <w:rPr>
                                <w:rFonts w:hint="eastAsia"/>
                              </w:rPr>
                              <w:t>完井</w:t>
                            </w:r>
                          </w:p>
                        </w:txbxContent>
                      </v:textbox>
                    </v:shape>
                    <v:shape id="_x0000_s1026" o:spid="_x0000_s1026" o:spt="202" type="#_x0000_t202" style="position:absolute;left:9360;top:2438005;height:422;width:944;" fillcolor="#FFFFFF" filled="t" stroked="t" coordsize="21600,21600" o:gfxdata="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ljhl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起管柱</w:t>
                            </w:r>
                          </w:p>
                        </w:txbxContent>
                      </v:textbox>
                    </v:shape>
                    <v:shape id="_x0000_s1026" o:spid="_x0000_s1026" o:spt="202" type="#_x0000_t202" style="position:absolute;left:7681;top:2438957;height:422;width:748;" fillcolor="#FFFFFF" filled="t" stroked="t" coordsize="21600,21600" o:gfxdata="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xtp7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r>
                              <w:rPr>
                                <w:rFonts w:hint="eastAsia"/>
                              </w:rPr>
                              <w:t>压裂</w:t>
                            </w:r>
                          </w:p>
                        </w:txbxContent>
                      </v:textbox>
                    </v:shape>
                    <v:shape id="_x0000_s1026" o:spid="_x0000_s1026" o:spt="202" type="#_x0000_t202" style="position:absolute;left:6139;top:2438972;height:422;width:1153;" fillcolor="#FFFFFF" filled="t" stroked="t" coordsize="21600,21600" o:gfxdata="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p/4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r>
                              <w:rPr>
                                <w:rFonts w:hint="eastAsia"/>
                              </w:rPr>
                              <w:t>放喷求产</w:t>
                            </w:r>
                          </w:p>
                        </w:txbxContent>
                      </v:textbox>
                    </v:shape>
                    <v:shape id="_x0000_s1026" o:spid="_x0000_s1026" o:spt="202" type="#_x0000_t202" style="position:absolute;left:4559;top:2438977;height:422;width:1175;" fillcolor="#FFFFFF" filled="t" stroked="t" coordsize="21600,21600" o:gfxdata="UEsDBAoAAAAAAIdO4kAAAAAAAAAAAAAAAAAEAAAAZHJzL1BLAwQUAAAACACHTuJAUWPnlLwAAADc&#10;AAAADwAAAGRycy9kb3ducmV2LnhtbEWPS2vDMBCE74X8B7GB3Br5UUJ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j55S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r>
                              <w:t>下完钻管</w:t>
                            </w:r>
                          </w:p>
                        </w:txbxContent>
                      </v:textbox>
                    </v:shape>
                    <v:shape id="_x0000_s1026" o:spid="_x0000_s1026" o:spt="202" type="#_x0000_t202" style="position:absolute;left:8887;top:2438948;height:422;width:1417;" fillcolor="#FFFFFF" filled="t" stroked="t" coordsize="21600,21600" o:gfxdata="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FEQM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r>
                              <w:t>通井、刮削</w:t>
                            </w:r>
                          </w:p>
                        </w:txbxContent>
                      </v:textbox>
                    </v:shape>
                  </v:group>
                  <v:group id="_x0000_s1026" o:spid="_x0000_s1026" o:spt="203" style="position:absolute;left:2954;top:2438213;height:986;width:7354;" coordorigin="2954,2438213" coordsize="7354,986"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5081;top:2438215;flip:y;height:7;width:493;" filled="f" stroked="t" coordsize="21600,21600" o:gfxdata="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htoCugAAANw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_x0000_s1026" o:spid="_x0000_s1026" o:spt="32" type="#_x0000_t32" style="position:absolute;left:6991;top:2438213;flip:y;height:2;width:507;" filled="f" stroked="t" coordsize="21600,21600" o:gfxdata="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WKZL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_x0000_s1026" o:spid="_x0000_s1026" o:spt="32" type="#_x0000_t32" style="position:absolute;left:8915;top:2438213;height:3;width:445;" filled="f" stroked="t" coordsize="21600,21600" o:gfxdata="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nXQ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_x0000_s1026" o:spid="_x0000_s1026" o:spt="32" type="#_x0000_t32" style="position:absolute;left:2954;top:2439197;flip:x;height:2;width:415;" filled="f" stroked="t" coordsize="21600,21600" o:gfxdata="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6MZ7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2" type="#_x0000_t32" style="position:absolute;left:4117;top:2439188;flip:x;height:9;width:442;" filled="f" stroked="t" coordsize="21600,21600" o:gfxdata="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LeL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_x0000_s1026" o:spid="_x0000_s1026" o:spt="32" type="#_x0000_t32" style="position:absolute;left:5734;top:2439183;flip:x;height:5;width:405;" filled="f" stroked="t" coordsize="21600,21600" o:gfxdata="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wSEL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2" type="#_x0000_t32" style="position:absolute;left:7292;top:2439168;flip:x;height:15;width:389;" filled="f" stroked="t" coordsize="21600,21600" o:gfxdata="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P5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_x0000_s1026" o:spid="_x0000_s1026" o:spt="32" type="#_x0000_t32" style="position:absolute;left:3778;top:2438222;flip:y;height:7;width:520;" filled="f" stroked="t" coordsize="21600,21600" o:gfxdata="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lOcL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4" type="#_x0000_t34" style="position:absolute;left:10304;top:2438216;height:943;width:5;" filled="f" stroked="t" coordsize="21600,21600" o:gfxdata="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sXu/&#10;AAAA3AAAAA8AAAAAAAAAAQAgAAAAIgAAAGRycy9kb3ducmV2LnhtbFBLAQIUABQAAAAIAIdO4kAz&#10;LwWeOwAAADkAAAAQAAAAAAAAAAEAIAAAAA4BAABkcnMvc2hhcGV4bWwueG1sUEsFBgAAAAAGAAYA&#10;WwEAALgDAAAAAA==&#10;" adj="924480">
                      <v:fill on="f" focussize="0,0"/>
                      <v:stroke weight="1pt" color="#000000" miterlimit="8" joinstyle="miter" endarrow="block"/>
                      <v:imagedata o:title=""/>
                      <o:lock v:ext="edit" aspectratio="f"/>
                    </v:shape>
                    <v:shape id="_x0000_s1026" o:spid="_x0000_s1026" o:spt="32" type="#_x0000_t32" style="position:absolute;left:8429;top:2439159;flip:x;height:9;width:458;" filled="f" stroked="t" coordsize="21600,21600" o:gfxdata="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xQT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group>
                </v:group>
                <v:group id="_x0000_s1026" o:spid="_x0000_s1026" o:spt="203" style="position:absolute;left:2511;top:2437719;height:2954;width:7609;" coordorigin="2511,2437719" coordsize="7609,2954"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511;top:2437719;height:2954;width:7609;" coordorigin="2511,2437719" coordsize="7609,2954"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511;top:2437719;height:422;width:783;" filled="f" stroked="f" coordsize="21600,21600" o:gfxdata="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XS0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噪声</w:t>
                            </w:r>
                          </w:p>
                        </w:txbxContent>
                      </v:textbox>
                    </v:shape>
                    <v:shape id="_x0000_s1026" o:spid="_x0000_s1026" o:spt="202" type="#_x0000_t202" style="position:absolute;left:4676;top:2440251;height:422;width:783;" filled="f" stroked="f" coordsize="21600,21600" o:gfxdata="UEsDBAoAAAAAAIdO4kAAAAAAAAAAAAAAAAAEAAAAZHJzL1BLAwQUAAAACACHTuJAAiDo3cAAAADc&#10;AAAADwAAAGRycy9kb3ducmV2LnhtbEWPQWvCQBSE7wX/w/IEb3WTY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Oj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噪声</w:t>
                            </w:r>
                          </w:p>
                        </w:txbxContent>
                      </v:textbox>
                    </v:shape>
                    <v:shape id="_x0000_s1026" o:spid="_x0000_s1026" o:spt="202" type="#_x0000_t202" style="position:absolute;left:8936;top:2440220;height:422;width:1184;" filled="f" stroked="f" coordsize="21600,21600" o:gfxdata="UEsDBAoAAAAAAIdO4kAAAAAAAAAAAAAAAAAEAAAAZHJzL1BLAwQUAAAACACHTuJAbWxNRr8AAADc&#10;AAAADwAAAGRycy9kb3ducmV2LnhtbEWPT4vCMBTE78J+h/AW9qapR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T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含油污泥</w:t>
                            </w:r>
                          </w:p>
                        </w:txbxContent>
                      </v:textbox>
                    </v:shape>
                    <v:shape id="_x0000_s1026" o:spid="_x0000_s1026" o:spt="202" type="#_x0000_t202" style="position:absolute;left:7295;top:2440234;height:422;width:1370;" filled="f" stroked="f" coordsize="21600,21600" o:gfxdata="UEsDBAoAAAAAAIdO4kAAAAAAAAAAAAAAAAAEAAAAZHJzL1BLAwQUAAAACACHTuJAHPPZNL0AAADc&#10;AAAADwAAAGRycy9kb3ducmV2LnhtbEVPTWvCQBC9C/6HZQredGPQ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9k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压裂返排液</w:t>
                            </w:r>
                          </w:p>
                        </w:txbxContent>
                      </v:textbox>
                    </v:shape>
                    <v:shape id="_x0000_s1026" o:spid="_x0000_s1026" o:spt="32" type="#_x0000_t32" style="position:absolute;left:2903;top:2438141;flip:x y;height:361;width:5;" filled="f" stroked="t" coordsize="21600,21600" o:gfxdata="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e+ovQAA&#10;ANwAAAAPAAAAAAAAAAEAIAAAACIAAABkcnMvZG93bnJldi54bWxQSwECFAAUAAAACACHTuJAMy8F&#10;njsAAAA5AAAAEAAAAAAAAAABACAAAAAMAQAAZHJzL3NoYXBleG1sLnhtbFBLBQYAAAAABgAGAFsB&#10;AAC2AwAAAAA=&#10;">
                      <v:fill on="f" focussize="0,0"/>
                      <v:stroke weight="1pt" color="#000000" miterlimit="8" joinstyle="miter" dashstyle="3 1" endarrow="block"/>
                      <v:imagedata o:title=""/>
                      <o:lock v:ext="edit" aspectratio="f"/>
                    </v:shape>
                  </v:group>
                  <v:group id="_x0000_s1026" o:spid="_x0000_s1026" o:spt="203" style="position:absolute;left:5066;top:2439854;height:397;width:4461;" coordorigin="5066,2439854" coordsize="4461,397"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974;top:2439863;height:371;width:6;" filled="f" stroked="t" coordsize="21600,21600" o:gfxdata="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aGcO&#10;wAAAANwAAAAPAAAAAAAAAAEAIAAAACIAAABkcnMvZG93bnJldi54bWxQSwECFAAUAAAACACHTuJA&#10;My8FnjsAAAA5AAAAEAAAAAAAAAABACAAAAAPAQAAZHJzL3NoYXBleG1sLnhtbFBLBQYAAAAABgAG&#10;AFsBAAC5AwAAAAA=&#10;">
                      <v:fill on="f" focussize="0,0"/>
                      <v:stroke weight="1pt" color="#000000" miterlimit="8" joinstyle="miter" dashstyle="3 1" endarrow="block"/>
                      <v:imagedata o:title=""/>
                      <o:lock v:ext="edit" aspectratio="f"/>
                    </v:shape>
                    <v:shape id="_x0000_s1026" o:spid="_x0000_s1026" o:spt="32" type="#_x0000_t32" style="position:absolute;left:5066;top:2439883;height:368;width:2;" filled="f" stroked="t" coordsize="21600,21600" o:gfxdata="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gf96&#10;wAAAANwAAAAPAAAAAAAAAAEAIAAAACIAAABkcnMvZG93bnJldi54bWxQSwECFAAUAAAACACHTuJA&#10;My8FnjsAAAA5AAAAEAAAAAAAAAABACAAAAAPAQAAZHJzL3NoYXBleG1sLnhtbFBLBQYAAAAABgAG&#10;AFsBAAC5AwAAAAA=&#10;">
                      <v:fill on="f" focussize="0,0"/>
                      <v:stroke weight="1pt" color="#000000" miterlimit="8" joinstyle="miter" dashstyle="3 1" endarrow="block"/>
                      <v:imagedata o:title=""/>
                      <o:lock v:ext="edit" aspectratio="f"/>
                    </v:shape>
                    <v:shape id="_x0000_s1026" o:spid="_x0000_s1026" o:spt="32" type="#_x0000_t32" style="position:absolute;left:9515;top:2439854;height:366;width:13;" filled="f" stroked="t" coordsize="21600,21600" o:gfxdata="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kwpW/&#10;AAAA3AAAAA8AAAAAAAAAAQAgAAAAIgAAAGRycy9kb3ducmV2LnhtbFBLAQIUABQAAAAIAIdO4kAz&#10;LwWeOwAAADkAAAAQAAAAAAAAAAEAIAAAAA4BAABkcnMvc2hhcGV4bWwueG1sUEsFBgAAAAAGAAYA&#10;WwEAALgDAAAAAA==&#10;">
                      <v:fill on="f" focussize="0,0"/>
                      <v:stroke weight="1pt" color="#000000" miterlimit="8" joinstyle="miter" dashstyle="3 1" endarrow="block"/>
                      <v:imagedata o:title=""/>
                      <o:lock v:ext="edit" aspectratio="f"/>
                    </v:shape>
                  </v:group>
                </v:group>
              </v:group>
            </w:pict>
          </mc:Fallback>
        </mc:AlternateContent>
      </w:r>
    </w:p>
    <w:p>
      <w:pPr>
        <w:spacing w:line="360" w:lineRule="auto"/>
        <w:ind w:firstLine="480" w:firstLineChars="200"/>
        <w:rPr>
          <w:rFonts w:hint="default" w:ascii="Times New Roman" w:hAnsi="Times New Roman" w:eastAsia="宋体" w:cs="Times New Roman"/>
          <w:color w:val="auto"/>
          <w:kern w:val="0"/>
          <w:sz w:val="24"/>
        </w:rPr>
      </w:pPr>
    </w:p>
    <w:p>
      <w:pPr>
        <w:pStyle w:val="33"/>
        <w:rPr>
          <w:rFonts w:hint="default" w:ascii="Times New Roman" w:hAnsi="Times New Roman" w:eastAsia="宋体" w:cs="Times New Roman"/>
          <w:color w:val="auto"/>
          <w:kern w:val="0"/>
        </w:rPr>
      </w:pPr>
    </w:p>
    <w:p>
      <w:pPr>
        <w:rPr>
          <w:rFonts w:hint="default" w:ascii="Times New Roman" w:hAnsi="Times New Roman" w:eastAsia="宋体" w:cs="Times New Roman"/>
          <w:color w:val="auto"/>
          <w:kern w:val="0"/>
          <w:sz w:val="24"/>
        </w:rPr>
      </w:pPr>
    </w:p>
    <w:p>
      <w:pPr>
        <w:pStyle w:val="33"/>
        <w:rPr>
          <w:rFonts w:hint="default" w:ascii="Times New Roman" w:hAnsi="Times New Roman" w:eastAsia="宋体" w:cs="Times New Roman"/>
          <w:color w:val="auto"/>
          <w:kern w:val="0"/>
        </w:rPr>
      </w:pPr>
    </w:p>
    <w:p>
      <w:pPr>
        <w:rPr>
          <w:rFonts w:hint="default" w:ascii="Times New Roman" w:hAnsi="Times New Roman" w:eastAsia="宋体" w:cs="Times New Roman"/>
          <w:color w:val="auto"/>
          <w:kern w:val="0"/>
          <w:sz w:val="24"/>
        </w:rPr>
      </w:pPr>
    </w:p>
    <w:p>
      <w:pPr>
        <w:pStyle w:val="33"/>
        <w:rPr>
          <w:rFonts w:hint="default" w:ascii="Times New Roman" w:hAnsi="Times New Roman" w:eastAsia="宋体" w:cs="Times New Roman"/>
          <w:color w:val="auto"/>
          <w:kern w:val="0"/>
        </w:rPr>
      </w:pPr>
    </w:p>
    <w:p>
      <w:pPr>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51"/>
        <w:spacing w:after="0"/>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图3.7-8  压裂改造作业施工流程及产污环节示意图</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3.7.4.4注水工程</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sz w:val="24"/>
        </w:rPr>
        <w:t>本项目运营期</w:t>
      </w:r>
      <w:r>
        <w:rPr>
          <w:rFonts w:hint="default" w:ascii="Times New Roman" w:hAnsi="Times New Roman" w:eastAsia="宋体" w:cs="Times New Roman"/>
          <w:color w:val="auto"/>
          <w:sz w:val="24"/>
        </w:rPr>
        <w:t>注水井回注工程采用“单干管多井配水”工艺，</w:t>
      </w:r>
      <w:r>
        <w:rPr>
          <w:rFonts w:hint="eastAsia" w:ascii="Times New Roman" w:hAnsi="Times New Roman" w:eastAsia="宋体" w:cs="Times New Roman"/>
          <w:color w:val="auto"/>
          <w:kern w:val="0"/>
          <w:sz w:val="24"/>
          <w:lang w:eastAsia="zh-CN"/>
        </w:rPr>
        <w:t>即陆12注水站增压后的高压水通过注水干支线输送至配水橇，通过橇内分水器向各注水单井进行配注，再通过单井管线输送至各注水井口。</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本项目注水井回注工艺见图3.7-9。</w:t>
      </w:r>
    </w:p>
    <w:p>
      <w:pPr>
        <w:pStyle w:val="33"/>
        <w:rPr>
          <w:rFonts w:hint="default" w:ascii="Times New Roman" w:hAnsi="Times New Roman" w:cs="Times New Roman"/>
          <w:b/>
          <w:bCs/>
          <w:color w:val="auto"/>
          <w:kern w:val="0"/>
          <w:sz w:val="21"/>
          <w:szCs w:val="21"/>
        </w:rPr>
      </w:pPr>
      <w:r>
        <w:rPr>
          <w:color w:val="auto"/>
        </w:rPr>
        <mc:AlternateContent>
          <mc:Choice Requires="wps">
            <w:drawing>
              <wp:anchor distT="0" distB="0" distL="114300" distR="114300" simplePos="0" relativeHeight="251673600" behindDoc="0" locked="0" layoutInCell="1" allowOverlap="1">
                <wp:simplePos x="0" y="0"/>
                <wp:positionH relativeFrom="column">
                  <wp:posOffset>1252855</wp:posOffset>
                </wp:positionH>
                <wp:positionV relativeFrom="paragraph">
                  <wp:posOffset>401955</wp:posOffset>
                </wp:positionV>
                <wp:extent cx="1095375" cy="3810"/>
                <wp:effectExtent l="0" t="34290" r="9525" b="38100"/>
                <wp:wrapNone/>
                <wp:docPr id="79" name="直接箭头连接符 33"/>
                <wp:cNvGraphicFramePr/>
                <a:graphic xmlns:a="http://schemas.openxmlformats.org/drawingml/2006/main">
                  <a:graphicData uri="http://schemas.microsoft.com/office/word/2010/wordprocessingShape">
                    <wps:wsp>
                      <wps:cNvCnPr/>
                      <wps:spPr>
                        <a:xfrm>
                          <a:off x="0" y="0"/>
                          <a:ext cx="1095375" cy="3810"/>
                        </a:xfrm>
                        <a:prstGeom prst="straightConnector1">
                          <a:avLst/>
                        </a:prstGeom>
                        <a:noFill/>
                        <a:ln w="12700" cap="flat" cmpd="sng" algn="ctr">
                          <a:solidFill>
                            <a:srgbClr val="000000"/>
                          </a:solidFill>
                          <a:prstDash val="solid"/>
                          <a:miter lim="800000"/>
                          <a:headEnd type="none"/>
                          <a:tailEnd type="triangle" w="med" len="med"/>
                        </a:ln>
                        <a:effectLst/>
                      </wps:spPr>
                      <wps:bodyPr/>
                    </wps:wsp>
                  </a:graphicData>
                </a:graphic>
              </wp:anchor>
            </w:drawing>
          </mc:Choice>
          <mc:Fallback>
            <w:pict>
              <v:shape id="直接箭头连接符 33" o:spid="_x0000_s1026" o:spt="32" type="#_x0000_t32" style="position:absolute;left:0pt;margin-left:98.65pt;margin-top:31.65pt;height:0.3pt;width:86.25pt;z-index:251673600;mso-width-relative:page;mso-height-relative:page;" filled="f" stroked="t" coordsize="21600,21600" o:gfxdata="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DYYTXAAAACQEAAA8AAAAAAAAAAQAgAAAAIgAA&#10;AGRycy9kb3ducmV2LnhtbFBLAQIUABQAAAAIAIdO4kBb/bZaCQIAANEDAAAOAAAAAAAAAAEAIAAA&#10;ACYBAABkcnMvZTJvRG9jLnhtbFBLBQYAAAAABgAGAFkBAAChBQAAAAA=&#10;">
                <v:fill on="f" focussize="0,0"/>
                <v:stroke weight="1pt" color="#000000"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674624" behindDoc="0" locked="0" layoutInCell="1" allowOverlap="1">
                <wp:simplePos x="0" y="0"/>
                <wp:positionH relativeFrom="column">
                  <wp:posOffset>2985135</wp:posOffset>
                </wp:positionH>
                <wp:positionV relativeFrom="paragraph">
                  <wp:posOffset>401955</wp:posOffset>
                </wp:positionV>
                <wp:extent cx="984885" cy="3175"/>
                <wp:effectExtent l="0" t="34925" r="5715" b="38100"/>
                <wp:wrapNone/>
                <wp:docPr id="331" name="直接箭头连接符 33"/>
                <wp:cNvGraphicFramePr/>
                <a:graphic xmlns:a="http://schemas.openxmlformats.org/drawingml/2006/main">
                  <a:graphicData uri="http://schemas.microsoft.com/office/word/2010/wordprocessingShape">
                    <wps:wsp>
                      <wps:cNvCnPr/>
                      <wps:spPr>
                        <a:xfrm>
                          <a:off x="0" y="0"/>
                          <a:ext cx="984885" cy="3175"/>
                        </a:xfrm>
                        <a:prstGeom prst="straightConnector1">
                          <a:avLst/>
                        </a:prstGeom>
                        <a:noFill/>
                        <a:ln w="12700" cap="flat" cmpd="sng" algn="ctr">
                          <a:solidFill>
                            <a:srgbClr val="000000"/>
                          </a:solidFill>
                          <a:prstDash val="solid"/>
                          <a:miter lim="800000"/>
                          <a:headEnd type="none"/>
                          <a:tailEnd type="triangle" w="med" len="med"/>
                        </a:ln>
                        <a:effectLst/>
                      </wps:spPr>
                      <wps:bodyPr/>
                    </wps:wsp>
                  </a:graphicData>
                </a:graphic>
              </wp:anchor>
            </w:drawing>
          </mc:Choice>
          <mc:Fallback>
            <w:pict>
              <v:shape id="直接箭头连接符 33" o:spid="_x0000_s1026" o:spt="32" type="#_x0000_t32" style="position:absolute;left:0pt;margin-left:235.05pt;margin-top:31.65pt;height:0.25pt;width:77.55pt;z-index:251674624;mso-width-relative:page;mso-height-relative:page;" filled="f" stroked="t" coordsize="21600,21600" o:gfxdata="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v4OtHXAAAACQEAAA8AAAAAAAAAAQAgAAAAIgAA&#10;AGRycy9kb3ducmV2LnhtbFBLAQIUABQAAAAIAIdO4kCGYTIzCQIAANEDAAAOAAAAAAAAAAEAIAAA&#10;ACYBAABkcnMvZTJvRG9jLnhtbFBLBQYAAAAABgAGAFkBAAChBQAAAAA=&#10;">
                <v:fill on="f" focussize="0,0"/>
                <v:stroke weight="1pt" color="#000000" miterlimit="8" joinstyle="miter" endarrow="block"/>
                <v:imagedata o:title=""/>
                <o:lock v:ext="edit" aspectratio="f"/>
              </v:shape>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668480" behindDoc="0" locked="0" layoutInCell="1" allowOverlap="1">
                <wp:simplePos x="0" y="0"/>
                <wp:positionH relativeFrom="column">
                  <wp:posOffset>310515</wp:posOffset>
                </wp:positionH>
                <wp:positionV relativeFrom="paragraph">
                  <wp:posOffset>84455</wp:posOffset>
                </wp:positionV>
                <wp:extent cx="4273550" cy="1009015"/>
                <wp:effectExtent l="4445" t="0" r="8255" b="0"/>
                <wp:wrapTopAndBottom/>
                <wp:docPr id="120" name="组合 120"/>
                <wp:cNvGraphicFramePr/>
                <a:graphic xmlns:a="http://schemas.openxmlformats.org/drawingml/2006/main">
                  <a:graphicData uri="http://schemas.microsoft.com/office/word/2010/wordprocessingGroup">
                    <wpg:wgp>
                      <wpg:cNvGrpSpPr/>
                      <wpg:grpSpPr>
                        <a:xfrm>
                          <a:off x="1496060" y="5130165"/>
                          <a:ext cx="4273550" cy="1009015"/>
                          <a:chOff x="8996" y="1999119"/>
                          <a:chExt cx="6730" cy="1589"/>
                        </a:xfrm>
                        <a:effectLst/>
                      </wpg:grpSpPr>
                      <wpg:grpSp>
                        <wpg:cNvPr id="22" name="组合 22"/>
                        <wpg:cNvGrpSpPr/>
                        <wpg:grpSpPr>
                          <a:xfrm>
                            <a:off x="8996" y="1999119"/>
                            <a:ext cx="6730" cy="717"/>
                            <a:chOff x="2551" y="2213508"/>
                            <a:chExt cx="6730" cy="717"/>
                          </a:xfrm>
                          <a:effectLst/>
                        </wpg:grpSpPr>
                        <wpg:grpSp>
                          <wpg:cNvPr id="23" name="组合 262"/>
                          <wpg:cNvGrpSpPr/>
                          <wpg:grpSpPr>
                            <a:xfrm>
                              <a:off x="2551" y="2213515"/>
                              <a:ext cx="6730" cy="710"/>
                              <a:chOff x="1913" y="845022"/>
                              <a:chExt cx="6730" cy="710"/>
                            </a:xfrm>
                            <a:effectLst/>
                          </wpg:grpSpPr>
                          <wps:wsp>
                            <wps:cNvPr id="26" name="文本框 30"/>
                            <wps:cNvSpPr txBox="1"/>
                            <wps:spPr>
                              <a:xfrm>
                                <a:off x="1913" y="845302"/>
                                <a:ext cx="1472" cy="426"/>
                              </a:xfrm>
                              <a:prstGeom prst="rect">
                                <a:avLst/>
                              </a:prstGeom>
                              <a:solidFill>
                                <a:srgbClr val="FFFFFF"/>
                              </a:solidFill>
                              <a:ln w="6350">
                                <a:solidFill>
                                  <a:prstClr val="black"/>
                                </a:solidFill>
                              </a:ln>
                              <a:effectLst/>
                            </wps:spPr>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陆12注水站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7668" y="845331"/>
                                <a:ext cx="975" cy="401"/>
                              </a:xfrm>
                              <a:prstGeom prst="rect">
                                <a:avLst/>
                              </a:prstGeom>
                              <a:solidFill>
                                <a:srgbClr val="FFFFFF"/>
                              </a:solidFill>
                              <a:ln w="6350">
                                <a:solidFill>
                                  <a:prstClr val="black"/>
                                </a:solidFill>
                              </a:ln>
                              <a:effectLst/>
                            </wps:spPr>
                            <wps:txbx>
                              <w:txbxContent>
                                <w:p>
                                  <w:pPr>
                                    <w:rPr>
                                      <w:rFonts w:hint="default"/>
                                      <w:lang w:val="en-US"/>
                                    </w:rPr>
                                  </w:pPr>
                                  <w:r>
                                    <w:rPr>
                                      <w:rFonts w:hint="eastAsia"/>
                                      <w:lang w:val="en-US" w:eastAsia="zh-CN"/>
                                    </w:rPr>
                                    <w:t>注水井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32"/>
                            <wps:cNvSpPr txBox="1"/>
                            <wps:spPr>
                              <a:xfrm>
                                <a:off x="5110" y="845320"/>
                                <a:ext cx="1000" cy="401"/>
                              </a:xfrm>
                              <a:prstGeom prst="rect">
                                <a:avLst/>
                              </a:prstGeom>
                              <a:solidFill>
                                <a:srgbClr val="FFFFFF"/>
                              </a:solidFill>
                              <a:ln w="6350">
                                <a:solidFill>
                                  <a:prstClr val="black"/>
                                </a:solidFill>
                              </a:ln>
                              <a:effectLst/>
                            </wps:spPr>
                            <wps:txbx>
                              <w:txbxContent>
                                <w:p>
                                  <w:pPr>
                                    <w:rPr>
                                      <w:rFonts w:hint="eastAsia" w:eastAsiaTheme="minorEastAsia"/>
                                      <w:lang w:val="en-US" w:eastAsia="zh-CN"/>
                                    </w:rPr>
                                  </w:pPr>
                                  <w:r>
                                    <w:rPr>
                                      <w:rFonts w:hint="eastAsia"/>
                                      <w:lang w:val="en-US" w:eastAsia="zh-CN"/>
                                    </w:rPr>
                                    <w:t>配水撬</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36"/>
                            <wps:cNvSpPr txBox="1"/>
                            <wps:spPr>
                              <a:xfrm>
                                <a:off x="3460" y="845022"/>
                                <a:ext cx="1388" cy="416"/>
                              </a:xfrm>
                              <a:prstGeom prst="rect">
                                <a:avLst/>
                              </a:prstGeom>
                              <a:noFill/>
                              <a:ln w="6350">
                                <a:noFill/>
                              </a:ln>
                              <a:effectLst/>
                            </wps:spPr>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注水干支线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8" name="文本框 36"/>
                          <wps:cNvSpPr txBox="1"/>
                          <wps:spPr>
                            <a:xfrm>
                              <a:off x="6773" y="2213508"/>
                              <a:ext cx="1788" cy="416"/>
                            </a:xfrm>
                            <a:prstGeom prst="rect">
                              <a:avLst/>
                            </a:prstGeom>
                            <a:noFill/>
                            <a:ln w="6350">
                              <a:noFill/>
                            </a:ln>
                            <a:effectLst/>
                          </wps:spPr>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单井注水管线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7" name="直接箭头连接符 117"/>
                        <wps:cNvCnPr>
                          <a:stCxn id="75" idx="2"/>
                        </wps:cNvCnPr>
                        <wps:spPr>
                          <a:xfrm flipH="1">
                            <a:off x="12682" y="1999825"/>
                            <a:ext cx="11" cy="445"/>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118" name="文本框 118"/>
                        <wps:cNvSpPr txBox="1"/>
                        <wps:spPr>
                          <a:xfrm>
                            <a:off x="12330" y="2000269"/>
                            <a:ext cx="788" cy="439"/>
                          </a:xfrm>
                          <a:prstGeom prst="rect">
                            <a:avLst/>
                          </a:prstGeom>
                          <a:noFill/>
                          <a:ln w="6350">
                            <a:noFill/>
                          </a:ln>
                          <a:effectLst/>
                        </wps:spPr>
                        <wps:txbx>
                          <w:txbxContent>
                            <w:p>
                              <w:pPr>
                                <w:rPr>
                                  <w:rFonts w:hint="eastAsia" w:eastAsiaTheme="minorEastAsia"/>
                                  <w:lang w:val="en-US" w:eastAsia="zh-CN"/>
                                </w:rPr>
                              </w:pPr>
                              <w:r>
                                <w:rPr>
                                  <w:rFonts w:hint="eastAsia"/>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45pt;margin-top:6.65pt;height:79.45pt;width:336.5pt;mso-wrap-distance-bottom:0pt;mso-wrap-distance-top:0pt;z-index:251668480;mso-width-relative:page;mso-height-relative:page;" coordorigin="8996,1999119" coordsize="6730,1589" o:gfxdata="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Adp3dgA&#10;AAAJAQAADwAAAAAAAAABACAAAAAiAAAAZHJzL2Rvd25yZXYueG1sUEsBAhQAFAAAAAgAh07iQBaU&#10;VOEEBQAAghgAAA4AAAAAAAAAAQAgAAAAJwEAAGRycy9lMm9Eb2MueG1sUEsFBgAAAAAGAAYAWQEA&#10;AJ0IAAAAAA==&#10;">
                <o:lock v:ext="edit" aspectratio="f"/>
                <v:group id="_x0000_s1026" o:spid="_x0000_s1026" o:spt="203" style="position:absolute;left:8996;top:1999119;height:717;width:6730;" coordorigin="2551,2213508" coordsize="6730,717"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组合 262" o:spid="_x0000_s1026" o:spt="203" style="position:absolute;left:2551;top:2213515;height:710;width:6730;" coordorigin="1913,845022" coordsize="6730,710"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文本框 30" o:spid="_x0000_s1026" o:spt="202" type="#_x0000_t202" style="position:absolute;left:1913;top:845302;height:426;width:1472;" fillcolor="#FFFFFF"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陆12注水站</w:t>
                            </w:r>
                          </w:p>
                        </w:txbxContent>
                      </v:textbox>
                    </v:shape>
                    <v:shape id="_x0000_s1026" o:spid="_x0000_s1026" o:spt="202" type="#_x0000_t202" style="position:absolute;left:7668;top:845331;height:401;width:975;" fillcolor="#FFFFFF"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rFonts w:hint="default"/>
                                <w:lang w:val="en-US"/>
                              </w:rPr>
                            </w:pPr>
                            <w:r>
                              <w:rPr>
                                <w:rFonts w:hint="eastAsia"/>
                                <w:lang w:val="en-US" w:eastAsia="zh-CN"/>
                              </w:rPr>
                              <w:t>注水井</w:t>
                            </w:r>
                          </w:p>
                        </w:txbxContent>
                      </v:textbox>
                    </v:shape>
                    <v:shape id="文本框 32" o:spid="_x0000_s1026" o:spt="202" type="#_x0000_t202" style="position:absolute;left:5110;top:845320;height:401;width:1000;" fillcolor="#FFFFFF" filled="t" stroked="t" coordsize="21600,21600" o:gfxdata="UEsDBAoAAAAAAIdO4kAAAAAAAAAAAAAAAAAEAAAAZHJzL1BLAwQUAAAACACHTuJAMVzEHrcAAADb&#10;AAAADwAAAGRycy9kb3ducmV2LnhtbEWPzQrCMBCE74LvEFbwpqmKP1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MQe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rPr>
                                <w:rFonts w:hint="eastAsia" w:eastAsiaTheme="minorEastAsia"/>
                                <w:lang w:val="en-US" w:eastAsia="zh-CN"/>
                              </w:rPr>
                            </w:pPr>
                            <w:r>
                              <w:rPr>
                                <w:rFonts w:hint="eastAsia"/>
                                <w:lang w:val="en-US" w:eastAsia="zh-CN"/>
                              </w:rPr>
                              <w:t>配水撬</w:t>
                            </w:r>
                          </w:p>
                        </w:txbxContent>
                      </v:textbox>
                    </v:shape>
                    <v:shape id="文本框 36" o:spid="_x0000_s1026" o:spt="202" type="#_x0000_t202" style="position:absolute;left:3460;top:845022;height:416;width:1388;"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注水干支线</w:t>
                            </w:r>
                          </w:p>
                        </w:txbxContent>
                      </v:textbox>
                    </v:shape>
                  </v:group>
                  <v:shape id="文本框 36" o:spid="_x0000_s1026" o:spt="202" type="#_x0000_t202" style="position:absolute;left:6773;top:2213508;height:416;width:1788;" filled="f" stroked="f" coordsize="21600,21600" o:gfxdata="UEsDBAoAAAAAAIdO4kAAAAAAAAAAAAAAAAAEAAAAZHJzL1BLAwQUAAAACACHTuJAUbwBiM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t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AG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单井注水管线</w:t>
                          </w:r>
                        </w:p>
                      </w:txbxContent>
                    </v:textbox>
                  </v:shape>
                </v:group>
                <v:shape id="_x0000_s1026" o:spid="_x0000_s1026" o:spt="32" type="#_x0000_t32" style="position:absolute;left:12682;top:1999825;flip:x;height:445;width:11;" filled="f" stroked="t" coordsize="21600,21600" o:gfxdata="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srxO5AAAA3AAA&#10;AA8AAAAAAAAAAQAgAAAAIgAAAGRycy9kb3ducmV2LnhtbFBLAQIUABQAAAAIAIdO4kAzLwWeOwAA&#10;ADkAAAAQAAAAAAAAAAEAIAAAAAgBAABkcnMvc2hhcGV4bWwueG1sUEsFBgAAAAAGAAYAWwEAALID&#10;AAAAAA==&#10;">
                  <v:fill on="f" focussize="0,0"/>
                  <v:stroke weight="1pt" color="#000000" miterlimit="8" joinstyle="miter" dashstyle="3 1" endarrow="block"/>
                  <v:imagedata o:title=""/>
                  <o:lock v:ext="edit" aspectratio="f"/>
                </v:shape>
                <v:shape id="_x0000_s1026" o:spid="_x0000_s1026" o:spt="202" type="#_x0000_t202" style="position:absolute;left:12330;top:2000269;height:439;width:788;" filled="f" stroked="f" coordsize="21600,21600" o:gfxdata="UEsDBAoAAAAAAIdO4kAAAAAAAAAAAAAAAAAEAAAAZHJzL1BLAwQUAAAACACHTuJA1GWXVc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OhlW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Zd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eastAsiaTheme="minorEastAsia"/>
                            <w:lang w:val="en-US" w:eastAsia="zh-CN"/>
                          </w:rPr>
                        </w:pPr>
                        <w:r>
                          <w:rPr>
                            <w:rFonts w:hint="eastAsia"/>
                            <w:lang w:val="en-US" w:eastAsia="zh-CN"/>
                          </w:rPr>
                          <w:t>噪声</w:t>
                        </w:r>
                      </w:p>
                    </w:txbxContent>
                  </v:textbox>
                </v:shape>
                <w10:wrap type="topAndBottom"/>
              </v:group>
            </w:pict>
          </mc:Fallback>
        </mc:AlternateContent>
      </w:r>
      <w:r>
        <w:rPr>
          <w:rFonts w:hint="default" w:ascii="Times New Roman" w:hAnsi="Times New Roman" w:cs="Times New Roman"/>
          <w:b/>
          <w:bCs/>
          <w:color w:val="auto"/>
          <w:kern w:val="0"/>
          <w:sz w:val="21"/>
          <w:szCs w:val="21"/>
        </w:rPr>
        <w:t>图3.7-9  注水井回注工艺流程及产污环节图</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3.7.4.5产污环节分析</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（1）废气</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本项目运营期产生大气污染物的主要环节为油气集输处理过程中挥发的无组织烃类气体和温室气体。</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（2）废水</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本项目运营期产生废水的主要环节为采出液在</w:t>
      </w:r>
      <w:r>
        <w:rPr>
          <w:rFonts w:hint="eastAsia" w:ascii="Times New Roman" w:hAnsi="Times New Roman" w:eastAsia="宋体" w:cs="Times New Roman"/>
          <w:color w:val="auto"/>
          <w:kern w:val="0"/>
          <w:sz w:val="24"/>
          <w:lang w:val="en-US" w:eastAsia="zh-CN"/>
        </w:rPr>
        <w:t>陆梁集中处理站</w:t>
      </w:r>
      <w:r>
        <w:rPr>
          <w:rFonts w:hint="default" w:ascii="Times New Roman" w:hAnsi="Times New Roman" w:eastAsia="宋体" w:cs="Times New Roman"/>
          <w:color w:val="auto"/>
          <w:kern w:val="0"/>
          <w:sz w:val="24"/>
        </w:rPr>
        <w:t>内进行油气水分离而产生的油田采出水、井下作业过程中产生的压裂返排液、洗井液。</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（3）噪声</w:t>
      </w:r>
    </w:p>
    <w:p>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项目运营期噪声主要来自井场、井下作业设备的各类机泵、撬等。</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（4）固废</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本项目运营期产生的固体废物主要包括采油井生产过程中产生的危险废物；其中危险废物主要来自井下作业时产生的</w:t>
      </w:r>
      <w:r>
        <w:rPr>
          <w:rFonts w:ascii="Times New Roman" w:hAnsi="Times New Roman" w:eastAsia="宋体" w:cs="Times New Roman"/>
          <w:color w:val="auto"/>
          <w:kern w:val="0"/>
          <w:sz w:val="24"/>
          <w:lang w:bidi="ar"/>
        </w:rPr>
        <w:t>落地油、</w:t>
      </w:r>
      <w:r>
        <w:rPr>
          <w:rFonts w:hint="default" w:ascii="Times New Roman" w:hAnsi="Times New Roman" w:eastAsia="宋体" w:cs="Times New Roman"/>
          <w:color w:val="auto"/>
          <w:kern w:val="0"/>
          <w:sz w:val="24"/>
        </w:rPr>
        <w:t>废防渗膜和含油污泥、各类机械设备更换下来的废润滑油及其清管废渣。</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运营期主要工艺流程及产污环节见图3.7-10。</w:t>
      </w:r>
    </w:p>
    <w:p>
      <w:pPr>
        <w:widowControl/>
        <w:jc w:val="left"/>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jc w:val="left"/>
        <w:rPr>
          <w:rFonts w:hint="default" w:ascii="Times New Roman" w:hAnsi="Times New Roman" w:eastAsia="宋体" w:cs="Times New Roman"/>
          <w:color w:val="auto"/>
        </w:rPr>
      </w:pPr>
      <w:r>
        <w:rPr>
          <w:color w:val="auto"/>
          <w:sz w:val="21"/>
        </w:rPr>
        <mc:AlternateContent>
          <mc:Choice Requires="wpg">
            <w:drawing>
              <wp:anchor distT="0" distB="0" distL="114300" distR="114300" simplePos="0" relativeHeight="251669504" behindDoc="0" locked="0" layoutInCell="1" allowOverlap="1">
                <wp:simplePos x="0" y="0"/>
                <wp:positionH relativeFrom="column">
                  <wp:posOffset>-365125</wp:posOffset>
                </wp:positionH>
                <wp:positionV relativeFrom="paragraph">
                  <wp:posOffset>-75565</wp:posOffset>
                </wp:positionV>
                <wp:extent cx="9319895" cy="5388610"/>
                <wp:effectExtent l="6350" t="6350" r="8255" b="15240"/>
                <wp:wrapNone/>
                <wp:docPr id="474" name="组合 474"/>
                <wp:cNvGraphicFramePr/>
                <a:graphic xmlns:a="http://schemas.openxmlformats.org/drawingml/2006/main">
                  <a:graphicData uri="http://schemas.microsoft.com/office/word/2010/wordprocessingGroup">
                    <wpg:wgp>
                      <wpg:cNvGrpSpPr/>
                      <wpg:grpSpPr>
                        <a:xfrm rot="0">
                          <a:off x="549275" y="1067435"/>
                          <a:ext cx="9319895" cy="5388610"/>
                          <a:chOff x="835" y="2545142"/>
                          <a:chExt cx="14677" cy="8486"/>
                        </a:xfrm>
                        <a:effectLst/>
                      </wpg:grpSpPr>
                      <wpg:grpSp>
                        <wpg:cNvPr id="473" name="组合 473"/>
                        <wpg:cNvGrpSpPr/>
                        <wpg:grpSpPr>
                          <a:xfrm>
                            <a:off x="2757" y="2545362"/>
                            <a:ext cx="10647" cy="444"/>
                            <a:chOff x="2757" y="2545362"/>
                            <a:chExt cx="10647" cy="444"/>
                          </a:xfrm>
                          <a:effectLst/>
                        </wpg:grpSpPr>
                        <wps:wsp>
                          <wps:cNvPr id="468" name="文本框 468"/>
                          <wps:cNvSpPr txBox="1"/>
                          <wps:spPr>
                            <a:xfrm>
                              <a:off x="2757" y="2545379"/>
                              <a:ext cx="1221" cy="415"/>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9" name="文本框 469"/>
                          <wps:cNvSpPr txBox="1"/>
                          <wps:spPr>
                            <a:xfrm>
                              <a:off x="6829" y="2545362"/>
                              <a:ext cx="1221" cy="415"/>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产污环节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0" name="文本框 470"/>
                          <wps:cNvSpPr txBox="1"/>
                          <wps:spPr>
                            <a:xfrm>
                              <a:off x="10966" y="2545366"/>
                              <a:ext cx="2438" cy="440"/>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污染物处置措施及去向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1" name="矩形 471"/>
                        <wps:cNvSpPr/>
                        <wps:spPr>
                          <a:xfrm>
                            <a:off x="835" y="2545142"/>
                            <a:ext cx="14677" cy="8486"/>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5.95pt;height:424.3pt;width:733.85pt;z-index:251669504;mso-width-relative:page;mso-height-relative:page;" coordorigin="835,2545142" coordsize="14677,8486" o:gfxdata="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Juiyq/cAAAADAEAAA8AAAAAAAAAAQAgAAAA&#10;IgAAAGRycy9kb3ducmV2LnhtbFBLAQIUABQAAAAIAIdO4kD5+g6oCAQAAGoQAAAOAAAAAAAAAAEA&#10;IAAAACsBAABkcnMvZTJvRG9jLnhtbFBLBQYAAAAABgAGAFkBAAClBwAAAAA=&#10;">
                <o:lock v:ext="edit" aspectratio="f"/>
                <v:group id="_x0000_s1026" o:spid="_x0000_s1026" o:spt="203" style="position:absolute;left:2757;top:2545362;height:444;width:10647;" coordorigin="2757,2545362" coordsize="10647,444"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2757;top:2545379;height:415;width:1221;" fillcolor="#6C6C6C" filled="t" stroked="t" coordsize="21600,21600" o:gfxdata="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ste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b/>
                              <w:bCs/>
                            </w:rPr>
                          </w:pPr>
                          <w:r>
                            <w:rPr>
                              <w:rFonts w:hint="eastAsia"/>
                              <w:b/>
                              <w:bCs/>
                            </w:rPr>
                            <w:t>工艺流程</w:t>
                          </w:r>
                        </w:p>
                      </w:txbxContent>
                    </v:textbox>
                  </v:shape>
                  <v:shape id="_x0000_s1026" o:spid="_x0000_s1026" o:spt="202" type="#_x0000_t202" style="position:absolute;left:6829;top:2545362;height:415;width:1221;" fillcolor="#6C6C6C" filled="t" stroked="t" coordsize="21600,21600" o:gfxdata="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gEHq/&#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rPr>
                              <w:b/>
                              <w:bCs/>
                            </w:rPr>
                          </w:pPr>
                          <w:r>
                            <w:rPr>
                              <w:rFonts w:hint="eastAsia"/>
                              <w:b/>
                              <w:bCs/>
                            </w:rPr>
                            <w:t>产污环节</w:t>
                          </w:r>
                        </w:p>
                      </w:txbxContent>
                    </v:textbox>
                  </v:shape>
                  <v:shape id="_x0000_s1026" o:spid="_x0000_s1026" o:spt="202" type="#_x0000_t202" style="position:absolute;left:10966;top:2545366;height:440;width:2438;" fillcolor="#6C6C6C" filled="t" stroked="t" coordsize="21600,21600" o:gfxdata="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DLz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b/>
                              <w:bCs/>
                            </w:rPr>
                          </w:pPr>
                          <w:r>
                            <w:rPr>
                              <w:rFonts w:hint="eastAsia"/>
                              <w:b/>
                              <w:bCs/>
                            </w:rPr>
                            <w:t>污染物处置措施及去向</w:t>
                          </w:r>
                        </w:p>
                      </w:txbxContent>
                    </v:textbox>
                  </v:shape>
                </v:group>
                <v:rect id="_x0000_s1026" o:spid="_x0000_s1026" o:spt="1" style="position:absolute;left:835;top:2545142;height:8486;width:14677;v-text-anchor:middle;" filled="f" stroked="t" coordsize="21600,21600" o:gfxdata="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m1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rect>
              </v:group>
            </w:pict>
          </mc:Fallback>
        </mc:AlternateContent>
      </w:r>
    </w:p>
    <w:p>
      <w:pPr>
        <w:spacing w:line="360" w:lineRule="auto"/>
        <w:rPr>
          <w:rFonts w:hint="default" w:ascii="Times New Roman" w:hAnsi="Times New Roman" w:eastAsia="宋体" w:cs="Times New Roman"/>
          <w:color w:val="auto"/>
          <w:kern w:val="0"/>
          <w:sz w:val="24"/>
        </w:rPr>
      </w:pPr>
      <w:r>
        <w:rPr>
          <w:color w:val="auto"/>
          <w:sz w:val="24"/>
        </w:rPr>
        <mc:AlternateContent>
          <mc:Choice Requires="wpg">
            <w:drawing>
              <wp:anchor distT="0" distB="0" distL="114300" distR="114300" simplePos="0" relativeHeight="251673600" behindDoc="0" locked="0" layoutInCell="1" allowOverlap="1">
                <wp:simplePos x="0" y="0"/>
                <wp:positionH relativeFrom="column">
                  <wp:posOffset>-250190</wp:posOffset>
                </wp:positionH>
                <wp:positionV relativeFrom="paragraph">
                  <wp:posOffset>180340</wp:posOffset>
                </wp:positionV>
                <wp:extent cx="9119870" cy="4801235"/>
                <wp:effectExtent l="5080" t="0" r="0" b="18415"/>
                <wp:wrapNone/>
                <wp:docPr id="335" name="组合 335"/>
                <wp:cNvGraphicFramePr/>
                <a:graphic xmlns:a="http://schemas.openxmlformats.org/drawingml/2006/main">
                  <a:graphicData uri="http://schemas.microsoft.com/office/word/2010/wordprocessingGroup">
                    <wpg:wgp>
                      <wpg:cNvGrpSpPr/>
                      <wpg:grpSpPr>
                        <a:xfrm>
                          <a:off x="0" y="0"/>
                          <a:ext cx="9119870" cy="4801235"/>
                          <a:chOff x="1329" y="2083902"/>
                          <a:chExt cx="14362" cy="7561"/>
                        </a:xfrm>
                      </wpg:grpSpPr>
                      <wpg:grpSp>
                        <wpg:cNvPr id="465" name="组合 465"/>
                        <wpg:cNvGrpSpPr/>
                        <wpg:grpSpPr>
                          <a:xfrm rot="0">
                            <a:off x="6800" y="2084094"/>
                            <a:ext cx="1724" cy="7362"/>
                            <a:chOff x="6487" y="2546049"/>
                            <a:chExt cx="1724" cy="7362"/>
                          </a:xfrm>
                          <a:effectLst/>
                        </wpg:grpSpPr>
                        <wps:wsp>
                          <wps:cNvPr id="271" name="文本框 271"/>
                          <wps:cNvSpPr txBox="1"/>
                          <wps:spPr>
                            <a:xfrm>
                              <a:off x="6487" y="2547063"/>
                              <a:ext cx="1677" cy="703"/>
                            </a:xfrm>
                            <a:prstGeom prst="rect">
                              <a:avLst/>
                            </a:prstGeom>
                            <a:solidFill>
                              <a:srgbClr val="FFFFFF"/>
                            </a:solidFill>
                            <a:ln w="6350">
                              <a:solidFill>
                                <a:prstClr val="black"/>
                              </a:solidFill>
                              <a:prstDash val="sysDot"/>
                            </a:ln>
                            <a:effectLst/>
                          </wps:spPr>
                          <wps:txbx>
                            <w:txbxContent>
                              <w:p>
                                <w:pPr>
                                  <w:jc w:val="center"/>
                                </w:pPr>
                                <w:r>
                                  <w:rPr>
                                    <w:rFonts w:hint="eastAsia"/>
                                  </w:rPr>
                                  <w:t>井下作业噪声、采油设备噪声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4" name="文本框 274"/>
                          <wps:cNvSpPr txBox="1"/>
                          <wps:spPr>
                            <a:xfrm>
                              <a:off x="6556" y="2549822"/>
                              <a:ext cx="1218" cy="404"/>
                            </a:xfrm>
                            <a:prstGeom prst="rect">
                              <a:avLst/>
                            </a:prstGeom>
                            <a:solidFill>
                              <a:srgbClr val="FFFFFF"/>
                            </a:solidFill>
                            <a:ln w="6350">
                              <a:solidFill>
                                <a:srgbClr val="000000"/>
                              </a:solidFill>
                              <a:prstDash val="sysDot"/>
                            </a:ln>
                            <a:effectLst/>
                          </wps:spPr>
                          <wps:txbx>
                            <w:txbxContent>
                              <w:p>
                                <w:pPr>
                                  <w:jc w:val="center"/>
                                </w:pPr>
                                <w:r>
                                  <w:rPr>
                                    <w:rFonts w:hint="eastAsia"/>
                                  </w:rPr>
                                  <w:t>含油污泥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文本框 275"/>
                          <wps:cNvSpPr txBox="1"/>
                          <wps:spPr>
                            <a:xfrm>
                              <a:off x="6489" y="2546049"/>
                              <a:ext cx="1722" cy="741"/>
                            </a:xfrm>
                            <a:prstGeom prst="rect">
                              <a:avLst/>
                            </a:prstGeom>
                            <a:solidFill>
                              <a:srgbClr val="FFFFFF"/>
                            </a:solidFill>
                            <a:ln w="6350">
                              <a:solidFill>
                                <a:prstClr val="black"/>
                              </a:solidFill>
                              <a:prstDash val="sysDot"/>
                            </a:ln>
                            <a:effectLst/>
                          </wps:spPr>
                          <wps:txbx>
                            <w:txbxContent>
                              <w:p>
                                <w:pPr>
                                  <w:jc w:val="center"/>
                                </w:pPr>
                                <w:r>
                                  <w:rPr>
                                    <w:rFonts w:hint="eastAsia"/>
                                  </w:rPr>
                                  <w:t>挥发性有机废气、</w:t>
                                </w:r>
                                <w:r>
                                  <w:rPr>
                                    <w:rFonts w:hint="eastAsia"/>
                                    <w:color w:val="000000" w:themeColor="text1"/>
                                    <w14:textFill>
                                      <w14:solidFill>
                                        <w14:schemeClr w14:val="tx1"/>
                                      </w14:solidFill>
                                    </w14:textFill>
                                  </w:rPr>
                                  <w:t>温室气体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文本框 277"/>
                          <wps:cNvSpPr txBox="1"/>
                          <wps:spPr>
                            <a:xfrm>
                              <a:off x="6552" y="2551438"/>
                              <a:ext cx="1199" cy="404"/>
                            </a:xfrm>
                            <a:prstGeom prst="rect">
                              <a:avLst/>
                            </a:prstGeom>
                            <a:solidFill>
                              <a:srgbClr val="FFFFFF"/>
                            </a:solidFill>
                            <a:ln w="6350">
                              <a:solidFill>
                                <a:prstClr val="black"/>
                              </a:solidFill>
                              <a:prstDash val="sysDot"/>
                            </a:ln>
                            <a:effectLst/>
                          </wps:spPr>
                          <wps:txbx>
                            <w:txbxContent>
                              <w:p>
                                <w:pPr>
                                  <w:jc w:val="center"/>
                                </w:pPr>
                                <w:r>
                                  <w:rPr>
                                    <w:rFonts w:hint="eastAsia"/>
                                  </w:rPr>
                                  <w:t>废润滑油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文本框 278"/>
                          <wps:cNvSpPr txBox="1"/>
                          <wps:spPr>
                            <a:xfrm>
                              <a:off x="6500" y="2547976"/>
                              <a:ext cx="956" cy="404"/>
                            </a:xfrm>
                            <a:prstGeom prst="rect">
                              <a:avLst/>
                            </a:prstGeom>
                            <a:solidFill>
                              <a:srgbClr val="FFFFFF"/>
                            </a:solidFill>
                            <a:ln w="6350">
                              <a:solidFill>
                                <a:prstClr val="black"/>
                              </a:solidFill>
                              <a:prstDash val="sysDot"/>
                            </a:ln>
                            <a:effectLst/>
                          </wps:spPr>
                          <wps:txbx>
                            <w:txbxContent>
                              <w:p>
                                <w:pPr>
                                  <w:jc w:val="center"/>
                                </w:pPr>
                                <w:r>
                                  <w:rPr>
                                    <w:rFonts w:hint="eastAsia"/>
                                  </w:rPr>
                                  <w:t>采出水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 name="文本框 270"/>
                          <wps:cNvSpPr txBox="1"/>
                          <wps:spPr>
                            <a:xfrm>
                              <a:off x="6529" y="2548879"/>
                              <a:ext cx="1590" cy="404"/>
                            </a:xfrm>
                            <a:prstGeom prst="rect">
                              <a:avLst/>
                            </a:prstGeom>
                            <a:solidFill>
                              <a:srgbClr val="FFFFFF"/>
                            </a:solidFill>
                            <a:ln w="6350">
                              <a:solidFill>
                                <a:prstClr val="black"/>
                              </a:solidFill>
                              <a:prstDash val="sysDot"/>
                            </a:ln>
                            <a:effectLst/>
                          </wps:spPr>
                          <wps:txbx>
                            <w:txbxContent>
                              <w:p>
                                <w:pPr>
                                  <w:jc w:val="center"/>
                                </w:pPr>
                                <w:r>
                                  <w:rPr>
                                    <w:rFonts w:hint="eastAsia"/>
                                  </w:rPr>
                                  <w:t>井下作业废液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5" name="文本框 425"/>
                          <wps:cNvSpPr txBox="1"/>
                          <wps:spPr>
                            <a:xfrm>
                              <a:off x="6562" y="2552227"/>
                              <a:ext cx="1035" cy="404"/>
                            </a:xfrm>
                            <a:prstGeom prst="rect">
                              <a:avLst/>
                            </a:prstGeom>
                            <a:solidFill>
                              <a:srgbClr val="FFFFFF"/>
                            </a:solidFill>
                            <a:ln w="6350">
                              <a:solidFill>
                                <a:prstClr val="black"/>
                              </a:solidFill>
                              <a:prstDash val="sysDot"/>
                            </a:ln>
                            <a:effectLst/>
                          </wps:spPr>
                          <wps:txbx>
                            <w:txbxContent>
                              <w:p>
                                <w:pPr>
                                  <w:jc w:val="center"/>
                                </w:pPr>
                                <w:r>
                                  <w:rPr>
                                    <w:rFonts w:hint="eastAsia"/>
                                  </w:rPr>
                                  <w:t>防渗膜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7" name="文本框 427"/>
                          <wps:cNvSpPr txBox="1"/>
                          <wps:spPr>
                            <a:xfrm>
                              <a:off x="6538" y="2553007"/>
                              <a:ext cx="1271" cy="404"/>
                            </a:xfrm>
                            <a:prstGeom prst="rect">
                              <a:avLst/>
                            </a:prstGeom>
                            <a:solidFill>
                              <a:srgbClr val="FFFFFF"/>
                            </a:solidFill>
                            <a:ln w="6350">
                              <a:solidFill>
                                <a:prstClr val="black"/>
                              </a:solidFill>
                              <a:prstDash val="sysDot"/>
                            </a:ln>
                            <a:effectLst/>
                          </wps:spPr>
                          <wps:txbx>
                            <w:txbxContent>
                              <w:p>
                                <w:pPr>
                                  <w:jc w:val="center"/>
                                </w:pPr>
                                <w:r>
                                  <w:rPr>
                                    <w:rFonts w:hint="eastAsia"/>
                                  </w:rPr>
                                  <w:t>清管废渣</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2" name="组合 462"/>
                        <wpg:cNvGrpSpPr/>
                        <wpg:grpSpPr>
                          <a:xfrm rot="0">
                            <a:off x="5259" y="2083902"/>
                            <a:ext cx="852" cy="7486"/>
                            <a:chOff x="4550" y="2545857"/>
                            <a:chExt cx="852" cy="7486"/>
                          </a:xfrm>
                          <a:effectLst/>
                        </wpg:grpSpPr>
                        <wps:wsp>
                          <wps:cNvPr id="453" name="直接连接符 453"/>
                          <wps:cNvCnPr/>
                          <wps:spPr>
                            <a:xfrm flipH="1">
                              <a:off x="4975" y="2545857"/>
                              <a:ext cx="12" cy="7487"/>
                            </a:xfrm>
                            <a:prstGeom prst="line">
                              <a:avLst/>
                            </a:prstGeom>
                            <a:noFill/>
                            <a:ln w="12700" cap="flat" cmpd="sng" algn="ctr">
                              <a:solidFill>
                                <a:srgbClr val="000000"/>
                              </a:solidFill>
                              <a:prstDash val="sysDash"/>
                              <a:miter lim="800000"/>
                            </a:ln>
                            <a:effectLst/>
                          </wps:spPr>
                          <wps:bodyPr/>
                        </wps:wsp>
                        <wps:wsp>
                          <wps:cNvPr id="455" name="右箭头 455"/>
                          <wps:cNvSpPr/>
                          <wps:spPr>
                            <a:xfrm>
                              <a:off x="4564" y="2546168"/>
                              <a:ext cx="838" cy="30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6" name="右箭头 456"/>
                          <wps:cNvSpPr/>
                          <wps:spPr>
                            <a:xfrm>
                              <a:off x="4550" y="2547758"/>
                              <a:ext cx="838" cy="30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7" name="右箭头 457"/>
                          <wps:cNvSpPr/>
                          <wps:spPr>
                            <a:xfrm>
                              <a:off x="4552" y="2549373"/>
                              <a:ext cx="838" cy="30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8" name="右箭头 458"/>
                          <wps:cNvSpPr/>
                          <wps:spPr>
                            <a:xfrm>
                              <a:off x="4557" y="2550988"/>
                              <a:ext cx="838" cy="30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464" name="组合 464"/>
                        <wpg:cNvGrpSpPr/>
                        <wpg:grpSpPr>
                          <a:xfrm rot="0">
                            <a:off x="1329" y="2084094"/>
                            <a:ext cx="3112" cy="7350"/>
                            <a:chOff x="1016" y="2546049"/>
                            <a:chExt cx="3112" cy="7350"/>
                          </a:xfrm>
                          <a:effectLst/>
                        </wpg:grpSpPr>
                        <wps:wsp>
                          <wps:cNvPr id="429" name="文本框 429"/>
                          <wps:cNvSpPr txBox="1"/>
                          <wps:spPr>
                            <a:xfrm>
                              <a:off x="2474" y="2551839"/>
                              <a:ext cx="794" cy="404"/>
                            </a:xfrm>
                            <a:prstGeom prst="rect">
                              <a:avLst/>
                            </a:prstGeom>
                            <a:noFill/>
                            <a:ln w="6350">
                              <a:noFill/>
                            </a:ln>
                            <a:effectLst/>
                          </wps:spPr>
                          <wps:txbx>
                            <w:txbxContent>
                              <w:p>
                                <w:r>
                                  <w:rPr>
                                    <w:rFonts w:hint="eastAsia"/>
                                  </w:rPr>
                                  <w:t>原油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0" name="文本框 430"/>
                          <wps:cNvSpPr txBox="1"/>
                          <wps:spPr>
                            <a:xfrm>
                              <a:off x="1652" y="2551279"/>
                              <a:ext cx="943" cy="404"/>
                            </a:xfrm>
                            <a:prstGeom prst="rect">
                              <a:avLst/>
                            </a:prstGeom>
                            <a:noFill/>
                            <a:ln w="6350">
                              <a:noFill/>
                            </a:ln>
                            <a:effectLst/>
                          </wps:spPr>
                          <wps:txbx>
                            <w:txbxContent>
                              <w:p>
                                <w:r>
                                  <w:rPr>
                                    <w:rFonts w:hint="eastAsia"/>
                                  </w:rPr>
                                  <w:t>采出水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63" name="组合 463"/>
                          <wpg:cNvGrpSpPr/>
                          <wpg:grpSpPr>
                            <a:xfrm>
                              <a:off x="2264" y="2546049"/>
                              <a:ext cx="1803" cy="7350"/>
                              <a:chOff x="2264" y="2546049"/>
                              <a:chExt cx="1803" cy="7350"/>
                            </a:xfrm>
                            <a:effectLst/>
                          </wpg:grpSpPr>
                          <wps:wsp>
                            <wps:cNvPr id="259" name="文本框 259"/>
                            <wps:cNvSpPr txBox="1"/>
                            <wps:spPr>
                              <a:xfrm>
                                <a:off x="2771" y="2546049"/>
                                <a:ext cx="1152" cy="404"/>
                              </a:xfrm>
                              <a:prstGeom prst="rect">
                                <a:avLst/>
                              </a:prstGeom>
                              <a:solidFill>
                                <a:srgbClr val="FFFFFF"/>
                              </a:solidFill>
                              <a:ln w="6350">
                                <a:solidFill>
                                  <a:prstClr val="black"/>
                                </a:solidFill>
                              </a:ln>
                              <a:effectLst/>
                            </wps:spPr>
                            <wps:txbx>
                              <w:txbxContent>
                                <w:p>
                                  <w:r>
                                    <w:rPr>
                                      <w:rFonts w:hint="eastAsia"/>
                                    </w:rPr>
                                    <w:t>井下作业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文本框 260"/>
                            <wps:cNvSpPr txBox="1"/>
                            <wps:spPr>
                              <a:xfrm>
                                <a:off x="2628" y="2547671"/>
                                <a:ext cx="1415" cy="404"/>
                              </a:xfrm>
                              <a:prstGeom prst="rect">
                                <a:avLst/>
                              </a:prstGeom>
                              <a:solidFill>
                                <a:srgbClr val="FFFFFF"/>
                              </a:solidFill>
                              <a:ln w="6350">
                                <a:solidFill>
                                  <a:prstClr val="black"/>
                                </a:solidFill>
                              </a:ln>
                              <a:effectLst/>
                            </wps:spPr>
                            <wps:txbx>
                              <w:txbxContent>
                                <w:p>
                                  <w:pPr>
                                    <w:rPr>
                                      <w:rFonts w:ascii="Times New Roman" w:hAnsi="Times New Roman" w:cs="Times New Roman"/>
                                    </w:rPr>
                                  </w:pPr>
                                  <w:r>
                                    <w:rPr>
                                      <w:rFonts w:hint="eastAsia" w:ascii="Times New Roman" w:hAnsi="Times New Roman" w:cs="Times New Roman"/>
                                      <w:lang w:val="en-US" w:eastAsia="zh-CN"/>
                                    </w:rPr>
                                    <w:t>6</w:t>
                                  </w:r>
                                  <w:r>
                                    <w:rPr>
                                      <w:rFonts w:ascii="Times New Roman" w:hAnsi="Times New Roman" w:cs="Times New Roman"/>
                                    </w:rPr>
                                    <w:t>口采油井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1" name="文本框 261"/>
                            <wps:cNvSpPr txBox="1"/>
                            <wps:spPr>
                              <a:xfrm>
                                <a:off x="2861" y="2548644"/>
                                <a:ext cx="968" cy="404"/>
                              </a:xfrm>
                              <a:prstGeom prst="rect">
                                <a:avLst/>
                              </a:prstGeom>
                              <a:solidFill>
                                <a:srgbClr val="FFFFFF"/>
                              </a:solidFill>
                              <a:ln w="6350">
                                <a:solidFill>
                                  <a:prstClr val="black"/>
                                </a:solidFill>
                              </a:ln>
                              <a:effectLst/>
                            </wps:spPr>
                            <wps:txbx>
                              <w:txbxContent>
                                <w:p>
                                  <w:r>
                                    <w:rPr>
                                      <w:rFonts w:hint="eastAsia"/>
                                    </w:rPr>
                                    <w:t>计量站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8" name="文本框 268"/>
                            <wps:cNvSpPr txBox="1"/>
                            <wps:spPr>
                              <a:xfrm>
                                <a:off x="2264" y="2550917"/>
                                <a:ext cx="1803" cy="404"/>
                              </a:xfrm>
                              <a:prstGeom prst="rect">
                                <a:avLst/>
                              </a:prstGeom>
                              <a:solidFill>
                                <a:srgbClr val="FFFFFF"/>
                              </a:solidFill>
                              <a:ln w="6350">
                                <a:solidFill>
                                  <a:prstClr val="black"/>
                                </a:solidFill>
                              </a:ln>
                              <a:effectLst/>
                            </wps:spPr>
                            <wps:txbx>
                              <w:txbxContent>
                                <w:p>
                                  <w:r>
                                    <w:rPr>
                                      <w:rFonts w:hint="eastAsia"/>
                                      <w:lang w:val="en-US" w:eastAsia="zh-CN"/>
                                    </w:rPr>
                                    <w:t>陆梁集中处理</w:t>
                                  </w:r>
                                  <w:r>
                                    <w:rPr>
                                      <w:rFonts w:hint="eastAsia"/>
                                    </w:rPr>
                                    <w:t>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2" name="直接箭头连接符 422"/>
                            <wps:cNvCnPr>
                              <a:stCxn id="259" idx="2"/>
                              <a:endCxn id="260" idx="0"/>
                            </wps:cNvCnPr>
                            <wps:spPr>
                              <a:xfrm flipH="1">
                                <a:off x="3336" y="2546453"/>
                                <a:ext cx="11" cy="1218"/>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423" name="直接箭头连接符 423"/>
                            <wps:cNvCnPr/>
                            <wps:spPr>
                              <a:xfrm>
                                <a:off x="3350" y="2550209"/>
                                <a:ext cx="3" cy="710"/>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424" name="直接箭头连接符 424"/>
                            <wps:cNvCnPr/>
                            <wps:spPr>
                              <a:xfrm>
                                <a:off x="3336" y="2548075"/>
                                <a:ext cx="4" cy="581"/>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428" name="文本框 428"/>
                            <wps:cNvSpPr txBox="1"/>
                            <wps:spPr>
                              <a:xfrm>
                                <a:off x="2929" y="2552995"/>
                                <a:ext cx="794" cy="404"/>
                              </a:xfrm>
                              <a:prstGeom prst="rect">
                                <a:avLst/>
                              </a:prstGeom>
                              <a:solidFill>
                                <a:srgbClr val="FFFFFF"/>
                              </a:solidFill>
                              <a:ln w="6350">
                                <a:solidFill>
                                  <a:prstClr val="black"/>
                                </a:solidFill>
                              </a:ln>
                              <a:effectLst/>
                            </wps:spPr>
                            <wps:txbx>
                              <w:txbxContent>
                                <w:p>
                                  <w:r>
                                    <w:rPr>
                                      <w:rFonts w:hint="eastAsia"/>
                                    </w:rPr>
                                    <w:t>外输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1" name="直接箭头连接符 431"/>
                            <wps:cNvCnPr>
                              <a:endCxn id="428" idx="0"/>
                            </wps:cNvCnPr>
                            <wps:spPr>
                              <a:xfrm flipH="1">
                                <a:off x="3326" y="2551373"/>
                                <a:ext cx="16" cy="1622"/>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32" name="文本框 332"/>
                            <wps:cNvSpPr txBox="1"/>
                            <wps:spPr>
                              <a:xfrm>
                                <a:off x="2850" y="2549809"/>
                                <a:ext cx="968" cy="404"/>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bidi w:val="0"/>
                                    <w:adjustRightInd/>
                                    <w:snapToGrid/>
                                    <w:ind w:left="-105" w:leftChars="-50" w:right="-105" w:rightChars="-50"/>
                                    <w:jc w:val="center"/>
                                    <w:textAlignment w:val="auto"/>
                                    <w:rPr>
                                      <w:rFonts w:hint="default" w:eastAsiaTheme="minorEastAsia"/>
                                      <w:lang w:val="en-US" w:eastAsia="zh-CN"/>
                                    </w:rPr>
                                  </w:pPr>
                                  <w:r>
                                    <w:rPr>
                                      <w:rFonts w:hint="eastAsia"/>
                                      <w:lang w:val="en-US" w:eastAsia="zh-CN"/>
                                    </w:rPr>
                                    <w:t>混输泵站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3" name="直接箭头连接符 333"/>
                            <wps:cNvCnPr>
                              <a:endCxn id="332" idx="0"/>
                            </wps:cNvCnPr>
                            <wps:spPr>
                              <a:xfrm flipH="1">
                                <a:off x="3334" y="2549067"/>
                                <a:ext cx="2" cy="742"/>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s:wsp>
                          <wps:cNvPr id="442" name="文本框 442"/>
                          <wps:cNvSpPr txBox="1"/>
                          <wps:spPr>
                            <a:xfrm>
                              <a:off x="1016" y="2550891"/>
                              <a:ext cx="731" cy="452"/>
                            </a:xfrm>
                            <a:prstGeom prst="rect">
                              <a:avLst/>
                            </a:prstGeom>
                            <a:solidFill>
                              <a:srgbClr val="FFFFFF"/>
                            </a:solidFill>
                            <a:ln w="6350">
                              <a:solidFill>
                                <a:prstClr val="black"/>
                              </a:solidFill>
                            </a:ln>
                            <a:effectLst/>
                          </wps:spPr>
                          <wps:txbx>
                            <w:txbxContent>
                              <w:p>
                                <w:pPr>
                                  <w:rPr>
                                    <w:rFonts w:hint="eastAsia" w:eastAsiaTheme="minorEastAsia"/>
                                    <w:lang w:eastAsia="zh-CN"/>
                                  </w:rPr>
                                </w:pPr>
                                <w:r>
                                  <w:rPr>
                                    <w:rFonts w:hint="eastAsia"/>
                                    <w:sz w:val="20"/>
                                    <w:szCs w:val="22"/>
                                    <w:lang w:val="en-US" w:eastAsia="zh-CN"/>
                                  </w:rPr>
                                  <w:t>回注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3" name="直接箭头连接符 443"/>
                          <wps:cNvCnPr>
                            <a:stCxn id="268" idx="1"/>
                            <a:endCxn id="442" idx="3"/>
                          </wps:cNvCnPr>
                          <wps:spPr>
                            <a:xfrm flipH="1" flipV="1">
                              <a:off x="1747" y="2551117"/>
                              <a:ext cx="517" cy="2"/>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461" name="肘形连接符 461"/>
                          <wps:cNvCnPr/>
                          <wps:spPr>
                            <a:xfrm>
                              <a:off x="4043" y="2547873"/>
                              <a:ext cx="85" cy="3246"/>
                            </a:xfrm>
                            <a:prstGeom prst="bentConnector3">
                              <a:avLst>
                                <a:gd name="adj1" fmla="val 969411"/>
                              </a:avLst>
                            </a:prstGeom>
                            <a:noFill/>
                            <a:ln w="12700" cap="flat" cmpd="sng" algn="ctr">
                              <a:solidFill>
                                <a:srgbClr val="000000"/>
                              </a:solidFill>
                              <a:prstDash val="solid"/>
                              <a:miter lim="800000"/>
                              <a:headEnd type="none"/>
                              <a:tailEnd type="triangle" w="med" len="med"/>
                            </a:ln>
                            <a:effectLst/>
                          </wps:spPr>
                          <wps:bodyPr/>
                        </wps:wsp>
                      </wpg:grpSp>
                      <wpg:grpSp>
                        <wpg:cNvPr id="467" name="组合 467"/>
                        <wpg:cNvGrpSpPr/>
                        <wpg:grpSpPr>
                          <a:xfrm rot="0">
                            <a:off x="11219" y="2084283"/>
                            <a:ext cx="4473" cy="7181"/>
                            <a:chOff x="10906" y="2546238"/>
                            <a:chExt cx="4473" cy="7181"/>
                          </a:xfrm>
                          <a:effectLst/>
                        </wpg:grpSpPr>
                        <wps:wsp>
                          <wps:cNvPr id="432" name="文本框 432"/>
                          <wps:cNvSpPr txBox="1"/>
                          <wps:spPr>
                            <a:xfrm>
                              <a:off x="10919" y="2546238"/>
                              <a:ext cx="2583" cy="417"/>
                            </a:xfrm>
                            <a:prstGeom prst="rect">
                              <a:avLst/>
                            </a:prstGeom>
                            <a:noFill/>
                            <a:ln w="6350">
                              <a:noFill/>
                            </a:ln>
                            <a:effectLst/>
                          </wps:spPr>
                          <wps:txbx>
                            <w:txbxContent>
                              <w:p>
                                <w:r>
                                  <w:rPr>
                                    <w:rFonts w:hint="eastAsia"/>
                                  </w:rPr>
                                  <w:t>无组织排放至大气环境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3" name="文本框 433"/>
                          <wps:cNvSpPr txBox="1"/>
                          <wps:spPr>
                            <a:xfrm>
                              <a:off x="10916" y="2547232"/>
                              <a:ext cx="1385" cy="417"/>
                            </a:xfrm>
                            <a:prstGeom prst="rect">
                              <a:avLst/>
                            </a:prstGeom>
                            <a:noFill/>
                            <a:ln w="6350">
                              <a:noFill/>
                            </a:ln>
                            <a:effectLst/>
                          </wps:spPr>
                          <wps:txbx>
                            <w:txbxContent>
                              <w:p>
                                <w:r>
                                  <w:rPr>
                                    <w:rFonts w:hint="eastAsia"/>
                                  </w:rPr>
                                  <w:t>周围环境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4" name="文本框 434"/>
                          <wps:cNvSpPr txBox="1"/>
                          <wps:spPr>
                            <a:xfrm>
                              <a:off x="10910" y="2547797"/>
                              <a:ext cx="3995" cy="741"/>
                            </a:xfrm>
                            <a:prstGeom prst="rect">
                              <a:avLst/>
                            </a:prstGeom>
                            <a:noFill/>
                            <a:ln w="6350">
                              <a:noFill/>
                            </a:ln>
                            <a:effectLst/>
                          </wps:spPr>
                          <wps:txbx>
                            <w:txbxContent>
                              <w:p>
                                <w:r>
                                  <w:rPr>
                                    <w:rFonts w:hint="eastAsia" w:cs="Times New Roman"/>
                                    <w:color w:val="000000" w:themeColor="text1"/>
                                    <w14:textFill>
                                      <w14:solidFill>
                                        <w14:schemeClr w14:val="tx1"/>
                                      </w14:solidFill>
                                    </w14:textFill>
                                  </w:rPr>
                                  <w:t>管输至</w:t>
                                </w:r>
                                <w:r>
                                  <w:rPr>
                                    <w:rFonts w:hint="eastAsia" w:cs="Times New Roman"/>
                                    <w:color w:val="000000" w:themeColor="text1"/>
                                    <w:lang w:val="en-US" w:eastAsia="zh-CN"/>
                                    <w14:textFill>
                                      <w14:solidFill>
                                        <w14:schemeClr w14:val="tx1"/>
                                      </w14:solidFill>
                                    </w14:textFill>
                                  </w:rPr>
                                  <w:t>陆梁集中处理站</w:t>
                                </w:r>
                                <w:r>
                                  <w:rPr>
                                    <w:rFonts w:cs="Times New Roman"/>
                                    <w:color w:val="000000" w:themeColor="text1"/>
                                    <w14:textFill>
                                      <w14:solidFill>
                                        <w14:schemeClr w14:val="tx1"/>
                                      </w14:solidFill>
                                    </w14:textFill>
                                  </w:rPr>
                                  <w:t>；处理合格后用于</w:t>
                                </w:r>
                                <w:r>
                                  <w:rPr>
                                    <w:rFonts w:hint="eastAsia" w:cs="Times New Roman"/>
                                    <w:color w:val="000000" w:themeColor="text1"/>
                                    <w:lang w:val="en-US" w:eastAsia="zh-CN"/>
                                    <w14:textFill>
                                      <w14:solidFill>
                                        <w14:schemeClr w14:val="tx1"/>
                                      </w14:solidFill>
                                    </w14:textFill>
                                  </w:rPr>
                                  <w:t>回注</w:t>
                                </w:r>
                                <w:r>
                                  <w:rPr>
                                    <w:rFonts w:cs="Times New Roman"/>
                                    <w:color w:val="000000" w:themeColor="text1"/>
                                    <w14:textFill>
                                      <w14:solidFill>
                                        <w14:schemeClr w14:val="tx1"/>
                                      </w14:solidFill>
                                    </w14:textFill>
                                  </w:rPr>
                                  <w:t>，综合利用，不外排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5" name="文本框 435"/>
                          <wps:cNvSpPr txBox="1"/>
                          <wps:spPr>
                            <a:xfrm>
                              <a:off x="10906" y="2548691"/>
                              <a:ext cx="4320" cy="817"/>
                            </a:xfrm>
                            <a:prstGeom prst="rect">
                              <a:avLst/>
                            </a:prstGeom>
                            <a:noFill/>
                            <a:ln w="6350">
                              <a:noFill/>
                            </a:ln>
                            <a:effectLst/>
                          </wps:spPr>
                          <wps:txbx>
                            <w:txbxContent>
                              <w:p>
                                <w:r>
                                  <w:rPr>
                                    <w:rFonts w:cs="Times New Roman"/>
                                    <w:color w:val="000000" w:themeColor="text1"/>
                                    <w14:textFill>
                                      <w14:solidFill>
                                        <w14:schemeClr w14:val="tx1"/>
                                      </w14:solidFill>
                                    </w14:textFill>
                                  </w:rPr>
                                  <w:t>进罐收集后拉至</w:t>
                                </w:r>
                                <w:r>
                                  <w:rPr>
                                    <w:rFonts w:hint="eastAsia" w:cs="Times New Roman"/>
                                    <w:color w:val="000000" w:themeColor="text1"/>
                                    <w:lang w:val="en-US" w:eastAsia="zh-CN"/>
                                    <w14:textFill>
                                      <w14:solidFill>
                                        <w14:schemeClr w14:val="tx1"/>
                                      </w14:solidFill>
                                    </w14:textFill>
                                  </w:rPr>
                                  <w:t>陆梁集中处理站</w:t>
                                </w:r>
                                <w:r>
                                  <w:rPr>
                                    <w:rFonts w:cs="Times New Roman"/>
                                    <w:color w:val="000000" w:themeColor="text1"/>
                                    <w14:textFill>
                                      <w14:solidFill>
                                        <w14:schemeClr w14:val="tx1"/>
                                      </w14:solidFill>
                                    </w14:textFill>
                                  </w:rPr>
                                  <w:t>；处理合格后用于</w:t>
                                </w:r>
                                <w:r>
                                  <w:rPr>
                                    <w:rFonts w:hint="eastAsia" w:cs="Times New Roman"/>
                                    <w:color w:val="000000" w:themeColor="text1"/>
                                    <w:lang w:val="en-US" w:eastAsia="zh-CN"/>
                                    <w14:textFill>
                                      <w14:solidFill>
                                        <w14:schemeClr w14:val="tx1"/>
                                      </w14:solidFill>
                                    </w14:textFill>
                                  </w:rPr>
                                  <w:t>回注</w:t>
                                </w:r>
                                <w:r>
                                  <w:rPr>
                                    <w:rFonts w:cs="Times New Roman"/>
                                    <w:color w:val="000000" w:themeColor="text1"/>
                                    <w14:textFill>
                                      <w14:solidFill>
                                        <w14:schemeClr w14:val="tx1"/>
                                      </w14:solidFill>
                                    </w14:textFill>
                                  </w:rPr>
                                  <w:t>，综合利用，不外排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7" name="文本框 437"/>
                          <wps:cNvSpPr txBox="1"/>
                          <wps:spPr>
                            <a:xfrm>
                              <a:off x="10922" y="2549682"/>
                              <a:ext cx="4457" cy="742"/>
                            </a:xfrm>
                            <a:prstGeom prst="rect">
                              <a:avLst/>
                            </a:prstGeom>
                            <a:noFill/>
                            <a:ln w="6350">
                              <a:noFill/>
                            </a:ln>
                            <a:effectLst/>
                          </wps:spPr>
                          <wps:txbx>
                            <w:txbxContent>
                              <w:p>
                                <w:r>
                                  <w:rPr>
                                    <w:rFonts w:hint="eastAsia" w:cs="Times New Roman"/>
                                    <w:color w:val="000000" w:themeColor="text1"/>
                                    <w:lang w:val="en-US" w:eastAsia="zh-CN"/>
                                    <w14:textFill>
                                      <w14:solidFill>
                                        <w14:schemeClr w14:val="tx1"/>
                                      </w14:solidFill>
                                    </w14:textFill>
                                  </w:rPr>
                                  <w:t>收集后暂存至陆梁油田作业区污泥暂存池，</w:t>
                                </w:r>
                                <w:r>
                                  <w:rPr>
                                    <w:rFonts w:cs="Times New Roman"/>
                                    <w:color w:val="000000" w:themeColor="text1"/>
                                    <w14:textFill>
                                      <w14:solidFill>
                                        <w14:schemeClr w14:val="tx1"/>
                                      </w14:solidFill>
                                    </w14:textFill>
                                  </w:rPr>
                                  <w:t>委托克拉玛依博达生态环保科技有限责任公司处置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8" name="文本框 438"/>
                          <wps:cNvSpPr txBox="1"/>
                          <wps:spPr>
                            <a:xfrm>
                              <a:off x="10958" y="2551422"/>
                              <a:ext cx="3545" cy="505"/>
                            </a:xfrm>
                            <a:prstGeom prst="rect">
                              <a:avLst/>
                            </a:prstGeom>
                            <a:noFill/>
                            <a:ln w="6350">
                              <a:noFill/>
                            </a:ln>
                            <a:effectLst/>
                          </wps:spPr>
                          <wps:txbx>
                            <w:txbxContent>
                              <w:p>
                                <w:r>
                                  <w:rPr>
                                    <w:rFonts w:cs="Times New Roman"/>
                                    <w:color w:val="000000" w:themeColor="text1"/>
                                    <w14:textFill>
                                      <w14:solidFill>
                                        <w14:schemeClr w14:val="tx1"/>
                                      </w14:solidFill>
                                    </w14:textFill>
                                  </w:rPr>
                                  <w:t>委托有危废处置资质单位进行处置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9" name="文本框 439"/>
                          <wps:cNvSpPr txBox="1"/>
                          <wps:spPr>
                            <a:xfrm>
                              <a:off x="10947" y="2552199"/>
                              <a:ext cx="3545" cy="505"/>
                            </a:xfrm>
                            <a:prstGeom prst="rect">
                              <a:avLst/>
                            </a:prstGeom>
                            <a:noFill/>
                            <a:ln w="6350">
                              <a:noFill/>
                            </a:ln>
                            <a:effectLst/>
                          </wps:spPr>
                          <wps:txbx>
                            <w:txbxContent>
                              <w:p>
                                <w:r>
                                  <w:rPr>
                                    <w:rFonts w:cs="Times New Roman"/>
                                    <w:color w:val="000000" w:themeColor="text1"/>
                                    <w14:textFill>
                                      <w14:solidFill>
                                        <w14:schemeClr w14:val="tx1"/>
                                      </w14:solidFill>
                                    </w14:textFill>
                                  </w:rPr>
                                  <w:t>委托有危废处置资质单位进行处置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0" name="文本框 440"/>
                          <wps:cNvSpPr txBox="1"/>
                          <wps:spPr>
                            <a:xfrm>
                              <a:off x="10961" y="2552989"/>
                              <a:ext cx="3545" cy="430"/>
                            </a:xfrm>
                            <a:prstGeom prst="rect">
                              <a:avLst/>
                            </a:prstGeom>
                            <a:noFill/>
                            <a:ln w="6350">
                              <a:noFill/>
                            </a:ln>
                            <a:effectLst/>
                          </wps:spPr>
                          <wps:txbx>
                            <w:txbxContent>
                              <w:p>
                                <w:r>
                                  <w:rPr>
                                    <w:rFonts w:cs="Times New Roman"/>
                                    <w:color w:val="000000" w:themeColor="text1"/>
                                    <w14:textFill>
                                      <w14:solidFill>
                                        <w14:schemeClr w14:val="tx1"/>
                                      </w14:solidFill>
                                    </w14:textFill>
                                  </w:rPr>
                                  <w:t>委托有危废处置资质单位进行处置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6" name="组合 466"/>
                        <wpg:cNvGrpSpPr/>
                        <wpg:grpSpPr>
                          <a:xfrm rot="0">
                            <a:off x="7769" y="2083967"/>
                            <a:ext cx="3505" cy="7487"/>
                            <a:chOff x="7456" y="2545922"/>
                            <a:chExt cx="3505" cy="7487"/>
                          </a:xfrm>
                          <a:effectLst/>
                        </wpg:grpSpPr>
                        <wps:wsp>
                          <wps:cNvPr id="444" name="直接箭头连接符 444"/>
                          <wps:cNvCnPr>
                            <a:stCxn id="275" idx="3"/>
                            <a:endCxn id="432" idx="1"/>
                          </wps:cNvCnPr>
                          <wps:spPr>
                            <a:xfrm>
                              <a:off x="8211" y="2546420"/>
                              <a:ext cx="2708" cy="27"/>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445" name="直接箭头连接符 445"/>
                          <wps:cNvCnPr>
                            <a:stCxn id="270" idx="3"/>
                            <a:endCxn id="435" idx="1"/>
                          </wps:cNvCnPr>
                          <wps:spPr>
                            <a:xfrm>
                              <a:off x="8119" y="2549081"/>
                              <a:ext cx="2791" cy="19"/>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446" name="直接箭头连接符 446"/>
                          <wps:cNvCnPr>
                            <a:stCxn id="278" idx="3"/>
                            <a:endCxn id="434" idx="1"/>
                          </wps:cNvCnPr>
                          <wps:spPr>
                            <a:xfrm flipV="1">
                              <a:off x="7456" y="2548168"/>
                              <a:ext cx="3454" cy="10"/>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447" name="直接箭头连接符 447"/>
                          <wps:cNvCnPr>
                            <a:stCxn id="271" idx="3"/>
                            <a:endCxn id="433" idx="1"/>
                          </wps:cNvCnPr>
                          <wps:spPr>
                            <a:xfrm>
                              <a:off x="8164" y="2547415"/>
                              <a:ext cx="2752" cy="26"/>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449" name="直接箭头连接符 449"/>
                          <wps:cNvCnPr>
                            <a:stCxn id="274" idx="3"/>
                            <a:endCxn id="437" idx="1"/>
                          </wps:cNvCnPr>
                          <wps:spPr>
                            <a:xfrm>
                              <a:off x="7774" y="2550024"/>
                              <a:ext cx="3148" cy="29"/>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450" name="直接箭头连接符 450"/>
                          <wps:cNvCnPr>
                            <a:stCxn id="277" idx="3"/>
                            <a:endCxn id="438" idx="1"/>
                          </wps:cNvCnPr>
                          <wps:spPr>
                            <a:xfrm>
                              <a:off x="7751" y="2551640"/>
                              <a:ext cx="3207" cy="35"/>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451" name="直接箭头连接符 451"/>
                          <wps:cNvCnPr>
                            <a:stCxn id="425" idx="3"/>
                            <a:endCxn id="439" idx="1"/>
                          </wps:cNvCnPr>
                          <wps:spPr>
                            <a:xfrm>
                              <a:off x="7597" y="2552429"/>
                              <a:ext cx="3350" cy="23"/>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452" name="直接箭头连接符 452"/>
                          <wps:cNvCnPr>
                            <a:stCxn id="427" idx="3"/>
                            <a:endCxn id="440" idx="1"/>
                          </wps:cNvCnPr>
                          <wps:spPr>
                            <a:xfrm flipV="1">
                              <a:off x="7809" y="2553204"/>
                              <a:ext cx="3152" cy="5"/>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454" name="直接连接符 454"/>
                          <wps:cNvCnPr/>
                          <wps:spPr>
                            <a:xfrm flipH="1">
                              <a:off x="9453" y="2545922"/>
                              <a:ext cx="12" cy="7487"/>
                            </a:xfrm>
                            <a:prstGeom prst="line">
                              <a:avLst/>
                            </a:prstGeom>
                            <a:noFill/>
                            <a:ln w="12700" cap="flat" cmpd="sng" algn="ctr">
                              <a:solidFill>
                                <a:srgbClr val="000000"/>
                              </a:solidFill>
                              <a:prstDash val="sysDash"/>
                              <a:miter lim="800000"/>
                            </a:ln>
                            <a:effectLst/>
                          </wps:spPr>
                          <wps:bodyPr/>
                        </wps:wsp>
                      </wpg:grpSp>
                    </wpg:wgp>
                  </a:graphicData>
                </a:graphic>
              </wp:anchor>
            </w:drawing>
          </mc:Choice>
          <mc:Fallback>
            <w:pict>
              <v:group id="_x0000_s1026" o:spid="_x0000_s1026" o:spt="203" style="position:absolute;left:0pt;margin-left:-19.7pt;margin-top:14.2pt;height:378.05pt;width:718.1pt;z-index:251673600;mso-width-relative:page;mso-height-relative:page;" coordorigin="1329,2083902" coordsize="14362,7561" o:gfxdata="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">
                <o:lock v:ext="edit" aspectratio="f"/>
                <v:group id="_x0000_s1026" o:spid="_x0000_s1026" o:spt="203" style="position:absolute;left:6800;top:2084094;height:7362;width:1724;" coordorigin="6487,2546049" coordsize="1724,7362"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6487;top:2547063;height:703;width:1677;" fillcolor="#FFFFFF" filled="t" stroked="t" coordsize="21600,21600" o:gfxdata="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cnEvQAA&#10;ANwAAAAPAAAAAAAAAAEAIAAAACIAAABkcnMvZG93bnJldi54bWxQSwECFAAUAAAACACHTuJAMy8F&#10;njsAAAA5AAAAEAAAAAAAAAABACAAAAAMAQAAZHJzL3NoYXBleG1sLnhtbFBLBQYAAAAABgAGAFsB&#10;AAC2AwAAAAA=&#10;">
                    <v:fill on="t" focussize="0,0"/>
                    <v:stroke weight="0.5pt" color="#000000" joinstyle="round" dashstyle="1 1"/>
                    <v:imagedata o:title=""/>
                    <o:lock v:ext="edit" aspectratio="f"/>
                    <v:textbox>
                      <w:txbxContent>
                        <w:p>
                          <w:pPr>
                            <w:jc w:val="center"/>
                          </w:pPr>
                          <w:r>
                            <w:rPr>
                              <w:rFonts w:hint="eastAsia"/>
                            </w:rPr>
                            <w:t>井下作业噪声、采油设备噪声</w:t>
                          </w:r>
                        </w:p>
                      </w:txbxContent>
                    </v:textbox>
                  </v:shape>
                  <v:shape id="_x0000_s1026" o:spid="_x0000_s1026" o:spt="202" type="#_x0000_t202" style="position:absolute;left:6556;top:2549822;height:404;width:1218;" fillcolor="#FFFFFF" filled="t" stroked="t" coordsize="21600,21600" o:gfxdata="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pqXL4A&#10;AADcAAAADwAAAAAAAAABACAAAAAiAAAAZHJzL2Rvd25yZXYueG1sUEsBAhQAFAAAAAgAh07iQDMv&#10;BZ47AAAAOQAAABAAAAAAAAAAAQAgAAAADQEAAGRycy9zaGFwZXhtbC54bWxQSwUGAAAAAAYABgBb&#10;AQAAtwMAAAAA&#10;">
                    <v:fill on="t" focussize="0,0"/>
                    <v:stroke weight="0.5pt" color="#000000" joinstyle="round" dashstyle="1 1"/>
                    <v:imagedata o:title=""/>
                    <o:lock v:ext="edit" aspectratio="f"/>
                    <v:textbox>
                      <w:txbxContent>
                        <w:p>
                          <w:pPr>
                            <w:jc w:val="center"/>
                          </w:pPr>
                          <w:r>
                            <w:rPr>
                              <w:rFonts w:hint="eastAsia"/>
                            </w:rPr>
                            <w:t>含油污泥</w:t>
                          </w:r>
                        </w:p>
                      </w:txbxContent>
                    </v:textbox>
                  </v:shape>
                  <v:shape id="_x0000_s1026" o:spid="_x0000_s1026" o:spt="202" type="#_x0000_t202" style="position:absolute;left:6489;top:2546049;height:741;width:1722;" fillcolor="#FFFFFF" filled="t" stroked="t" coordsize="21600,21600" o:gfxdata="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bPx74A&#10;AADcAAAADwAAAAAAAAABACAAAAAiAAAAZHJzL2Rvd25yZXYueG1sUEsBAhQAFAAAAAgAh07iQDMv&#10;BZ47AAAAOQAAABAAAAAAAAAAAQAgAAAADQEAAGRycy9zaGFwZXhtbC54bWxQSwUGAAAAAAYABgBb&#10;AQAAtwMAAAAA&#10;">
                    <v:fill on="t" focussize="0,0"/>
                    <v:stroke weight="0.5pt" color="#000000" joinstyle="round" dashstyle="1 1"/>
                    <v:imagedata o:title=""/>
                    <o:lock v:ext="edit" aspectratio="f"/>
                    <v:textbox>
                      <w:txbxContent>
                        <w:p>
                          <w:pPr>
                            <w:jc w:val="center"/>
                          </w:pPr>
                          <w:r>
                            <w:rPr>
                              <w:rFonts w:hint="eastAsia"/>
                            </w:rPr>
                            <w:t>挥发性有机废气、</w:t>
                          </w:r>
                          <w:r>
                            <w:rPr>
                              <w:rFonts w:hint="eastAsia"/>
                              <w:color w:val="000000" w:themeColor="text1"/>
                              <w14:textFill>
                                <w14:solidFill>
                                  <w14:schemeClr w14:val="tx1"/>
                                </w14:solidFill>
                              </w14:textFill>
                            </w:rPr>
                            <w:t>温室气体</w:t>
                          </w:r>
                        </w:p>
                      </w:txbxContent>
                    </v:textbox>
                  </v:shape>
                  <v:shape id="_x0000_s1026" o:spid="_x0000_s1026" o:spt="202" type="#_x0000_t202" style="position:absolute;left:6552;top:2551438;height:404;width:1199;" fillcolor="#FFFFFF" filled="t" stroked="t" coordsize="21600,21600" o:gfxdata="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qPQrvQAA&#10;ANwAAAAPAAAAAAAAAAEAIAAAACIAAABkcnMvZG93bnJldi54bWxQSwECFAAUAAAACACHTuJAMy8F&#10;njsAAAA5AAAAEAAAAAAAAAABACAAAAAMAQAAZHJzL3NoYXBleG1sLnhtbFBLBQYAAAAABgAGAFsB&#10;AAC2AwAAAAA=&#10;">
                    <v:fill on="t" focussize="0,0"/>
                    <v:stroke weight="0.5pt" color="#000000" joinstyle="round" dashstyle="1 1"/>
                    <v:imagedata o:title=""/>
                    <o:lock v:ext="edit" aspectratio="f"/>
                    <v:textbox>
                      <w:txbxContent>
                        <w:p>
                          <w:pPr>
                            <w:jc w:val="center"/>
                          </w:pPr>
                          <w:r>
                            <w:rPr>
                              <w:rFonts w:hint="eastAsia"/>
                            </w:rPr>
                            <w:t>废润滑油</w:t>
                          </w:r>
                        </w:p>
                      </w:txbxContent>
                    </v:textbox>
                  </v:shape>
                  <v:shape id="_x0000_s1026" o:spid="_x0000_s1026" o:spt="202" type="#_x0000_t202" style="position:absolute;left:6500;top:2547976;height:404;width:956;" fillcolor="#FFFFFF" filled="t" stroked="t" coordsize="21600,21600" o:gfxdata="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N2BZugAAANwA&#10;AAAPAAAAAAAAAAEAIAAAACIAAABkcnMvZG93bnJldi54bWxQSwECFAAUAAAACACHTuJAMy8FnjsA&#10;AAA5AAAAEAAAAAAAAAABACAAAAAJAQAAZHJzL3NoYXBleG1sLnhtbFBLBQYAAAAABgAGAFsBAACz&#10;AwAAAAA=&#10;">
                    <v:fill on="t" focussize="0,0"/>
                    <v:stroke weight="0.5pt" color="#000000" joinstyle="round" dashstyle="1 1"/>
                    <v:imagedata o:title=""/>
                    <o:lock v:ext="edit" aspectratio="f"/>
                    <v:textbox>
                      <w:txbxContent>
                        <w:p>
                          <w:pPr>
                            <w:jc w:val="center"/>
                          </w:pPr>
                          <w:r>
                            <w:rPr>
                              <w:rFonts w:hint="eastAsia"/>
                            </w:rPr>
                            <w:t>采出水</w:t>
                          </w:r>
                        </w:p>
                      </w:txbxContent>
                    </v:textbox>
                  </v:shape>
                  <v:shape id="_x0000_s1026" o:spid="_x0000_s1026" o:spt="202" type="#_x0000_t202" style="position:absolute;left:6529;top:2548879;height:404;width:1590;" fillcolor="#FFFFFF" filled="t" stroked="t" coordsize="21600,21600" o:gfxdata="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WxfugAAANwA&#10;AAAPAAAAAAAAAAEAIAAAACIAAABkcnMvZG93bnJldi54bWxQSwECFAAUAAAACACHTuJAMy8FnjsA&#10;AAA5AAAAEAAAAAAAAAABACAAAAAJAQAAZHJzL3NoYXBleG1sLnhtbFBLBQYAAAAABgAGAFsBAACz&#10;AwAAAAA=&#10;">
                    <v:fill on="t" focussize="0,0"/>
                    <v:stroke weight="0.5pt" color="#000000" joinstyle="round" dashstyle="1 1"/>
                    <v:imagedata o:title=""/>
                    <o:lock v:ext="edit" aspectratio="f"/>
                    <v:textbox>
                      <w:txbxContent>
                        <w:p>
                          <w:pPr>
                            <w:jc w:val="center"/>
                          </w:pPr>
                          <w:r>
                            <w:rPr>
                              <w:rFonts w:hint="eastAsia"/>
                            </w:rPr>
                            <w:t>井下作业废液</w:t>
                          </w:r>
                        </w:p>
                      </w:txbxContent>
                    </v:textbox>
                  </v:shape>
                  <v:shape id="_x0000_s1026" o:spid="_x0000_s1026" o:spt="202" type="#_x0000_t202" style="position:absolute;left:6562;top:2552227;height:404;width:1035;" fillcolor="#FFFFFF" filled="t" stroked="t" coordsize="21600,21600" o:gfxdata="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4iIr4A&#10;AADcAAAADwAAAAAAAAABACAAAAAiAAAAZHJzL2Rvd25yZXYueG1sUEsBAhQAFAAAAAgAh07iQDMv&#10;BZ47AAAAOQAAABAAAAAAAAAAAQAgAAAADQEAAGRycy9zaGFwZXhtbC54bWxQSwUGAAAAAAYABgBb&#10;AQAAtwMAAAAA&#10;">
                    <v:fill on="t" focussize="0,0"/>
                    <v:stroke weight="0.5pt" color="#000000" joinstyle="round" dashstyle="1 1"/>
                    <v:imagedata o:title=""/>
                    <o:lock v:ext="edit" aspectratio="f"/>
                    <v:textbox>
                      <w:txbxContent>
                        <w:p>
                          <w:pPr>
                            <w:jc w:val="center"/>
                          </w:pPr>
                          <w:r>
                            <w:rPr>
                              <w:rFonts w:hint="eastAsia"/>
                            </w:rPr>
                            <w:t>防渗膜</w:t>
                          </w:r>
                        </w:p>
                      </w:txbxContent>
                    </v:textbox>
                  </v:shape>
                  <v:shape id="_x0000_s1026" o:spid="_x0000_s1026" o:spt="202" type="#_x0000_t202" style="position:absolute;left:6538;top:2553007;height:404;width:1271;" fillcolor="#FFFFFF" filled="t" stroked="t" coordsize="21600,21600" o:gfxdata="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AZzr4A&#10;AADcAAAADwAAAAAAAAABACAAAAAiAAAAZHJzL2Rvd25yZXYueG1sUEsBAhQAFAAAAAgAh07iQDMv&#10;BZ47AAAAOQAAABAAAAAAAAAAAQAgAAAADQEAAGRycy9zaGFwZXhtbC54bWxQSwUGAAAAAAYABgBb&#10;AQAAtwMAAAAA&#10;">
                    <v:fill on="t" focussize="0,0"/>
                    <v:stroke weight="0.5pt" color="#000000" joinstyle="round" dashstyle="1 1"/>
                    <v:imagedata o:title=""/>
                    <o:lock v:ext="edit" aspectratio="f"/>
                    <v:textbox>
                      <w:txbxContent>
                        <w:p>
                          <w:pPr>
                            <w:jc w:val="center"/>
                          </w:pPr>
                          <w:r>
                            <w:rPr>
                              <w:rFonts w:hint="eastAsia"/>
                            </w:rPr>
                            <w:t>清管废渣</w:t>
                          </w:r>
                        </w:p>
                      </w:txbxContent>
                    </v:textbox>
                  </v:shape>
                </v:group>
                <v:group id="_x0000_s1026" o:spid="_x0000_s1026" o:spt="203" style="position:absolute;left:5259;top:2083902;height:7486;width:852;" coordorigin="4550,2545857" coordsize="852,7486" o:gfxdata="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XgGcAAAADcAAAADwAAAAAAAAABACAAAAAiAAAAZHJzL2Rvd25yZXYu&#10;eG1sUEsBAhQAFAAAAAgAh07iQDMvBZ47AAAAOQAAABUAAAAAAAAAAQAgAAAADwEAAGRycy9ncm91&#10;cHNoYXBleG1sLnhtbFBLBQYAAAAABgAGAGABAADMAwAAAAA=&#10;">
                  <o:lock v:ext="edit" aspectratio="f"/>
                  <v:line id="_x0000_s1026" o:spid="_x0000_s1026" o:spt="20" style="position:absolute;left:4975;top:2545857;flip:x;height:7487;width:12;" filled="f" stroked="t" coordsize="21600,21600" o:gfxdata="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yhDa/&#10;AAAA3AAAAA8AAAAAAAAAAQAgAAAAIgAAAGRycy9kb3ducmV2LnhtbFBLAQIUABQAAAAIAIdO4kAz&#10;LwWeOwAAADkAAAAQAAAAAAAAAAEAIAAAAA4BAABkcnMvc2hhcGV4bWwueG1sUEsFBgAAAAAGAAYA&#10;WwEAALgDAAAAAA==&#10;">
                    <v:fill on="f" focussize="0,0"/>
                    <v:stroke weight="1pt" color="#000000" miterlimit="8" joinstyle="miter" dashstyle="3 1"/>
                    <v:imagedata o:title=""/>
                    <o:lock v:ext="edit" aspectratio="f"/>
                  </v:line>
                  <v:shape id="_x0000_s1026" o:spid="_x0000_s1026" o:spt="13" type="#_x0000_t13" style="position:absolute;left:4564;top:2546168;height:300;width:838;v-text-anchor:middle;" fillcolor="#000000" filled="t" stroked="t" coordsize="21600,21600" o:gfxdata="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fHevQAA&#10;ANwAAAAPAAAAAAAAAAEAIAAAACIAAABkcnMvZG93bnJldi54bWxQSwECFAAUAAAACACHTuJAMy8F&#10;njsAAAA5AAAAEAAAAAAAAAABACAAAAAMAQAAZHJzL3NoYXBleG1sLnhtbFBLBQYAAAAABgAGAFsB&#10;AAC2AwAAAAA=&#10;" adj="17734,5400">
                    <v:fill on="t" focussize="0,0"/>
                    <v:stroke weight="1pt" color="#000000" miterlimit="8" joinstyle="miter"/>
                    <v:imagedata o:title=""/>
                    <o:lock v:ext="edit" aspectratio="f"/>
                  </v:shape>
                  <v:shape id="_x0000_s1026" o:spid="_x0000_s1026" o:spt="13" type="#_x0000_t13" style="position:absolute;left:4550;top:2547758;height:300;width:838;v-text-anchor:middle;" fillcolor="#000000" filled="t" stroked="t" coordsize="21600,21600" o:gfxdata="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2+pvQAA&#10;ANwAAAAPAAAAAAAAAAEAIAAAACIAAABkcnMvZG93bnJldi54bWxQSwECFAAUAAAACACHTuJAMy8F&#10;njsAAAA5AAAAEAAAAAAAAAABACAAAAAMAQAAZHJzL3NoYXBleG1sLnhtbFBLBQYAAAAABgAGAFsB&#10;AAC2AwAAAAA=&#10;" adj="17734,5400">
                    <v:fill on="t" focussize="0,0"/>
                    <v:stroke weight="1pt" color="#000000" miterlimit="8" joinstyle="miter"/>
                    <v:imagedata o:title=""/>
                    <o:lock v:ext="edit" aspectratio="f"/>
                  </v:shape>
                  <v:shape id="_x0000_s1026" o:spid="_x0000_s1026" o:spt="13" type="#_x0000_t13" style="position:absolute;left:4552;top:2549373;height:300;width:838;v-text-anchor:middle;" fillcolor="#000000" filled="t" stroked="t" coordsize="21600,21600" o:gfxdata="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KMr4A&#10;AADcAAAADwAAAAAAAAABACAAAAAiAAAAZHJzL2Rvd25yZXYueG1sUEsBAhQAFAAAAAgAh07iQDMv&#10;BZ47AAAAOQAAABAAAAAAAAAAAQAgAAAADQEAAGRycy9zaGFwZXhtbC54bWxQSwUGAAAAAAYABgBb&#10;AQAAtwMAAAAA&#10;" adj="17734,5400">
                    <v:fill on="t" focussize="0,0"/>
                    <v:stroke weight="1pt" color="#000000" miterlimit="8" joinstyle="miter"/>
                    <v:imagedata o:title=""/>
                    <o:lock v:ext="edit" aspectratio="f"/>
                  </v:shape>
                  <v:shape id="_x0000_s1026" o:spid="_x0000_s1026" o:spt="13" type="#_x0000_t13" style="position:absolute;left:4557;top:2550988;height:300;width:838;v-text-anchor:middle;" fillcolor="#000000" filled="t" stroked="t" coordsize="21600,21600" o:gfxdata="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eF5AugAAANwA&#10;AAAPAAAAAAAAAAEAIAAAACIAAABkcnMvZG93bnJldi54bWxQSwECFAAUAAAACACHTuJAMy8FnjsA&#10;AAA5AAAAEAAAAAAAAAABACAAAAAJAQAAZHJzL3NoYXBleG1sLnhtbFBLBQYAAAAABgAGAFsBAACz&#10;AwAAAAA=&#10;" adj="17734,5400">
                    <v:fill on="t" focussize="0,0"/>
                    <v:stroke weight="1pt" color="#000000" miterlimit="8" joinstyle="miter"/>
                    <v:imagedata o:title=""/>
                    <o:lock v:ext="edit" aspectratio="f"/>
                  </v:shape>
                </v:group>
                <v:group id="_x0000_s1026" o:spid="_x0000_s1026" o:spt="203" style="position:absolute;left:1329;top:2084094;height:7350;width:3112;" coordorigin="1016,2546049" coordsize="3112,7350"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2474;top:2551839;height:404;width:794;" filled="f" stroked="f" coordsize="21600,21600" o:gfxdata="UEsDBAoAAAAAAIdO4kAAAAAAAAAAAAAAAAAEAAAAZHJzL1BLAwQUAAAACACHTuJAGCtb978AAADc&#10;AAAADwAAAGRycy9kb3ducmV2LnhtbEWPT4vCMBTE78J+h/AW9qapR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W/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原油</w:t>
                          </w:r>
                        </w:p>
                      </w:txbxContent>
                    </v:textbox>
                  </v:shape>
                  <v:shape id="_x0000_s1026" o:spid="_x0000_s1026" o:spt="202" type="#_x0000_t202" style="position:absolute;left:1652;top:2551279;height:404;width:943;" filled="f" stroked="f" coordsize="21600,21600" o:gfxdata="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IZL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采出水</w:t>
                          </w:r>
                        </w:p>
                      </w:txbxContent>
                    </v:textbox>
                  </v:shape>
                  <v:group id="_x0000_s1026" o:spid="_x0000_s1026" o:spt="203" style="position:absolute;left:2264;top:2546049;height:7350;width:1803;" coordorigin="2264,2546049" coordsize="1803,7350" o:gfxdata="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flFgsAAAADc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2771;top:2546049;height:404;width:1152;" fillcolor="#FFFFFF" filled="t" stroked="t" coordsize="21600,21600" o:gfxdata="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I8c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r>
                              <w:rPr>
                                <w:rFonts w:hint="eastAsia"/>
                              </w:rPr>
                              <w:t>井下作业</w:t>
                            </w:r>
                          </w:p>
                        </w:txbxContent>
                      </v:textbox>
                    </v:shape>
                    <v:shape id="_x0000_s1026" o:spid="_x0000_s1026" o:spt="202" type="#_x0000_t202" style="position:absolute;left:2628;top:2547671;height:404;width:1415;" fillcolor="#FFFFFF" filled="t" stroked="t" coordsize="21600,21600" o:gfxdata="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l6S6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rPr>
                                <w:rFonts w:ascii="Times New Roman" w:hAnsi="Times New Roman" w:cs="Times New Roman"/>
                              </w:rPr>
                            </w:pPr>
                            <w:r>
                              <w:rPr>
                                <w:rFonts w:hint="eastAsia" w:ascii="Times New Roman" w:hAnsi="Times New Roman" w:cs="Times New Roman"/>
                                <w:lang w:val="en-US" w:eastAsia="zh-CN"/>
                              </w:rPr>
                              <w:t>6</w:t>
                            </w:r>
                            <w:r>
                              <w:rPr>
                                <w:rFonts w:ascii="Times New Roman" w:hAnsi="Times New Roman" w:cs="Times New Roman"/>
                              </w:rPr>
                              <w:t>口采油井</w:t>
                            </w:r>
                          </w:p>
                        </w:txbxContent>
                      </v:textbox>
                    </v:shape>
                    <v:shape id="_x0000_s1026" o:spid="_x0000_s1026" o:spt="202" type="#_x0000_t202" style="position:absolute;left:2861;top:2548644;height:404;width:968;" fillcolor="#FFFFFF" filled="t" stroked="t" coordsize="21600,21600" o:gfxdata="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I3c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r>
                              <w:rPr>
                                <w:rFonts w:hint="eastAsia"/>
                              </w:rPr>
                              <w:t>计量站</w:t>
                            </w:r>
                          </w:p>
                        </w:txbxContent>
                      </v:textbox>
                    </v:shape>
                    <v:shape id="_x0000_s1026" o:spid="_x0000_s1026" o:spt="202" type="#_x0000_t202" style="position:absolute;left:2264;top:2550917;height:404;width:1803;" fillcolor="#FFFFFF" filled="t" stroked="t" coordsize="21600,21600" o:gfxdata="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Cie7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lang w:val="en-US" w:eastAsia="zh-CN"/>
                              </w:rPr>
                              <w:t>陆梁集中处理</w:t>
                            </w:r>
                            <w:r>
                              <w:rPr>
                                <w:rFonts w:hint="eastAsia"/>
                              </w:rPr>
                              <w:t>站</w:t>
                            </w:r>
                          </w:p>
                        </w:txbxContent>
                      </v:textbox>
                    </v:shape>
                    <v:shape id="_x0000_s1026" o:spid="_x0000_s1026" o:spt="32" type="#_x0000_t32" style="position:absolute;left:3336;top:2546453;flip:x;height:1218;width:11;" filled="f" stroked="t" coordsize="21600,21600" o:gfxdata="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nlrb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2" type="#_x0000_t32" style="position:absolute;left:3350;top:2550209;height:710;width:3;" filled="f" stroked="t" coordsize="21600,21600" o:gfxdata="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jhoZ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_x0000_s1026" o:spid="_x0000_s1026" o:spt="32" type="#_x0000_t32" style="position:absolute;left:3336;top:2548075;height:581;width:4;" filled="f" stroked="t" coordsize="21600,21600" o:gfxdata="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Z4Jt&#10;wAAAANwAAAAPAAAAAAAAAAEAIAAAACIAAABkcnMvZG93bnJldi54bWxQSwECFAAUAAAACACHTuJA&#10;My8FnjsAAAA5AAAAEAAAAAAAAAABACAAAAAPAQAAZHJzL3NoYXBleG1sLnhtbFBLBQYAAAAABgAG&#10;AFsBAAC5AwAAAAA=&#10;">
                      <v:fill on="f" focussize="0,0"/>
                      <v:stroke weight="1pt" color="#000000" miterlimit="8" joinstyle="miter" endarrow="block"/>
                      <v:imagedata o:title=""/>
                      <o:lock v:ext="edit" aspectratio="f"/>
                    </v:shape>
                    <v:shape id="_x0000_s1026" o:spid="_x0000_s1026" o:spt="202" type="#_x0000_t202" style="position:absolute;left:2929;top:2552995;height:404;width:794;" fillcolor="#FFFFFF" filled="t" stroked="t" coordsize="21600,21600" o:gfxdata="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Anl1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r>
                              <w:rPr>
                                <w:rFonts w:hint="eastAsia"/>
                              </w:rPr>
                              <w:t>外输</w:t>
                            </w:r>
                          </w:p>
                        </w:txbxContent>
                      </v:textbox>
                    </v:shape>
                    <v:shape id="_x0000_s1026" o:spid="_x0000_s1026" o:spt="32" type="#_x0000_t32" style="position:absolute;left:3326;top:2551373;flip:x;height:1622;width:16;" filled="f" stroked="t" coordsize="21600,21600" o:gfxdata="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LtB7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202" type="#_x0000_t202" style="position:absolute;left:2850;top:2549809;height:404;width:968;" fillcolor="#FFFFFF" filled="t" stroked="t" coordsize="21600,21600" o:gfxdata="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komG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bidi w:val="0"/>
                              <w:adjustRightInd/>
                              <w:snapToGrid/>
                              <w:ind w:left="-105" w:leftChars="-50" w:right="-105" w:rightChars="-50"/>
                              <w:jc w:val="center"/>
                              <w:textAlignment w:val="auto"/>
                              <w:rPr>
                                <w:rFonts w:hint="default" w:eastAsiaTheme="minorEastAsia"/>
                                <w:lang w:val="en-US" w:eastAsia="zh-CN"/>
                              </w:rPr>
                            </w:pPr>
                            <w:r>
                              <w:rPr>
                                <w:rFonts w:hint="eastAsia"/>
                                <w:lang w:val="en-US" w:eastAsia="zh-CN"/>
                              </w:rPr>
                              <w:t>混输泵站</w:t>
                            </w:r>
                          </w:p>
                        </w:txbxContent>
                      </v:textbox>
                    </v:shape>
                    <v:shape id="_x0000_s1026" o:spid="_x0000_s1026" o:spt="32" type="#_x0000_t32" style="position:absolute;left:3334;top:2549067;flip:x;height:742;width:2;" filled="f" stroked="t" coordsize="21600,21600" o:gfxdata="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dhuO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group>
                  <v:shape id="_x0000_s1026" o:spid="_x0000_s1026" o:spt="202" type="#_x0000_t202" style="position:absolute;left:1016;top:2550891;height:452;width:731;" fillcolor="#FFFFFF" filled="t" stroked="t" coordsize="21600,21600" o:gfxdata="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43n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rFonts w:hint="eastAsia" w:eastAsiaTheme="minorEastAsia"/>
                              <w:lang w:eastAsia="zh-CN"/>
                            </w:rPr>
                          </w:pPr>
                          <w:r>
                            <w:rPr>
                              <w:rFonts w:hint="eastAsia"/>
                              <w:sz w:val="20"/>
                              <w:szCs w:val="22"/>
                              <w:lang w:val="en-US" w:eastAsia="zh-CN"/>
                            </w:rPr>
                            <w:t>回注</w:t>
                          </w:r>
                        </w:p>
                      </w:txbxContent>
                    </v:textbox>
                  </v:shape>
                  <v:shape id="_x0000_s1026" o:spid="_x0000_s1026" o:spt="32" type="#_x0000_t32" style="position:absolute;left:1747;top:2551117;flip:x y;height:2;width:517;" filled="f" stroked="t" coordsize="21600,21600" o:gfxdata="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Qgp&#10;wAAAANwAAAAPAAAAAAAAAAEAIAAAACIAAABkcnMvZG93bnJldi54bWxQSwECFAAUAAAACACHTuJA&#10;My8FnjsAAAA5AAAAEAAAAAAAAAABACAAAAAPAQAAZHJzL3NoYXBleG1sLnhtbFBLBQYAAAAABgAG&#10;AFsBAAC5AwAAAAA=&#10;">
                    <v:fill on="f" focussize="0,0"/>
                    <v:stroke weight="1pt" color="#000000" miterlimit="8" joinstyle="miter" endarrow="block"/>
                    <v:imagedata o:title=""/>
                    <o:lock v:ext="edit" aspectratio="f"/>
                  </v:shape>
                  <v:shape id="_x0000_s1026" o:spid="_x0000_s1026" o:spt="34" type="#_x0000_t34" style="position:absolute;left:4043;top:2547873;height:3246;width:85;" filled="f" stroked="t" coordsize="21600,21600" o:gfxdata="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L5Ir4A&#10;AADcAAAADwAAAAAAAAABACAAAAAiAAAAZHJzL2Rvd25yZXYueG1sUEsBAhQAFAAAAAgAh07iQDMv&#10;BZ47AAAAOQAAABAAAAAAAAAAAQAgAAAADQEAAGRycy9zaGFwZXhtbC54bWxQSwUGAAAAAAYABgBb&#10;AQAAtwMAAAAA&#10;" adj="209393">
                    <v:fill on="f" focussize="0,0"/>
                    <v:stroke weight="1pt" color="#000000" miterlimit="8" joinstyle="miter" endarrow="block"/>
                    <v:imagedata o:title=""/>
                    <o:lock v:ext="edit" aspectratio="f"/>
                  </v:shape>
                </v:group>
                <v:group id="_x0000_s1026" o:spid="_x0000_s1026" o:spt="203" style="position:absolute;left:11219;top:2084283;height:7181;width:4473;" coordorigin="10906,2546238" coordsize="4473,7181"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0919;top:2546238;height:417;width:2583;" filled="f" stroked="f" coordsize="21600,21600" o:gfxdata="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WX1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无组织排放至大气环境</w:t>
                          </w:r>
                        </w:p>
                      </w:txbxContent>
                    </v:textbox>
                  </v:shape>
                  <v:shape id="_x0000_s1026" o:spid="_x0000_s1026" o:spt="202" type="#_x0000_t202" style="position:absolute;left:10916;top:2547232;height:417;width:1385;" filled="f" stroked="f" coordsize="21600,21600" o:gfxdata="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6&#10;w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周围环境</w:t>
                          </w:r>
                        </w:p>
                      </w:txbxContent>
                    </v:textbox>
                  </v:shape>
                  <v:shape id="_x0000_s1026" o:spid="_x0000_s1026" o:spt="202" type="#_x0000_t202" style="position:absolute;left:10910;top:2547797;height:741;width:3995;" filled="f" stroked="f" coordsize="21600,21600" o:gfxdata="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i&#10;t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cs="Times New Roman"/>
                              <w:color w:val="000000" w:themeColor="text1"/>
                              <w14:textFill>
                                <w14:solidFill>
                                  <w14:schemeClr w14:val="tx1"/>
                                </w14:solidFill>
                              </w14:textFill>
                            </w:rPr>
                            <w:t>管输至</w:t>
                          </w:r>
                          <w:r>
                            <w:rPr>
                              <w:rFonts w:hint="eastAsia" w:cs="Times New Roman"/>
                              <w:color w:val="000000" w:themeColor="text1"/>
                              <w:lang w:val="en-US" w:eastAsia="zh-CN"/>
                              <w14:textFill>
                                <w14:solidFill>
                                  <w14:schemeClr w14:val="tx1"/>
                                </w14:solidFill>
                              </w14:textFill>
                            </w:rPr>
                            <w:t>陆梁集中处理站</w:t>
                          </w:r>
                          <w:r>
                            <w:rPr>
                              <w:rFonts w:cs="Times New Roman"/>
                              <w:color w:val="000000" w:themeColor="text1"/>
                              <w14:textFill>
                                <w14:solidFill>
                                  <w14:schemeClr w14:val="tx1"/>
                                </w14:solidFill>
                              </w14:textFill>
                            </w:rPr>
                            <w:t>；处理合格后用于</w:t>
                          </w:r>
                          <w:r>
                            <w:rPr>
                              <w:rFonts w:hint="eastAsia" w:cs="Times New Roman"/>
                              <w:color w:val="000000" w:themeColor="text1"/>
                              <w:lang w:val="en-US" w:eastAsia="zh-CN"/>
                              <w14:textFill>
                                <w14:solidFill>
                                  <w14:schemeClr w14:val="tx1"/>
                                </w14:solidFill>
                              </w14:textFill>
                            </w:rPr>
                            <w:t>回注</w:t>
                          </w:r>
                          <w:r>
                            <w:rPr>
                              <w:rFonts w:cs="Times New Roman"/>
                              <w:color w:val="000000" w:themeColor="text1"/>
                              <w14:textFill>
                                <w14:solidFill>
                                  <w14:schemeClr w14:val="tx1"/>
                                </w14:solidFill>
                              </w14:textFill>
                            </w:rPr>
                            <w:t>，综合利用，不外排</w:t>
                          </w:r>
                        </w:p>
                      </w:txbxContent>
                    </v:textbox>
                  </v:shape>
                  <v:shape id="_x0000_s1026" o:spid="_x0000_s1026" o:spt="202" type="#_x0000_t202" style="position:absolute;left:10906;top:2548691;height:817;width:4320;" filled="f" stroked="f" coordsize="21600,21600" o:gfxdata="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v8c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cs="Times New Roman"/>
                              <w:color w:val="000000" w:themeColor="text1"/>
                              <w14:textFill>
                                <w14:solidFill>
                                  <w14:schemeClr w14:val="tx1"/>
                                </w14:solidFill>
                              </w14:textFill>
                            </w:rPr>
                            <w:t>进罐收集后拉至</w:t>
                          </w:r>
                          <w:r>
                            <w:rPr>
                              <w:rFonts w:hint="eastAsia" w:cs="Times New Roman"/>
                              <w:color w:val="000000" w:themeColor="text1"/>
                              <w:lang w:val="en-US" w:eastAsia="zh-CN"/>
                              <w14:textFill>
                                <w14:solidFill>
                                  <w14:schemeClr w14:val="tx1"/>
                                </w14:solidFill>
                              </w14:textFill>
                            </w:rPr>
                            <w:t>陆梁集中处理站</w:t>
                          </w:r>
                          <w:r>
                            <w:rPr>
                              <w:rFonts w:cs="Times New Roman"/>
                              <w:color w:val="000000" w:themeColor="text1"/>
                              <w14:textFill>
                                <w14:solidFill>
                                  <w14:schemeClr w14:val="tx1"/>
                                </w14:solidFill>
                              </w14:textFill>
                            </w:rPr>
                            <w:t>；处理合格后用于</w:t>
                          </w:r>
                          <w:r>
                            <w:rPr>
                              <w:rFonts w:hint="eastAsia" w:cs="Times New Roman"/>
                              <w:color w:val="000000" w:themeColor="text1"/>
                              <w:lang w:val="en-US" w:eastAsia="zh-CN"/>
                              <w14:textFill>
                                <w14:solidFill>
                                  <w14:schemeClr w14:val="tx1"/>
                                </w14:solidFill>
                              </w14:textFill>
                            </w:rPr>
                            <w:t>回注</w:t>
                          </w:r>
                          <w:r>
                            <w:rPr>
                              <w:rFonts w:cs="Times New Roman"/>
                              <w:color w:val="000000" w:themeColor="text1"/>
                              <w14:textFill>
                                <w14:solidFill>
                                  <w14:schemeClr w14:val="tx1"/>
                                </w14:solidFill>
                              </w14:textFill>
                            </w:rPr>
                            <w:t>，综合利用，不外排</w:t>
                          </w:r>
                        </w:p>
                      </w:txbxContent>
                    </v:textbox>
                  </v:shape>
                  <v:shape id="_x0000_s1026" o:spid="_x0000_s1026" o:spt="202" type="#_x0000_t202" style="position:absolute;left:10922;top:2549682;height:742;width:4457;" filled="f" stroked="f" coordsize="21600,21600" o:gfxdata="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H8&#10;w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cs="Times New Roman"/>
                              <w:color w:val="000000" w:themeColor="text1"/>
                              <w:lang w:val="en-US" w:eastAsia="zh-CN"/>
                              <w14:textFill>
                                <w14:solidFill>
                                  <w14:schemeClr w14:val="tx1"/>
                                </w14:solidFill>
                              </w14:textFill>
                            </w:rPr>
                            <w:t>收集后暂存至陆梁油田作业区污泥暂存池，</w:t>
                          </w:r>
                          <w:r>
                            <w:rPr>
                              <w:rFonts w:cs="Times New Roman"/>
                              <w:color w:val="000000" w:themeColor="text1"/>
                              <w14:textFill>
                                <w14:solidFill>
                                  <w14:schemeClr w14:val="tx1"/>
                                </w14:solidFill>
                              </w14:textFill>
                            </w:rPr>
                            <w:t>委托克拉玛依博达生态环保科技有限责任公司处置</w:t>
                          </w:r>
                        </w:p>
                      </w:txbxContent>
                    </v:textbox>
                  </v:shape>
                  <v:shape id="_x0000_s1026" o:spid="_x0000_s1026" o:spt="202" type="#_x0000_t202" style="position:absolute;left:10958;top:2551422;height:505;width:3545;" filled="f" stroked="f" coordsize="21600,21600" o:gfxdata="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aL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cs="Times New Roman"/>
                              <w:color w:val="000000" w:themeColor="text1"/>
                              <w14:textFill>
                                <w14:solidFill>
                                  <w14:schemeClr w14:val="tx1"/>
                                </w14:solidFill>
                              </w14:textFill>
                            </w:rPr>
                            <w:t>委托有危废处置资质单位进行处置</w:t>
                          </w:r>
                        </w:p>
                      </w:txbxContent>
                    </v:textbox>
                  </v:shape>
                  <v:shape id="_x0000_s1026" o:spid="_x0000_s1026" o:spt="202" type="#_x0000_t202" style="position:absolute;left:10947;top:2552199;height:505;width:3545;" filled="f" stroked="f" coordsize="21600,21600" o:gfxdata="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LN&#10;K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cs="Times New Roman"/>
                              <w:color w:val="000000" w:themeColor="text1"/>
                              <w14:textFill>
                                <w14:solidFill>
                                  <w14:schemeClr w14:val="tx1"/>
                                </w14:solidFill>
                              </w14:textFill>
                            </w:rPr>
                            <w:t>委托有危废处置资质单位进行处置</w:t>
                          </w:r>
                        </w:p>
                      </w:txbxContent>
                    </v:textbox>
                  </v:shape>
                  <v:shape id="_x0000_s1026" o:spid="_x0000_s1026" o:spt="202" type="#_x0000_t202" style="position:absolute;left:10961;top:2552989;height:430;width:3545;" filled="f" stroked="f" coordsize="21600,21600" o:gfxdata="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hfK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cs="Times New Roman"/>
                              <w:color w:val="000000" w:themeColor="text1"/>
                              <w14:textFill>
                                <w14:solidFill>
                                  <w14:schemeClr w14:val="tx1"/>
                                </w14:solidFill>
                              </w14:textFill>
                            </w:rPr>
                            <w:t>委托有危废处置资质单位进行处置</w:t>
                          </w:r>
                        </w:p>
                      </w:txbxContent>
                    </v:textbox>
                  </v:shape>
                </v:group>
                <v:group id="_x0000_s1026" o:spid="_x0000_s1026" o:spt="203" style="position:absolute;left:7769;top:2083967;height:7487;width:3505;" coordorigin="7456,2545922" coordsize="3505,7487" o:gfxdata="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2O5hq+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211;top:2546420;height:27;width:2708;" filled="f" stroked="t" coordsize="21600,21600" o:gfxdata="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E6tf&#10;wAAAANwAAAAPAAAAAAAAAAEAIAAAACIAAABkcnMvZG93bnJldi54bWxQSwECFAAUAAAACACHTuJA&#10;My8FnjsAAAA5AAAAEAAAAAAAAAABACAAAAAPAQAAZHJzL3NoYXBleG1sLnhtbFBLBQYAAAAABgAG&#10;AFsBAAC5AwAAAAA=&#10;">
                    <v:fill on="f" focussize="0,0"/>
                    <v:stroke weight="1pt" color="#000000" miterlimit="8" joinstyle="miter" dashstyle="3 1" endarrow="block"/>
                    <v:imagedata o:title=""/>
                    <o:lock v:ext="edit" aspectratio="f"/>
                  </v:shape>
                  <v:shape id="_x0000_s1026" o:spid="_x0000_s1026" o:spt="32" type="#_x0000_t32" style="position:absolute;left:8119;top:2549081;height:19;width:2791;" filled="f" stroked="t" coordsize="21600,21600" o:gfxdata="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fDsS/&#10;AAAA3AAAAA8AAAAAAAAAAQAgAAAAIgAAAGRycy9kb3ducmV2LnhtbFBLAQIUABQAAAAIAIdO4kAz&#10;LwWeOwAAADkAAAAQAAAAAAAAAAEAIAAAAA4BAABkcnMvc2hhcGV4bWwueG1sUEsFBgAAAAAGAAYA&#10;WwEAALgDAAAAAA==&#10;">
                    <v:fill on="f" focussize="0,0"/>
                    <v:stroke weight="1pt" color="#000000" miterlimit="8" joinstyle="miter" dashstyle="3 1" endarrow="block"/>
                    <v:imagedata o:title=""/>
                    <o:lock v:ext="edit" aspectratio="f"/>
                  </v:shape>
                  <v:shape id="_x0000_s1026" o:spid="_x0000_s1026" o:spt="32" type="#_x0000_t32" style="position:absolute;left:7456;top:2548168;flip:y;height:10;width:3454;" filled="f" stroked="t" coordsize="21600,21600" o:gfxdata="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9hhG8AAAA&#10;3AAAAA8AAAAAAAAAAQAgAAAAIgAAAGRycy9kb3ducmV2LnhtbFBLAQIUABQAAAAIAIdO4kAzLwWe&#10;OwAAADkAAAAQAAAAAAAAAAEAIAAAAAsBAABkcnMvc2hhcGV4bWwueG1sUEsFBgAAAAAGAAYAWwEA&#10;ALUDAAAAAA==&#10;">
                    <v:fill on="f" focussize="0,0"/>
                    <v:stroke weight="1pt" color="#000000" miterlimit="8" joinstyle="miter" dashstyle="3 1" endarrow="block"/>
                    <v:imagedata o:title=""/>
                    <o:lock v:ext="edit" aspectratio="f"/>
                  </v:shape>
                  <v:shape id="_x0000_s1026" o:spid="_x0000_s1026" o:spt="32" type="#_x0000_t32" style="position:absolute;left:8164;top:2547415;height:26;width:2752;" filled="f" stroked="t" coordsize="21600,21600" o:gfxdata="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wTUo&#10;wAAAANwAAAAPAAAAAAAAAAEAIAAAACIAAABkcnMvZG93bnJldi54bWxQSwECFAAUAAAACACHTuJA&#10;My8FnjsAAAA5AAAAEAAAAAAAAAABACAAAAAPAQAAZHJzL3NoYXBleG1sLnhtbFBLBQYAAAAABgAG&#10;AFsBAAC5AwAAAAA=&#10;">
                    <v:fill on="f" focussize="0,0"/>
                    <v:stroke weight="1pt" color="#000000" miterlimit="8" joinstyle="miter" dashstyle="3 1" endarrow="block"/>
                    <v:imagedata o:title=""/>
                    <o:lock v:ext="edit" aspectratio="f"/>
                  </v:shape>
                  <v:shape id="_x0000_s1026" o:spid="_x0000_s1026" o:spt="32" type="#_x0000_t32" style="position:absolute;left:7774;top:2550024;height:29;width:3148;" filled="f" stroked="t" coordsize="21600,21600" o:gfxdata="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gTB&#10;wAAAANwAAAAPAAAAAAAAAAEAIAAAACIAAABkcnMvZG93bnJldi54bWxQSwECFAAUAAAACACHTuJA&#10;My8FnjsAAAA5AAAAEAAAAAAAAAABACAAAAAPAQAAZHJzL3NoYXBleG1sLnhtbFBLBQYAAAAABgAG&#10;AFsBAAC5AwAAAAA=&#10;">
                    <v:fill on="f" focussize="0,0"/>
                    <v:stroke weight="1pt" color="#000000" miterlimit="8" joinstyle="miter" dashstyle="3 1" endarrow="block"/>
                    <v:imagedata o:title=""/>
                    <o:lock v:ext="edit" aspectratio="f"/>
                  </v:shape>
                  <v:shape id="_x0000_s1026" o:spid="_x0000_s1026" o:spt="32" type="#_x0000_t32" style="position:absolute;left:7751;top:2551640;height:35;width:3207;" filled="f" stroked="t" coordsize="21600,21600" o:gfxdata="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xO4G8AAAA&#10;3AAAAA8AAAAAAAAAAQAgAAAAIgAAAGRycy9kb3ducmV2LnhtbFBLAQIUABQAAAAIAIdO4kAzLwWe&#10;OwAAADkAAAAQAAAAAAAAAAEAIAAAAAsBAABkcnMvc2hhcGV4bWwueG1sUEsFBgAAAAAGAAYAWwEA&#10;ALUDAAAAAA==&#10;">
                    <v:fill on="f" focussize="0,0"/>
                    <v:stroke weight="1pt" color="#000000" miterlimit="8" joinstyle="miter" dashstyle="3 1" endarrow="block"/>
                    <v:imagedata o:title=""/>
                    <o:lock v:ext="edit" aspectratio="f"/>
                  </v:shape>
                  <v:shape id="_x0000_s1026" o:spid="_x0000_s1026" o:spt="32" type="#_x0000_t32" style="position:absolute;left:7597;top:2552429;height:23;width:3350;" filled="f" stroked="t" coordsize="21600,21600" o:gfxdata="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vZ4a&#10;wAAAANwAAAAPAAAAAAAAAAEAIAAAACIAAABkcnMvZG93bnJldi54bWxQSwECFAAUAAAACACHTuJA&#10;My8FnjsAAAA5AAAAEAAAAAAAAAABACAAAAAPAQAAZHJzL3NoYXBleG1sLnhtbFBLBQYAAAAABgAG&#10;AFsBAAC5AwAAAAA=&#10;">
                    <v:fill on="f" focussize="0,0"/>
                    <v:stroke weight="1pt" color="#000000" miterlimit="8" joinstyle="miter" dashstyle="3 1" endarrow="block"/>
                    <v:imagedata o:title=""/>
                    <o:lock v:ext="edit" aspectratio="f"/>
                  </v:shape>
                  <v:shape id="_x0000_s1026" o:spid="_x0000_s1026" o:spt="32" type="#_x0000_t32" style="position:absolute;left:7809;top:2553204;flip:y;height:5;width:3152;" filled="f" stroked="t" coordsize="21600,21600" o:gfxdata="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fFs+8AAAA&#10;3AAAAA8AAAAAAAAAAQAgAAAAIgAAAGRycy9kb3ducmV2LnhtbFBLAQIUABQAAAAIAIdO4kAzLwWe&#10;OwAAADkAAAAQAAAAAAAAAAEAIAAAAAsBAABkcnMvc2hhcGV4bWwueG1sUEsFBgAAAAAGAAYAWwEA&#10;ALUDAAAAAA==&#10;">
                    <v:fill on="f" focussize="0,0"/>
                    <v:stroke weight="1pt" color="#000000" miterlimit="8" joinstyle="miter" dashstyle="3 1" endarrow="block"/>
                    <v:imagedata o:title=""/>
                    <o:lock v:ext="edit" aspectratio="f"/>
                  </v:shape>
                  <v:line id="_x0000_s1026" o:spid="_x0000_s1026" o:spt="20" style="position:absolute;left:9453;top:2545922;flip:x;height:7487;width:12;" filled="f" stroked="t" coordsize="21600,21600" o:gfxdata="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scQr4A&#10;AADcAAAADwAAAAAAAAABACAAAAAiAAAAZHJzL2Rvd25yZXYueG1sUEsBAhQAFAAAAAgAh07iQDMv&#10;BZ47AAAAOQAAABAAAAAAAAAAAQAgAAAADQEAAGRycy9zaGFwZXhtbC54bWxQSwUGAAAAAAYABgBb&#10;AQAAtwMAAAAA&#10;">
                    <v:fill on="f" focussize="0,0"/>
                    <v:stroke weight="1pt" color="#000000" miterlimit="8" joinstyle="miter" dashstyle="3 1"/>
                    <v:imagedata o:title=""/>
                    <o:lock v:ext="edit" aspectratio="f"/>
                  </v:line>
                </v:group>
              </v:group>
            </w:pict>
          </mc:Fallback>
        </mc:AlternateContent>
      </w:r>
    </w:p>
    <w:p>
      <w:pPr>
        <w:spacing w:line="360" w:lineRule="auto"/>
        <w:rPr>
          <w:rFonts w:hint="default" w:ascii="Times New Roman" w:hAnsi="Times New Roman" w:eastAsia="宋体" w:cs="Times New Roman"/>
          <w:color w:val="auto"/>
          <w:kern w:val="0"/>
          <w:sz w:val="24"/>
        </w:rPr>
      </w:pPr>
    </w:p>
    <w:p>
      <w:pPr>
        <w:spacing w:line="360" w:lineRule="auto"/>
        <w:ind w:firstLine="480" w:firstLineChars="200"/>
        <w:rPr>
          <w:rFonts w:hint="default" w:ascii="Times New Roman" w:hAnsi="Times New Roman" w:eastAsia="宋体" w:cs="Times New Roman"/>
          <w:color w:val="auto"/>
          <w:sz w:val="24"/>
        </w:rPr>
      </w:pPr>
    </w:p>
    <w:p>
      <w:pPr>
        <w:widowControl/>
        <w:spacing w:line="360" w:lineRule="auto"/>
        <w:rPr>
          <w:rFonts w:hint="default" w:ascii="Times New Roman" w:hAnsi="Times New Roman" w:eastAsia="宋体" w:cs="Times New Roman"/>
          <w:color w:val="auto"/>
          <w:kern w:val="0"/>
        </w:rPr>
      </w:pPr>
    </w:p>
    <w:p>
      <w:pPr>
        <w:pStyle w:val="85"/>
        <w:rPr>
          <w:rFonts w:hint="default" w:ascii="Times New Roman" w:hAnsi="Times New Roman" w:cs="Times New Roman"/>
          <w:color w:val="auto"/>
        </w:rPr>
      </w:pPr>
    </w:p>
    <w:p>
      <w:pPr>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tabs>
          <w:tab w:val="left" w:pos="3465"/>
        </w:tabs>
        <w:spacing w:line="360" w:lineRule="auto"/>
        <w:outlineLvl w:val="2"/>
        <w:rPr>
          <w:rFonts w:hint="default" w:ascii="Times New Roman" w:hAnsi="Times New Roman" w:eastAsia="宋体" w:cs="Times New Roman"/>
          <w:b/>
          <w:color w:val="auto"/>
          <w:sz w:val="30"/>
          <w:szCs w:val="30"/>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rPr>
        <mc:AlternateContent>
          <mc:Choice Requires="wps">
            <w:drawing>
              <wp:anchor distT="0" distB="0" distL="114300" distR="114300" simplePos="0" relativeHeight="251662336" behindDoc="0" locked="0" layoutInCell="1" allowOverlap="1">
                <wp:simplePos x="0" y="0"/>
                <wp:positionH relativeFrom="column">
                  <wp:posOffset>-386080</wp:posOffset>
                </wp:positionH>
                <wp:positionV relativeFrom="paragraph">
                  <wp:posOffset>1685925</wp:posOffset>
                </wp:positionV>
                <wp:extent cx="9301480" cy="294005"/>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9301480" cy="294005"/>
                        </a:xfrm>
                        <a:prstGeom prst="rect">
                          <a:avLst/>
                        </a:prstGeom>
                        <a:noFill/>
                        <a:ln w="6350">
                          <a:noFill/>
                        </a:ln>
                        <a:effectLst/>
                      </wps:spPr>
                      <wps:txbx>
                        <w:txbxContent>
                          <w:p>
                            <w:pPr>
                              <w:widowControl/>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rPr>
                              <w:t>图3.7-</w:t>
                            </w:r>
                            <w:r>
                              <w:rPr>
                                <w:rFonts w:hint="eastAsia" w:ascii="Times New Roman" w:hAnsi="Times New Roman" w:eastAsia="宋体" w:cs="Times New Roman"/>
                                <w:b/>
                                <w:bCs/>
                                <w:color w:val="000000"/>
                                <w:kern w:val="0"/>
                                <w:szCs w:val="21"/>
                              </w:rPr>
                              <w:t>10</w:t>
                            </w:r>
                            <w:r>
                              <w:rPr>
                                <w:rFonts w:ascii="Times New Roman" w:hAnsi="Times New Roman" w:eastAsia="宋体" w:cs="Times New Roman"/>
                                <w:b/>
                                <w:bCs/>
                                <w:color w:val="000000"/>
                                <w:kern w:val="0"/>
                                <w:szCs w:val="21"/>
                              </w:rPr>
                              <w:t xml:space="preserve">  运营期</w:t>
                            </w:r>
                            <w:r>
                              <w:rPr>
                                <w:rFonts w:hint="eastAsia" w:ascii="Times New Roman" w:hAnsi="Times New Roman" w:eastAsia="宋体" w:cs="Times New Roman"/>
                                <w:b/>
                                <w:bCs/>
                                <w:color w:val="000000"/>
                                <w:kern w:val="0"/>
                                <w:szCs w:val="21"/>
                              </w:rPr>
                              <w:t>油气集输</w:t>
                            </w:r>
                            <w:r>
                              <w:rPr>
                                <w:rFonts w:ascii="Times New Roman" w:hAnsi="Times New Roman" w:eastAsia="宋体" w:cs="Times New Roman"/>
                                <w:b/>
                                <w:bCs/>
                                <w:color w:val="000000"/>
                                <w:kern w:val="0"/>
                                <w:szCs w:val="21"/>
                              </w:rPr>
                              <w:t>工艺流程及产污环节示意图</w:t>
                            </w:r>
                          </w:p>
                          <w:p>
                            <w:pPr>
                              <w:jc w:val="center"/>
                              <w:rPr>
                                <w:rFonts w:ascii="Times New Roman" w:hAnsi="Times New Roman" w:eastAsia="宋体" w:cs="Times New Roman"/>
                                <w:b/>
                                <w:bCs/>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pt;margin-top:132.75pt;height:23.15pt;width:732.4pt;z-index:251662336;mso-width-relative:page;mso-height-relative:page;" filled="f" stroked="f" coordsize="21600,21600" o:gfxdata="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Syjv9wAAAAMAQAADwAAAAAAAAABACAAAAAiAAAAZHJzL2Rvd25yZXYueG1sUEsBAhQA&#10;FAAAAAgAh07iQHm1d7onAgAAKgQAAA4AAAAAAAAAAQAgAAAAKwEAAGRycy9lMm9Eb2MueG1sUEsF&#10;BgAAAAAGAAYAWQEAAMQFAAAAAA==&#10;">
                <v:fill on="f" focussize="0,0"/>
                <v:stroke on="f" weight="0.5pt"/>
                <v:imagedata o:title=""/>
                <o:lock v:ext="edit" aspectratio="f"/>
                <v:textbox>
                  <w:txbxContent>
                    <w:p>
                      <w:pPr>
                        <w:widowControl/>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rPr>
                        <w:t>图3.7-</w:t>
                      </w:r>
                      <w:r>
                        <w:rPr>
                          <w:rFonts w:hint="eastAsia" w:ascii="Times New Roman" w:hAnsi="Times New Roman" w:eastAsia="宋体" w:cs="Times New Roman"/>
                          <w:b/>
                          <w:bCs/>
                          <w:color w:val="000000"/>
                          <w:kern w:val="0"/>
                          <w:szCs w:val="21"/>
                        </w:rPr>
                        <w:t>10</w:t>
                      </w:r>
                      <w:r>
                        <w:rPr>
                          <w:rFonts w:ascii="Times New Roman" w:hAnsi="Times New Roman" w:eastAsia="宋体" w:cs="Times New Roman"/>
                          <w:b/>
                          <w:bCs/>
                          <w:color w:val="000000"/>
                          <w:kern w:val="0"/>
                          <w:szCs w:val="21"/>
                        </w:rPr>
                        <w:t xml:space="preserve">  运营期</w:t>
                      </w:r>
                      <w:r>
                        <w:rPr>
                          <w:rFonts w:hint="eastAsia" w:ascii="Times New Roman" w:hAnsi="Times New Roman" w:eastAsia="宋体" w:cs="Times New Roman"/>
                          <w:b/>
                          <w:bCs/>
                          <w:color w:val="000000"/>
                          <w:kern w:val="0"/>
                          <w:szCs w:val="21"/>
                        </w:rPr>
                        <w:t>油气集输</w:t>
                      </w:r>
                      <w:r>
                        <w:rPr>
                          <w:rFonts w:ascii="Times New Roman" w:hAnsi="Times New Roman" w:eastAsia="宋体" w:cs="Times New Roman"/>
                          <w:b/>
                          <w:bCs/>
                          <w:color w:val="000000"/>
                          <w:kern w:val="0"/>
                          <w:szCs w:val="21"/>
                        </w:rPr>
                        <w:t>工艺流程及产污环节示意图</w:t>
                      </w:r>
                    </w:p>
                    <w:p>
                      <w:pPr>
                        <w:jc w:val="center"/>
                        <w:rPr>
                          <w:rFonts w:ascii="Times New Roman" w:hAnsi="Times New Roman" w:eastAsia="宋体" w:cs="Times New Roman"/>
                          <w:b/>
                          <w:bCs/>
                          <w:szCs w:val="21"/>
                        </w:rPr>
                      </w:pPr>
                    </w:p>
                  </w:txbxContent>
                </v:textbox>
              </v:shape>
            </w:pict>
          </mc:Fallback>
        </mc:AlternateContent>
      </w:r>
    </w:p>
    <w:p>
      <w:pPr>
        <w:tabs>
          <w:tab w:val="left" w:pos="3465"/>
        </w:tabs>
        <w:spacing w:line="360" w:lineRule="auto"/>
        <w:outlineLvl w:val="2"/>
        <w:rPr>
          <w:rFonts w:hint="default" w:ascii="Times New Roman" w:hAnsi="Times New Roman" w:eastAsia="宋体" w:cs="Times New Roman"/>
          <w:b/>
          <w:color w:val="auto"/>
          <w:sz w:val="30"/>
          <w:szCs w:val="30"/>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rPr>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2932430</wp:posOffset>
                </wp:positionV>
                <wp:extent cx="9301480" cy="294005"/>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9301480" cy="294005"/>
                        </a:xfrm>
                        <a:prstGeom prst="rect">
                          <a:avLst/>
                        </a:prstGeom>
                        <a:noFill/>
                        <a:ln w="6350">
                          <a:noFill/>
                        </a:ln>
                        <a:effectLst/>
                      </wps:spPr>
                      <wps:txbx>
                        <w:txbxContent>
                          <w:p>
                            <w:pPr>
                              <w:widowControl/>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rPr>
                              <w:t>图3.7-</w:t>
                            </w:r>
                            <w:r>
                              <w:rPr>
                                <w:rFonts w:hint="eastAsia" w:ascii="Times New Roman" w:hAnsi="Times New Roman" w:eastAsia="宋体" w:cs="Times New Roman"/>
                                <w:b/>
                                <w:bCs/>
                                <w:color w:val="000000"/>
                                <w:kern w:val="0"/>
                                <w:szCs w:val="21"/>
                              </w:rPr>
                              <w:t>11</w:t>
                            </w:r>
                            <w:r>
                              <w:rPr>
                                <w:rFonts w:ascii="Times New Roman" w:hAnsi="Times New Roman" w:eastAsia="宋体" w:cs="Times New Roman"/>
                                <w:b/>
                                <w:bCs/>
                                <w:color w:val="000000"/>
                                <w:kern w:val="0"/>
                                <w:szCs w:val="21"/>
                              </w:rPr>
                              <w:t xml:space="preserve">  运营期</w:t>
                            </w:r>
                            <w:r>
                              <w:rPr>
                                <w:rFonts w:hint="eastAsia" w:ascii="Times New Roman" w:hAnsi="Times New Roman" w:eastAsia="宋体" w:cs="Times New Roman"/>
                                <w:b/>
                                <w:bCs/>
                                <w:color w:val="000000"/>
                                <w:kern w:val="0"/>
                                <w:szCs w:val="21"/>
                              </w:rPr>
                              <w:t>注水工程</w:t>
                            </w:r>
                            <w:r>
                              <w:rPr>
                                <w:rFonts w:ascii="Times New Roman" w:hAnsi="Times New Roman" w:eastAsia="宋体" w:cs="Times New Roman"/>
                                <w:b/>
                                <w:bCs/>
                                <w:color w:val="000000"/>
                                <w:kern w:val="0"/>
                                <w:szCs w:val="21"/>
                              </w:rPr>
                              <w:t>工艺流程及产污环节示意图</w:t>
                            </w:r>
                          </w:p>
                          <w:p>
                            <w:pPr>
                              <w:jc w:val="center"/>
                              <w:rPr>
                                <w:rFonts w:ascii="Times New Roman" w:hAnsi="Times New Roman" w:eastAsia="宋体" w:cs="Times New Roman"/>
                                <w:b/>
                                <w:bCs/>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230.9pt;height:23.15pt;width:732.4pt;z-index:251664384;mso-width-relative:page;mso-height-relative:page;" filled="f" stroked="f" coordsize="21600,21600" o:gfxdata="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Fh5O3AAAAAwBAAAPAAAAAAAAAAEAIAAAACIAAABkcnMvZG93bnJldi54bWxQSwECFAAU&#10;AAAACACHTuJA3jaNrCYCAAAqBAAADgAAAAAAAAABACAAAAArAQAAZHJzL2Uyb0RvYy54bWxQSwUG&#10;AAAAAAYABgBZAQAAwwUAAAAA&#10;">
                <v:fill on="f" focussize="0,0"/>
                <v:stroke on="f" weight="0.5pt"/>
                <v:imagedata o:title=""/>
                <o:lock v:ext="edit" aspectratio="f"/>
                <v:textbox>
                  <w:txbxContent>
                    <w:p>
                      <w:pPr>
                        <w:widowControl/>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rPr>
                        <w:t>图3.7-</w:t>
                      </w:r>
                      <w:r>
                        <w:rPr>
                          <w:rFonts w:hint="eastAsia" w:ascii="Times New Roman" w:hAnsi="Times New Roman" w:eastAsia="宋体" w:cs="Times New Roman"/>
                          <w:b/>
                          <w:bCs/>
                          <w:color w:val="000000"/>
                          <w:kern w:val="0"/>
                          <w:szCs w:val="21"/>
                        </w:rPr>
                        <w:t>11</w:t>
                      </w:r>
                      <w:r>
                        <w:rPr>
                          <w:rFonts w:ascii="Times New Roman" w:hAnsi="Times New Roman" w:eastAsia="宋体" w:cs="Times New Roman"/>
                          <w:b/>
                          <w:bCs/>
                          <w:color w:val="000000"/>
                          <w:kern w:val="0"/>
                          <w:szCs w:val="21"/>
                        </w:rPr>
                        <w:t xml:space="preserve">  运营期</w:t>
                      </w:r>
                      <w:r>
                        <w:rPr>
                          <w:rFonts w:hint="eastAsia" w:ascii="Times New Roman" w:hAnsi="Times New Roman" w:eastAsia="宋体" w:cs="Times New Roman"/>
                          <w:b/>
                          <w:bCs/>
                          <w:color w:val="000000"/>
                          <w:kern w:val="0"/>
                          <w:szCs w:val="21"/>
                        </w:rPr>
                        <w:t>注水工程</w:t>
                      </w:r>
                      <w:r>
                        <w:rPr>
                          <w:rFonts w:ascii="Times New Roman" w:hAnsi="Times New Roman" w:eastAsia="宋体" w:cs="Times New Roman"/>
                          <w:b/>
                          <w:bCs/>
                          <w:color w:val="000000"/>
                          <w:kern w:val="0"/>
                          <w:szCs w:val="21"/>
                        </w:rPr>
                        <w:t>工艺流程及产污环节示意图</w:t>
                      </w:r>
                    </w:p>
                    <w:p>
                      <w:pPr>
                        <w:jc w:val="center"/>
                        <w:rPr>
                          <w:rFonts w:ascii="Times New Roman" w:hAnsi="Times New Roman" w:eastAsia="宋体" w:cs="Times New Roman"/>
                          <w:b/>
                          <w:bCs/>
                          <w:szCs w:val="21"/>
                        </w:rPr>
                      </w:pPr>
                    </w:p>
                  </w:txbxContent>
                </v:textbox>
              </v:shape>
            </w:pict>
          </mc:Fallback>
        </mc:AlternateContent>
      </w:r>
      <w:r>
        <w:rPr>
          <w:rFonts w:hint="default" w:ascii="Times New Roman" w:hAnsi="Times New Roman" w:eastAsia="宋体" w:cs="Times New Roman"/>
          <w:color w:val="auto"/>
        </w:rPr>
        <mc:AlternateContent>
          <mc:Choice Requires="wpg">
            <w:drawing>
              <wp:anchor distT="0" distB="0" distL="114300" distR="114300" simplePos="0" relativeHeight="251669504" behindDoc="0" locked="0" layoutInCell="1" allowOverlap="1">
                <wp:simplePos x="0" y="0"/>
                <wp:positionH relativeFrom="column">
                  <wp:posOffset>-143510</wp:posOffset>
                </wp:positionH>
                <wp:positionV relativeFrom="paragraph">
                  <wp:posOffset>-75565</wp:posOffset>
                </wp:positionV>
                <wp:extent cx="9098280" cy="2936240"/>
                <wp:effectExtent l="6350" t="6350" r="20320" b="10160"/>
                <wp:wrapNone/>
                <wp:docPr id="109" name="组合 109"/>
                <wp:cNvGraphicFramePr/>
                <a:graphic xmlns:a="http://schemas.openxmlformats.org/drawingml/2006/main">
                  <a:graphicData uri="http://schemas.microsoft.com/office/word/2010/wordprocessingGroup">
                    <wpg:wgp>
                      <wpg:cNvGrpSpPr/>
                      <wpg:grpSpPr>
                        <a:xfrm>
                          <a:off x="770890" y="1067435"/>
                          <a:ext cx="9098280" cy="2936240"/>
                          <a:chOff x="835" y="2545142"/>
                          <a:chExt cx="14677" cy="8486"/>
                        </a:xfrm>
                        <a:effectLst/>
                      </wpg:grpSpPr>
                      <wpg:grpSp>
                        <wpg:cNvPr id="111" name="组合 472"/>
                        <wpg:cNvGrpSpPr/>
                        <wpg:grpSpPr>
                          <a:xfrm>
                            <a:off x="2584" y="2546819"/>
                            <a:ext cx="9693" cy="5026"/>
                            <a:chOff x="2584" y="2546819"/>
                            <a:chExt cx="9693" cy="5026"/>
                          </a:xfrm>
                          <a:effectLst/>
                        </wpg:grpSpPr>
                        <wps:wsp>
                          <wps:cNvPr id="115" name="文本框 271"/>
                          <wps:cNvSpPr txBox="1"/>
                          <wps:spPr>
                            <a:xfrm>
                              <a:off x="6259" y="2548728"/>
                              <a:ext cx="1677" cy="852"/>
                            </a:xfrm>
                            <a:prstGeom prst="rect">
                              <a:avLst/>
                            </a:prstGeom>
                            <a:solidFill>
                              <a:srgbClr val="FFFFFF"/>
                            </a:solidFill>
                            <a:ln w="6350">
                              <a:solidFill>
                                <a:prstClr val="black"/>
                              </a:solidFill>
                              <a:prstDash val="sysDot"/>
                            </a:ln>
                            <a:effectLst/>
                          </wps:spPr>
                          <wps:txbx>
                            <w:txbxContent>
                              <w:p>
                                <w:pPr>
                                  <w:jc w:val="center"/>
                                </w:pPr>
                                <w:r>
                                  <w:rPr>
                                    <w:rFonts w:hint="eastAsia"/>
                                    <w:lang w:val="en-US" w:eastAsia="zh-CN"/>
                                  </w:rPr>
                                  <w:t>设备</w:t>
                                </w:r>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6" name="组合 462"/>
                          <wpg:cNvGrpSpPr/>
                          <wpg:grpSpPr>
                            <a:xfrm>
                              <a:off x="4651" y="2547442"/>
                              <a:ext cx="838" cy="4403"/>
                              <a:chOff x="4255" y="2547442"/>
                              <a:chExt cx="838" cy="4403"/>
                            </a:xfrm>
                            <a:effectLst/>
                          </wpg:grpSpPr>
                          <wps:wsp>
                            <wps:cNvPr id="171" name="直接连接符 453"/>
                            <wps:cNvCnPr/>
                            <wps:spPr>
                              <a:xfrm>
                                <a:off x="4821" y="2547442"/>
                                <a:ext cx="14" cy="4403"/>
                              </a:xfrm>
                              <a:prstGeom prst="line">
                                <a:avLst/>
                              </a:prstGeom>
                              <a:noFill/>
                              <a:ln w="12700" cap="flat" cmpd="sng" algn="ctr">
                                <a:solidFill>
                                  <a:srgbClr val="000000"/>
                                </a:solidFill>
                                <a:prstDash val="sysDash"/>
                                <a:miter lim="800000"/>
                              </a:ln>
                              <a:effectLst/>
                            </wps:spPr>
                            <wps:bodyPr/>
                          </wps:wsp>
                          <wps:wsp>
                            <wps:cNvPr id="191" name="右箭头 456"/>
                            <wps:cNvSpPr/>
                            <wps:spPr>
                              <a:xfrm>
                                <a:off x="4255" y="2549134"/>
                                <a:ext cx="838" cy="301"/>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g:cNvPr id="197" name="组合 463"/>
                          <wpg:cNvGrpSpPr/>
                          <wpg:grpSpPr>
                            <a:xfrm rot="0">
                              <a:off x="2584" y="2546819"/>
                              <a:ext cx="1591" cy="4840"/>
                              <a:chOff x="2584" y="2546819"/>
                              <a:chExt cx="1591" cy="4840"/>
                            </a:xfrm>
                            <a:effectLst/>
                          </wpg:grpSpPr>
                          <wps:wsp>
                            <wps:cNvPr id="200" name="文本框 259"/>
                            <wps:cNvSpPr txBox="1"/>
                            <wps:spPr>
                              <a:xfrm>
                                <a:off x="2584" y="2546819"/>
                                <a:ext cx="1591" cy="763"/>
                              </a:xfrm>
                              <a:prstGeom prst="rect">
                                <a:avLst/>
                              </a:prstGeom>
                              <a:solidFill>
                                <a:srgbClr val="FFFFFF"/>
                              </a:solidFill>
                              <a:ln w="6350">
                                <a:solidFill>
                                  <a:prstClr val="black"/>
                                </a:solidFill>
                              </a:ln>
                              <a:effectLst/>
                            </wps:spPr>
                            <wps:txbx>
                              <w:txbxContent>
                                <w:p>
                                  <w:pPr>
                                    <w:rPr>
                                      <w:rFonts w:hint="default" w:eastAsiaTheme="minorEastAsia"/>
                                      <w:lang w:val="en-US" w:eastAsia="zh-CN"/>
                                    </w:rPr>
                                  </w:pPr>
                                  <w:r>
                                    <w:rPr>
                                      <w:rFonts w:hint="eastAsia"/>
                                      <w:lang w:val="en-US" w:eastAsia="zh-CN"/>
                                    </w:rPr>
                                    <w:t>陆12注水站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文本框 260"/>
                            <wps:cNvSpPr txBox="1"/>
                            <wps:spPr>
                              <a:xfrm>
                                <a:off x="2692" y="2548869"/>
                                <a:ext cx="1417" cy="798"/>
                              </a:xfrm>
                              <a:prstGeom prst="rect">
                                <a:avLst/>
                              </a:prstGeom>
                              <a:solidFill>
                                <a:srgbClr val="FFFFFF"/>
                              </a:solidFill>
                              <a:ln w="6350">
                                <a:solidFill>
                                  <a:prstClr val="black"/>
                                </a:solidFill>
                              </a:ln>
                              <a:effectLst/>
                            </wps:spPr>
                            <wps:txbx>
                              <w:txbxContent>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配水撬</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 name="文本框 261"/>
                            <wps:cNvSpPr txBox="1"/>
                            <wps:spPr>
                              <a:xfrm>
                                <a:off x="2926" y="2550910"/>
                                <a:ext cx="968" cy="749"/>
                              </a:xfrm>
                              <a:prstGeom prst="rect">
                                <a:avLst/>
                              </a:prstGeom>
                              <a:solidFill>
                                <a:srgbClr val="FFFFFF"/>
                              </a:solidFill>
                              <a:ln w="6350">
                                <a:solidFill>
                                  <a:prstClr val="black"/>
                                </a:solidFill>
                              </a:ln>
                              <a:effectLst/>
                            </wps:spPr>
                            <wps:txbx>
                              <w:txbxContent>
                                <w:p>
                                  <w:pPr>
                                    <w:rPr>
                                      <w:rFonts w:hint="eastAsia" w:eastAsiaTheme="minorEastAsia"/>
                                      <w:lang w:val="en-US" w:eastAsia="zh-CN"/>
                                    </w:rPr>
                                  </w:pPr>
                                  <w:r>
                                    <w:rPr>
                                      <w:rFonts w:hint="eastAsia"/>
                                      <w:lang w:val="en-US" w:eastAsia="zh-CN"/>
                                    </w:rPr>
                                    <w:t>注水井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9" name="直接箭头连接符 422"/>
                            <wps:cNvCnPr/>
                            <wps:spPr>
                              <a:xfrm flipH="1">
                                <a:off x="3401" y="2547648"/>
                                <a:ext cx="10" cy="1218"/>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45" name="直接箭头连接符 424"/>
                            <wps:cNvCnPr/>
                            <wps:spPr>
                              <a:xfrm>
                                <a:off x="3413" y="2549695"/>
                                <a:ext cx="9" cy="1204"/>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s:wsp>
                          <wps:cNvPr id="323" name="文本框 433"/>
                          <wps:cNvSpPr txBox="1"/>
                          <wps:spPr>
                            <a:xfrm>
                              <a:off x="10891" y="2548660"/>
                              <a:ext cx="1386" cy="716"/>
                            </a:xfrm>
                            <a:prstGeom prst="rect">
                              <a:avLst/>
                            </a:prstGeom>
                            <a:noFill/>
                            <a:ln w="6350">
                              <a:noFill/>
                            </a:ln>
                            <a:effectLst/>
                          </wps:spPr>
                          <wps:txbx>
                            <w:txbxContent>
                              <w:p>
                                <w:r>
                                  <w:rPr>
                                    <w:rFonts w:hint="eastAsia"/>
                                  </w:rPr>
                                  <w:t>周围环境</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30" name="组合 466"/>
                          <wpg:cNvGrpSpPr/>
                          <wpg:grpSpPr>
                            <a:xfrm>
                              <a:off x="8024" y="2547252"/>
                              <a:ext cx="2751" cy="4439"/>
                              <a:chOff x="8024" y="2547252"/>
                              <a:chExt cx="2751" cy="4439"/>
                            </a:xfrm>
                            <a:effectLst/>
                          </wpg:grpSpPr>
                          <wps:wsp>
                            <wps:cNvPr id="334" name="直接箭头连接符 447"/>
                            <wps:cNvCnPr/>
                            <wps:spPr>
                              <a:xfrm>
                                <a:off x="8024" y="2549106"/>
                                <a:ext cx="2751" cy="28"/>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339" name="直接连接符 454"/>
                            <wps:cNvCnPr/>
                            <wps:spPr>
                              <a:xfrm>
                                <a:off x="9465" y="2547252"/>
                                <a:ext cx="8" cy="4439"/>
                              </a:xfrm>
                              <a:prstGeom prst="line">
                                <a:avLst/>
                              </a:prstGeom>
                              <a:noFill/>
                              <a:ln w="12700" cap="flat" cmpd="sng" algn="ctr">
                                <a:solidFill>
                                  <a:srgbClr val="000000"/>
                                </a:solidFill>
                                <a:prstDash val="sysDash"/>
                                <a:miter lim="800000"/>
                              </a:ln>
                              <a:effectLst/>
                            </wps:spPr>
                            <wps:bodyPr/>
                          </wps:wsp>
                        </wpg:grpSp>
                      </wpg:grpSp>
                      <wpg:grpSp>
                        <wpg:cNvPr id="340" name="组合 474"/>
                        <wpg:cNvGrpSpPr/>
                        <wpg:grpSpPr>
                          <a:xfrm>
                            <a:off x="835" y="2545142"/>
                            <a:ext cx="14677" cy="8486"/>
                            <a:chOff x="835" y="2545142"/>
                            <a:chExt cx="14677" cy="8486"/>
                          </a:xfrm>
                          <a:effectLst/>
                        </wpg:grpSpPr>
                        <wpg:grpSp>
                          <wpg:cNvPr id="341" name="组合 473"/>
                          <wpg:cNvGrpSpPr/>
                          <wpg:grpSpPr>
                            <a:xfrm>
                              <a:off x="2757" y="2545362"/>
                              <a:ext cx="10724" cy="984"/>
                              <a:chOff x="2757" y="2545362"/>
                              <a:chExt cx="10724" cy="984"/>
                            </a:xfrm>
                            <a:effectLst/>
                          </wpg:grpSpPr>
                          <wps:wsp>
                            <wps:cNvPr id="342" name="文本框 468"/>
                            <wps:cNvSpPr txBox="1"/>
                            <wps:spPr>
                              <a:xfrm>
                                <a:off x="2757" y="2545379"/>
                                <a:ext cx="1221" cy="711"/>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3" name="文本框 469"/>
                            <wps:cNvSpPr txBox="1"/>
                            <wps:spPr>
                              <a:xfrm>
                                <a:off x="6636" y="2545362"/>
                                <a:ext cx="1221" cy="943"/>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产污环节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4" name="文本框 470"/>
                            <wps:cNvSpPr txBox="1"/>
                            <wps:spPr>
                              <a:xfrm>
                                <a:off x="10966" y="2545366"/>
                                <a:ext cx="2515" cy="980"/>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污染物处置措施及去向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55" name="矩形 471"/>
                          <wps:cNvSpPr/>
                          <wps:spPr>
                            <a:xfrm>
                              <a:off x="835" y="2545142"/>
                              <a:ext cx="14677" cy="8486"/>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1.3pt;margin-top:-5.95pt;height:231.2pt;width:716.4pt;z-index:251669504;mso-width-relative:page;mso-height-relative:page;" coordorigin="835,2545142" coordsize="14677,8486" o:gfxdata="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IEKFSbbAAAADAEAAA8AAAAAAAAAAQAgAAAAIgAA&#10;AGRycy9kb3ducmV2LnhtbFBLAQIUABQAAAAIAIdO4kBG0SP6lgcAAEgzAAAOAAAAAAAAAAEAIAAA&#10;ACoBAABkcnMvZTJvRG9jLnhtbFBLBQYAAAAABgAGAFkBAAAyCwAAAAA=&#10;">
                <o:lock v:ext="edit" aspectratio="f"/>
                <v:group id="组合 472" o:spid="_x0000_s1026" o:spt="203" style="position:absolute;left:2584;top:2546819;height:5026;width:9693;" coordorigin="2584,2546819" coordsize="9693,5026"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文本框 271" o:spid="_x0000_s1026" o:spt="202" type="#_x0000_t202" style="position:absolute;left:6259;top:2548728;height:852;width:1677;" fillcolor="#FFFFFF" filled="t" stroked="t" coordsize="21600,21600" o:gfxdata="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zEsbugAAANwA&#10;AAAPAAAAAAAAAAEAIAAAACIAAABkcnMvZG93bnJldi54bWxQSwECFAAUAAAACACHTuJAMy8FnjsA&#10;AAA5AAAAEAAAAAAAAAABACAAAAAJAQAAZHJzL3NoYXBleG1sLnhtbFBLBQYAAAAABgAGAFsBAACz&#10;AwAAAAA=&#10;">
                    <v:fill on="t" focussize="0,0"/>
                    <v:stroke weight="0.5pt" color="#000000" joinstyle="round" dashstyle="1 1"/>
                    <v:imagedata o:title=""/>
                    <o:lock v:ext="edit" aspectratio="f"/>
                    <v:textbox>
                      <w:txbxContent>
                        <w:p>
                          <w:pPr>
                            <w:jc w:val="center"/>
                          </w:pPr>
                          <w:r>
                            <w:rPr>
                              <w:rFonts w:hint="eastAsia"/>
                              <w:lang w:val="en-US" w:eastAsia="zh-CN"/>
                            </w:rPr>
                            <w:t>设备</w:t>
                          </w:r>
                          <w:r>
                            <w:rPr>
                              <w:rFonts w:hint="eastAsia"/>
                            </w:rPr>
                            <w:t>噪声</w:t>
                          </w:r>
                        </w:p>
                      </w:txbxContent>
                    </v:textbox>
                  </v:shape>
                  <v:group id="组合 462" o:spid="_x0000_s1026" o:spt="203" style="position:absolute;left:4651;top:2547442;height:4403;width:838;" coordorigin="4255,2547442" coordsize="838,4403"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line id="直接连接符 453" o:spid="_x0000_s1026" o:spt="20" style="position:absolute;left:4821;top:2547442;height:4403;width:14;" filled="f" stroked="t" coordsize="21600,21600" o:gfxdata="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9OhugAAANwA&#10;AAAPAAAAAAAAAAEAIAAAACIAAABkcnMvZG93bnJldi54bWxQSwECFAAUAAAACACHTuJAMy8FnjsA&#10;AAA5AAAAEAAAAAAAAAABACAAAAAJAQAAZHJzL3NoYXBleG1sLnhtbFBLBQYAAAAABgAGAFsBAACz&#10;AwAAAAA=&#10;">
                      <v:fill on="f" focussize="0,0"/>
                      <v:stroke weight="1pt" color="#000000" miterlimit="8" joinstyle="miter" dashstyle="3 1"/>
                      <v:imagedata o:title=""/>
                      <o:lock v:ext="edit" aspectratio="f"/>
                    </v:line>
                    <v:shape id="右箭头 456" o:spid="_x0000_s1026" o:spt="13" type="#_x0000_t13" style="position:absolute;left:4255;top:2549134;height:301;width:838;v-text-anchor:middle;" fillcolor="#000000" filled="t" stroked="t" coordsize="21600,21600" o:gfxdata="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rbf+5AAAA3AAA&#10;AA8AAAAAAAAAAQAgAAAAIgAAAGRycy9kb3ducmV2LnhtbFBLAQIUABQAAAAIAIdO4kAzLwWeOwAA&#10;ADkAAAAQAAAAAAAAAAEAIAAAAAgBAABkcnMvc2hhcGV4bWwueG1sUEsFBgAAAAAGAAYAWwEAALID&#10;AAAAAA==&#10;" adj="17721,5400">
                      <v:fill on="t" focussize="0,0"/>
                      <v:stroke weight="1pt" color="#000000" miterlimit="8" joinstyle="miter"/>
                      <v:imagedata o:title=""/>
                      <o:lock v:ext="edit" aspectratio="f"/>
                    </v:shape>
                  </v:group>
                  <v:group id="组合 463" o:spid="_x0000_s1026" o:spt="203" style="position:absolute;left:2584;top:2546819;height:4840;width:1591;" coordorigin="2584,2546819" coordsize="1591,4840"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文本框 259" o:spid="_x0000_s1026" o:spt="202" type="#_x0000_t202" style="position:absolute;left:2584;top:2546819;height:763;width:1591;" fillcolor="#FFFFFF" filled="t" stroked="t" coordsize="21600,21600" o:gfxdata="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uBd0q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rFonts w:hint="default" w:eastAsiaTheme="minorEastAsia"/>
                                <w:lang w:val="en-US" w:eastAsia="zh-CN"/>
                              </w:rPr>
                            </w:pPr>
                            <w:r>
                              <w:rPr>
                                <w:rFonts w:hint="eastAsia"/>
                                <w:lang w:val="en-US" w:eastAsia="zh-CN"/>
                              </w:rPr>
                              <w:t>陆12注水站</w:t>
                            </w:r>
                          </w:p>
                        </w:txbxContent>
                      </v:textbox>
                    </v:shape>
                    <v:shape id="文本框 260" o:spid="_x0000_s1026" o:spt="202" type="#_x0000_t202" style="position:absolute;left:2692;top:2548869;height:798;width:1417;" fillcolor="#FFFFFF" filled="t" stroked="t" coordsize="21600,21600" o:gfxdata="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U+k9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配水撬</w:t>
                            </w:r>
                          </w:p>
                        </w:txbxContent>
                      </v:textbox>
                    </v:shape>
                    <v:shape id="文本框 261" o:spid="_x0000_s1026" o:spt="202" type="#_x0000_t202" style="position:absolute;left:2926;top:2550910;height:749;width:968;" fillcolor="#FFFFFF" filled="t" stroked="t" coordsize="21600,21600" o:gfxdata="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21NK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rFonts w:hint="eastAsia" w:eastAsiaTheme="minorEastAsia"/>
                                <w:lang w:val="en-US" w:eastAsia="zh-CN"/>
                              </w:rPr>
                            </w:pPr>
                            <w:r>
                              <w:rPr>
                                <w:rFonts w:hint="eastAsia"/>
                                <w:lang w:val="en-US" w:eastAsia="zh-CN"/>
                              </w:rPr>
                              <w:t>注水井</w:t>
                            </w:r>
                          </w:p>
                        </w:txbxContent>
                      </v:textbox>
                    </v:shape>
                    <v:shape id="直接箭头连接符 422" o:spid="_x0000_s1026" o:spt="32" type="#_x0000_t32" style="position:absolute;left:3401;top:2547648;flip:x;height:1218;width:10;" filled="f" stroked="t" coordsize="21600,21600" o:gfxdata="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prUk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直接箭头连接符 424" o:spid="_x0000_s1026" o:spt="32" type="#_x0000_t32" style="position:absolute;left:3413;top:2549695;height:1204;width:9;" filled="f" stroked="t" coordsize="21600,21600" o:gfxdata="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8Arr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group>
                  <v:shape id="文本框 433" o:spid="_x0000_s1026" o:spt="202" type="#_x0000_t202" style="position:absolute;left:10891;top:2548660;height:716;width:1386;" filled="f" stroked="f" coordsize="21600,21600" o:gfxdata="UEsDBAoAAAAAAIdO4kAAAAAAAAAAAAAAAAAEAAAAZHJzL1BLAwQUAAAACACHTuJAuWmheL8AAADc&#10;AAAADwAAAGRycy9kb3ducmV2LnhtbEWPS4vCQBCE74L/YegFbzoxsk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poX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周围环境</w:t>
                          </w:r>
                        </w:p>
                      </w:txbxContent>
                    </v:textbox>
                  </v:shape>
                  <v:group id="组合 466" o:spid="_x0000_s1026" o:spt="203" style="position:absolute;left:8024;top:2547252;height:4439;width:2751;" coordorigin="8024,2547252" coordsize="2751,4439"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直接箭头连接符 447" o:spid="_x0000_s1026" o:spt="32" type="#_x0000_t32" style="position:absolute;left:8024;top:2549106;height:28;width:2751;" filled="f" stroked="t" coordsize="21600,21600" o:gfxdata="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FUe/&#10;AAAA3AAAAA8AAAAAAAAAAQAgAAAAIgAAAGRycy9kb3ducmV2LnhtbFBLAQIUABQAAAAIAIdO4kAz&#10;LwWeOwAAADkAAAAQAAAAAAAAAAEAIAAAAA4BAABkcnMvc2hhcGV4bWwueG1sUEsFBgAAAAAGAAYA&#10;WwEAALgDAAAAAA==&#10;">
                      <v:fill on="f" focussize="0,0"/>
                      <v:stroke weight="1pt" color="#000000" miterlimit="8" joinstyle="miter" dashstyle="3 1" endarrow="block"/>
                      <v:imagedata o:title=""/>
                      <o:lock v:ext="edit" aspectratio="f"/>
                    </v:shape>
                    <v:line id="直接连接符 454" o:spid="_x0000_s1026" o:spt="20" style="position:absolute;left:9465;top:2547252;height:4439;width:8;" filled="f" stroked="t" coordsize="21600,21600" o:gfxdata="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wiGvQAA&#10;ANwAAAAPAAAAAAAAAAEAIAAAACIAAABkcnMvZG93bnJldi54bWxQSwECFAAUAAAACACHTuJAMy8F&#10;njsAAAA5AAAAEAAAAAAAAAABACAAAAAMAQAAZHJzL3NoYXBleG1sLnhtbFBLBQYAAAAABgAGAFsB&#10;AAC2AwAAAAA=&#10;">
                      <v:fill on="f" focussize="0,0"/>
                      <v:stroke weight="1pt" color="#000000" miterlimit="8" joinstyle="miter" dashstyle="3 1"/>
                      <v:imagedata o:title=""/>
                      <o:lock v:ext="edit" aspectratio="f"/>
                    </v:line>
                  </v:group>
                </v:group>
                <v:group id="组合 474" o:spid="_x0000_s1026" o:spt="203" style="position:absolute;left:835;top:2545142;height:8486;width:14677;" coordorigin="835,2545142" coordsize="14677,8486"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group id="组合 473" o:spid="_x0000_s1026" o:spt="203" style="position:absolute;left:2757;top:2545362;height:984;width:10724;" coordorigin="2757,2545362" coordsize="10724,984"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shape id="文本框 468" o:spid="_x0000_s1026" o:spt="202" type="#_x0000_t202" style="position:absolute;left:2757;top:2545379;height:711;width:1221;" fillcolor="#6C6C6C" filled="t" stroked="t" coordsize="21600,21600" o:gfxdata="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sTD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rPr>
                                <w:b/>
                                <w:bCs/>
                              </w:rPr>
                            </w:pPr>
                            <w:r>
                              <w:rPr>
                                <w:rFonts w:hint="eastAsia"/>
                                <w:b/>
                                <w:bCs/>
                              </w:rPr>
                              <w:t>工艺流程</w:t>
                            </w:r>
                          </w:p>
                        </w:txbxContent>
                      </v:textbox>
                    </v:shape>
                    <v:shape id="文本框 469" o:spid="_x0000_s1026" o:spt="202" type="#_x0000_t202" style="position:absolute;left:6636;top:2545362;height:943;width:1221;" fillcolor="#6C6C6C" filled="t" stroked="t" coordsize="21600,21600" o:gfxdata="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V7aV&#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rPr>
                                <w:b/>
                                <w:bCs/>
                              </w:rPr>
                            </w:pPr>
                            <w:r>
                              <w:rPr>
                                <w:rFonts w:hint="eastAsia"/>
                                <w:b/>
                                <w:bCs/>
                              </w:rPr>
                              <w:t>产污环节</w:t>
                            </w:r>
                          </w:p>
                        </w:txbxContent>
                      </v:textbox>
                    </v:shape>
                    <v:shape id="文本框 470" o:spid="_x0000_s1026" o:spt="202" type="#_x0000_t202" style="position:absolute;left:10966;top:2545366;height:980;width:2515;" fillcolor="#6C6C6C" filled="t" stroked="t" coordsize="21600,21600" o:gfxdata="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LuG/&#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rPr>
                                <w:b/>
                                <w:bCs/>
                              </w:rPr>
                            </w:pPr>
                            <w:r>
                              <w:rPr>
                                <w:rFonts w:hint="eastAsia"/>
                                <w:b/>
                                <w:bCs/>
                              </w:rPr>
                              <w:t>污染物处置措施及去向</w:t>
                            </w:r>
                          </w:p>
                        </w:txbxContent>
                      </v:textbox>
                    </v:shape>
                  </v:group>
                  <v:rect id="矩形 471" o:spid="_x0000_s1026" o:spt="1" style="position:absolute;left:835;top:2545142;height:8486;width:14677;v-text-anchor:middle;" filled="f" stroked="t" coordsize="21600,21600" o:gfxdata="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cd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rect>
                </v:group>
              </v:group>
            </w:pict>
          </mc:Fallback>
        </mc:AlternateConten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3.7.5退役期主要工艺过程及产污环节</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运营期结束后进入闭井期，闭井期主要是井口封存、井场设备拆除、清理井场等过程，由于施工时间较短，施工人员无需驻场。</w:t>
      </w:r>
    </w:p>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3.7.5.1封井措施</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拟按照《废弃井及长停井处置指南》(SY/T 6646-2017)、中国石油天然气集团有限公司有关规定进行退役封井处置。</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封堵作业前进行压井，待井内液柱压力平衡后方可进行其他作业。注水泥塞施工时，井内的静液柱压力应大于地层压力。难以实现静态平衡的高压地层或漏失地层可采用桥塞、膨胀封隔器、水泥承留器等一些机械工具进行挤注水泥浆。</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（2）封井用水泥的选用和配制，应按《常规修井作业规程第14部分注塞、钻塞》（SY/T 5587.14-2013）的规定执行；低渗层储层可采用超细水泥。</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低压井在油层套管水泥返高以下、最上部油层射孔井段以上200m内，注50m长的水泥塞；然后在距井口深度200m以内注50m长的水泥塞封井；高压井在油层套管水泥返高以下、最上部油层射孔井段以上200m内先打高压桥塞，再在桥塞上注50m长的水泥塞，最后在距井口深度200m以内注50m长的水泥塞封井。</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（4）周边存在注采井干扰的废弃井封固前，应暂停周边干扰井的生产或注水等作业，待地层压力稳定后，对可能存在井间干扰的层位进行挤注封堵。</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（5）封井后进行试压，符合标准后进行其他作业。</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（6）已封堵的井口套管接头应露出地面，并用厚度不低于5mm的圆形钢板焊牢，钢板上面应用焊痕标注井号和封堵日期。按照油田相关要求统一做好标识，并记录存档。</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（7）建立报废井档案。每年至少巡检1次，并记录巡井资料。</w:t>
      </w:r>
    </w:p>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3.7.5.2设备清洗</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废管线清洗后，采用盲板进行封堵，原地弃置不挖出。为减轻废弃管线处置对周边环境的不利影响，管段均在停输后泵入热水，实现输送介质回收及管壁清洗，清洗废水输送至或由密闭罐车拉运至附近站场采出水处理系统进行集中处理。</w:t>
      </w:r>
    </w:p>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3.7.5.3设备拆除</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清洗完成后，将地面设施拆除并清理井场，废弃设备和建筑垃圾，应集中清理收集，其中废弃设备等设施按照资产报废程序由中石油新疆油田分公司物资管理部门统一处理，其余不能回收的外运至市政部门指定地点，由环卫部门处置。地面设施拆除、井场清理等工作过程中产生的落地油等危险废物，直接</w:t>
      </w:r>
      <w:r>
        <w:rPr>
          <w:rFonts w:hint="eastAsia" w:ascii="Times New Roman" w:hAnsi="Times New Roman" w:eastAsia="宋体" w:cs="Times New Roman"/>
          <w:color w:val="auto"/>
          <w:sz w:val="24"/>
          <w:lang w:eastAsia="zh-CN"/>
        </w:rPr>
        <w:t>由</w:t>
      </w:r>
      <w:r>
        <w:rPr>
          <w:rFonts w:hint="default" w:ascii="Times New Roman" w:hAnsi="Times New Roman" w:eastAsia="宋体" w:cs="Times New Roman"/>
          <w:color w:val="auto"/>
          <w:sz w:val="24"/>
        </w:rPr>
        <w:t>具备危险废物处理资质的单位拉运并进行无害化处理。</w:t>
      </w:r>
    </w:p>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3.7.5.4场地清理及修复</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设备搬迁后，井场内污染物应得到妥善处理，做到工完、料净、场地清。最后按照《土地复垦条例》（2011年3月5日）要求，将占地恢复原貌。</w:t>
      </w:r>
    </w:p>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3.7.5.5产污环节分析</w:t>
      </w:r>
    </w:p>
    <w:p>
      <w:pPr>
        <w:widowControl/>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退役期产生的污染主要为井场设备的拆除、井口封堵、井场清理等过程中施工机械废气、施工噪声、清管废水、废弃建筑残渣等。退役期主要工艺流程及产污环节见图3.7-12。</w:t>
      </w:r>
    </w:p>
    <w:p>
      <w:pPr>
        <w:pStyle w:val="21"/>
        <w:ind w:firstLine="0" w:firstLineChars="0"/>
        <w:jc w:val="left"/>
        <w:rPr>
          <w:rFonts w:hint="default" w:ascii="Times New Roman" w:hAnsi="Times New Roman" w:eastAsia="宋体" w:cs="Times New Roman"/>
          <w:color w:val="auto"/>
        </w:rPr>
      </w:pPr>
      <w:r>
        <w:rPr>
          <w:rFonts w:hint="default" w:ascii="Times New Roman" w:hAnsi="Times New Roman" w:eastAsia="宋体" w:cs="Times New Roman"/>
          <w:color w:val="auto"/>
        </w:rPr>
        <mc:AlternateContent>
          <mc:Choice Requires="wpg">
            <w:drawing>
              <wp:anchor distT="0" distB="0" distL="114300" distR="114300" simplePos="0" relativeHeight="251670528" behindDoc="0" locked="0" layoutInCell="1" allowOverlap="1">
                <wp:simplePos x="0" y="0"/>
                <wp:positionH relativeFrom="column">
                  <wp:posOffset>-43180</wp:posOffset>
                </wp:positionH>
                <wp:positionV relativeFrom="paragraph">
                  <wp:posOffset>69215</wp:posOffset>
                </wp:positionV>
                <wp:extent cx="5326380" cy="2828290"/>
                <wp:effectExtent l="6350" t="6350" r="20320" b="22860"/>
                <wp:wrapNone/>
                <wp:docPr id="321" name="组合 321"/>
                <wp:cNvGraphicFramePr/>
                <a:graphic xmlns:a="http://schemas.openxmlformats.org/drawingml/2006/main">
                  <a:graphicData uri="http://schemas.microsoft.com/office/word/2010/wordprocessingGroup">
                    <wpg:wgp>
                      <wpg:cNvGrpSpPr/>
                      <wpg:grpSpPr>
                        <a:xfrm>
                          <a:off x="1099820" y="5441315"/>
                          <a:ext cx="5326380" cy="2828290"/>
                          <a:chOff x="2003" y="2485598"/>
                          <a:chExt cx="8388" cy="4454"/>
                        </a:xfrm>
                        <a:effectLst/>
                      </wpg:grpSpPr>
                      <wpg:grpSp>
                        <wpg:cNvPr id="319" name="组合 319"/>
                        <wpg:cNvGrpSpPr/>
                        <wpg:grpSpPr>
                          <a:xfrm>
                            <a:off x="2095" y="2485758"/>
                            <a:ext cx="8234" cy="4127"/>
                            <a:chOff x="2095" y="2485758"/>
                            <a:chExt cx="8234" cy="4127"/>
                          </a:xfrm>
                          <a:effectLst/>
                        </wpg:grpSpPr>
                        <wpg:grpSp>
                          <wpg:cNvPr id="318" name="组合 318"/>
                          <wpg:cNvGrpSpPr/>
                          <wpg:grpSpPr>
                            <a:xfrm>
                              <a:off x="2432" y="2485758"/>
                              <a:ext cx="7821" cy="460"/>
                              <a:chOff x="2432" y="2485758"/>
                              <a:chExt cx="7821" cy="460"/>
                            </a:xfrm>
                            <a:effectLst/>
                          </wpg:grpSpPr>
                          <wps:wsp>
                            <wps:cNvPr id="293" name="文本框 293"/>
                            <wps:cNvSpPr txBox="1"/>
                            <wps:spPr>
                              <a:xfrm>
                                <a:off x="2432" y="2485758"/>
                                <a:ext cx="1221" cy="460"/>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4" name="文本框 294"/>
                            <wps:cNvSpPr txBox="1"/>
                            <wps:spPr>
                              <a:xfrm>
                                <a:off x="5129" y="2485766"/>
                                <a:ext cx="1221" cy="415"/>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产污环节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文本框 295"/>
                            <wps:cNvSpPr txBox="1"/>
                            <wps:spPr>
                              <a:xfrm>
                                <a:off x="7741" y="2485776"/>
                                <a:ext cx="2512" cy="415"/>
                              </a:xfrm>
                              <a:prstGeom prst="rect">
                                <a:avLst/>
                              </a:prstGeom>
                              <a:solidFill>
                                <a:srgbClr val="A6A6A6">
                                  <a:lumMod val="65000"/>
                                </a:srgbClr>
                              </a:solidFill>
                              <a:ln w="6350">
                                <a:solidFill>
                                  <a:prstClr val="black"/>
                                </a:solidFill>
                              </a:ln>
                              <a:effectLst/>
                            </wps:spPr>
                            <wps:txbx>
                              <w:txbxContent>
                                <w:p>
                                  <w:pPr>
                                    <w:rPr>
                                      <w:b/>
                                      <w:bCs/>
                                    </w:rPr>
                                  </w:pPr>
                                  <w:r>
                                    <w:rPr>
                                      <w:rFonts w:hint="eastAsia"/>
                                      <w:b/>
                                      <w:bCs/>
                                    </w:rPr>
                                    <w:t>污染物处置措施及去向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15" name="组合 315"/>
                          <wpg:cNvGrpSpPr/>
                          <wpg:grpSpPr>
                            <a:xfrm>
                              <a:off x="2095" y="2486579"/>
                              <a:ext cx="8234" cy="3306"/>
                              <a:chOff x="2061" y="2485898"/>
                              <a:chExt cx="8234" cy="3306"/>
                            </a:xfrm>
                            <a:effectLst/>
                          </wpg:grpSpPr>
                          <wpg:grpSp>
                            <wpg:cNvPr id="300" name="组合 300"/>
                            <wpg:cNvGrpSpPr/>
                            <wpg:grpSpPr>
                              <a:xfrm>
                                <a:off x="2188" y="2485980"/>
                                <a:ext cx="1695" cy="3044"/>
                                <a:chOff x="2188" y="2485980"/>
                                <a:chExt cx="1695" cy="3044"/>
                              </a:xfrm>
                              <a:effectLst/>
                            </wpg:grpSpPr>
                            <wps:wsp>
                              <wps:cNvPr id="280" name="文本框 280"/>
                              <wps:cNvSpPr txBox="1"/>
                              <wps:spPr>
                                <a:xfrm>
                                  <a:off x="2213" y="2488610"/>
                                  <a:ext cx="1671" cy="415"/>
                                </a:xfrm>
                                <a:prstGeom prst="rect">
                                  <a:avLst/>
                                </a:prstGeom>
                                <a:solidFill>
                                  <a:srgbClr val="FFFFFF"/>
                                </a:solidFill>
                                <a:ln w="6350">
                                  <a:solidFill>
                                    <a:prstClr val="black"/>
                                  </a:solidFill>
                                </a:ln>
                                <a:effectLst/>
                              </wps:spPr>
                              <wps:txbx>
                                <w:txbxContent>
                                  <w:p>
                                    <w:pPr>
                                      <w:jc w:val="center"/>
                                    </w:pPr>
                                    <w:r>
                                      <w:rPr>
                                        <w:rFonts w:hint="eastAsia"/>
                                      </w:rPr>
                                      <w:t>井场清理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 name="文本框 281"/>
                              <wps:cNvSpPr txBox="1"/>
                              <wps:spPr>
                                <a:xfrm>
                                  <a:off x="2197" y="2487490"/>
                                  <a:ext cx="1683" cy="415"/>
                                </a:xfrm>
                                <a:prstGeom prst="rect">
                                  <a:avLst/>
                                </a:prstGeom>
                                <a:solidFill>
                                  <a:srgbClr val="FFFFFF"/>
                                </a:solidFill>
                                <a:ln w="6350">
                                  <a:solidFill>
                                    <a:prstClr val="black"/>
                                  </a:solidFill>
                                </a:ln>
                                <a:effectLst/>
                              </wps:spPr>
                              <wps:txbx>
                                <w:txbxContent>
                                  <w:p>
                                    <w:pPr>
                                      <w:jc w:val="center"/>
                                    </w:pPr>
                                    <w:r>
                                      <w:rPr>
                                        <w:rFonts w:hint="eastAsia"/>
                                      </w:rPr>
                                      <w:t>封井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8" name="直接箭头连接符 288"/>
                              <wps:cNvCnPr>
                                <a:stCxn id="281" idx="2"/>
                                <a:endCxn id="280" idx="0"/>
                              </wps:cNvCnPr>
                              <wps:spPr>
                                <a:xfrm>
                                  <a:off x="3039" y="2487905"/>
                                  <a:ext cx="10" cy="705"/>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279" name="文本框 279"/>
                              <wps:cNvSpPr txBox="1"/>
                              <wps:spPr>
                                <a:xfrm>
                                  <a:off x="2188" y="2485980"/>
                                  <a:ext cx="1694" cy="746"/>
                                </a:xfrm>
                                <a:prstGeom prst="rect">
                                  <a:avLst/>
                                </a:prstGeom>
                                <a:solidFill>
                                  <a:srgbClr val="FFFFFF"/>
                                </a:solidFill>
                                <a:ln w="6350">
                                  <a:solidFill>
                                    <a:prstClr val="black"/>
                                  </a:solidFill>
                                </a:ln>
                                <a:effectLst/>
                              </wps:spPr>
                              <wps:txbx>
                                <w:txbxContent>
                                  <w:p>
                                    <w:r>
                                      <w:rPr>
                                        <w:rFonts w:hint="eastAsia"/>
                                      </w:rPr>
                                      <w:t>井场设备拆除、</w:t>
                                    </w:r>
                                    <w:r>
                                      <w:rPr>
                                        <w:rFonts w:hint="eastAsia"/>
                                        <w:highlight w:val="none"/>
                                      </w:rPr>
                                      <w:t>废</w:t>
                                    </w:r>
                                    <w:r>
                                      <w:rPr>
                                        <w:rFonts w:hint="eastAsia"/>
                                        <w:highlight w:val="none"/>
                                        <w:lang w:val="en-US" w:eastAsia="zh-CN"/>
                                      </w:rPr>
                                      <w:t>弃</w:t>
                                    </w:r>
                                    <w:r>
                                      <w:rPr>
                                        <w:rFonts w:hint="eastAsia"/>
                                      </w:rPr>
                                      <w:t>管线清管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7" name="直接箭头连接符 287"/>
                              <wps:cNvCnPr>
                                <a:stCxn id="279" idx="2"/>
                                <a:endCxn id="281" idx="0"/>
                              </wps:cNvCnPr>
                              <wps:spPr>
                                <a:xfrm>
                                  <a:off x="3035" y="2486726"/>
                                  <a:ext cx="4" cy="764"/>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g:grpSp>
                            <wpg:cNvPr id="314" name="组合 314"/>
                            <wpg:cNvGrpSpPr/>
                            <wpg:grpSpPr>
                              <a:xfrm>
                                <a:off x="2061" y="2485898"/>
                                <a:ext cx="8234" cy="3306"/>
                                <a:chOff x="2061" y="2485898"/>
                                <a:chExt cx="8234" cy="3306"/>
                              </a:xfrm>
                              <a:effectLst/>
                            </wpg:grpSpPr>
                            <wpg:grpSp>
                              <wpg:cNvPr id="301" name="组合 301"/>
                              <wpg:cNvGrpSpPr/>
                              <wpg:grpSpPr>
                                <a:xfrm>
                                  <a:off x="4861" y="2485989"/>
                                  <a:ext cx="2210" cy="3042"/>
                                  <a:chOff x="4861" y="2485989"/>
                                  <a:chExt cx="2210" cy="3042"/>
                                </a:xfrm>
                                <a:effectLst/>
                              </wpg:grpSpPr>
                              <wps:wsp>
                                <wps:cNvPr id="284" name="文本框 284"/>
                                <wps:cNvSpPr txBox="1"/>
                                <wps:spPr>
                                  <a:xfrm>
                                    <a:off x="4881" y="2486986"/>
                                    <a:ext cx="1683" cy="415"/>
                                  </a:xfrm>
                                  <a:prstGeom prst="rect">
                                    <a:avLst/>
                                  </a:prstGeom>
                                  <a:noFill/>
                                  <a:ln w="6350">
                                    <a:solidFill>
                                      <a:prstClr val="black"/>
                                    </a:solidFill>
                                    <a:prstDash val="sysDash"/>
                                  </a:ln>
                                  <a:effectLst/>
                                </wps:spPr>
                                <wps:txbx>
                                  <w:txbxContent>
                                    <w:p>
                                      <w:pPr>
                                        <w:jc w:val="center"/>
                                      </w:pPr>
                                      <w:r>
                                        <w:rPr>
                                          <w:rFonts w:hint="eastAsia"/>
                                        </w:rPr>
                                        <w:t>清管废水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文本框 285"/>
                                <wps:cNvSpPr txBox="1"/>
                                <wps:spPr>
                                  <a:xfrm>
                                    <a:off x="4893" y="2487652"/>
                                    <a:ext cx="1683" cy="703"/>
                                  </a:xfrm>
                                  <a:prstGeom prst="rect">
                                    <a:avLst/>
                                  </a:prstGeom>
                                  <a:noFill/>
                                  <a:ln w="6350">
                                    <a:solidFill>
                                      <a:prstClr val="black"/>
                                    </a:solidFill>
                                    <a:prstDash val="sysDash"/>
                                  </a:ln>
                                  <a:effectLst/>
                                </wps:spPr>
                                <wps:txbx>
                                  <w:txbxContent>
                                    <w:p>
                                      <w:pPr>
                                        <w:jc w:val="center"/>
                                      </w:pPr>
                                      <w:r>
                                        <w:rPr>
                                          <w:rFonts w:hint="eastAsia"/>
                                        </w:rPr>
                                        <w:t>设备拆除及封井施工噪声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6" name="文本框 286"/>
                                <wps:cNvSpPr txBox="1"/>
                                <wps:spPr>
                                  <a:xfrm>
                                    <a:off x="4881" y="2488617"/>
                                    <a:ext cx="2190" cy="415"/>
                                  </a:xfrm>
                                  <a:prstGeom prst="rect">
                                    <a:avLst/>
                                  </a:prstGeom>
                                  <a:noFill/>
                                  <a:ln w="6350">
                                    <a:solidFill>
                                      <a:prstClr val="black"/>
                                    </a:solidFill>
                                    <a:prstDash val="sysDash"/>
                                  </a:ln>
                                  <a:effectLst/>
                                </wps:spPr>
                                <wps:txbx>
                                  <w:txbxContent>
                                    <w:p>
                                      <w:pPr>
                                        <w:jc w:val="center"/>
                                      </w:pPr>
                                      <w:r>
                                        <w:rPr>
                                          <w:rFonts w:hint="eastAsia"/>
                                        </w:rPr>
                                        <w:t>废弃设备及建筑垃圾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3" name="文本框 283"/>
                                <wps:cNvSpPr txBox="1"/>
                                <wps:spPr>
                                  <a:xfrm>
                                    <a:off x="4861" y="2485989"/>
                                    <a:ext cx="1683" cy="738"/>
                                  </a:xfrm>
                                  <a:prstGeom prst="rect">
                                    <a:avLst/>
                                  </a:prstGeom>
                                  <a:noFill/>
                                  <a:ln w="6350">
                                    <a:solidFill>
                                      <a:prstClr val="black"/>
                                    </a:solidFill>
                                    <a:prstDash val="sysDash"/>
                                  </a:ln>
                                  <a:effectLst/>
                                </wps:spPr>
                                <wps:txbx>
                                  <w:txbxContent>
                                    <w:p>
                                      <w:pPr>
                                        <w:jc w:val="center"/>
                                      </w:pPr>
                                      <w:r>
                                        <w:rPr>
                                          <w:rFonts w:hint="eastAsia"/>
                                        </w:rPr>
                                        <w:t>施工扬尘、施工机械废气</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03" name="组合 303"/>
                              <wpg:cNvGrpSpPr/>
                              <wpg:grpSpPr>
                                <a:xfrm>
                                  <a:off x="6544" y="2486350"/>
                                  <a:ext cx="1312" cy="2479"/>
                                  <a:chOff x="6544" y="2486350"/>
                                  <a:chExt cx="1312" cy="2479"/>
                                </a:xfrm>
                                <a:effectLst/>
                              </wpg:grpSpPr>
                              <wps:wsp>
                                <wps:cNvPr id="296" name="直接箭头连接符 296"/>
                                <wps:cNvCnPr>
                                  <a:stCxn id="283" idx="3"/>
                                  <a:endCxn id="289" idx="1"/>
                                </wps:cNvCnPr>
                                <wps:spPr>
                                  <a:xfrm flipV="1">
                                    <a:off x="6544" y="2486350"/>
                                    <a:ext cx="1313" cy="8"/>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297" name="直接箭头连接符 297"/>
                                <wps:cNvCnPr>
                                  <a:stCxn id="286" idx="3"/>
                                  <a:endCxn id="292" idx="1"/>
                                </wps:cNvCnPr>
                                <wps:spPr>
                                  <a:xfrm>
                                    <a:off x="7071" y="2488825"/>
                                    <a:ext cx="772" cy="4"/>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298" name="直接箭头连接符 298"/>
                                <wps:cNvCnPr>
                                  <a:stCxn id="284" idx="3"/>
                                  <a:endCxn id="290" idx="1"/>
                                </wps:cNvCnPr>
                                <wps:spPr>
                                  <a:xfrm flipV="1">
                                    <a:off x="6564" y="2487189"/>
                                    <a:ext cx="1289" cy="5"/>
                                  </a:xfrm>
                                  <a:prstGeom prst="straightConnector1">
                                    <a:avLst/>
                                  </a:prstGeom>
                                  <a:noFill/>
                                  <a:ln w="12700" cap="flat" cmpd="sng" algn="ctr">
                                    <a:solidFill>
                                      <a:srgbClr val="000000"/>
                                    </a:solidFill>
                                    <a:prstDash val="sysDash"/>
                                    <a:miter lim="800000"/>
                                    <a:headEnd type="none"/>
                                    <a:tailEnd type="triangle" w="med" len="med"/>
                                  </a:ln>
                                  <a:effectLst/>
                                </wps:spPr>
                                <wps:bodyPr/>
                              </wps:wsp>
                              <wps:wsp>
                                <wps:cNvPr id="299" name="直接箭头连接符 299"/>
                                <wps:cNvCnPr>
                                  <a:stCxn id="285" idx="3"/>
                                  <a:endCxn id="291" idx="1"/>
                                </wps:cNvCnPr>
                                <wps:spPr>
                                  <a:xfrm>
                                    <a:off x="6576" y="2488004"/>
                                    <a:ext cx="1265" cy="3"/>
                                  </a:xfrm>
                                  <a:prstGeom prst="straightConnector1">
                                    <a:avLst/>
                                  </a:prstGeom>
                                  <a:noFill/>
                                  <a:ln w="12700" cap="flat" cmpd="sng" algn="ctr">
                                    <a:solidFill>
                                      <a:srgbClr val="000000"/>
                                    </a:solidFill>
                                    <a:prstDash val="sysDash"/>
                                    <a:miter lim="800000"/>
                                    <a:headEnd type="none"/>
                                    <a:tailEnd type="triangle" w="med" len="med"/>
                                  </a:ln>
                                  <a:effectLst/>
                                </wps:spPr>
                                <wps:bodyPr/>
                              </wps:wsp>
                            </wpg:grpSp>
                            <wpg:grpSp>
                              <wpg:cNvPr id="302" name="组合 302"/>
                              <wpg:cNvGrpSpPr/>
                              <wpg:grpSpPr>
                                <a:xfrm>
                                  <a:off x="7841" y="2486142"/>
                                  <a:ext cx="2454" cy="3062"/>
                                  <a:chOff x="7841" y="2486142"/>
                                  <a:chExt cx="2454" cy="3062"/>
                                </a:xfrm>
                                <a:effectLst/>
                              </wpg:grpSpPr>
                              <wps:wsp>
                                <wps:cNvPr id="290" name="文本框 290"/>
                                <wps:cNvSpPr txBox="1"/>
                                <wps:spPr>
                                  <a:xfrm>
                                    <a:off x="7853" y="2486814"/>
                                    <a:ext cx="2442" cy="750"/>
                                  </a:xfrm>
                                  <a:prstGeom prst="rect">
                                    <a:avLst/>
                                  </a:prstGeom>
                                  <a:noFill/>
                                  <a:ln w="6350">
                                    <a:noFill/>
                                  </a:ln>
                                  <a:effectLst/>
                                </wps:spPr>
                                <wps:txbx>
                                  <w:txbxContent>
                                    <w:p>
                                      <w:r>
                                        <w:rPr>
                                          <w:rFonts w:hint="eastAsia"/>
                                        </w:rPr>
                                        <w:t>采用罐车集中收集后运至</w:t>
                                      </w:r>
                                      <w:r>
                                        <w:rPr>
                                          <w:rFonts w:hint="eastAsia"/>
                                          <w:lang w:val="en-US" w:eastAsia="zh-CN"/>
                                        </w:rPr>
                                        <w:t>陆梁集中处理站</w:t>
                                      </w:r>
                                      <w:r>
                                        <w:rPr>
                                          <w:rFonts w:hint="eastAsia"/>
                                        </w:rPr>
                                        <w:t>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文本框 291"/>
                                <wps:cNvSpPr txBox="1"/>
                                <wps:spPr>
                                  <a:xfrm>
                                    <a:off x="7841" y="2487799"/>
                                    <a:ext cx="1683" cy="415"/>
                                  </a:xfrm>
                                  <a:prstGeom prst="rect">
                                    <a:avLst/>
                                  </a:prstGeom>
                                  <a:noFill/>
                                  <a:ln w="6350">
                                    <a:noFill/>
                                  </a:ln>
                                  <a:effectLst/>
                                </wps:spPr>
                                <wps:txbx>
                                  <w:txbxContent>
                                    <w:p>
                                      <w:r>
                                        <w:rPr>
                                          <w:rFonts w:hint="eastAsia"/>
                                        </w:rPr>
                                        <w:t>周围环境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9" name="文本框 289"/>
                                <wps:cNvSpPr txBox="1"/>
                                <wps:spPr>
                                  <a:xfrm>
                                    <a:off x="7857" y="2486142"/>
                                    <a:ext cx="1683" cy="415"/>
                                  </a:xfrm>
                                  <a:prstGeom prst="rect">
                                    <a:avLst/>
                                  </a:prstGeom>
                                  <a:noFill/>
                                  <a:ln w="6350">
                                    <a:noFill/>
                                  </a:ln>
                                  <a:effectLst/>
                                </wps:spPr>
                                <wps:txbx>
                                  <w:txbxContent>
                                    <w:p>
                                      <w:r>
                                        <w:rPr>
                                          <w:rFonts w:hint="eastAsia"/>
                                        </w:rPr>
                                        <w:t>无组织排放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2" name="文本框 292"/>
                                <wps:cNvSpPr txBox="1"/>
                                <wps:spPr>
                                  <a:xfrm>
                                    <a:off x="7843" y="2488454"/>
                                    <a:ext cx="2294" cy="750"/>
                                  </a:xfrm>
                                  <a:prstGeom prst="rect">
                                    <a:avLst/>
                                  </a:prstGeom>
                                  <a:noFill/>
                                  <a:ln w="6350">
                                    <a:noFill/>
                                  </a:ln>
                                  <a:effectLst/>
                                </wps:spPr>
                                <wps:txbx>
                                  <w:txbxContent>
                                    <w:p>
                                      <w:r>
                                        <w:rPr>
                                          <w:rFonts w:hint="eastAsia"/>
                                        </w:rPr>
                                        <w:t>回收利用，或委托环卫部门合理处置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13" name="组合 313"/>
                              <wpg:cNvGrpSpPr/>
                              <wpg:grpSpPr>
                                <a:xfrm>
                                  <a:off x="2061" y="2485898"/>
                                  <a:ext cx="2807" cy="3278"/>
                                  <a:chOff x="2061" y="2485898"/>
                                  <a:chExt cx="2807" cy="3278"/>
                                </a:xfrm>
                                <a:effectLst/>
                              </wpg:grpSpPr>
                              <wps:wsp>
                                <wps:cNvPr id="304" name="直接连接符 304"/>
                                <wps:cNvCnPr/>
                                <wps:spPr>
                                  <a:xfrm flipH="1">
                                    <a:off x="4551" y="2485946"/>
                                    <a:ext cx="11" cy="3231"/>
                                  </a:xfrm>
                                  <a:prstGeom prst="line">
                                    <a:avLst/>
                                  </a:prstGeom>
                                  <a:noFill/>
                                  <a:ln w="12700" cap="flat" cmpd="sng" algn="ctr">
                                    <a:solidFill>
                                      <a:srgbClr val="000000"/>
                                    </a:solidFill>
                                    <a:prstDash val="solid"/>
                                    <a:miter lim="800000"/>
                                  </a:ln>
                                  <a:effectLst/>
                                </wps:spPr>
                                <wps:bodyPr/>
                              </wps:wsp>
                              <wps:wsp>
                                <wps:cNvPr id="306" name="右箭头 306"/>
                                <wps:cNvSpPr/>
                                <wps:spPr>
                                  <a:xfrm>
                                    <a:off x="4080" y="2487363"/>
                                    <a:ext cx="462" cy="220"/>
                                  </a:xfrm>
                                  <a:prstGeom prst="rightArrow">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07" name="矩形 307"/>
                                <wps:cNvSpPr/>
                                <wps:spPr>
                                  <a:xfrm>
                                    <a:off x="2061" y="2485898"/>
                                    <a:ext cx="2019" cy="3254"/>
                                  </a:xfrm>
                                  <a:prstGeom prst="rect">
                                    <a:avLst/>
                                  </a:prstGeom>
                                  <a:noFill/>
                                  <a:ln w="12700" cap="flat" cmpd="sng" algn="ctr">
                                    <a:solidFill>
                                      <a:srgbClr val="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312" name="组合 312"/>
                                <wpg:cNvGrpSpPr/>
                                <wpg:grpSpPr>
                                  <a:xfrm>
                                    <a:off x="4576" y="2486348"/>
                                    <a:ext cx="293" cy="2542"/>
                                    <a:chOff x="4576" y="2486348"/>
                                    <a:chExt cx="293" cy="2542"/>
                                  </a:xfrm>
                                  <a:effectLst/>
                                </wpg:grpSpPr>
                                <wps:wsp>
                                  <wps:cNvPr id="308" name="直接箭头连接符 308"/>
                                  <wps:cNvCnPr>
                                    <a:endCxn id="283" idx="1"/>
                                  </wps:cNvCnPr>
                                  <wps:spPr>
                                    <a:xfrm>
                                      <a:off x="4576" y="2486348"/>
                                      <a:ext cx="285" cy="10"/>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09" name="直接箭头连接符 309"/>
                                  <wps:cNvCnPr/>
                                  <wps:spPr>
                                    <a:xfrm>
                                      <a:off x="4585" y="2487211"/>
                                      <a:ext cx="285" cy="10"/>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10" name="直接箭头连接符 310"/>
                                  <wps:cNvCnPr/>
                                  <wps:spPr>
                                    <a:xfrm>
                                      <a:off x="4583" y="2488051"/>
                                      <a:ext cx="285" cy="10"/>
                                    </a:xfrm>
                                    <a:prstGeom prst="straightConnector1">
                                      <a:avLst/>
                                    </a:prstGeom>
                                    <a:noFill/>
                                    <a:ln w="12700" cap="flat" cmpd="sng" algn="ctr">
                                      <a:solidFill>
                                        <a:srgbClr val="000000"/>
                                      </a:solidFill>
                                      <a:prstDash val="solid"/>
                                      <a:miter lim="800000"/>
                                      <a:headEnd type="none"/>
                                      <a:tailEnd type="triangle" w="med" len="med"/>
                                    </a:ln>
                                    <a:effectLst/>
                                  </wps:spPr>
                                  <wps:bodyPr/>
                                </wps:wsp>
                                <wps:wsp>
                                  <wps:cNvPr id="311" name="直接箭头连接符 311"/>
                                  <wps:cNvCnPr/>
                                  <wps:spPr>
                                    <a:xfrm>
                                      <a:off x="4581" y="2488880"/>
                                      <a:ext cx="285" cy="10"/>
                                    </a:xfrm>
                                    <a:prstGeom prst="straightConnector1">
                                      <a:avLst/>
                                    </a:prstGeom>
                                    <a:noFill/>
                                    <a:ln w="12700" cap="flat" cmpd="sng" algn="ctr">
                                      <a:solidFill>
                                        <a:srgbClr val="000000"/>
                                      </a:solidFill>
                                      <a:prstDash val="solid"/>
                                      <a:miter lim="800000"/>
                                      <a:headEnd type="none"/>
                                      <a:tailEnd type="triangle" w="med" len="med"/>
                                    </a:ln>
                                    <a:effectLst/>
                                  </wps:spPr>
                                  <wps:bodyPr/>
                                </wps:wsp>
                              </wpg:grpSp>
                            </wpg:grpSp>
                          </wpg:grpSp>
                        </wpg:grpSp>
                      </wpg:grpSp>
                      <wps:wsp>
                        <wps:cNvPr id="320" name="矩形 320"/>
                        <wps:cNvSpPr/>
                        <wps:spPr>
                          <a:xfrm>
                            <a:off x="2003" y="2485598"/>
                            <a:ext cx="8389" cy="4454"/>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4pt;margin-top:5.45pt;height:222.7pt;width:419.4pt;z-index:251670528;mso-width-relative:page;mso-height-relative:page;" coordorigin="2003,2485598" coordsize="8388,4454" o:gfxdata="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K8MhO/aAAAACQEAAA8AAAAAAAAAAQAgAAAAIgAAAGRycy9kb3ducmV2Lnht&#10;bFBLAQIUABQAAAAIAIdO4kDn88ZebQoAAJdbAAAOAAAAAAAAAAEAIAAAACkBAABkcnMvZTJvRG9j&#10;LnhtbFBLBQYAAAAABgAGAFkBAAAIDgAAAAA=&#10;">
                <o:lock v:ext="edit" aspectratio="f"/>
                <v:group id="_x0000_s1026" o:spid="_x0000_s1026" o:spt="203" style="position:absolute;left:2095;top:2485758;height:4127;width:8234;" coordorigin="2095,2485758" coordsize="8234,4127"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432;top:2485758;height:460;width:7821;" coordorigin="2432,2485758" coordsize="7821,460"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432;top:2485758;height:460;width:1221;" fillcolor="#6C6C6C" filled="t" stroked="t" coordsize="21600,21600" o:gfxdata="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1pVP&#10;wAAAANw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pPr>
                              <w:rPr>
                                <w:b/>
                                <w:bCs/>
                              </w:rPr>
                            </w:pPr>
                            <w:r>
                              <w:rPr>
                                <w:rFonts w:hint="eastAsia"/>
                                <w:b/>
                                <w:bCs/>
                              </w:rPr>
                              <w:t>工艺流程</w:t>
                            </w:r>
                          </w:p>
                        </w:txbxContent>
                      </v:textbox>
                    </v:shape>
                    <v:shape id="_x0000_s1026" o:spid="_x0000_s1026" o:spt="202" type="#_x0000_t202" style="position:absolute;left:5129;top:2485766;height:415;width:1221;" fillcolor="#6C6C6C" filled="t" stroked="t" coordsize="21600,21600" o:gfxdata="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DTu/&#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rPr>
                                <w:b/>
                                <w:bCs/>
                              </w:rPr>
                            </w:pPr>
                            <w:r>
                              <w:rPr>
                                <w:rFonts w:hint="eastAsia"/>
                                <w:b/>
                                <w:bCs/>
                              </w:rPr>
                              <w:t>产污环节</w:t>
                            </w:r>
                          </w:p>
                        </w:txbxContent>
                      </v:textbox>
                    </v:shape>
                    <v:shape id="_x0000_s1026" o:spid="_x0000_s1026" o:spt="202" type="#_x0000_t202" style="position:absolute;left:7741;top:2485776;height:415;width:2512;" fillcolor="#6C6C6C" filled="t" stroked="t" coordsize="21600,21600" o:gfxdata="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zqKC/&#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rPr>
                                <w:b/>
                                <w:bCs/>
                              </w:rPr>
                            </w:pPr>
                            <w:r>
                              <w:rPr>
                                <w:rFonts w:hint="eastAsia"/>
                                <w:b/>
                                <w:bCs/>
                              </w:rPr>
                              <w:t>污染物处置措施及去向</w:t>
                            </w:r>
                          </w:p>
                        </w:txbxContent>
                      </v:textbox>
                    </v:shape>
                  </v:group>
                  <v:group id="_x0000_s1026" o:spid="_x0000_s1026" o:spt="203" style="position:absolute;left:2095;top:2486579;height:3306;width:8234;" coordorigin="2061,2485898" coordsize="8234,3306"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188;top:2485980;height:3044;width:1695;" coordorigin="2188,2485980" coordsize="1695,3044" o:gfxdata="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XvMw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213;top:2488610;height:415;width:1671;" fillcolor="#FFFFFF" filled="t" stroked="t" coordsize="21600,21600" o:gfxdata="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lJ0E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pPr>
                              <w:r>
                                <w:rPr>
                                  <w:rFonts w:hint="eastAsia"/>
                                </w:rPr>
                                <w:t>井场清理</w:t>
                              </w:r>
                            </w:p>
                          </w:txbxContent>
                        </v:textbox>
                      </v:shape>
                      <v:shape id="_x0000_s1026" o:spid="_x0000_s1026" o:spt="202" type="#_x0000_t202" style="position:absolute;left:2197;top:2487490;height:415;width:1683;" fillcolor="#FFFFFF" filled="t" stroked="t" coordsize="21600,21600" o:gfxdata="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HtGL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pPr>
                              <w:r>
                                <w:rPr>
                                  <w:rFonts w:hint="eastAsia"/>
                                </w:rPr>
                                <w:t>封井</w:t>
                              </w:r>
                            </w:p>
                          </w:txbxContent>
                        </v:textbox>
                      </v:shape>
                      <v:shape id="_x0000_s1026" o:spid="_x0000_s1026" o:spt="32" type="#_x0000_t32" style="position:absolute;left:3039;top:2487905;height:705;width:10;" filled="f" stroked="t" coordsize="21600,21600" o:gfxdata="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HFaq8AAAA&#10;3A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_x0000_s1026" o:spid="_x0000_s1026" o:spt="202" type="#_x0000_t202" style="position:absolute;left:2188;top:2485980;height:746;width:1694;" fillcolor="#FFFFFF" filled="t" stroked="t" coordsize="21600,21600" o:gfxdata="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9ra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r>
                                <w:rPr>
                                  <w:rFonts w:hint="eastAsia"/>
                                </w:rPr>
                                <w:t>井场设备拆除、</w:t>
                              </w:r>
                              <w:r>
                                <w:rPr>
                                  <w:rFonts w:hint="eastAsia"/>
                                  <w:highlight w:val="none"/>
                                </w:rPr>
                                <w:t>废</w:t>
                              </w:r>
                              <w:r>
                                <w:rPr>
                                  <w:rFonts w:hint="eastAsia"/>
                                  <w:highlight w:val="none"/>
                                  <w:lang w:val="en-US" w:eastAsia="zh-CN"/>
                                </w:rPr>
                                <w:t>弃</w:t>
                              </w:r>
                              <w:r>
                                <w:rPr>
                                  <w:rFonts w:hint="eastAsia"/>
                                </w:rPr>
                                <w:t>管线清管</w:t>
                              </w:r>
                            </w:p>
                          </w:txbxContent>
                        </v:textbox>
                      </v:shape>
                      <v:shape id="_x0000_s1026" o:spid="_x0000_s1026" o:spt="32" type="#_x0000_t32" style="position:absolute;left:3035;top:2486726;height:764;width:4;" filled="f" stroked="t" coordsize="21600,21600" o:gfxdata="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Ygdi/&#10;AAAA3A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group>
                    <v:group id="_x0000_s1026" o:spid="_x0000_s1026" o:spt="203" style="position:absolute;left:2061;top:2485898;height:3306;width:8234;" coordorigin="2061,2485898" coordsize="8234,3306"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4861;top:2485989;height:3042;width:2210;" coordorigin="4861,2485989" coordsize="2210,3042"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4881;top:2486986;height:415;width:1683;" filled="f" stroked="t" coordsize="21600,21600" o:gfxdata="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oVWgvQAA&#10;ANwAAAAPAAAAAAAAAAEAIAAAACIAAABkcnMvZG93bnJldi54bWxQSwECFAAUAAAACACHTuJAMy8F&#10;njsAAAA5AAAAEAAAAAAAAAABACAAAAAMAQAAZHJzL3NoYXBleG1sLnhtbFBLBQYAAAAABgAGAFsB&#10;AAC2AwAAAAA=&#10;">
                          <v:fill on="f" focussize="0,0"/>
                          <v:stroke weight="0.5pt" color="#000000" joinstyle="round" dashstyle="3 1"/>
                          <v:imagedata o:title=""/>
                          <o:lock v:ext="edit" aspectratio="f"/>
                          <v:textbox>
                            <w:txbxContent>
                              <w:p>
                                <w:pPr>
                                  <w:jc w:val="center"/>
                                </w:pPr>
                                <w:r>
                                  <w:rPr>
                                    <w:rFonts w:hint="eastAsia"/>
                                  </w:rPr>
                                  <w:t>清管废水</w:t>
                                </w:r>
                              </w:p>
                            </w:txbxContent>
                          </v:textbox>
                        </v:shape>
                        <v:shape id="_x0000_s1026" o:spid="_x0000_s1026" o:spt="202" type="#_x0000_t202" style="position:absolute;left:4893;top:2487652;height:703;width:1683;" filled="f" stroked="t" coordsize="21600,21600" o:gfxdata="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t8Du8AAAA&#10;3AAAAA8AAAAAAAAAAQAgAAAAIgAAAGRycy9kb3ducmV2LnhtbFBLAQIUABQAAAAIAIdO4kAzLwWe&#10;OwAAADkAAAAQAAAAAAAAAAEAIAAAAAsBAABkcnMvc2hhcGV4bWwueG1sUEsFBgAAAAAGAAYAWwEA&#10;ALUDAAAAAA==&#10;">
                          <v:fill on="f" focussize="0,0"/>
                          <v:stroke weight="0.5pt" color="#000000" joinstyle="round" dashstyle="3 1"/>
                          <v:imagedata o:title=""/>
                          <o:lock v:ext="edit" aspectratio="f"/>
                          <v:textbox>
                            <w:txbxContent>
                              <w:p>
                                <w:pPr>
                                  <w:jc w:val="center"/>
                                </w:pPr>
                                <w:r>
                                  <w:rPr>
                                    <w:rFonts w:hint="eastAsia"/>
                                  </w:rPr>
                                  <w:t>设备拆除及封井施工噪声</w:t>
                                </w:r>
                              </w:p>
                            </w:txbxContent>
                          </v:textbox>
                        </v:shape>
                        <v:shape id="_x0000_s1026" o:spid="_x0000_s1026" o:spt="202" type="#_x0000_t202" style="position:absolute;left:4881;top:2488617;height:415;width:2190;" filled="f" stroked="t" coordsize="21600,21600" o:gfxdata="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9uTL4A&#10;AADcAAAADwAAAAAAAAABACAAAAAiAAAAZHJzL2Rvd25yZXYueG1sUEsBAhQAFAAAAAgAh07iQDMv&#10;BZ47AAAAOQAAABAAAAAAAAAAAQAgAAAADQEAAGRycy9zaGFwZXhtbC54bWxQSwUGAAAAAAYABgBb&#10;AQAAtwMAAAAA&#10;">
                          <v:fill on="f" focussize="0,0"/>
                          <v:stroke weight="0.5pt" color="#000000" joinstyle="round" dashstyle="3 1"/>
                          <v:imagedata o:title=""/>
                          <o:lock v:ext="edit" aspectratio="f"/>
                          <v:textbox>
                            <w:txbxContent>
                              <w:p>
                                <w:pPr>
                                  <w:jc w:val="center"/>
                                </w:pPr>
                                <w:r>
                                  <w:rPr>
                                    <w:rFonts w:hint="eastAsia"/>
                                  </w:rPr>
                                  <w:t>废弃设备及建筑垃圾</w:t>
                                </w:r>
                              </w:p>
                            </w:txbxContent>
                          </v:textbox>
                        </v:shape>
                        <v:shape id="_x0000_s1026" o:spid="_x0000_s1026" o:spt="202" type="#_x0000_t202" style="position:absolute;left:4861;top:2485989;height:738;width:1683;" filled="f" stroked="t" coordsize="21600,21600" o:gfxdata="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IzdS8AAAA&#10;3AAAAA8AAAAAAAAAAQAgAAAAIgAAAGRycy9kb3ducmV2LnhtbFBLAQIUABQAAAAIAIdO4kAzLwWe&#10;OwAAADkAAAAQAAAAAAAAAAEAIAAAAAsBAABkcnMvc2hhcGV4bWwueG1sUEsFBgAAAAAGAAYAWwEA&#10;ALUDAAAAAA==&#10;">
                          <v:fill on="f" focussize="0,0"/>
                          <v:stroke weight="0.5pt" color="#000000" joinstyle="round" dashstyle="3 1"/>
                          <v:imagedata o:title=""/>
                          <o:lock v:ext="edit" aspectratio="f"/>
                          <v:textbox>
                            <w:txbxContent>
                              <w:p>
                                <w:pPr>
                                  <w:jc w:val="center"/>
                                </w:pPr>
                                <w:r>
                                  <w:rPr>
                                    <w:rFonts w:hint="eastAsia"/>
                                  </w:rPr>
                                  <w:t>施工扬尘、施工机械废气</w:t>
                                </w:r>
                              </w:p>
                            </w:txbxContent>
                          </v:textbox>
                        </v:shape>
                      </v:group>
                      <v:group id="_x0000_s1026" o:spid="_x0000_s1026" o:spt="203" style="position:absolute;left:6544;top:2486350;height:2479;width:1312;" coordorigin="6544,2486350" coordsize="1312,2479"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6544;top:2486350;flip:y;height:8;width:1313;" filled="f" stroked="t" coordsize="21600,21600" o:gfxdata="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5ZorrsAAADc&#10;AAAADwAAAAAAAAABACAAAAAiAAAAZHJzL2Rvd25yZXYueG1sUEsBAhQAFAAAAAgAh07iQDMvBZ47&#10;AAAAOQAAABAAAAAAAAAAAQAgAAAACgEAAGRycy9zaGFwZXhtbC54bWxQSwUGAAAAAAYABgBbAQAA&#10;tAMAAAAA&#10;">
                          <v:fill on="f" focussize="0,0"/>
                          <v:stroke weight="1pt" color="#000000" miterlimit="8" joinstyle="miter" dashstyle="3 1" endarrow="block"/>
                          <v:imagedata o:title=""/>
                          <o:lock v:ext="edit" aspectratio="f"/>
                        </v:shape>
                        <v:shape id="_x0000_s1026" o:spid="_x0000_s1026" o:spt="32" type="#_x0000_t32" style="position:absolute;left:7071;top:2488825;height:4;width:772;" filled="f" stroked="t" coordsize="21600,21600" o:gfxdata="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q25e/&#10;AAAA3AAAAA8AAAAAAAAAAQAgAAAAIgAAAGRycy9kb3ducmV2LnhtbFBLAQIUABQAAAAIAIdO4kAz&#10;LwWeOwAAADkAAAAQAAAAAAAAAAEAIAAAAA4BAABkcnMvc2hhcGV4bWwueG1sUEsFBgAAAAAGAAYA&#10;WwEAALgDAAAAAA==&#10;">
                          <v:fill on="f" focussize="0,0"/>
                          <v:stroke weight="1pt" color="#000000" miterlimit="8" joinstyle="miter" dashstyle="3 1" endarrow="block"/>
                          <v:imagedata o:title=""/>
                          <o:lock v:ext="edit" aspectratio="f"/>
                        </v:shape>
                        <v:shape id="_x0000_s1026" o:spid="_x0000_s1026" o:spt="32" type="#_x0000_t32" style="position:absolute;left:6564;top:2487189;flip:y;height:5;width:1289;" filled="f" stroked="t" coordsize="21600,21600" o:gfxdata="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FFWUe2AAAA3AAAAA8A&#10;AAAAAAAAAQAgAAAAIgAAAGRycy9kb3ducmV2LnhtbFBLAQIUABQAAAAIAIdO4kAzLwWeOwAAADkA&#10;AAAQAAAAAAAAAAEAIAAAAAUBAABkcnMvc2hhcGV4bWwueG1sUEsFBgAAAAAGAAYAWwEAAK8DAAAA&#10;AA==&#10;">
                          <v:fill on="f" focussize="0,0"/>
                          <v:stroke weight="1pt" color="#000000" miterlimit="8" joinstyle="miter" dashstyle="3 1" endarrow="block"/>
                          <v:imagedata o:title=""/>
                          <o:lock v:ext="edit" aspectratio="f"/>
                        </v:shape>
                        <v:shape id="_x0000_s1026" o:spid="_x0000_s1026" o:spt="32" type="#_x0000_t32" style="position:absolute;left:6576;top:2488004;height:3;width:1265;" filled="f" stroked="t" coordsize="21600,21600" o:gfxdata="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nqfr4A&#10;AADcAAAADwAAAAAAAAABACAAAAAiAAAAZHJzL2Rvd25yZXYueG1sUEsBAhQAFAAAAAgAh07iQDMv&#10;BZ47AAAAOQAAABAAAAAAAAAAAQAgAAAADQEAAGRycy9zaGFwZXhtbC54bWxQSwUGAAAAAAYABgBb&#10;AQAAtwMAAAAA&#10;">
                          <v:fill on="f" focussize="0,0"/>
                          <v:stroke weight="1pt" color="#000000" miterlimit="8" joinstyle="miter" dashstyle="3 1" endarrow="block"/>
                          <v:imagedata o:title=""/>
                          <o:lock v:ext="edit" aspectratio="f"/>
                        </v:shape>
                      </v:group>
                      <v:group id="_x0000_s1026" o:spid="_x0000_s1026" o:spt="203" style="position:absolute;left:7841;top:2486142;height:3062;width:2454;" coordorigin="7841,2486142" coordsize="2454,3062"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7853;top:2486814;height:750;width:2442;" filled="f" stroked="f" coordsize="21600,21600" o:gfxdata="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X5d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采用罐车集中收集后运至</w:t>
                                </w:r>
                                <w:r>
                                  <w:rPr>
                                    <w:rFonts w:hint="eastAsia"/>
                                    <w:lang w:val="en-US" w:eastAsia="zh-CN"/>
                                  </w:rPr>
                                  <w:t>陆梁集中处理站</w:t>
                                </w:r>
                                <w:r>
                                  <w:rPr>
                                    <w:rFonts w:hint="eastAsia"/>
                                  </w:rPr>
                                  <w:t>处理</w:t>
                                </w:r>
                              </w:p>
                            </w:txbxContent>
                          </v:textbox>
                        </v:shape>
                        <v:shape id="_x0000_s1026" o:spid="_x0000_s1026" o:spt="202" type="#_x0000_t202" style="position:absolute;left:7841;top:2487799;height:415;width:1683;" filled="f" stroked="f" coordsize="21600,21600" o:gfxdata="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pXO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周围环境</w:t>
                                </w:r>
                              </w:p>
                            </w:txbxContent>
                          </v:textbox>
                        </v:shape>
                        <v:shape id="_x0000_s1026" o:spid="_x0000_s1026" o:spt="202" type="#_x0000_t202" style="position:absolute;left:7857;top:2486142;height:415;width:1683;" filled="f" stroked="f" coordsize="21600,21600" o:gfxdata="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BsY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无组织排放</w:t>
                                </w:r>
                              </w:p>
                            </w:txbxContent>
                          </v:textbox>
                        </v:shape>
                        <v:shape id="_x0000_s1026" o:spid="_x0000_s1026" o:spt="202" type="#_x0000_t202" style="position:absolute;left:7843;top:2488454;height:750;width:2294;" filled="f" stroked="f" coordsize="21600,21600" o:gfxdata="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8K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回收利用，或委托环卫部门合理处置</w:t>
                                </w:r>
                              </w:p>
                            </w:txbxContent>
                          </v:textbox>
                        </v:shape>
                      </v:group>
                      <v:group id="_x0000_s1026" o:spid="_x0000_s1026" o:spt="203" style="position:absolute;left:2061;top:2485898;height:3278;width:2807;" coordorigin="2061,2485898" coordsize="2807,3278"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line id="_x0000_s1026" o:spid="_x0000_s1026" o:spt="20" style="position:absolute;left:4551;top:2485946;flip:x;height:3231;width:11;" filled="f" stroked="t" coordsize="21600,21600" o:gfxdata="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zqT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v:shape id="_x0000_s1026" o:spid="_x0000_s1026" o:spt="13" type="#_x0000_t13" style="position:absolute;left:4080;top:2487363;height:220;width:462;v-text-anchor:middle;" fillcolor="#000000" filled="t" stroked="t" coordsize="21600,21600" o:gfxdata="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YIlvQAA&#10;ANwAAAAPAAAAAAAAAAEAIAAAACIAAABkcnMvZG93bnJldi54bWxQSwECFAAUAAAACACHTuJAMy8F&#10;njsAAAA5AAAAEAAAAAAAAAABACAAAAAMAQAAZHJzL3NoYXBleG1sLnhtbFBLBQYAAAAABgAGAFsB&#10;AAC2AwAAAAA=&#10;" adj="16458,5400">
                          <v:fill on="t" focussize="0,0"/>
                          <v:stroke weight="1pt" color="#000000" miterlimit="8" joinstyle="miter"/>
                          <v:imagedata o:title=""/>
                          <o:lock v:ext="edit" aspectratio="f"/>
                        </v:shape>
                        <v:rect id="_x0000_s1026" o:spid="_x0000_s1026" o:spt="1" style="position:absolute;left:2061;top:2485898;height:3254;width:2019;v-text-anchor:middle;" filled="f" stroked="t" coordsize="21600,21600" o:gfxdata="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9Uuy/&#10;AAAA3AAAAA8AAAAAAAAAAQAgAAAAIgAAAGRycy9kb3ducmV2LnhtbFBLAQIUABQAAAAIAIdO4kAz&#10;LwWeOwAAADkAAAAQAAAAAAAAAAEAIAAAAA4BAABkcnMvc2hhcGV4bWwueG1sUEsFBgAAAAAGAAYA&#10;WwEAALgDAAAAAA==&#10;">
                          <v:fill on="f" focussize="0,0"/>
                          <v:stroke weight="1pt" color="#000000" miterlimit="8" joinstyle="miter" dashstyle="3 1"/>
                          <v:imagedata o:title=""/>
                          <o:lock v:ext="edit" aspectratio="f"/>
                        </v:rect>
                        <v:group id="_x0000_s1026" o:spid="_x0000_s1026" o:spt="203" style="position:absolute;left:4576;top:2486348;height:2542;width:293;" coordorigin="4576,2486348" coordsize="293,2542"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4576;top:2486348;height:10;width:285;" filled="f" stroked="t" coordsize="21600,21600" o:gfxdata="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1GW28AAAA&#10;3A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_x0000_s1026" o:spid="_x0000_s1026" o:spt="32" type="#_x0000_t32" style="position:absolute;left:4585;top:2487211;height:10;width:285;" filled="f" stroked="t" coordsize="21600,21600" o:gfxdata="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m89r4A&#10;AADc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_x0000_s1026" o:spid="_x0000_s1026" o:spt="32" type="#_x0000_t32" style="position:absolute;left:4583;top:2488051;height:10;width:285;" filled="f" stroked="t" coordsize="21600,21600" o:gfxdata="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Dtr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_x0000_s1026" o:spid="_x0000_s1026" o:spt="32" type="#_x0000_t32" style="position:absolute;left:4581;top:2488880;height:10;width:285;" filled="f" stroked="t" coordsize="21600,21600" o:gfxdata="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1iYt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group>
                      </v:group>
                    </v:group>
                  </v:group>
                </v:group>
                <v:rect id="_x0000_s1026" o:spid="_x0000_s1026" o:spt="1" style="position:absolute;left:2003;top:2485598;height:4454;width:8389;v-text-anchor:middle;" filled="f" stroked="t" coordsize="21600,21600" o:gfxdata="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foTa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rect>
              </v:group>
            </w:pict>
          </mc:Fallback>
        </mc:AlternateContent>
      </w:r>
    </w:p>
    <w:p>
      <w:pPr>
        <w:numPr>
          <w:ilvl w:val="3"/>
          <w:numId w:val="0"/>
        </w:numPr>
        <w:tabs>
          <w:tab w:val="left" w:pos="864"/>
        </w:tabs>
        <w:spacing w:line="360" w:lineRule="auto"/>
        <w:jc w:val="left"/>
        <w:rPr>
          <w:rFonts w:hint="default" w:ascii="Times New Roman" w:hAnsi="Times New Roman" w:eastAsia="宋体" w:cs="Times New Roman"/>
          <w:color w:val="auto"/>
          <w:sz w:val="24"/>
        </w:rPr>
      </w:pPr>
    </w:p>
    <w:p>
      <w:pPr>
        <w:pStyle w:val="33"/>
        <w:jc w:val="left"/>
        <w:rPr>
          <w:rFonts w:hint="default" w:ascii="Times New Roman" w:hAnsi="Times New Roman" w:eastAsia="宋体" w:cs="Times New Roman"/>
          <w:color w:val="auto"/>
        </w:rPr>
      </w:pPr>
    </w:p>
    <w:p>
      <w:pPr>
        <w:jc w:val="left"/>
        <w:rPr>
          <w:rFonts w:hint="default" w:ascii="Times New Roman" w:hAnsi="Times New Roman" w:eastAsia="宋体" w:cs="Times New Roman"/>
          <w:color w:val="auto"/>
          <w:sz w:val="24"/>
        </w:rPr>
      </w:pPr>
    </w:p>
    <w:p>
      <w:pPr>
        <w:pStyle w:val="33"/>
        <w:jc w:val="left"/>
        <w:rPr>
          <w:rFonts w:hint="default" w:ascii="Times New Roman" w:hAnsi="Times New Roman" w:eastAsia="宋体" w:cs="Times New Roman"/>
          <w:color w:val="auto"/>
        </w:rPr>
      </w:pPr>
    </w:p>
    <w:p>
      <w:pPr>
        <w:jc w:val="left"/>
        <w:rPr>
          <w:rFonts w:hint="default" w:ascii="Times New Roman" w:hAnsi="Times New Roman" w:eastAsia="宋体" w:cs="Times New Roman"/>
          <w:color w:val="auto"/>
        </w:rPr>
      </w:pPr>
    </w:p>
    <w:p>
      <w:pPr>
        <w:pStyle w:val="33"/>
        <w:jc w:val="left"/>
        <w:rPr>
          <w:rFonts w:hint="default" w:ascii="Times New Roman" w:hAnsi="Times New Roman" w:eastAsia="宋体" w:cs="Times New Roman"/>
          <w:color w:val="auto"/>
        </w:rPr>
      </w:pPr>
    </w:p>
    <w:p>
      <w:pPr>
        <w:pStyle w:val="33"/>
        <w:jc w:val="left"/>
        <w:rPr>
          <w:rFonts w:hint="default" w:ascii="Times New Roman" w:hAnsi="Times New Roman" w:eastAsia="宋体" w:cs="Times New Roman"/>
          <w:color w:val="auto"/>
        </w:rPr>
      </w:pPr>
    </w:p>
    <w:p>
      <w:pPr>
        <w:jc w:val="left"/>
        <w:rPr>
          <w:rFonts w:hint="default" w:ascii="Times New Roman" w:hAnsi="Times New Roman" w:eastAsia="宋体" w:cs="Times New Roman"/>
          <w:color w:val="auto"/>
        </w:rPr>
      </w:pPr>
    </w:p>
    <w:p>
      <w:pPr>
        <w:pStyle w:val="33"/>
        <w:jc w:val="left"/>
        <w:rPr>
          <w:rFonts w:hint="default" w:ascii="Times New Roman" w:hAnsi="Times New Roman" w:eastAsia="宋体" w:cs="Times New Roman"/>
          <w:color w:val="auto"/>
        </w:rPr>
      </w:pPr>
    </w:p>
    <w:p>
      <w:pPr>
        <w:jc w:val="left"/>
        <w:rPr>
          <w:rFonts w:hint="default" w:ascii="Times New Roman" w:hAnsi="Times New Roman" w:eastAsia="宋体" w:cs="Times New Roman"/>
          <w:color w:val="auto"/>
        </w:rPr>
      </w:pPr>
    </w:p>
    <w:p>
      <w:pPr>
        <w:pStyle w:val="33"/>
        <w:jc w:val="left"/>
        <w:rPr>
          <w:rFonts w:hint="default" w:ascii="Times New Roman" w:hAnsi="Times New Roman" w:eastAsia="宋体" w:cs="Times New Roman"/>
          <w:color w:val="auto"/>
        </w:rPr>
      </w:pPr>
    </w:p>
    <w:p>
      <w:pPr>
        <w:pStyle w:val="33"/>
        <w:jc w:val="left"/>
        <w:rPr>
          <w:rFonts w:hint="default" w:ascii="Times New Roman" w:hAnsi="Times New Roman" w:eastAsia="宋体" w:cs="Times New Roman"/>
          <w:color w:val="auto"/>
        </w:rPr>
      </w:pPr>
    </w:p>
    <w:p>
      <w:pPr>
        <w:pStyle w:val="33"/>
        <w:jc w:val="left"/>
        <w:rPr>
          <w:rFonts w:hint="default" w:ascii="Times New Roman" w:hAnsi="Times New Roman" w:eastAsia="宋体" w:cs="Times New Roman"/>
          <w:color w:val="auto"/>
        </w:rPr>
      </w:pPr>
    </w:p>
    <w:p>
      <w:pPr>
        <w:pStyle w:val="33"/>
        <w:spacing w:line="360" w:lineRule="auto"/>
        <w:rPr>
          <w:rFonts w:hint="default" w:ascii="Times New Roman" w:hAnsi="Times New Roman" w:eastAsia="宋体" w:cs="Times New Roman"/>
          <w:bCs/>
          <w:color w:val="auto"/>
          <w:sz w:val="21"/>
          <w:szCs w:val="21"/>
        </w:rPr>
      </w:pPr>
    </w:p>
    <w:p>
      <w:pPr>
        <w:pStyle w:val="33"/>
        <w:spacing w:line="36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图3.7-12  退役期工艺流程及产污环节示意图</w:t>
      </w:r>
    </w:p>
    <w:p>
      <w:pPr>
        <w:tabs>
          <w:tab w:val="left" w:pos="3465"/>
        </w:tabs>
        <w:spacing w:line="360" w:lineRule="auto"/>
        <w:outlineLvl w:val="2"/>
        <w:rPr>
          <w:rFonts w:hint="default" w:ascii="Times New Roman" w:hAnsi="Times New Roman" w:eastAsia="宋体" w:cs="Times New Roman"/>
          <w:b/>
          <w:color w:val="auto"/>
          <w:sz w:val="30"/>
          <w:szCs w:val="30"/>
        </w:rPr>
      </w:pPr>
      <w:bookmarkStart w:id="76" w:name="_Hlk92707236"/>
      <w:r>
        <w:rPr>
          <w:rFonts w:hint="default" w:ascii="Times New Roman" w:hAnsi="Times New Roman" w:eastAsia="宋体" w:cs="Times New Roman"/>
          <w:b/>
          <w:color w:val="auto"/>
          <w:sz w:val="30"/>
          <w:szCs w:val="30"/>
        </w:rPr>
        <w:t>3.7.6施工期污染源及源强核算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主要污染物为钻井工程施工活动中大功率柴油机和发电机燃料燃烧废气及汽车尾气排放、钻井液、施工生产废水、管道试压废水、钻井噪声、钻井岩屑、废土石方、生活垃圾、机械设备废油和废弃防渗膜，平整场地和堆放设备破坏地表等。</w:t>
      </w:r>
    </w:p>
    <w:bookmarkEnd w:id="76"/>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3.7.6.1废气污染源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施工期大气污染源</w:t>
      </w:r>
      <w:bookmarkStart w:id="77" w:name="_Hlk101709494"/>
      <w:r>
        <w:rPr>
          <w:rFonts w:hint="default" w:ascii="Times New Roman" w:hAnsi="Times New Roman" w:cs="Times New Roman"/>
          <w:color w:val="auto"/>
          <w:sz w:val="24"/>
          <w:szCs w:val="24"/>
        </w:rPr>
        <w:t>主要为管线敷设、道路工程、场站工程（采油平台）等在施工作业过程中产生的施工扬尘</w:t>
      </w:r>
      <w:bookmarkEnd w:id="77"/>
      <w:bookmarkStart w:id="78" w:name="_Hlk92828089"/>
      <w:r>
        <w:rPr>
          <w:rFonts w:hint="default" w:ascii="Times New Roman" w:hAnsi="Times New Roman" w:cs="Times New Roman"/>
          <w:color w:val="auto"/>
          <w:sz w:val="24"/>
          <w:szCs w:val="24"/>
        </w:rPr>
        <w:t>、钻井工程施工活动中大功率柴油机和发电机燃料燃烧废气</w:t>
      </w:r>
      <w:bookmarkEnd w:id="78"/>
      <w:bookmarkStart w:id="79" w:name="_Hlk92827834"/>
      <w:r>
        <w:rPr>
          <w:rFonts w:hint="default" w:ascii="Times New Roman" w:hAnsi="Times New Roman" w:cs="Times New Roman"/>
          <w:color w:val="auto"/>
          <w:sz w:val="24"/>
          <w:szCs w:val="24"/>
        </w:rPr>
        <w:t>、运输车辆的尾气</w:t>
      </w:r>
      <w:bookmarkEnd w:id="79"/>
      <w:r>
        <w:rPr>
          <w:rFonts w:hint="default" w:ascii="Times New Roman" w:hAnsi="Times New Roman" w:cs="Times New Roman"/>
          <w:color w:val="auto"/>
          <w:sz w:val="24"/>
          <w:szCs w:val="24"/>
        </w:rPr>
        <w:t>等。</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（1）施工扬尘</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扬尘主要是道路施工、场地平整、井场设备安装，管道施工管沟的开挖回填，站场建设土地平整、设备安装的过程中，由于设备的运输，少量临时弃土和固体废物的堆积、搬运，水泥、石灰、沙石等材料的装卸、运输、拌合等过程，均会导致部分尘埃散逸到周围环境空气中，增加环境空气中的颗粒物浓度。</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（2）柴油发电机燃油燃烧废气</w:t>
      </w:r>
    </w:p>
    <w:p>
      <w:pPr>
        <w:pStyle w:val="56"/>
        <w:overflowPunct w:val="0"/>
        <w:topLinePunct/>
        <w:spacing w:line="360" w:lineRule="auto"/>
        <w:ind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每个井队配备钻井钻机（电钻）2台，柴油发电机2台，柴油消耗量平均2t/d，本项目新钻井</w:t>
      </w:r>
      <w:r>
        <w:rPr>
          <w:rFonts w:hint="eastAsia" w:cs="Times New Roman"/>
          <w:color w:val="auto"/>
          <w:sz w:val="24"/>
          <w:szCs w:val="24"/>
          <w:lang w:val="en-US" w:eastAsia="zh-CN"/>
        </w:rPr>
        <w:t>8</w:t>
      </w:r>
      <w:r>
        <w:rPr>
          <w:rFonts w:hint="eastAsia" w:cs="Times New Roman"/>
          <w:color w:val="auto"/>
          <w:sz w:val="24"/>
          <w:szCs w:val="24"/>
          <w:lang w:eastAsia="zh-CN"/>
        </w:rPr>
        <w:t>口</w:t>
      </w:r>
      <w:r>
        <w:rPr>
          <w:rFonts w:hint="default" w:ascii="Times New Roman" w:hAnsi="Times New Roman" w:cs="Times New Roman"/>
          <w:color w:val="auto"/>
          <w:sz w:val="24"/>
          <w:szCs w:val="24"/>
        </w:rPr>
        <w:t>。单井平均钻井周期1</w:t>
      </w:r>
      <w:r>
        <w:rPr>
          <w:rFonts w:hint="eastAsia" w:cs="Times New Roman"/>
          <w:color w:val="auto"/>
          <w:sz w:val="24"/>
          <w:szCs w:val="24"/>
          <w:lang w:val="en-US" w:eastAsia="zh-CN"/>
        </w:rPr>
        <w:t>6</w:t>
      </w:r>
      <w:r>
        <w:rPr>
          <w:rFonts w:hint="default" w:ascii="Times New Roman" w:hAnsi="Times New Roman" w:cs="Times New Roman"/>
          <w:color w:val="auto"/>
          <w:sz w:val="24"/>
          <w:szCs w:val="24"/>
        </w:rPr>
        <w:t>d，施工期间共耗柴油</w:t>
      </w:r>
      <w:r>
        <w:rPr>
          <w:rFonts w:hint="eastAsia" w:cs="Times New Roman"/>
          <w:color w:val="auto"/>
          <w:sz w:val="24"/>
          <w:szCs w:val="24"/>
          <w:lang w:eastAsia="zh-CN"/>
        </w:rPr>
        <w:t>256</w:t>
      </w:r>
      <w:r>
        <w:rPr>
          <w:rFonts w:hint="default" w:ascii="Times New Roman" w:hAnsi="Times New Roman" w:cs="Times New Roman"/>
          <w:color w:val="auto"/>
          <w:sz w:val="24"/>
          <w:szCs w:val="24"/>
        </w:rPr>
        <w:t>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根据《非道路移动源大气污染物排放清单编制技术指南（试行）》：</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①非道路移动机械（柴油发电机组）大气污染物排放量计算公式为：</w:t>
      </w:r>
    </w:p>
    <w:p>
      <w:pPr>
        <w:pStyle w:val="56"/>
        <w:spacing w:line="360" w:lineRule="auto"/>
        <w:jc w:val="center"/>
        <w:rPr>
          <w:rFonts w:hint="default" w:ascii="Times New Roman" w:hAnsi="Times New Roman" w:cs="Times New Roman"/>
          <w:color w:val="auto"/>
          <w:sz w:val="24"/>
          <w:szCs w:val="24"/>
        </w:rPr>
      </w:pPr>
      <m:oMathPara>
        <m:oMath>
          <m:r>
            <m:rPr>
              <m:sty m:val="p"/>
            </m:rPr>
            <w:rPr>
              <w:rFonts w:hint="default" w:ascii="Cambria Math" w:hAnsi="Cambria Math" w:cs="Times New Roman"/>
              <w:color w:val="auto"/>
              <w:sz w:val="24"/>
              <w:szCs w:val="24"/>
            </w:rPr>
            <m:t>E=(Y×EF)×</m:t>
          </m:r>
          <m:sSup>
            <m:sSupPr>
              <m:ctrlPr>
                <w:rPr>
                  <w:rFonts w:hint="default" w:ascii="Cambria Math" w:hAnsi="Cambria Math" w:cs="Times New Roman"/>
                  <w:color w:val="auto"/>
                  <w:sz w:val="24"/>
                  <w:szCs w:val="24"/>
                </w:rPr>
              </m:ctrlPr>
            </m:sSupPr>
            <m:e>
              <m:r>
                <w:rPr>
                  <w:rFonts w:hint="default" w:ascii="Cambria Math" w:hAnsi="Cambria Math" w:cs="Times New Roman"/>
                  <w:color w:val="auto"/>
                  <w:sz w:val="24"/>
                  <w:szCs w:val="24"/>
                </w:rPr>
                <m:t>10</m:t>
              </m:r>
              <m:ctrlPr>
                <w:rPr>
                  <w:rFonts w:hint="default" w:ascii="Cambria Math" w:hAnsi="Cambria Math" w:cs="Times New Roman"/>
                  <w:color w:val="auto"/>
                  <w:sz w:val="24"/>
                  <w:szCs w:val="24"/>
                </w:rPr>
              </m:ctrlPr>
            </m:e>
            <m:sup>
              <m:r>
                <w:rPr>
                  <w:rFonts w:hint="default" w:ascii="Cambria Math" w:hAnsi="Cambria Math" w:cs="Times New Roman"/>
                  <w:color w:val="auto"/>
                  <w:sz w:val="24"/>
                  <w:szCs w:val="24"/>
                </w:rPr>
                <m:t>−6</m:t>
              </m:r>
              <m:ctrlPr>
                <w:rPr>
                  <w:rFonts w:hint="default" w:ascii="Cambria Math" w:hAnsi="Cambria Math" w:cs="Times New Roman"/>
                  <w:color w:val="auto"/>
                  <w:sz w:val="24"/>
                  <w:szCs w:val="24"/>
                </w:rPr>
              </m:ctrlPr>
            </m:sup>
          </m:sSup>
        </m:oMath>
      </m:oMathPara>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式中，E—非道路移动机械的CO、HC、NO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和PM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排放量，t；</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Y—燃油消耗量，kg；</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EY—排放系数，g/kg燃料。</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②二氧化硫排放量根据非移动源燃油中的硫含量计算，计算公式为：</w:t>
      </w:r>
    </w:p>
    <w:p>
      <w:pPr>
        <w:pStyle w:val="56"/>
        <w:spacing w:line="360" w:lineRule="auto"/>
        <w:jc w:val="center"/>
        <w:rPr>
          <w:rFonts w:hint="default" w:ascii="Times New Roman" w:hAnsi="Times New Roman" w:cs="Times New Roman"/>
          <w:color w:val="auto"/>
          <w:sz w:val="24"/>
          <w:szCs w:val="24"/>
        </w:rPr>
      </w:pPr>
      <m:oMathPara>
        <m:oMath>
          <m:r>
            <m:rPr>
              <m:sty m:val="p"/>
            </m:rPr>
            <w:rPr>
              <w:rFonts w:hint="default" w:ascii="Cambria Math" w:hAnsi="Cambria Math" w:cs="Times New Roman"/>
              <w:color w:val="auto"/>
              <w:sz w:val="24"/>
              <w:szCs w:val="24"/>
            </w:rPr>
            <m:t>E=2×Y×S×</m:t>
          </m:r>
          <m:sSup>
            <m:sSupPr>
              <m:ctrlPr>
                <w:rPr>
                  <w:rFonts w:hint="default" w:ascii="Cambria Math" w:hAnsi="Cambria Math" w:cs="Times New Roman"/>
                  <w:color w:val="auto"/>
                  <w:sz w:val="24"/>
                  <w:szCs w:val="24"/>
                </w:rPr>
              </m:ctrlPr>
            </m:sSupPr>
            <m:e>
              <m:r>
                <w:rPr>
                  <w:rFonts w:hint="default" w:ascii="Cambria Math" w:hAnsi="Cambria Math" w:cs="Times New Roman"/>
                  <w:color w:val="auto"/>
                  <w:sz w:val="24"/>
                  <w:szCs w:val="24"/>
                </w:rPr>
                <m:t>10</m:t>
              </m:r>
              <m:ctrlPr>
                <w:rPr>
                  <w:rFonts w:hint="default" w:ascii="Cambria Math" w:hAnsi="Cambria Math" w:cs="Times New Roman"/>
                  <w:color w:val="auto"/>
                  <w:sz w:val="24"/>
                  <w:szCs w:val="24"/>
                </w:rPr>
              </m:ctrlPr>
            </m:e>
            <m:sup>
              <m:r>
                <w:rPr>
                  <w:rFonts w:hint="default" w:ascii="Cambria Math" w:hAnsi="Cambria Math" w:cs="Times New Roman"/>
                  <w:color w:val="auto"/>
                  <w:sz w:val="24"/>
                  <w:szCs w:val="24"/>
                </w:rPr>
                <m:t>−6</m:t>
              </m:r>
              <m:ctrlPr>
                <w:rPr>
                  <w:rFonts w:hint="default" w:ascii="Cambria Math" w:hAnsi="Cambria Math" w:cs="Times New Roman"/>
                  <w:color w:val="auto"/>
                  <w:sz w:val="24"/>
                  <w:szCs w:val="24"/>
                </w:rPr>
              </m:ctrlPr>
            </m:sup>
          </m:sSup>
        </m:oMath>
      </m:oMathPara>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式中，E—非道路移动机械的SO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排放量，t；</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Y—燃油消耗量，kg；</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S—燃油硫含量，g/kg燃料。</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③适用排放系数：</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柴油机污染物排放系数和柴油机组燃烧废气中各污染物产生情况见表3.7-2。</w:t>
      </w:r>
    </w:p>
    <w:p>
      <w:pPr>
        <w:pStyle w:val="86"/>
        <w:ind w:firstLine="0" w:firstLineChars="0"/>
        <w:jc w:val="center"/>
        <w:rPr>
          <w:rFonts w:hint="default" w:ascii="Times New Roman" w:hAnsi="Times New Roman" w:eastAsia="宋体" w:cs="Times New Roman"/>
          <w:b/>
          <w:bCs/>
          <w:color w:val="auto"/>
          <w:sz w:val="21"/>
          <w:szCs w:val="21"/>
        </w:rPr>
      </w:pPr>
    </w:p>
    <w:p>
      <w:pPr>
        <w:pStyle w:val="86"/>
        <w:ind w:firstLine="0" w:firstLineChars="0"/>
        <w:jc w:val="center"/>
        <w:rPr>
          <w:rFonts w:hint="default" w:ascii="Times New Roman" w:hAnsi="Times New Roman" w:eastAsia="宋体" w:cs="Times New Roman"/>
          <w:b/>
          <w:bCs/>
          <w:color w:val="auto"/>
          <w:sz w:val="21"/>
          <w:szCs w:val="21"/>
        </w:rPr>
      </w:pPr>
    </w:p>
    <w:p>
      <w:pPr>
        <w:pStyle w:val="86"/>
        <w:ind w:firstLine="0" w:firstLineChars="0"/>
        <w:jc w:val="center"/>
        <w:rPr>
          <w:rFonts w:hint="default" w:ascii="Times New Roman" w:hAnsi="Times New Roman" w:eastAsia="宋体" w:cs="Times New Roman"/>
          <w:b/>
          <w:bCs/>
          <w:color w:val="auto"/>
          <w:sz w:val="21"/>
          <w:szCs w:val="21"/>
        </w:rPr>
      </w:pPr>
    </w:p>
    <w:p>
      <w:pPr>
        <w:pStyle w:val="86"/>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表3.7-2  柴油机污染物排放量</w:t>
      </w:r>
    </w:p>
    <w:tbl>
      <w:tblPr>
        <w:tblStyle w:val="31"/>
        <w:tblW w:w="8519" w:type="dxa"/>
        <w:tblInd w:w="0" w:type="dxa"/>
        <w:tblLayout w:type="fixed"/>
        <w:tblCellMar>
          <w:top w:w="0" w:type="dxa"/>
          <w:left w:w="108" w:type="dxa"/>
          <w:bottom w:w="0" w:type="dxa"/>
          <w:right w:w="108" w:type="dxa"/>
        </w:tblCellMar>
      </w:tblPr>
      <w:tblGrid>
        <w:gridCol w:w="2361"/>
        <w:gridCol w:w="1955"/>
        <w:gridCol w:w="2265"/>
        <w:gridCol w:w="1938"/>
      </w:tblGrid>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排污系数kg/t</w:t>
            </w:r>
          </w:p>
        </w:tc>
        <w:tc>
          <w:tcPr>
            <w:tcW w:w="226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柴油用量（t）</w:t>
            </w: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排放量（t）</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10.722</w:t>
            </w:r>
          </w:p>
        </w:tc>
        <w:tc>
          <w:tcPr>
            <w:tcW w:w="2265"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256</w:t>
            </w: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2.74</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NOx</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32.792</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8.39</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HC</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3.385</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0.87</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0.02</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0.005</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10</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2.09</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0.54</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2.5</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2.09</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宋体" w:cs="Times New Roman"/>
                <w:color w:val="auto"/>
                <w:szCs w:val="21"/>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0.54</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施工期间排放的大气污染物将随钻井工程的结束而消失。</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（3）车辆尾气</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本项目开发施工期每个单井钻井场各类车辆8余</w:t>
      </w:r>
      <w:r>
        <w:rPr>
          <w:rFonts w:hint="eastAsia" w:ascii="Times New Roman" w:hAnsi="Times New Roman" w:cs="Times New Roman"/>
          <w:color w:val="auto"/>
          <w:sz w:val="24"/>
          <w:lang w:val="en-US" w:eastAsia="zh-CN"/>
        </w:rPr>
        <w:t>辆</w:t>
      </w:r>
      <w:r>
        <w:rPr>
          <w:rFonts w:hint="default" w:ascii="Times New Roman" w:hAnsi="Times New Roman" w:cs="Times New Roman"/>
          <w:color w:val="auto"/>
          <w:sz w:val="24"/>
        </w:rPr>
        <w:t>次/日，预计每天可排放CO1.26kg/d，烃类物质2.15kg/d，NO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为5.78kg/d，SO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为0.064kg/d。本次施工期以</w:t>
      </w:r>
      <w:r>
        <w:rPr>
          <w:rFonts w:hint="eastAsia" w:ascii="Times New Roman" w:hAnsi="Times New Roman" w:cs="Times New Roman"/>
          <w:color w:val="auto"/>
          <w:sz w:val="24"/>
          <w:lang w:val="en-US" w:eastAsia="zh-CN"/>
        </w:rPr>
        <w:t>660</w:t>
      </w:r>
      <w:r>
        <w:rPr>
          <w:rFonts w:hint="default" w:ascii="Times New Roman" w:hAnsi="Times New Roman" w:cs="Times New Roman"/>
          <w:color w:val="auto"/>
          <w:sz w:val="24"/>
        </w:rPr>
        <w:t>d计，则施工期施工车辆排放的大气污染物排放情况详见表3.7-3。</w:t>
      </w:r>
    </w:p>
    <w:p>
      <w:pPr>
        <w:spacing w:line="360" w:lineRule="auto"/>
        <w:ind w:firstLine="48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表3.7-3  施工期大气污染物排放统计表</w:t>
      </w:r>
    </w:p>
    <w:tbl>
      <w:tblPr>
        <w:tblStyle w:val="31"/>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754"/>
        <w:gridCol w:w="1875"/>
        <w:gridCol w:w="137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169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682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9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rPr>
            </w:pPr>
          </w:p>
        </w:tc>
        <w:tc>
          <w:tcPr>
            <w:tcW w:w="17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烃类</w:t>
            </w:r>
          </w:p>
        </w:tc>
        <w:tc>
          <w:tcPr>
            <w:tcW w:w="1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3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NOx</w:t>
            </w:r>
          </w:p>
        </w:tc>
        <w:tc>
          <w:tcPr>
            <w:tcW w:w="18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车辆尾气</w:t>
            </w:r>
          </w:p>
        </w:tc>
        <w:tc>
          <w:tcPr>
            <w:tcW w:w="17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1.42</w:t>
            </w:r>
          </w:p>
        </w:tc>
        <w:tc>
          <w:tcPr>
            <w:tcW w:w="1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0.83</w:t>
            </w:r>
          </w:p>
        </w:tc>
        <w:tc>
          <w:tcPr>
            <w:tcW w:w="13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3.81</w:t>
            </w:r>
          </w:p>
        </w:tc>
        <w:tc>
          <w:tcPr>
            <w:tcW w:w="18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r>
    </w:tbl>
    <w:p>
      <w:pPr>
        <w:pStyle w:val="66"/>
        <w:rPr>
          <w:rFonts w:hint="default" w:ascii="Times New Roman" w:hAnsi="Times New Roman" w:cs="Times New Roman"/>
          <w:color w:val="auto"/>
          <w:kern w:val="0"/>
        </w:rPr>
      </w:pPr>
      <w:bookmarkStart w:id="80" w:name="_Hlk94103630"/>
      <w:r>
        <w:rPr>
          <w:rFonts w:hint="default" w:ascii="Times New Roman" w:hAnsi="Times New Roman" w:cs="Times New Roman"/>
          <w:color w:val="auto"/>
          <w:kern w:val="0"/>
        </w:rPr>
        <w:t>3.7.6.2废水污染源</w:t>
      </w:r>
    </w:p>
    <w:bookmarkEnd w:id="80"/>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项目施工期废水主要为：钻井废水、管道试压废水。</w:t>
      </w:r>
    </w:p>
    <w:p>
      <w:pPr>
        <w:spacing w:line="360" w:lineRule="auto"/>
        <w:ind w:firstLine="480" w:firstLineChars="200"/>
        <w:rPr>
          <w:rFonts w:hint="default" w:ascii="Times New Roman" w:hAnsi="Times New Roman" w:eastAsia="宋体" w:cs="Times New Roman"/>
          <w:color w:val="auto"/>
          <w:sz w:val="24"/>
        </w:rPr>
      </w:pPr>
      <w:bookmarkStart w:id="81" w:name="_Hlk94103610"/>
      <w:r>
        <w:rPr>
          <w:rFonts w:hint="default" w:ascii="Times New Roman" w:hAnsi="Times New Roman" w:eastAsia="宋体" w:cs="Times New Roman"/>
          <w:color w:val="auto"/>
          <w:sz w:val="24"/>
        </w:rPr>
        <w:t>（1）钻井废水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
        </w:rPr>
        <w:t>钻井废水与钻井泥浆、岩屑一同进入不落地系统进行分离处理，分离后的液相回用于钻井液配制，不外排；工程结束由钻井队回收。</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（2）管道试压废水</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项目集输管线敷设完成后，需进行试压，采用分段试压方式，管道试压用水一般采用清洁水，可重复使用。本项目新建管线主要为单井出油管线</w:t>
      </w:r>
      <w:r>
        <w:rPr>
          <w:rFonts w:hint="eastAsia" w:ascii="Times New Roman" w:hAnsi="Times New Roman" w:eastAsia="宋体" w:cs="Times New Roman"/>
          <w:color w:val="auto"/>
          <w:sz w:val="24"/>
          <w:lang w:eastAsia="zh-CN"/>
        </w:rPr>
        <w:t>4.2</w:t>
      </w:r>
      <w:r>
        <w:rPr>
          <w:rFonts w:hint="default" w:ascii="Times New Roman" w:hAnsi="Times New Roman" w:eastAsia="宋体" w:cs="Times New Roman"/>
          <w:color w:val="auto"/>
          <w:sz w:val="24"/>
        </w:rPr>
        <w:t>km，单井注水管线</w:t>
      </w:r>
      <w:r>
        <w:rPr>
          <w:rFonts w:hint="eastAsia" w:ascii="Times New Roman" w:hAnsi="Times New Roman" w:eastAsia="宋体" w:cs="Times New Roman"/>
          <w:color w:val="auto"/>
          <w:sz w:val="24"/>
          <w:lang w:eastAsia="zh-CN"/>
        </w:rPr>
        <w:t>1.7</w:t>
      </w:r>
      <w:r>
        <w:rPr>
          <w:rFonts w:hint="default" w:ascii="Times New Roman" w:hAnsi="Times New Roman" w:eastAsia="宋体" w:cs="Times New Roman"/>
          <w:color w:val="auto"/>
          <w:sz w:val="24"/>
        </w:rPr>
        <w:t>km。试压水可循环使用，水质不满足试压要求时，再补充试压用水。经核算，单井出油管线</w:t>
      </w:r>
      <w:r>
        <w:rPr>
          <w:rFonts w:hint="eastAsia" w:ascii="Times New Roman" w:hAnsi="Times New Roman" w:eastAsia="宋体" w:cs="Times New Roman"/>
          <w:color w:val="auto"/>
          <w:sz w:val="24"/>
          <w:lang w:val="en-US" w:eastAsia="zh-CN"/>
        </w:rPr>
        <w:t>试压用水最大，水量</w:t>
      </w:r>
      <w:r>
        <w:rPr>
          <w:rFonts w:hint="default" w:ascii="Times New Roman" w:hAnsi="Times New Roman" w:eastAsia="宋体" w:cs="Times New Roman"/>
          <w:color w:val="auto"/>
          <w:sz w:val="24"/>
        </w:rPr>
        <w:t>为</w:t>
      </w:r>
      <w:r>
        <w:rPr>
          <w:rFonts w:hint="eastAsia" w:ascii="Times New Roman" w:hAnsi="Times New Roman" w:eastAsia="宋体" w:cs="Times New Roman"/>
          <w:color w:val="auto"/>
          <w:sz w:val="24"/>
          <w:lang w:val="en-US" w:eastAsia="zh-CN"/>
        </w:rPr>
        <w:t>49.46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该段管线试压后循环使用于注水管线，试压水循环利用率</w:t>
      </w:r>
      <w:r>
        <w:rPr>
          <w:rFonts w:hint="default" w:ascii="Times New Roman" w:hAnsi="Times New Roman" w:eastAsia="宋体" w:cs="Times New Roman"/>
          <w:color w:val="auto"/>
          <w:sz w:val="24"/>
        </w:rPr>
        <w:t>取80%，则管道试压废水产生量约为</w:t>
      </w:r>
      <w:r>
        <w:rPr>
          <w:rFonts w:hint="eastAsia" w:ascii="Times New Roman" w:hAnsi="Times New Roman" w:eastAsia="宋体" w:cs="Times New Roman"/>
          <w:color w:val="auto"/>
          <w:sz w:val="24"/>
          <w:lang w:eastAsia="zh-CN"/>
        </w:rPr>
        <w:t>39.57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，管道试压用水不允许具有腐蚀性，不含无机或有机污染物，试压废水中主要污染物为悬浮物，浓度在40～60mg/L。现场沉淀后用于场地洒水降尘。</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项目试压废水产生量见表3.7-4。</w:t>
      </w:r>
    </w:p>
    <w:p>
      <w:pPr>
        <w:pStyle w:val="41"/>
        <w:spacing w:line="360" w:lineRule="auto"/>
        <w:jc w:val="center"/>
        <w:rPr>
          <w:rFonts w:hint="default" w:ascii="Times New Roman" w:hAnsi="Times New Roman" w:cs="Times New Roman"/>
          <w:b/>
          <w:color w:val="auto"/>
          <w:sz w:val="21"/>
          <w:szCs w:val="15"/>
        </w:rPr>
      </w:pP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表3.7-4  本项目试压废水产生量统计表</w:t>
      </w:r>
    </w:p>
    <w:tbl>
      <w:tblPr>
        <w:tblStyle w:val="3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360"/>
        <w:gridCol w:w="1423"/>
        <w:gridCol w:w="1465"/>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vAlign w:val="center"/>
          </w:tcPr>
          <w:p>
            <w:pPr>
              <w:pStyle w:val="3"/>
              <w:keepNext w:val="0"/>
              <w:keepLines w:val="0"/>
              <w:spacing w:before="0" w:after="0" w:line="240" w:lineRule="auto"/>
              <w:jc w:val="center"/>
              <w:rPr>
                <w:rFonts w:hint="default" w:ascii="Times New Roman" w:hAnsi="Times New Roman" w:eastAsia="宋体" w:cs="Times New Roman"/>
                <w:color w:val="auto"/>
                <w:sz w:val="21"/>
                <w:szCs w:val="21"/>
              </w:rPr>
            </w:pPr>
            <w:bookmarkStart w:id="82" w:name="_Toc31132"/>
            <w:bookmarkStart w:id="83" w:name="_Toc5173"/>
            <w:bookmarkStart w:id="84" w:name="_Toc28916"/>
            <w:bookmarkStart w:id="85" w:name="_Toc32509"/>
            <w:bookmarkStart w:id="86" w:name="_Toc22264"/>
            <w:bookmarkStart w:id="87" w:name="_Toc14221"/>
            <w:bookmarkStart w:id="88" w:name="_Toc25869"/>
            <w:bookmarkStart w:id="89" w:name="_Toc5618"/>
            <w:bookmarkStart w:id="90" w:name="_Toc27054"/>
            <w:bookmarkStart w:id="91" w:name="_Toc9466"/>
            <w:r>
              <w:rPr>
                <w:rFonts w:hint="default" w:ascii="Times New Roman" w:hAnsi="Times New Roman" w:eastAsia="宋体" w:cs="Times New Roman"/>
                <w:color w:val="auto"/>
                <w:sz w:val="21"/>
                <w:szCs w:val="21"/>
              </w:rPr>
              <w:t>序号</w:t>
            </w:r>
            <w:bookmarkEnd w:id="82"/>
            <w:bookmarkEnd w:id="83"/>
            <w:bookmarkEnd w:id="84"/>
            <w:bookmarkEnd w:id="85"/>
            <w:bookmarkEnd w:id="86"/>
            <w:bookmarkEnd w:id="87"/>
            <w:bookmarkEnd w:id="88"/>
            <w:bookmarkEnd w:id="89"/>
            <w:bookmarkEnd w:id="90"/>
            <w:bookmarkEnd w:id="91"/>
          </w:p>
        </w:tc>
        <w:tc>
          <w:tcPr>
            <w:tcW w:w="2360" w:type="dxa"/>
            <w:vAlign w:val="center"/>
          </w:tcPr>
          <w:p>
            <w:pPr>
              <w:pStyle w:val="3"/>
              <w:keepNext w:val="0"/>
              <w:keepLines w:val="0"/>
              <w:spacing w:before="0" w:after="0" w:line="240" w:lineRule="auto"/>
              <w:jc w:val="center"/>
              <w:rPr>
                <w:rFonts w:hint="default" w:ascii="Times New Roman" w:hAnsi="Times New Roman" w:eastAsia="宋体" w:cs="Times New Roman"/>
                <w:color w:val="auto"/>
                <w:sz w:val="21"/>
                <w:szCs w:val="21"/>
              </w:rPr>
            </w:pPr>
            <w:bookmarkStart w:id="92" w:name="_Toc761"/>
            <w:bookmarkStart w:id="93" w:name="_Toc17690"/>
            <w:bookmarkStart w:id="94" w:name="_Toc25306"/>
            <w:bookmarkStart w:id="95" w:name="_Toc28232"/>
            <w:bookmarkStart w:id="96" w:name="_Toc21457"/>
            <w:bookmarkStart w:id="97" w:name="_Toc25582"/>
            <w:bookmarkStart w:id="98" w:name="_Toc13332"/>
            <w:bookmarkStart w:id="99" w:name="_Toc9822"/>
            <w:bookmarkStart w:id="100" w:name="_Toc30162"/>
            <w:bookmarkStart w:id="101" w:name="_Toc31898"/>
            <w:r>
              <w:rPr>
                <w:rFonts w:hint="default" w:ascii="Times New Roman" w:hAnsi="Times New Roman" w:eastAsia="宋体" w:cs="Times New Roman"/>
                <w:color w:val="auto"/>
                <w:sz w:val="21"/>
                <w:szCs w:val="21"/>
              </w:rPr>
              <w:t>管线半径/mm</w:t>
            </w:r>
            <w:bookmarkEnd w:id="92"/>
            <w:bookmarkEnd w:id="93"/>
            <w:bookmarkEnd w:id="94"/>
            <w:bookmarkEnd w:id="95"/>
            <w:bookmarkEnd w:id="96"/>
            <w:bookmarkEnd w:id="97"/>
            <w:bookmarkEnd w:id="98"/>
            <w:bookmarkEnd w:id="99"/>
            <w:bookmarkEnd w:id="100"/>
            <w:bookmarkEnd w:id="101"/>
          </w:p>
        </w:tc>
        <w:tc>
          <w:tcPr>
            <w:tcW w:w="1423" w:type="dxa"/>
            <w:vAlign w:val="center"/>
          </w:tcPr>
          <w:p>
            <w:pPr>
              <w:pStyle w:val="3"/>
              <w:keepNext w:val="0"/>
              <w:keepLines w:val="0"/>
              <w:spacing w:before="0" w:after="0" w:line="240" w:lineRule="auto"/>
              <w:jc w:val="center"/>
              <w:rPr>
                <w:rFonts w:hint="default" w:ascii="Times New Roman" w:hAnsi="Times New Roman" w:eastAsia="宋体" w:cs="Times New Roman"/>
                <w:color w:val="auto"/>
                <w:sz w:val="21"/>
                <w:szCs w:val="21"/>
              </w:rPr>
            </w:pPr>
            <w:bookmarkStart w:id="102" w:name="_Toc16588"/>
            <w:bookmarkStart w:id="103" w:name="_Toc23218"/>
            <w:bookmarkStart w:id="104" w:name="_Toc9268"/>
            <w:bookmarkStart w:id="105" w:name="_Toc5150"/>
            <w:bookmarkStart w:id="106" w:name="_Toc26079"/>
            <w:bookmarkStart w:id="107" w:name="_Toc11828"/>
            <w:bookmarkStart w:id="108" w:name="_Toc25117"/>
            <w:bookmarkStart w:id="109" w:name="_Toc32298"/>
            <w:bookmarkStart w:id="110" w:name="_Toc8072"/>
            <w:bookmarkStart w:id="111" w:name="_Toc17721"/>
            <w:r>
              <w:rPr>
                <w:rFonts w:hint="default" w:ascii="Times New Roman" w:hAnsi="Times New Roman" w:eastAsia="宋体" w:cs="Times New Roman"/>
                <w:color w:val="auto"/>
                <w:sz w:val="21"/>
                <w:szCs w:val="21"/>
              </w:rPr>
              <w:t>管线长度/km</w:t>
            </w:r>
            <w:bookmarkEnd w:id="102"/>
            <w:bookmarkEnd w:id="103"/>
            <w:bookmarkEnd w:id="104"/>
            <w:bookmarkEnd w:id="105"/>
            <w:bookmarkEnd w:id="106"/>
            <w:bookmarkEnd w:id="107"/>
            <w:bookmarkEnd w:id="108"/>
            <w:bookmarkEnd w:id="109"/>
            <w:bookmarkEnd w:id="110"/>
            <w:bookmarkEnd w:id="111"/>
          </w:p>
        </w:tc>
        <w:tc>
          <w:tcPr>
            <w:tcW w:w="1465" w:type="dxa"/>
            <w:vAlign w:val="center"/>
          </w:tcPr>
          <w:p>
            <w:pPr>
              <w:pStyle w:val="3"/>
              <w:keepNext w:val="0"/>
              <w:keepLines w:val="0"/>
              <w:spacing w:before="0" w:after="0" w:line="240" w:lineRule="auto"/>
              <w:jc w:val="center"/>
              <w:rPr>
                <w:rFonts w:hint="default" w:ascii="Times New Roman" w:hAnsi="Times New Roman" w:eastAsia="宋体" w:cs="Times New Roman"/>
                <w:color w:val="auto"/>
                <w:sz w:val="21"/>
                <w:szCs w:val="21"/>
              </w:rPr>
            </w:pPr>
            <w:bookmarkStart w:id="112" w:name="_Toc8409"/>
            <w:bookmarkStart w:id="113" w:name="_Toc17789"/>
            <w:bookmarkStart w:id="114" w:name="_Toc28926"/>
            <w:bookmarkStart w:id="115" w:name="_Toc30165"/>
            <w:bookmarkStart w:id="116" w:name="_Toc16641"/>
            <w:bookmarkStart w:id="117" w:name="_Toc31665"/>
            <w:bookmarkStart w:id="118" w:name="_Toc30328"/>
            <w:bookmarkStart w:id="119" w:name="_Toc4910"/>
            <w:bookmarkStart w:id="120" w:name="_Toc26949"/>
            <w:bookmarkStart w:id="121" w:name="_Toc14510"/>
            <w:r>
              <w:rPr>
                <w:rFonts w:hint="default" w:ascii="Times New Roman" w:hAnsi="Times New Roman" w:eastAsia="宋体" w:cs="Times New Roman"/>
                <w:color w:val="auto"/>
                <w:sz w:val="21"/>
                <w:szCs w:val="21"/>
              </w:rPr>
              <w:t>系数取值</w:t>
            </w:r>
            <w:bookmarkEnd w:id="112"/>
            <w:bookmarkEnd w:id="113"/>
            <w:bookmarkEnd w:id="114"/>
            <w:bookmarkEnd w:id="115"/>
            <w:bookmarkEnd w:id="116"/>
            <w:bookmarkEnd w:id="117"/>
            <w:bookmarkEnd w:id="118"/>
            <w:bookmarkEnd w:id="119"/>
            <w:bookmarkEnd w:id="120"/>
            <w:bookmarkEnd w:id="121"/>
          </w:p>
        </w:tc>
        <w:tc>
          <w:tcPr>
            <w:tcW w:w="2056" w:type="dxa"/>
            <w:vAlign w:val="center"/>
          </w:tcPr>
          <w:p>
            <w:pPr>
              <w:pStyle w:val="3"/>
              <w:keepNext w:val="0"/>
              <w:keepLines w:val="0"/>
              <w:spacing w:before="0" w:after="0" w:line="240" w:lineRule="auto"/>
              <w:jc w:val="center"/>
              <w:rPr>
                <w:rFonts w:hint="default" w:ascii="Times New Roman" w:hAnsi="Times New Roman" w:eastAsia="宋体" w:cs="Times New Roman"/>
                <w:color w:val="auto"/>
                <w:sz w:val="21"/>
                <w:szCs w:val="21"/>
              </w:rPr>
            </w:pPr>
            <w:bookmarkStart w:id="122" w:name="_Toc6196"/>
            <w:bookmarkStart w:id="123" w:name="_Toc6154"/>
            <w:bookmarkStart w:id="124" w:name="_Toc14971"/>
            <w:bookmarkStart w:id="125" w:name="_Toc6925"/>
            <w:bookmarkStart w:id="126" w:name="_Toc21888"/>
            <w:bookmarkStart w:id="127" w:name="_Toc31704"/>
            <w:bookmarkStart w:id="128" w:name="_Toc29189"/>
            <w:bookmarkStart w:id="129" w:name="_Toc19591"/>
            <w:bookmarkStart w:id="130" w:name="_Toc20927"/>
            <w:bookmarkStart w:id="131" w:name="_Toc5271"/>
            <w:r>
              <w:rPr>
                <w:rFonts w:hint="default" w:ascii="Times New Roman" w:hAnsi="Times New Roman" w:eastAsia="宋体" w:cs="Times New Roman"/>
                <w:color w:val="auto"/>
                <w:sz w:val="21"/>
                <w:szCs w:val="21"/>
              </w:rPr>
              <w:t>试压</w:t>
            </w:r>
            <w:r>
              <w:rPr>
                <w:rFonts w:hint="eastAsia" w:ascii="Times New Roman" w:hAnsi="Times New Roman" w:eastAsia="宋体" w:cs="Times New Roman"/>
                <w:color w:val="auto"/>
                <w:sz w:val="21"/>
                <w:szCs w:val="21"/>
                <w:lang w:val="en-US" w:eastAsia="zh-CN"/>
              </w:rPr>
              <w:t>用</w:t>
            </w:r>
            <w:r>
              <w:rPr>
                <w:rFonts w:hint="default" w:ascii="Times New Roman" w:hAnsi="Times New Roman" w:eastAsia="宋体" w:cs="Times New Roman"/>
                <w:color w:val="auto"/>
                <w:sz w:val="21"/>
                <w:szCs w:val="21"/>
              </w:rPr>
              <w:t>水量/m</w:t>
            </w:r>
            <w:r>
              <w:rPr>
                <w:rFonts w:hint="default" w:ascii="Times New Roman" w:hAnsi="Times New Roman" w:eastAsia="宋体" w:cs="Times New Roman"/>
                <w:color w:val="auto"/>
                <w:sz w:val="21"/>
                <w:szCs w:val="21"/>
                <w:vertAlign w:val="superscript"/>
              </w:rPr>
              <w:t>3</w:t>
            </w:r>
            <w:bookmarkEnd w:id="122"/>
            <w:bookmarkEnd w:id="123"/>
            <w:bookmarkEnd w:id="124"/>
            <w:bookmarkEnd w:id="125"/>
            <w:bookmarkEnd w:id="126"/>
            <w:bookmarkEnd w:id="127"/>
            <w:bookmarkEnd w:id="128"/>
            <w:bookmarkEnd w:id="129"/>
            <w:bookmarkEnd w:id="130"/>
            <w:bookmarkEnd w:id="1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vAlign w:val="center"/>
          </w:tcPr>
          <w:p>
            <w:pPr>
              <w:pStyle w:val="3"/>
              <w:keepNext w:val="0"/>
              <w:keepLines w:val="0"/>
              <w:spacing w:before="0" w:after="0" w:line="240" w:lineRule="auto"/>
              <w:ind w:firstLine="420"/>
              <w:rPr>
                <w:rFonts w:hint="default" w:ascii="Times New Roman" w:hAnsi="Times New Roman" w:eastAsia="宋体" w:cs="Times New Roman"/>
                <w:b w:val="0"/>
                <w:bCs w:val="0"/>
                <w:color w:val="auto"/>
                <w:sz w:val="21"/>
                <w:szCs w:val="21"/>
              </w:rPr>
            </w:pPr>
            <w:bookmarkStart w:id="132" w:name="_Toc32351"/>
            <w:bookmarkStart w:id="133" w:name="_Toc597"/>
            <w:bookmarkStart w:id="134" w:name="_Toc5765"/>
            <w:bookmarkStart w:id="135" w:name="_Toc1342"/>
            <w:bookmarkStart w:id="136" w:name="_Toc3701"/>
            <w:bookmarkStart w:id="137" w:name="_Toc27290"/>
            <w:bookmarkStart w:id="138" w:name="_Toc24221"/>
            <w:bookmarkStart w:id="139" w:name="_Toc19025"/>
            <w:bookmarkStart w:id="140" w:name="_Toc10102"/>
            <w:bookmarkStart w:id="141" w:name="_Toc7460"/>
            <w:r>
              <w:rPr>
                <w:rFonts w:hint="default" w:ascii="Times New Roman" w:hAnsi="Times New Roman" w:eastAsia="宋体" w:cs="Times New Roman"/>
                <w:b w:val="0"/>
                <w:bCs w:val="0"/>
                <w:color w:val="auto"/>
                <w:sz w:val="21"/>
                <w:szCs w:val="21"/>
              </w:rPr>
              <w:t>1</w:t>
            </w:r>
            <w:bookmarkEnd w:id="132"/>
            <w:bookmarkEnd w:id="133"/>
            <w:bookmarkEnd w:id="134"/>
            <w:bookmarkEnd w:id="135"/>
            <w:bookmarkEnd w:id="136"/>
            <w:bookmarkEnd w:id="137"/>
            <w:bookmarkEnd w:id="138"/>
            <w:bookmarkEnd w:id="139"/>
            <w:bookmarkEnd w:id="140"/>
            <w:bookmarkEnd w:id="141"/>
          </w:p>
        </w:tc>
        <w:tc>
          <w:tcPr>
            <w:tcW w:w="2360" w:type="dxa"/>
            <w:vAlign w:val="center"/>
          </w:tcPr>
          <w:p>
            <w:pPr>
              <w:pStyle w:val="3"/>
              <w:keepNext w:val="0"/>
              <w:keepLines w:val="0"/>
              <w:spacing w:before="0" w:after="0" w:line="240" w:lineRule="auto"/>
              <w:jc w:val="center"/>
              <w:rPr>
                <w:rFonts w:hint="default" w:ascii="Times New Roman" w:hAnsi="Times New Roman" w:eastAsia="宋体" w:cs="Times New Roman"/>
                <w:b w:val="0"/>
                <w:bCs w:val="0"/>
                <w:color w:val="auto"/>
                <w:sz w:val="21"/>
                <w:szCs w:val="21"/>
              </w:rPr>
            </w:pPr>
            <w:bookmarkStart w:id="142" w:name="_Toc32188"/>
            <w:bookmarkStart w:id="143" w:name="_Toc1551"/>
            <w:bookmarkStart w:id="144" w:name="_Toc10440"/>
            <w:bookmarkStart w:id="145" w:name="_Toc14803"/>
            <w:bookmarkStart w:id="146" w:name="_Toc18845"/>
            <w:bookmarkStart w:id="147" w:name="_Toc24939"/>
            <w:bookmarkStart w:id="148" w:name="_Toc14831"/>
            <w:bookmarkStart w:id="149" w:name="_Toc28399"/>
            <w:bookmarkStart w:id="150" w:name="_Toc12947"/>
            <w:bookmarkStart w:id="151" w:name="_Toc32652"/>
            <w:r>
              <w:rPr>
                <w:rFonts w:hint="default" w:ascii="Times New Roman" w:hAnsi="Times New Roman" w:eastAsia="宋体" w:cs="Times New Roman"/>
                <w:b w:val="0"/>
                <w:bCs w:val="0"/>
                <w:color w:val="auto"/>
                <w:sz w:val="21"/>
                <w:szCs w:val="21"/>
              </w:rPr>
              <w:t>单井出油管线</w:t>
            </w:r>
            <w:bookmarkEnd w:id="142"/>
            <w:bookmarkEnd w:id="143"/>
            <w:bookmarkEnd w:id="144"/>
            <w:r>
              <w:rPr>
                <w:rFonts w:hint="default" w:ascii="Times New Roman" w:hAnsi="Times New Roman" w:eastAsia="宋体" w:cs="Times New Roman"/>
                <w:b w:val="0"/>
                <w:bCs w:val="0"/>
                <w:color w:val="auto"/>
                <w:sz w:val="21"/>
                <w:szCs w:val="21"/>
              </w:rPr>
              <w:t>25</w:t>
            </w:r>
            <w:bookmarkEnd w:id="145"/>
            <w:bookmarkEnd w:id="146"/>
            <w:bookmarkEnd w:id="147"/>
            <w:bookmarkEnd w:id="148"/>
            <w:bookmarkEnd w:id="149"/>
            <w:bookmarkEnd w:id="150"/>
            <w:bookmarkEnd w:id="151"/>
          </w:p>
        </w:tc>
        <w:tc>
          <w:tcPr>
            <w:tcW w:w="1423" w:type="dxa"/>
            <w:vAlign w:val="center"/>
          </w:tcPr>
          <w:p>
            <w:pPr>
              <w:pStyle w:val="3"/>
              <w:keepNext w:val="0"/>
              <w:keepLines w:val="0"/>
              <w:spacing w:before="0" w:after="0" w:line="240" w:lineRule="auto"/>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4.2</w:t>
            </w:r>
          </w:p>
        </w:tc>
        <w:tc>
          <w:tcPr>
            <w:tcW w:w="1465" w:type="dxa"/>
            <w:vMerge w:val="restart"/>
            <w:vAlign w:val="center"/>
          </w:tcPr>
          <w:p>
            <w:pPr>
              <w:pStyle w:val="3"/>
              <w:keepNext w:val="0"/>
              <w:keepLines w:val="0"/>
              <w:spacing w:before="0" w:after="0" w:line="240" w:lineRule="auto"/>
              <w:jc w:val="center"/>
              <w:rPr>
                <w:rFonts w:hint="default" w:ascii="Times New Roman" w:hAnsi="Times New Roman" w:eastAsia="宋体" w:cs="Times New Roman"/>
                <w:b w:val="0"/>
                <w:bCs w:val="0"/>
                <w:color w:val="auto"/>
                <w:sz w:val="21"/>
                <w:szCs w:val="21"/>
              </w:rPr>
            </w:pPr>
            <w:bookmarkStart w:id="152" w:name="_Toc24084"/>
            <w:bookmarkStart w:id="153" w:name="_Toc5706"/>
            <w:bookmarkStart w:id="154" w:name="_Toc14977"/>
            <w:bookmarkStart w:id="155" w:name="_Toc14213"/>
            <w:bookmarkStart w:id="156" w:name="_Toc24490"/>
            <w:bookmarkStart w:id="157" w:name="_Toc358"/>
            <w:bookmarkStart w:id="158" w:name="_Toc24937"/>
            <w:bookmarkStart w:id="159" w:name="_Toc16778"/>
            <w:bookmarkStart w:id="160" w:name="_Toc16356"/>
            <w:bookmarkStart w:id="161" w:name="_Toc821"/>
            <w:r>
              <w:rPr>
                <w:rFonts w:hint="default" w:ascii="Times New Roman" w:hAnsi="Times New Roman" w:eastAsia="宋体" w:cs="Times New Roman"/>
                <w:b w:val="0"/>
                <w:bCs w:val="0"/>
                <w:color w:val="auto"/>
                <w:sz w:val="21"/>
                <w:szCs w:val="21"/>
              </w:rPr>
              <w:t>1.5</w:t>
            </w:r>
            <w:bookmarkEnd w:id="152"/>
            <w:bookmarkEnd w:id="153"/>
            <w:bookmarkEnd w:id="154"/>
            <w:bookmarkEnd w:id="155"/>
            <w:bookmarkEnd w:id="156"/>
            <w:bookmarkEnd w:id="157"/>
            <w:bookmarkEnd w:id="158"/>
            <w:bookmarkEnd w:id="159"/>
            <w:bookmarkEnd w:id="160"/>
            <w:bookmarkEnd w:id="161"/>
          </w:p>
        </w:tc>
        <w:tc>
          <w:tcPr>
            <w:tcW w:w="2056" w:type="dxa"/>
            <w:vAlign w:val="center"/>
          </w:tcPr>
          <w:p>
            <w:pPr>
              <w:pStyle w:val="3"/>
              <w:keepNext w:val="0"/>
              <w:keepLines w:val="0"/>
              <w:spacing w:before="0" w:after="0"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vAlign w:val="center"/>
          </w:tcPr>
          <w:p>
            <w:pPr>
              <w:pStyle w:val="3"/>
              <w:keepNext w:val="0"/>
              <w:keepLines w:val="0"/>
              <w:spacing w:before="0" w:after="0" w:line="240" w:lineRule="auto"/>
              <w:ind w:firstLine="420"/>
              <w:rPr>
                <w:rFonts w:hint="default" w:ascii="Times New Roman" w:hAnsi="Times New Roman" w:eastAsia="宋体" w:cs="Times New Roman"/>
                <w:b w:val="0"/>
                <w:bCs w:val="0"/>
                <w:color w:val="auto"/>
                <w:sz w:val="21"/>
                <w:szCs w:val="21"/>
              </w:rPr>
            </w:pPr>
            <w:bookmarkStart w:id="162" w:name="_Toc22555"/>
            <w:bookmarkStart w:id="163" w:name="_Toc25225"/>
            <w:bookmarkStart w:id="164" w:name="_Toc25292"/>
            <w:bookmarkStart w:id="165" w:name="_Toc142"/>
            <w:bookmarkStart w:id="166" w:name="_Toc20394"/>
            <w:bookmarkStart w:id="167" w:name="_Toc14894"/>
            <w:bookmarkStart w:id="168" w:name="_Toc21112"/>
            <w:bookmarkStart w:id="169" w:name="_Toc2687"/>
            <w:bookmarkStart w:id="170" w:name="_Toc28158"/>
            <w:bookmarkStart w:id="171" w:name="_Toc26488"/>
            <w:r>
              <w:rPr>
                <w:rFonts w:hint="default" w:ascii="Times New Roman" w:hAnsi="Times New Roman" w:eastAsia="宋体" w:cs="Times New Roman"/>
                <w:b w:val="0"/>
                <w:bCs w:val="0"/>
                <w:color w:val="auto"/>
                <w:sz w:val="21"/>
                <w:szCs w:val="21"/>
              </w:rPr>
              <w:t>2</w:t>
            </w:r>
            <w:bookmarkEnd w:id="162"/>
            <w:bookmarkEnd w:id="163"/>
            <w:bookmarkEnd w:id="164"/>
            <w:bookmarkEnd w:id="165"/>
            <w:bookmarkEnd w:id="166"/>
            <w:bookmarkEnd w:id="167"/>
            <w:bookmarkEnd w:id="168"/>
            <w:bookmarkEnd w:id="169"/>
            <w:bookmarkEnd w:id="170"/>
            <w:bookmarkEnd w:id="171"/>
          </w:p>
        </w:tc>
        <w:tc>
          <w:tcPr>
            <w:tcW w:w="2360" w:type="dxa"/>
            <w:vAlign w:val="center"/>
          </w:tcPr>
          <w:p>
            <w:pPr>
              <w:pStyle w:val="3"/>
              <w:keepNext w:val="0"/>
              <w:keepLines w:val="0"/>
              <w:spacing w:before="0" w:after="0" w:line="240" w:lineRule="auto"/>
              <w:jc w:val="center"/>
              <w:rPr>
                <w:rFonts w:hint="default" w:ascii="Times New Roman" w:hAnsi="Times New Roman" w:eastAsia="宋体" w:cs="Times New Roman"/>
                <w:b w:val="0"/>
                <w:bCs w:val="0"/>
                <w:color w:val="auto"/>
                <w:sz w:val="21"/>
                <w:szCs w:val="21"/>
              </w:rPr>
            </w:pPr>
            <w:bookmarkStart w:id="172" w:name="_Toc65"/>
            <w:bookmarkStart w:id="173" w:name="_Toc14130"/>
            <w:bookmarkStart w:id="174" w:name="_Toc2472"/>
            <w:bookmarkStart w:id="175" w:name="_Toc22965"/>
            <w:bookmarkStart w:id="176" w:name="_Toc26514"/>
            <w:bookmarkStart w:id="177" w:name="_Toc328"/>
            <w:bookmarkStart w:id="178" w:name="_Toc12476"/>
            <w:bookmarkStart w:id="179" w:name="_Toc8549"/>
            <w:bookmarkStart w:id="180" w:name="_Toc8393"/>
            <w:bookmarkStart w:id="181" w:name="_Toc7696"/>
            <w:r>
              <w:rPr>
                <w:rFonts w:hint="default" w:ascii="Times New Roman" w:hAnsi="Times New Roman" w:eastAsia="宋体" w:cs="Times New Roman"/>
                <w:b w:val="0"/>
                <w:bCs w:val="0"/>
                <w:color w:val="auto"/>
                <w:sz w:val="21"/>
                <w:szCs w:val="21"/>
              </w:rPr>
              <w:t>单井注水管线</w:t>
            </w:r>
            <w:bookmarkEnd w:id="172"/>
            <w:bookmarkEnd w:id="173"/>
            <w:bookmarkEnd w:id="174"/>
            <w:r>
              <w:rPr>
                <w:rFonts w:hint="default" w:ascii="Times New Roman" w:hAnsi="Times New Roman" w:eastAsia="宋体" w:cs="Times New Roman"/>
                <w:b w:val="0"/>
                <w:bCs w:val="0"/>
                <w:color w:val="auto"/>
                <w:sz w:val="21"/>
                <w:szCs w:val="21"/>
              </w:rPr>
              <w:t>25</w:t>
            </w:r>
            <w:bookmarkEnd w:id="175"/>
            <w:bookmarkEnd w:id="176"/>
            <w:bookmarkEnd w:id="177"/>
            <w:bookmarkEnd w:id="178"/>
            <w:bookmarkEnd w:id="179"/>
            <w:bookmarkEnd w:id="180"/>
            <w:bookmarkEnd w:id="181"/>
          </w:p>
        </w:tc>
        <w:tc>
          <w:tcPr>
            <w:tcW w:w="1423" w:type="dxa"/>
            <w:vAlign w:val="center"/>
          </w:tcPr>
          <w:p>
            <w:pPr>
              <w:pStyle w:val="3"/>
              <w:keepNext w:val="0"/>
              <w:keepLines w:val="0"/>
              <w:spacing w:before="0" w:after="0" w:line="240" w:lineRule="auto"/>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1.7</w:t>
            </w:r>
          </w:p>
        </w:tc>
        <w:tc>
          <w:tcPr>
            <w:tcW w:w="1465" w:type="dxa"/>
            <w:vMerge w:val="continue"/>
            <w:vAlign w:val="center"/>
          </w:tcPr>
          <w:p>
            <w:pPr>
              <w:pStyle w:val="3"/>
              <w:keepNext w:val="0"/>
              <w:keepLines w:val="0"/>
              <w:spacing w:before="0" w:after="0" w:line="240" w:lineRule="auto"/>
              <w:jc w:val="center"/>
              <w:rPr>
                <w:rFonts w:hint="default" w:ascii="Times New Roman" w:hAnsi="Times New Roman" w:eastAsia="宋体" w:cs="Times New Roman"/>
                <w:b w:val="0"/>
                <w:bCs w:val="0"/>
                <w:color w:val="auto"/>
                <w:sz w:val="21"/>
                <w:szCs w:val="21"/>
              </w:rPr>
            </w:pPr>
          </w:p>
        </w:tc>
        <w:tc>
          <w:tcPr>
            <w:tcW w:w="2056" w:type="dxa"/>
            <w:vAlign w:val="center"/>
          </w:tcPr>
          <w:p>
            <w:pPr>
              <w:pStyle w:val="3"/>
              <w:keepNext w:val="0"/>
              <w:keepLines w:val="0"/>
              <w:spacing w:before="0" w:after="0"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463" w:type="dxa"/>
            <w:gridSpan w:val="4"/>
            <w:vAlign w:val="center"/>
          </w:tcPr>
          <w:p>
            <w:pPr>
              <w:pStyle w:val="3"/>
              <w:keepNext w:val="0"/>
              <w:keepLines w:val="0"/>
              <w:spacing w:before="0" w:after="0" w:line="240" w:lineRule="auto"/>
              <w:jc w:val="center"/>
              <w:rPr>
                <w:rFonts w:hint="default" w:ascii="Times New Roman" w:hAnsi="Times New Roman" w:eastAsia="宋体" w:cs="Times New Roman"/>
                <w:b w:val="0"/>
                <w:bCs w:val="0"/>
                <w:color w:val="auto"/>
                <w:sz w:val="21"/>
                <w:szCs w:val="21"/>
              </w:rPr>
            </w:pPr>
            <w:bookmarkStart w:id="182" w:name="_Toc7161"/>
            <w:bookmarkStart w:id="183" w:name="_Toc24677"/>
            <w:bookmarkStart w:id="184" w:name="_Toc9312"/>
            <w:bookmarkStart w:id="185" w:name="_Toc28186"/>
            <w:bookmarkStart w:id="186" w:name="_Toc21198"/>
            <w:bookmarkStart w:id="187" w:name="_Toc979"/>
            <w:bookmarkStart w:id="188" w:name="_Toc6434"/>
            <w:bookmarkStart w:id="189" w:name="_Toc23747"/>
            <w:bookmarkStart w:id="190" w:name="_Toc14525"/>
            <w:bookmarkStart w:id="191" w:name="_Toc9012"/>
            <w:r>
              <w:rPr>
                <w:rFonts w:hint="default" w:ascii="Times New Roman" w:hAnsi="Times New Roman" w:eastAsia="宋体" w:cs="Times New Roman"/>
                <w:b w:val="0"/>
                <w:bCs w:val="0"/>
                <w:color w:val="auto"/>
                <w:sz w:val="21"/>
                <w:szCs w:val="21"/>
              </w:rPr>
              <w:t>按80%循环量，则废水产生量：</w:t>
            </w:r>
            <w:bookmarkEnd w:id="182"/>
            <w:bookmarkEnd w:id="183"/>
            <w:bookmarkEnd w:id="184"/>
            <w:bookmarkEnd w:id="185"/>
            <w:bookmarkEnd w:id="186"/>
            <w:bookmarkEnd w:id="187"/>
            <w:bookmarkEnd w:id="188"/>
            <w:bookmarkEnd w:id="189"/>
          </w:p>
        </w:tc>
        <w:tc>
          <w:tcPr>
            <w:tcW w:w="2056" w:type="dxa"/>
            <w:vAlign w:val="center"/>
          </w:tcPr>
          <w:p>
            <w:pPr>
              <w:pStyle w:val="3"/>
              <w:keepNext w:val="0"/>
              <w:keepLines w:val="0"/>
              <w:spacing w:before="0" w:after="0"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19" w:type="dxa"/>
            <w:gridSpan w:val="5"/>
            <w:vAlign w:val="center"/>
          </w:tcPr>
          <w:p>
            <w:pPr>
              <w:pStyle w:val="3"/>
              <w:keepNext w:val="0"/>
              <w:keepLines w:val="0"/>
              <w:spacing w:before="0" w:after="0" w:line="240" w:lineRule="auto"/>
              <w:jc w:val="left"/>
              <w:rPr>
                <w:rFonts w:hint="default" w:ascii="Times New Roman" w:hAnsi="Times New Roman" w:eastAsia="宋体" w:cs="Times New Roman"/>
                <w:b w:val="0"/>
                <w:bCs w:val="0"/>
                <w:color w:val="auto"/>
                <w:sz w:val="18"/>
                <w:szCs w:val="18"/>
              </w:rPr>
            </w:pPr>
            <w:bookmarkStart w:id="192" w:name="_Toc9278"/>
            <w:bookmarkStart w:id="193" w:name="_Toc6973"/>
            <w:bookmarkStart w:id="194" w:name="_Toc244"/>
            <w:bookmarkStart w:id="195" w:name="_Toc4624"/>
            <w:bookmarkStart w:id="196" w:name="_Toc22241"/>
            <w:bookmarkStart w:id="197" w:name="_Toc17080"/>
            <w:bookmarkStart w:id="198" w:name="_Toc22514"/>
            <w:bookmarkStart w:id="199" w:name="_Toc21141"/>
            <w:r>
              <w:rPr>
                <w:rFonts w:hint="default" w:ascii="Times New Roman" w:hAnsi="Times New Roman" w:eastAsia="宋体" w:cs="Times New Roman"/>
                <w:b w:val="0"/>
                <w:bCs w:val="0"/>
                <w:color w:val="auto"/>
                <w:sz w:val="18"/>
                <w:szCs w:val="18"/>
              </w:rPr>
              <w:t>注：1.试压废水计算公式为：管线容积×1.5。</w:t>
            </w:r>
            <w:bookmarkEnd w:id="190"/>
            <w:bookmarkEnd w:id="191"/>
            <w:bookmarkEnd w:id="192"/>
            <w:bookmarkEnd w:id="193"/>
            <w:bookmarkEnd w:id="194"/>
            <w:bookmarkEnd w:id="195"/>
            <w:bookmarkEnd w:id="196"/>
            <w:bookmarkEnd w:id="197"/>
            <w:bookmarkEnd w:id="198"/>
            <w:bookmarkEnd w:id="199"/>
          </w:p>
          <w:p>
            <w:pPr>
              <w:pStyle w:val="3"/>
              <w:keepNext w:val="0"/>
              <w:keepLines w:val="0"/>
              <w:spacing w:before="0" w:after="0" w:line="240" w:lineRule="auto"/>
              <w:ind w:firstLine="360" w:firstLineChars="200"/>
              <w:jc w:val="left"/>
              <w:rPr>
                <w:rFonts w:hint="default" w:ascii="Times New Roman" w:hAnsi="Times New Roman" w:eastAsia="宋体" w:cs="Times New Roman"/>
                <w:b w:val="0"/>
                <w:bCs w:val="0"/>
                <w:color w:val="auto"/>
                <w:sz w:val="21"/>
                <w:szCs w:val="21"/>
              </w:rPr>
            </w:pPr>
            <w:bookmarkStart w:id="200" w:name="_Toc30581"/>
            <w:bookmarkStart w:id="201" w:name="_Toc23622"/>
            <w:bookmarkStart w:id="202" w:name="_Toc6166"/>
            <w:bookmarkStart w:id="203" w:name="_Toc20340"/>
            <w:bookmarkStart w:id="204" w:name="_Toc24608"/>
            <w:bookmarkStart w:id="205" w:name="_Toc26619"/>
            <w:bookmarkStart w:id="206" w:name="_Toc13507"/>
            <w:bookmarkStart w:id="207" w:name="_Toc25923"/>
            <w:r>
              <w:rPr>
                <w:rFonts w:hint="default" w:ascii="Times New Roman" w:hAnsi="Times New Roman" w:eastAsia="宋体" w:cs="Times New Roman"/>
                <w:b w:val="0"/>
                <w:bCs w:val="0"/>
                <w:color w:val="auto"/>
                <w:sz w:val="18"/>
                <w:szCs w:val="18"/>
              </w:rPr>
              <w:t>2.管线试压废水优先考虑循环使用，2条相同管径的集输管线试压废水产生量最大为</w:t>
            </w:r>
            <w:r>
              <w:rPr>
                <w:rFonts w:hint="eastAsia" w:ascii="Times New Roman" w:hAnsi="Times New Roman" w:eastAsia="宋体" w:cs="Times New Roman"/>
                <w:b w:val="0"/>
                <w:bCs w:val="0"/>
                <w:color w:val="auto"/>
                <w:sz w:val="18"/>
                <w:szCs w:val="18"/>
                <w:lang w:val="en-US" w:eastAsia="zh-CN"/>
              </w:rPr>
              <w:t>26.38</w:t>
            </w:r>
            <w:r>
              <w:rPr>
                <w:rFonts w:hint="default" w:ascii="Times New Roman" w:hAnsi="Times New Roman" w:eastAsia="宋体" w:cs="Times New Roman"/>
                <w:b w:val="0"/>
                <w:bCs w:val="0"/>
                <w:color w:val="auto"/>
                <w:sz w:val="18"/>
                <w:szCs w:val="18"/>
              </w:rPr>
              <w:t>m</w:t>
            </w:r>
            <w:r>
              <w:rPr>
                <w:rFonts w:hint="default" w:ascii="Times New Roman" w:hAnsi="Times New Roman" w:eastAsia="宋体" w:cs="Times New Roman"/>
                <w:b w:val="0"/>
                <w:bCs w:val="0"/>
                <w:color w:val="auto"/>
                <w:sz w:val="18"/>
                <w:szCs w:val="18"/>
                <w:vertAlign w:val="superscript"/>
              </w:rPr>
              <w:t>3</w:t>
            </w:r>
            <w:r>
              <w:rPr>
                <w:rFonts w:hint="default" w:ascii="Times New Roman" w:hAnsi="Times New Roman" w:eastAsia="宋体" w:cs="Times New Roman"/>
                <w:b w:val="0"/>
                <w:bCs w:val="0"/>
                <w:color w:val="auto"/>
                <w:sz w:val="18"/>
                <w:szCs w:val="18"/>
              </w:rPr>
              <w:t>，每次循环水量按80%计，则2条</w:t>
            </w:r>
            <w:r>
              <w:rPr>
                <w:rFonts w:hint="eastAsia" w:ascii="Times New Roman" w:hAnsi="Times New Roman" w:eastAsia="宋体" w:cs="Times New Roman"/>
                <w:b w:val="0"/>
                <w:bCs w:val="0"/>
                <w:color w:val="auto"/>
                <w:sz w:val="18"/>
                <w:szCs w:val="18"/>
                <w:lang w:val="en-US" w:eastAsia="zh-CN"/>
              </w:rPr>
              <w:t>管线</w:t>
            </w:r>
            <w:r>
              <w:rPr>
                <w:rFonts w:hint="default" w:ascii="Times New Roman" w:hAnsi="Times New Roman" w:eastAsia="宋体" w:cs="Times New Roman"/>
                <w:b w:val="0"/>
                <w:bCs w:val="0"/>
                <w:color w:val="auto"/>
                <w:sz w:val="18"/>
                <w:szCs w:val="18"/>
              </w:rPr>
              <w:t>试压后，最终废水产生量为</w:t>
            </w:r>
            <w:r>
              <w:rPr>
                <w:rFonts w:hint="eastAsia" w:ascii="Times New Roman" w:hAnsi="Times New Roman" w:eastAsia="宋体" w:cs="Times New Roman"/>
                <w:b w:val="0"/>
                <w:bCs w:val="0"/>
                <w:color w:val="auto"/>
                <w:sz w:val="18"/>
                <w:szCs w:val="18"/>
                <w:lang w:val="en-US" w:eastAsia="zh-CN"/>
              </w:rPr>
              <w:t>49.46</w:t>
            </w:r>
            <w:r>
              <w:rPr>
                <w:rFonts w:hint="default" w:ascii="Times New Roman" w:hAnsi="Times New Roman" w:eastAsia="宋体" w:cs="Times New Roman"/>
                <w:b w:val="0"/>
                <w:bCs w:val="0"/>
                <w:color w:val="auto"/>
                <w:sz w:val="18"/>
                <w:szCs w:val="18"/>
              </w:rPr>
              <w:t>×80%=</w:t>
            </w:r>
            <w:r>
              <w:rPr>
                <w:rFonts w:hint="eastAsia" w:ascii="Times New Roman" w:hAnsi="Times New Roman" w:eastAsia="宋体" w:cs="Times New Roman"/>
                <w:b w:val="0"/>
                <w:bCs w:val="0"/>
                <w:color w:val="auto"/>
                <w:sz w:val="18"/>
                <w:szCs w:val="18"/>
                <w:lang w:eastAsia="zh-CN"/>
              </w:rPr>
              <w:t>39.57</w:t>
            </w:r>
            <w:r>
              <w:rPr>
                <w:rFonts w:hint="default" w:ascii="Times New Roman" w:hAnsi="Times New Roman" w:eastAsia="宋体" w:cs="Times New Roman"/>
                <w:b w:val="0"/>
                <w:bCs w:val="0"/>
                <w:color w:val="auto"/>
                <w:sz w:val="18"/>
                <w:szCs w:val="18"/>
              </w:rPr>
              <w:t>m</w:t>
            </w:r>
            <w:r>
              <w:rPr>
                <w:rFonts w:hint="default" w:ascii="Times New Roman" w:hAnsi="Times New Roman" w:eastAsia="宋体" w:cs="Times New Roman"/>
                <w:b w:val="0"/>
                <w:bCs w:val="0"/>
                <w:color w:val="auto"/>
                <w:sz w:val="18"/>
                <w:szCs w:val="18"/>
                <w:vertAlign w:val="superscript"/>
              </w:rPr>
              <w:t>3</w:t>
            </w:r>
            <w:r>
              <w:rPr>
                <w:rFonts w:hint="default" w:ascii="Times New Roman" w:hAnsi="Times New Roman" w:eastAsia="宋体" w:cs="Times New Roman"/>
                <w:b w:val="0"/>
                <w:bCs w:val="0"/>
                <w:color w:val="auto"/>
                <w:sz w:val="18"/>
                <w:szCs w:val="18"/>
              </w:rPr>
              <w:t>。</w:t>
            </w:r>
            <w:bookmarkEnd w:id="200"/>
            <w:bookmarkEnd w:id="201"/>
            <w:bookmarkEnd w:id="202"/>
            <w:bookmarkEnd w:id="203"/>
            <w:bookmarkEnd w:id="204"/>
            <w:bookmarkEnd w:id="205"/>
            <w:bookmarkEnd w:id="206"/>
            <w:bookmarkEnd w:id="207"/>
          </w:p>
        </w:tc>
      </w:tr>
    </w:tbl>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3.7.6.3噪声污染源</w:t>
      </w:r>
    </w:p>
    <w:p>
      <w:pPr>
        <w:pStyle w:val="56"/>
        <w:spacing w:line="360" w:lineRule="auto"/>
        <w:rPr>
          <w:rFonts w:hint="default" w:ascii="Times New Roman" w:hAnsi="Times New Roman" w:cs="Times New Roman"/>
          <w:bCs w:val="0"/>
          <w:color w:val="auto"/>
          <w:sz w:val="24"/>
          <w:szCs w:val="24"/>
        </w:rPr>
      </w:pPr>
      <w:r>
        <w:rPr>
          <w:rFonts w:hint="default" w:ascii="Times New Roman" w:hAnsi="Times New Roman" w:cs="Times New Roman"/>
          <w:bCs w:val="0"/>
          <w:color w:val="auto"/>
          <w:sz w:val="24"/>
          <w:szCs w:val="24"/>
        </w:rPr>
        <w:t>施工期的噪声源主要是钻井过程发电机、钻机和各类泵的噪声以及地面工程建设过程中推土机、挖掘机等施工机械噪声。</w:t>
      </w:r>
    </w:p>
    <w:p>
      <w:pPr>
        <w:pStyle w:val="56"/>
        <w:spacing w:line="360" w:lineRule="auto"/>
        <w:rPr>
          <w:rFonts w:hint="default" w:ascii="Times New Roman" w:hAnsi="Times New Roman" w:cs="Times New Roman"/>
          <w:bCs w:val="0"/>
          <w:color w:val="auto"/>
          <w:sz w:val="24"/>
          <w:szCs w:val="24"/>
        </w:rPr>
      </w:pPr>
      <w:r>
        <w:rPr>
          <w:rFonts w:hint="default" w:ascii="Times New Roman" w:hAnsi="Times New Roman" w:cs="Times New Roman"/>
          <w:bCs w:val="0"/>
          <w:color w:val="auto"/>
          <w:sz w:val="24"/>
          <w:szCs w:val="24"/>
        </w:rPr>
        <w:t>施工期主要噪声源详见表3.7-5。</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表3.7-5  施工期主要噪声源情况</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970"/>
        <w:gridCol w:w="1602"/>
        <w:gridCol w:w="1692"/>
        <w:gridCol w:w="3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74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257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数量</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噪声强度（dB(A)）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9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钻井</w:t>
            </w: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钻机</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1台/队</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柴油机</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3台/队</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柴油发电机</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2台/队</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泥浆泵</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2台/队</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743"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970" w:type="dxa"/>
            <w:vMerge w:val="restart"/>
            <w:tcBorders>
              <w:top w:val="single" w:color="auto" w:sz="4" w:space="0"/>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储层改造</w:t>
            </w:r>
          </w:p>
        </w:tc>
        <w:tc>
          <w:tcPr>
            <w:tcW w:w="1602" w:type="dxa"/>
            <w:tcBorders>
              <w:top w:val="single" w:color="auto" w:sz="4" w:space="0"/>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混砂车</w:t>
            </w:r>
          </w:p>
        </w:tc>
        <w:tc>
          <w:tcPr>
            <w:tcW w:w="1692" w:type="dxa"/>
            <w:tcBorders>
              <w:top w:val="single" w:color="auto" w:sz="4" w:space="0"/>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1台/队</w:t>
            </w:r>
          </w:p>
        </w:tc>
        <w:tc>
          <w:tcPr>
            <w:tcW w:w="3512" w:type="dxa"/>
            <w:tcBorders>
              <w:top w:val="single" w:color="auto" w:sz="4" w:space="0"/>
              <w:left w:val="single" w:color="auto" w:sz="4" w:space="0"/>
              <w:bottom w:val="single" w:color="auto" w:sz="4" w:space="0"/>
              <w:right w:val="single" w:color="auto" w:sz="4" w:space="0"/>
            </w:tcBorders>
            <w:vAlign w:val="center"/>
          </w:tcPr>
          <w:p>
            <w:pPr>
              <w:pStyle w:val="104"/>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80-</w:t>
            </w:r>
            <w:r>
              <w:rPr>
                <w:rFonts w:hint="default" w:ascii="Times New Roman" w:hAnsi="Times New Roman" w:eastAsia="宋体" w:cs="Times New Roman"/>
                <w:color w:val="auto"/>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仪表车</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1台/队</w:t>
            </w:r>
          </w:p>
        </w:tc>
        <w:tc>
          <w:tcPr>
            <w:tcW w:w="3512" w:type="dxa"/>
            <w:tcBorders>
              <w:top w:val="single" w:color="auto" w:sz="4" w:space="0"/>
              <w:left w:val="single" w:color="auto" w:sz="4" w:space="0"/>
              <w:bottom w:val="single" w:color="auto" w:sz="4" w:space="0"/>
              <w:right w:val="single" w:color="auto" w:sz="4" w:space="0"/>
            </w:tcBorders>
            <w:vAlign w:val="center"/>
          </w:tcPr>
          <w:p>
            <w:pPr>
              <w:pStyle w:val="104"/>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70-</w:t>
            </w:r>
            <w:r>
              <w:rPr>
                <w:rFonts w:hint="default" w:ascii="Times New Roman" w:hAnsi="Times New Roman" w:eastAsia="宋体" w:cs="Times New Roman"/>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left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管汇车</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1台/队</w:t>
            </w:r>
          </w:p>
        </w:tc>
        <w:tc>
          <w:tcPr>
            <w:tcW w:w="3512" w:type="dxa"/>
            <w:tcBorders>
              <w:top w:val="single" w:color="auto" w:sz="4" w:space="0"/>
              <w:left w:val="single" w:color="auto" w:sz="4" w:space="0"/>
              <w:bottom w:val="single" w:color="auto" w:sz="4" w:space="0"/>
              <w:right w:val="single" w:color="auto" w:sz="4" w:space="0"/>
            </w:tcBorders>
            <w:vAlign w:val="center"/>
          </w:tcPr>
          <w:p>
            <w:pPr>
              <w:pStyle w:val="104"/>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70-</w:t>
            </w:r>
            <w:r>
              <w:rPr>
                <w:rFonts w:hint="default" w:ascii="Times New Roman" w:hAnsi="Times New Roman" w:eastAsia="宋体" w:cs="Times New Roman"/>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提液泵</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1台/队</w:t>
            </w:r>
          </w:p>
        </w:tc>
        <w:tc>
          <w:tcPr>
            <w:tcW w:w="3512" w:type="dxa"/>
            <w:tcBorders>
              <w:top w:val="single" w:color="auto" w:sz="4" w:space="0"/>
              <w:left w:val="single" w:color="auto" w:sz="4" w:space="0"/>
              <w:bottom w:val="single" w:color="auto" w:sz="4" w:space="0"/>
              <w:right w:val="single" w:color="auto" w:sz="4" w:space="0"/>
            </w:tcBorders>
            <w:vAlign w:val="center"/>
          </w:tcPr>
          <w:p>
            <w:pPr>
              <w:pStyle w:val="104"/>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70-</w:t>
            </w:r>
            <w:r>
              <w:rPr>
                <w:rFonts w:hint="default" w:ascii="Times New Roman" w:hAnsi="Times New Roman" w:eastAsia="宋体" w:cs="Times New Roman"/>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9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地面工程建设</w:t>
            </w: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运输车辆</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2辆</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推土机</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挖掘机</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电焊机</w:t>
            </w:r>
          </w:p>
        </w:tc>
        <w:tc>
          <w:tcPr>
            <w:tcW w:w="16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1台</w:t>
            </w:r>
          </w:p>
        </w:tc>
        <w:tc>
          <w:tcPr>
            <w:tcW w:w="35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90-100</w:t>
            </w:r>
          </w:p>
        </w:tc>
      </w:tr>
    </w:tbl>
    <w:p>
      <w:pPr>
        <w:pStyle w:val="66"/>
        <w:rPr>
          <w:rFonts w:hint="default" w:ascii="Times New Roman" w:hAnsi="Times New Roman" w:cs="Times New Roman"/>
          <w:color w:val="auto"/>
          <w:kern w:val="0"/>
        </w:rPr>
      </w:pPr>
      <w:bookmarkStart w:id="208" w:name="_Hlk93318279"/>
      <w:r>
        <w:rPr>
          <w:rFonts w:hint="default" w:ascii="Times New Roman" w:hAnsi="Times New Roman" w:cs="Times New Roman"/>
          <w:color w:val="auto"/>
          <w:kern w:val="0"/>
        </w:rPr>
        <w:t>3.</w:t>
      </w:r>
      <w:bookmarkStart w:id="209" w:name="_Hlk87100518"/>
      <w:r>
        <w:rPr>
          <w:rFonts w:hint="default" w:ascii="Times New Roman" w:hAnsi="Times New Roman" w:cs="Times New Roman"/>
          <w:color w:val="auto"/>
          <w:kern w:val="0"/>
        </w:rPr>
        <w:t>7.6.4固体废物</w:t>
      </w:r>
      <w:bookmarkEnd w:id="209"/>
    </w:p>
    <w:bookmarkEnd w:id="208"/>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施工期不新建生活营地，施工人员食宿依托钻井公寓，施工现场有少量的</w:t>
      </w:r>
      <w:r>
        <w:rPr>
          <w:rFonts w:hint="default" w:ascii="Times New Roman" w:hAnsi="Times New Roman" w:eastAsia="宋体" w:cs="Times New Roman"/>
          <w:color w:val="auto"/>
          <w:lang w:val="en-GB"/>
        </w:rPr>
        <w:t>饮用水瓶、纸屑等，产生量小，由施工单位统一收集后拉运至</w:t>
      </w:r>
      <w:r>
        <w:rPr>
          <w:rFonts w:hint="default" w:ascii="Times New Roman" w:hAnsi="Times New Roman" w:eastAsia="宋体" w:cs="Times New Roman"/>
          <w:color w:val="auto"/>
          <w:lang w:val="en-US" w:eastAsia="zh-CN"/>
        </w:rPr>
        <w:t>陆梁油田</w:t>
      </w:r>
      <w:r>
        <w:rPr>
          <w:rFonts w:hint="default" w:ascii="Times New Roman" w:hAnsi="Times New Roman" w:eastAsia="宋体" w:cs="Times New Roman"/>
          <w:color w:val="auto"/>
          <w:lang w:val="en-GB"/>
        </w:rPr>
        <w:t>生活垃圾填埋场</w:t>
      </w:r>
      <w:r>
        <w:rPr>
          <w:rFonts w:hint="default" w:ascii="Times New Roman" w:hAnsi="Times New Roman" w:eastAsia="宋体" w:cs="Times New Roman"/>
          <w:color w:val="auto"/>
        </w:rPr>
        <w:t>填埋；施工过程中开挖的土石方全部回填，无弃方产生；固体废物主要为钻井期产生的钻井岩屑、机械设备废油和废弃防渗膜。</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（1）生活垃圾</w:t>
      </w:r>
    </w:p>
    <w:p>
      <w:pPr>
        <w:pStyle w:val="51"/>
        <w:ind w:firstLine="480" w:firstLineChars="200"/>
        <w:rPr>
          <w:rFonts w:hint="default" w:ascii="Times New Roman" w:hAnsi="Times New Roman" w:cs="Times New Roman"/>
          <w:color w:val="auto"/>
          <w:lang w:val="en-GB"/>
        </w:rPr>
      </w:pPr>
      <w:r>
        <w:rPr>
          <w:rFonts w:hint="default" w:ascii="Times New Roman" w:hAnsi="Times New Roman" w:cs="Times New Roman"/>
          <w:color w:val="auto"/>
        </w:rPr>
        <w:t>本项目施工周期</w:t>
      </w:r>
      <w:r>
        <w:rPr>
          <w:rFonts w:hint="eastAsia" w:ascii="Times New Roman" w:hAnsi="Times New Roman" w:cs="Times New Roman"/>
          <w:color w:val="auto"/>
          <w:lang w:val="en-US" w:eastAsia="zh-CN"/>
        </w:rPr>
        <w:t>506</w:t>
      </w:r>
      <w:r>
        <w:rPr>
          <w:rFonts w:hint="default" w:ascii="Times New Roman" w:hAnsi="Times New Roman" w:cs="Times New Roman"/>
          <w:color w:val="auto"/>
        </w:rPr>
        <w:t>天，施工人数合计</w:t>
      </w:r>
      <w:r>
        <w:rPr>
          <w:rFonts w:hint="eastAsia" w:ascii="Times New Roman" w:hAnsi="Times New Roman" w:cs="Times New Roman"/>
          <w:color w:val="auto"/>
          <w:lang w:val="en-US" w:eastAsia="zh-CN"/>
        </w:rPr>
        <w:t>35</w:t>
      </w:r>
      <w:r>
        <w:rPr>
          <w:rFonts w:hint="default" w:ascii="Times New Roman" w:hAnsi="Times New Roman" w:cs="Times New Roman"/>
          <w:color w:val="auto"/>
        </w:rPr>
        <w:t>人。项目施工期不新建生活营地，施工人员食宿依托钻井公寓，施工现场有少量的</w:t>
      </w:r>
      <w:r>
        <w:rPr>
          <w:rFonts w:hint="default" w:ascii="Times New Roman" w:hAnsi="Times New Roman" w:cs="Times New Roman"/>
          <w:color w:val="auto"/>
          <w:lang w:val="en-GB"/>
        </w:rPr>
        <w:t>饮用水瓶、纸屑等，</w:t>
      </w:r>
      <w:r>
        <w:rPr>
          <w:rFonts w:hint="default" w:ascii="Times New Roman" w:hAnsi="Times New Roman" w:cs="Times New Roman"/>
          <w:color w:val="auto"/>
        </w:rPr>
        <w:t>依托住宿每人每天产生生活垃圾按0.5kg计，整个油田施工期间产生的生活垃圾为</w:t>
      </w:r>
      <w:r>
        <w:rPr>
          <w:rFonts w:hint="eastAsia" w:ascii="Times New Roman" w:hAnsi="Times New Roman" w:cs="Times New Roman"/>
          <w:color w:val="auto"/>
          <w:lang w:eastAsia="zh-CN"/>
        </w:rPr>
        <w:t>8.86</w:t>
      </w:r>
      <w:r>
        <w:rPr>
          <w:rFonts w:hint="default" w:ascii="Times New Roman" w:hAnsi="Times New Roman" w:cs="Times New Roman"/>
          <w:color w:val="auto"/>
        </w:rPr>
        <w:t>t</w:t>
      </w:r>
      <w:r>
        <w:rPr>
          <w:rFonts w:hint="default" w:ascii="Times New Roman" w:hAnsi="Times New Roman" w:cs="Times New Roman"/>
          <w:color w:val="auto"/>
          <w:lang w:val="en-GB"/>
        </w:rPr>
        <w:t>，由施工单位统一收集后拉运至</w:t>
      </w:r>
      <w:r>
        <w:rPr>
          <w:rFonts w:hint="default" w:ascii="Times New Roman" w:hAnsi="Times New Roman" w:eastAsia="宋体" w:cs="Times New Roman"/>
          <w:color w:val="auto"/>
          <w:lang w:val="en-US" w:eastAsia="zh-CN"/>
        </w:rPr>
        <w:t>陆梁油田</w:t>
      </w:r>
      <w:r>
        <w:rPr>
          <w:rFonts w:hint="default" w:ascii="Times New Roman" w:hAnsi="Times New Roman" w:cs="Times New Roman"/>
          <w:color w:val="auto"/>
          <w:lang w:val="en-GB"/>
        </w:rPr>
        <w:t>生活垃圾填埋场处置。</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（2）钻井岩屑</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钻井过程中的钻井液采用不落地技术处理，分离出的液相继续回用于钻井，待钻井工程结束后由供应商回收或带至下一个钻井井场继续使用，无废水及废弃钻井液外排。岩屑产生、排放量与井身结构以及回收率等因素有关，其中岩屑产生量可按下式计算：</w:t>
      </w:r>
    </w:p>
    <w:p>
      <w:pPr>
        <w:pStyle w:val="86"/>
        <w:ind w:firstLine="0" w:firstLineChars="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W=1/4×л×D</w:t>
      </w:r>
      <w:r>
        <w:rPr>
          <w:rFonts w:hint="default" w:ascii="Times New Roman" w:hAnsi="Times New Roman" w:eastAsia="宋体" w:cs="Times New Roman"/>
          <w:color w:val="auto"/>
          <w:kern w:val="0"/>
          <w:vertAlign w:val="superscript"/>
        </w:rPr>
        <w:t>2</w:t>
      </w:r>
      <w:r>
        <w:rPr>
          <w:rFonts w:hint="default" w:ascii="Times New Roman" w:hAnsi="Times New Roman" w:eastAsia="宋体" w:cs="Times New Roman"/>
          <w:color w:val="auto"/>
          <w:kern w:val="0"/>
        </w:rPr>
        <w:t>×h×α×d</w:t>
      </w:r>
    </w:p>
    <w:p>
      <w:pPr>
        <w:pStyle w:val="86"/>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式中：W－钻井岩屑排放量，t；</w:t>
      </w:r>
    </w:p>
    <w:p>
      <w:pPr>
        <w:pStyle w:val="86"/>
        <w:ind w:firstLine="1200" w:firstLineChars="5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D—井的直径，m；一开</w:t>
      </w:r>
      <w:r>
        <w:rPr>
          <w:rFonts w:hint="eastAsia" w:ascii="Times New Roman" w:hAnsi="Times New Roman" w:eastAsia="宋体" w:cs="Times New Roman"/>
          <w:color w:val="auto"/>
          <w:kern w:val="0"/>
          <w:lang w:eastAsia="zh-CN"/>
        </w:rPr>
        <w:t>444.5</w:t>
      </w:r>
      <w:r>
        <w:rPr>
          <w:rFonts w:hint="default" w:ascii="Times New Roman" w:hAnsi="Times New Roman" w:eastAsia="宋体" w:cs="Times New Roman"/>
          <w:color w:val="auto"/>
          <w:kern w:val="0"/>
        </w:rPr>
        <w:t>mm，二开</w:t>
      </w:r>
      <w:r>
        <w:rPr>
          <w:rFonts w:hint="eastAsia" w:ascii="Times New Roman" w:hAnsi="Times New Roman" w:eastAsia="宋体" w:cs="Times New Roman"/>
          <w:color w:val="auto"/>
          <w:kern w:val="0"/>
          <w:lang w:eastAsia="zh-CN"/>
        </w:rPr>
        <w:t>215.9</w:t>
      </w:r>
      <w:r>
        <w:rPr>
          <w:rFonts w:hint="default" w:ascii="Times New Roman" w:hAnsi="Times New Roman" w:eastAsia="宋体" w:cs="Times New Roman"/>
          <w:color w:val="auto"/>
          <w:kern w:val="0"/>
        </w:rPr>
        <w:t>mm；</w:t>
      </w:r>
    </w:p>
    <w:p>
      <w:pPr>
        <w:pStyle w:val="86"/>
        <w:ind w:firstLine="1200" w:firstLineChars="5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h－井深，m；</w:t>
      </w:r>
    </w:p>
    <w:p>
      <w:pPr>
        <w:pStyle w:val="86"/>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d</w:t>
      </w:r>
      <w:r>
        <w:rPr>
          <w:rFonts w:hint="default" w:ascii="Times New Roman" w:hAnsi="Times New Roman" w:eastAsia="宋体" w:cs="Times New Roman"/>
          <w:color w:val="auto"/>
          <w:kern w:val="0"/>
        </w:rPr>
        <w:t>－所钻岩石的密度（g/cm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），取2.5g/cm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w:t>
      </w:r>
    </w:p>
    <w:p>
      <w:pPr>
        <w:pStyle w:val="86"/>
        <w:ind w:firstLine="1200" w:firstLineChars="5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α－岩石膨胀系数，取</w:t>
      </w:r>
      <w:r>
        <w:rPr>
          <w:rFonts w:hint="eastAsia" w:ascii="Times New Roman" w:hAnsi="Times New Roman" w:eastAsia="宋体" w:cs="Times New Roman"/>
          <w:color w:val="auto"/>
          <w:kern w:val="0"/>
          <w:lang w:val="en-US" w:eastAsia="zh-CN"/>
        </w:rPr>
        <w:t>4.0</w:t>
      </w:r>
      <w:r>
        <w:rPr>
          <w:rFonts w:hint="default" w:ascii="Times New Roman" w:hAnsi="Times New Roman" w:eastAsia="宋体" w:cs="Times New Roman"/>
          <w:color w:val="auto"/>
          <w:kern w:val="0"/>
        </w:rPr>
        <w:t>。</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本工程产生岩屑量见表3.7-6。</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表3.7-6  本工程钻井岩屑产生量</w:t>
      </w:r>
    </w:p>
    <w:tbl>
      <w:tblPr>
        <w:tblStyle w:val="3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6"/>
        <w:gridCol w:w="1490"/>
        <w:gridCol w:w="1135"/>
        <w:gridCol w:w="1582"/>
        <w:gridCol w:w="1582"/>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490" w:type="dxa"/>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井号</w:t>
            </w:r>
          </w:p>
        </w:tc>
        <w:tc>
          <w:tcPr>
            <w:tcW w:w="1135" w:type="dxa"/>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井深（m）</w:t>
            </w:r>
          </w:p>
        </w:tc>
        <w:tc>
          <w:tcPr>
            <w:tcW w:w="1582" w:type="dxa"/>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一开（m）</w:t>
            </w:r>
          </w:p>
        </w:tc>
        <w:tc>
          <w:tcPr>
            <w:tcW w:w="1582" w:type="dxa"/>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二开（m）</w:t>
            </w:r>
          </w:p>
        </w:tc>
        <w:tc>
          <w:tcPr>
            <w:tcW w:w="1617" w:type="dxa"/>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岩屑量（t）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490" w:type="dxa"/>
            <w:vAlign w:val="center"/>
          </w:tcPr>
          <w:p>
            <w:pPr>
              <w:widowControl/>
              <w:jc w:val="center"/>
              <w:textAlignment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kern w:val="0"/>
                <w:szCs w:val="21"/>
                <w:lang w:val="en-US" w:eastAsia="zh-CN"/>
              </w:rPr>
              <w:t>LUD5604</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490" w:type="dxa"/>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LUD5608</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490" w:type="dxa"/>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LUD5612</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490" w:type="dxa"/>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LUD5614</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1490" w:type="dxa"/>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LUD5607</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490" w:type="dxa"/>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LUD5615</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490" w:type="dxa"/>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LU5606</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896" w:type="dxa"/>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1490" w:type="dxa"/>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LU5613</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2015</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1515</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2386" w:type="dxa"/>
            <w:gridSpan w:val="2"/>
            <w:tcMar>
              <w:top w:w="14" w:type="dxa"/>
              <w:left w:w="14" w:type="dxa"/>
              <w:bottom w:w="0" w:type="dxa"/>
              <w:right w:w="14" w:type="dxa"/>
            </w:tcMar>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11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58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6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kern w:val="0"/>
                <w:sz w:val="21"/>
                <w:szCs w:val="21"/>
                <w:u w:val="none"/>
                <w:lang w:val="en-US" w:eastAsia="zh-CN" w:bidi="ar"/>
              </w:rPr>
              <w:t>10639.2</w:t>
            </w:r>
          </w:p>
        </w:tc>
      </w:tr>
    </w:tbl>
    <w:p>
      <w:pPr>
        <w:pStyle w:val="8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经核算，岩屑产生量约</w:t>
      </w:r>
      <w:r>
        <w:rPr>
          <w:rFonts w:hint="eastAsia" w:ascii="Times New Roman" w:hAnsi="Times New Roman" w:eastAsia="宋体" w:cs="Times New Roman"/>
          <w:color w:val="auto"/>
          <w:lang w:eastAsia="zh-CN"/>
        </w:rPr>
        <w:t>10639.2</w:t>
      </w:r>
      <w:r>
        <w:rPr>
          <w:rFonts w:hint="default" w:ascii="Times New Roman" w:hAnsi="Times New Roman" w:eastAsia="宋体" w:cs="Times New Roman"/>
          <w:color w:val="auto"/>
        </w:rPr>
        <w:t>t，经不落地系统收集、压滤脱水后，暂存在水基岩屑储罐（每口井3个罐，每个罐60m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），完井后由第三方合规处置。</w:t>
      </w:r>
    </w:p>
    <w:p>
      <w:pPr>
        <w:pStyle w:val="86"/>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w:t>
      </w:r>
      <w:r>
        <w:rPr>
          <w:rFonts w:hint="default" w:ascii="Times New Roman" w:hAnsi="Times New Roman" w:eastAsia="宋体" w:cs="Times New Roman"/>
          <w:color w:val="auto"/>
        </w:rPr>
        <w:t>3</w:t>
      </w:r>
      <w:r>
        <w:rPr>
          <w:rFonts w:hint="default" w:ascii="Times New Roman" w:hAnsi="Times New Roman" w:eastAsia="宋体" w:cs="Times New Roman"/>
          <w:color w:val="auto"/>
          <w:lang w:val="en-GB"/>
        </w:rPr>
        <w:t>）管线施工土方</w:t>
      </w:r>
    </w:p>
    <w:p>
      <w:pPr>
        <w:pStyle w:val="86"/>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本项目施工土方主要由埋地敷设管线开挖、井场和道路建设</w:t>
      </w:r>
      <w:r>
        <w:rPr>
          <w:rFonts w:hint="default" w:ascii="Times New Roman" w:hAnsi="Times New Roman" w:eastAsia="宋体" w:cs="Times New Roman"/>
          <w:color w:val="auto"/>
        </w:rPr>
        <w:t>等</w:t>
      </w:r>
      <w:r>
        <w:rPr>
          <w:rFonts w:hint="default" w:ascii="Times New Roman" w:hAnsi="Times New Roman" w:eastAsia="宋体" w:cs="Times New Roman"/>
          <w:color w:val="auto"/>
          <w:lang w:val="en-GB"/>
        </w:rPr>
        <w:t>产生；开挖回填管沟多余的土方沿管线铺设方向形成垄，作为管道上方土层自然沉降富余量，剩余土方用于场地平整和临时施工场地恢复。项目管线施工的挖方全部回填，无弃方。</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本项目土石方平衡见表3.7-7。</w:t>
      </w:r>
    </w:p>
    <w:p>
      <w:pPr>
        <w:pStyle w:val="41"/>
        <w:spacing w:line="360" w:lineRule="auto"/>
        <w:jc w:val="center"/>
        <w:rPr>
          <w:rFonts w:hint="default" w:ascii="Times New Roman" w:hAnsi="Times New Roman" w:cs="Times New Roman"/>
          <w:b/>
          <w:color w:val="auto"/>
          <w:sz w:val="21"/>
          <w:szCs w:val="15"/>
        </w:rPr>
      </w:pP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表3.7-7  项目土石方平衡表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704"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工程类别</w:t>
            </w:r>
          </w:p>
        </w:tc>
        <w:tc>
          <w:tcPr>
            <w:tcW w:w="1704"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挖方量m</w:t>
            </w:r>
            <w:r>
              <w:rPr>
                <w:rFonts w:hint="default" w:ascii="Times New Roman" w:hAnsi="Times New Roman" w:eastAsia="宋体" w:cs="Times New Roman"/>
                <w:b/>
                <w:bCs/>
                <w:color w:val="auto"/>
                <w:sz w:val="21"/>
                <w:szCs w:val="21"/>
                <w:vertAlign w:val="superscript"/>
              </w:rPr>
              <w:t>3</w:t>
            </w:r>
          </w:p>
        </w:tc>
        <w:tc>
          <w:tcPr>
            <w:tcW w:w="1704"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填方量m</w:t>
            </w:r>
            <w:r>
              <w:rPr>
                <w:rFonts w:hint="default" w:ascii="Times New Roman" w:hAnsi="Times New Roman" w:eastAsia="宋体" w:cs="Times New Roman"/>
                <w:b/>
                <w:bCs/>
                <w:color w:val="auto"/>
                <w:szCs w:val="21"/>
                <w:vertAlign w:val="superscript"/>
              </w:rPr>
              <w:t>3</w:t>
            </w:r>
          </w:p>
        </w:tc>
        <w:tc>
          <w:tcPr>
            <w:tcW w:w="1705"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借方量m</w:t>
            </w:r>
            <w:r>
              <w:rPr>
                <w:rFonts w:hint="default" w:ascii="Times New Roman" w:hAnsi="Times New Roman" w:eastAsia="宋体" w:cs="Times New Roman"/>
                <w:b/>
                <w:bCs/>
                <w:color w:val="auto"/>
                <w:szCs w:val="21"/>
                <w:vertAlign w:val="superscript"/>
              </w:rPr>
              <w:t>3</w:t>
            </w:r>
          </w:p>
        </w:tc>
        <w:tc>
          <w:tcPr>
            <w:tcW w:w="1705"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弃方量m</w:t>
            </w:r>
            <w:r>
              <w:rPr>
                <w:rFonts w:hint="default" w:ascii="Times New Roman" w:hAnsi="Times New Roman" w:eastAsia="宋体" w:cs="Times New Roman"/>
                <w:b/>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704"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集输管线</w:t>
            </w:r>
          </w:p>
        </w:tc>
        <w:tc>
          <w:tcPr>
            <w:tcW w:w="1704" w:type="dxa"/>
            <w:vAlign w:val="top"/>
          </w:tcPr>
          <w:p>
            <w:pPr>
              <w:keepNext w:val="0"/>
              <w:keepLines w:val="0"/>
              <w:widowControl/>
              <w:suppressLineNumbers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11800</w:t>
            </w:r>
          </w:p>
        </w:tc>
        <w:tc>
          <w:tcPr>
            <w:tcW w:w="1704" w:type="dxa"/>
            <w:vAlign w:val="top"/>
          </w:tcPr>
          <w:p>
            <w:pPr>
              <w:keepNext w:val="0"/>
              <w:keepLines w:val="0"/>
              <w:widowControl/>
              <w:suppressLineNumbers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11800</w:t>
            </w:r>
          </w:p>
        </w:tc>
        <w:tc>
          <w:tcPr>
            <w:tcW w:w="1705"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705"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704"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电力线缆</w:t>
            </w:r>
          </w:p>
        </w:tc>
        <w:tc>
          <w:tcPr>
            <w:tcW w:w="1704" w:type="dxa"/>
            <w:vAlign w:val="top"/>
          </w:tcPr>
          <w:p>
            <w:pPr>
              <w:keepNext w:val="0"/>
              <w:keepLines w:val="0"/>
              <w:widowControl/>
              <w:suppressLineNumbers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285</w:t>
            </w:r>
          </w:p>
        </w:tc>
        <w:tc>
          <w:tcPr>
            <w:tcW w:w="1704" w:type="dxa"/>
            <w:vAlign w:val="top"/>
          </w:tcPr>
          <w:p>
            <w:pPr>
              <w:keepNext w:val="0"/>
              <w:keepLines w:val="0"/>
              <w:widowControl/>
              <w:suppressLineNumbers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285</w:t>
            </w:r>
          </w:p>
        </w:tc>
        <w:tc>
          <w:tcPr>
            <w:tcW w:w="1705"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705"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704"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70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12085</w:t>
            </w:r>
          </w:p>
        </w:tc>
        <w:tc>
          <w:tcPr>
            <w:tcW w:w="170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12085</w:t>
            </w:r>
          </w:p>
        </w:tc>
        <w:tc>
          <w:tcPr>
            <w:tcW w:w="1705"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705"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bl>
    <w:p>
      <w:pPr>
        <w:pStyle w:val="86"/>
        <w:rPr>
          <w:rFonts w:hint="default" w:ascii="Times New Roman" w:hAnsi="Times New Roman" w:eastAsia="宋体" w:cs="Times New Roman"/>
          <w:color w:val="auto"/>
          <w:lang w:val="en-GB"/>
        </w:rPr>
      </w:pPr>
      <w:r>
        <w:rPr>
          <w:rFonts w:hint="default" w:ascii="Times New Roman" w:hAnsi="Times New Roman" w:eastAsia="宋体" w:cs="Times New Roman"/>
          <w:color w:val="auto"/>
        </w:rPr>
        <w:t>（4）</w:t>
      </w:r>
      <w:r>
        <w:rPr>
          <w:rFonts w:hint="default" w:ascii="Times New Roman" w:hAnsi="Times New Roman" w:eastAsia="宋体" w:cs="Times New Roman"/>
          <w:color w:val="auto"/>
          <w:lang w:val="en-GB"/>
        </w:rPr>
        <w:t>机械设备废油</w:t>
      </w:r>
    </w:p>
    <w:p>
      <w:pPr>
        <w:pStyle w:val="86"/>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钻井期间使用的机械设备运行过程中需进行维护、保养、维修等工作，以使其能正常运转，此过程中将产生少量的废油，如废液压油、废润滑油、废机油等。</w:t>
      </w:r>
      <w:r>
        <w:rPr>
          <w:rFonts w:hint="default" w:ascii="Times New Roman" w:hAnsi="Times New Roman" w:eastAsia="宋体" w:cs="Times New Roman"/>
          <w:color w:val="auto"/>
        </w:rPr>
        <w:t>根据建设单位提供数据，</w:t>
      </w:r>
      <w:r>
        <w:rPr>
          <w:rFonts w:hint="default" w:ascii="Times New Roman" w:hAnsi="Times New Roman" w:eastAsia="宋体" w:cs="Times New Roman"/>
          <w:color w:val="auto"/>
          <w:lang w:val="en-GB"/>
        </w:rPr>
        <w:t>一个钻井期机械设备产生的废机油产生量不足0.5t，</w:t>
      </w:r>
      <w:r>
        <w:rPr>
          <w:rFonts w:hint="default" w:ascii="Times New Roman" w:hAnsi="Times New Roman" w:eastAsia="宋体" w:cs="Times New Roman"/>
          <w:color w:val="auto"/>
        </w:rPr>
        <w:t>本项目</w:t>
      </w:r>
      <w:r>
        <w:rPr>
          <w:rFonts w:hint="eastAsia" w:ascii="Times New Roman" w:hAnsi="Times New Roman" w:eastAsia="宋体" w:cs="Times New Roman"/>
          <w:color w:val="auto"/>
          <w:lang w:val="en-US" w:eastAsia="zh-CN"/>
        </w:rPr>
        <w:t>8</w:t>
      </w:r>
      <w:r>
        <w:rPr>
          <w:rFonts w:hint="eastAsia" w:ascii="Times New Roman" w:hAnsi="Times New Roman" w:eastAsia="宋体" w:cs="Times New Roman"/>
          <w:color w:val="auto"/>
          <w:lang w:eastAsia="zh-CN"/>
        </w:rPr>
        <w:t>口</w:t>
      </w:r>
      <w:r>
        <w:rPr>
          <w:rFonts w:hint="default" w:ascii="Times New Roman" w:hAnsi="Times New Roman" w:eastAsia="宋体" w:cs="Times New Roman"/>
          <w:color w:val="auto"/>
        </w:rPr>
        <w:t>井</w:t>
      </w:r>
      <w:r>
        <w:rPr>
          <w:rFonts w:hint="default" w:ascii="Times New Roman" w:hAnsi="Times New Roman" w:eastAsia="宋体" w:cs="Times New Roman"/>
          <w:color w:val="auto"/>
          <w:lang w:val="en-GB"/>
        </w:rPr>
        <w:t>产生量约</w:t>
      </w:r>
      <w:r>
        <w:rPr>
          <w:rFonts w:hint="eastAsia" w:ascii="Times New Roman" w:hAnsi="Times New Roman" w:eastAsia="宋体" w:cs="Times New Roman"/>
          <w:color w:val="auto"/>
          <w:lang w:val="en-US" w:eastAsia="zh-CN"/>
        </w:rPr>
        <w:t>4.0</w:t>
      </w:r>
      <w:r>
        <w:rPr>
          <w:rFonts w:hint="default" w:ascii="Times New Roman" w:hAnsi="Times New Roman" w:eastAsia="宋体" w:cs="Times New Roman"/>
          <w:color w:val="auto"/>
          <w:lang w:val="en-GB"/>
        </w:rPr>
        <w:t>t，钻井产生的</w:t>
      </w:r>
      <w:r>
        <w:rPr>
          <w:rFonts w:hint="default" w:ascii="Times New Roman" w:hAnsi="Times New Roman" w:eastAsia="宋体" w:cs="Times New Roman"/>
          <w:color w:val="auto"/>
        </w:rPr>
        <w:t>机械设备废</w:t>
      </w:r>
      <w:r>
        <w:rPr>
          <w:rFonts w:hint="default" w:ascii="Times New Roman" w:hAnsi="Times New Roman" w:eastAsia="宋体" w:cs="Times New Roman"/>
          <w:color w:val="auto"/>
          <w:lang w:val="en-GB"/>
        </w:rPr>
        <w:t>油</w:t>
      </w:r>
      <w:r>
        <w:rPr>
          <w:rFonts w:hint="default" w:ascii="Times New Roman" w:hAnsi="Times New Roman" w:eastAsia="宋体" w:cs="Times New Roman"/>
          <w:color w:val="auto"/>
        </w:rPr>
        <w:t>由钻井公司委托有资质的单位处置</w:t>
      </w:r>
      <w:r>
        <w:rPr>
          <w:rFonts w:hint="default" w:ascii="Times New Roman" w:hAnsi="Times New Roman" w:eastAsia="宋体" w:cs="Times New Roman"/>
          <w:color w:val="auto"/>
          <w:lang w:val="en-GB"/>
        </w:rPr>
        <w:t>。</w:t>
      </w:r>
    </w:p>
    <w:p>
      <w:pPr>
        <w:pStyle w:val="86"/>
        <w:rPr>
          <w:rFonts w:hint="default" w:ascii="Times New Roman" w:hAnsi="Times New Roman" w:eastAsia="宋体" w:cs="Times New Roman"/>
          <w:color w:val="auto"/>
          <w:lang w:val="en-GB"/>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GB"/>
        </w:rPr>
        <w:t>废弃防渗膜</w:t>
      </w:r>
    </w:p>
    <w:p>
      <w:pPr>
        <w:pStyle w:val="86"/>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本项目钻井施工区域铺垫防渗膜，防止施工过程中产生的废油污染土壤，防渗膜可重复利用，若使用过程中防渗膜破损无法再次利用，则沾满油泥的废弃防渗膜作为危险废物，委托有资质单位处置。</w:t>
      </w:r>
    </w:p>
    <w:p>
      <w:pPr>
        <w:pStyle w:val="86"/>
        <w:jc w:val="both"/>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废弃防渗膜根据《国家危险废物名录》（</w:t>
      </w:r>
      <w:r>
        <w:rPr>
          <w:rFonts w:ascii="Times New Roman" w:hAnsi="Times New Roman" w:cs="Times New Roman"/>
          <w:color w:val="auto"/>
          <w:lang w:val="en-GB"/>
        </w:rPr>
        <w:t>202</w:t>
      </w:r>
      <w:r>
        <w:rPr>
          <w:rFonts w:hint="eastAsia" w:ascii="Times New Roman" w:hAnsi="Times New Roman" w:cs="Times New Roman"/>
          <w:color w:val="auto"/>
        </w:rPr>
        <w:t>5</w:t>
      </w:r>
      <w:r>
        <w:rPr>
          <w:rFonts w:ascii="Times New Roman" w:hAnsi="Times New Roman" w:cs="Times New Roman"/>
          <w:color w:val="auto"/>
          <w:lang w:val="en-GB"/>
        </w:rPr>
        <w:t>年版</w:t>
      </w:r>
      <w:r>
        <w:rPr>
          <w:rFonts w:hint="default" w:ascii="Times New Roman" w:hAnsi="Times New Roman" w:eastAsia="宋体" w:cs="Times New Roman"/>
          <w:color w:val="auto"/>
          <w:lang w:val="en-GB"/>
        </w:rPr>
        <w:t>）“HW08废矿物油与含矿物油废物类”，属于使用过程中沾染矿物油的废弃包装物，危废代码为900-249-08。</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lang w:val="en-GB"/>
        </w:rPr>
        <w:t>（</w:t>
      </w:r>
      <w:r>
        <w:rPr>
          <w:rFonts w:hint="default" w:ascii="Times New Roman" w:hAnsi="Times New Roman" w:eastAsia="宋体" w:cs="Times New Roman"/>
          <w:color w:val="auto"/>
        </w:rPr>
        <w:t>6</w:t>
      </w:r>
      <w:r>
        <w:rPr>
          <w:rFonts w:hint="default" w:ascii="Times New Roman" w:hAnsi="Times New Roman" w:eastAsia="宋体" w:cs="Times New Roman"/>
          <w:color w:val="auto"/>
          <w:lang w:val="en-GB"/>
        </w:rPr>
        <w:t>）</w:t>
      </w:r>
      <w:r>
        <w:rPr>
          <w:rFonts w:hint="default" w:ascii="Times New Roman" w:hAnsi="Times New Roman" w:eastAsia="宋体" w:cs="Times New Roman"/>
          <w:color w:val="auto"/>
        </w:rPr>
        <w:t>建筑垃圾</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本项目计量站、线路等施工产生的废包装材料尽量回收利用，建筑垃圾由施工单位清运。</w:t>
      </w:r>
    </w:p>
    <w:p>
      <w:pPr>
        <w:pStyle w:val="86"/>
        <w:rPr>
          <w:rFonts w:hint="default" w:ascii="Times New Roman" w:hAnsi="Times New Roman" w:eastAsia="宋体" w:cs="Times New Roman"/>
          <w:color w:val="auto"/>
          <w:lang w:val="en-GB"/>
        </w:rPr>
      </w:pPr>
      <w:r>
        <w:rPr>
          <w:rFonts w:hint="default" w:ascii="Times New Roman" w:hAnsi="Times New Roman" w:eastAsia="宋体" w:cs="Times New Roman"/>
          <w:color w:val="auto"/>
        </w:rPr>
        <w:t>结合施工期工艺流程中的副产物产生情况，根据《固体废物鉴别标准 通则》（GB34330-2017）的规定，判断其是否属于固体废物，给出判定依据及结果，根据《国家危险废物名录》（202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年版），判定是否属于危险废物，见表3.7-8，施工期项目固废的名称、类别、属性和数量等情况见表3.7-9。</w:t>
      </w:r>
    </w:p>
    <w:p>
      <w:pPr>
        <w:pStyle w:val="41"/>
        <w:spacing w:line="360" w:lineRule="auto"/>
        <w:jc w:val="center"/>
        <w:rPr>
          <w:rFonts w:hint="default" w:ascii="Times New Roman" w:hAnsi="Times New Roman" w:cs="Times New Roman"/>
          <w:b/>
          <w:color w:val="auto"/>
          <w:sz w:val="21"/>
          <w:szCs w:val="15"/>
        </w:rPr>
      </w:pPr>
      <w:bookmarkStart w:id="210" w:name="_Hlk92732586"/>
      <w:r>
        <w:rPr>
          <w:rFonts w:hint="default" w:ascii="Times New Roman" w:hAnsi="Times New Roman" w:cs="Times New Roman"/>
          <w:b/>
          <w:color w:val="auto"/>
          <w:sz w:val="21"/>
          <w:szCs w:val="15"/>
        </w:rPr>
        <w:t>表3.7-8  固废属性判定</w:t>
      </w:r>
    </w:p>
    <w:tbl>
      <w:tblPr>
        <w:tblStyle w:val="31"/>
        <w:tblW w:w="8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7"/>
        <w:gridCol w:w="1130"/>
        <w:gridCol w:w="913"/>
        <w:gridCol w:w="746"/>
        <w:gridCol w:w="791"/>
        <w:gridCol w:w="1030"/>
        <w:gridCol w:w="607"/>
        <w:gridCol w:w="746"/>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607"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130"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固废名称</w:t>
            </w:r>
          </w:p>
        </w:tc>
        <w:tc>
          <w:tcPr>
            <w:tcW w:w="913"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产生工序</w:t>
            </w:r>
          </w:p>
        </w:tc>
        <w:tc>
          <w:tcPr>
            <w:tcW w:w="746"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形态</w:t>
            </w:r>
          </w:p>
        </w:tc>
        <w:tc>
          <w:tcPr>
            <w:tcW w:w="791"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主要成分</w:t>
            </w:r>
          </w:p>
        </w:tc>
        <w:tc>
          <w:tcPr>
            <w:tcW w:w="1030"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预测产生量</w:t>
            </w:r>
          </w:p>
        </w:tc>
        <w:tc>
          <w:tcPr>
            <w:tcW w:w="3140"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607"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1130"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913"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746"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791"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1030"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60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固废</w:t>
            </w:r>
          </w:p>
        </w:tc>
        <w:tc>
          <w:tcPr>
            <w:tcW w:w="74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副产品</w:t>
            </w:r>
          </w:p>
        </w:tc>
        <w:tc>
          <w:tcPr>
            <w:tcW w:w="178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34" w:hRule="atLeast"/>
          <w:jc w:val="center"/>
        </w:trPr>
        <w:tc>
          <w:tcPr>
            <w:tcW w:w="60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w:t>
            </w:r>
          </w:p>
        </w:tc>
        <w:tc>
          <w:tcPr>
            <w:tcW w:w="113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水基岩屑</w:t>
            </w:r>
          </w:p>
        </w:tc>
        <w:tc>
          <w:tcPr>
            <w:tcW w:w="913"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钻井</w:t>
            </w:r>
          </w:p>
        </w:tc>
        <w:tc>
          <w:tcPr>
            <w:tcW w:w="746"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半固态</w:t>
            </w:r>
          </w:p>
        </w:tc>
        <w:tc>
          <w:tcPr>
            <w:tcW w:w="791"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钙、镁等矿物、水</w:t>
            </w:r>
          </w:p>
        </w:tc>
        <w:tc>
          <w:tcPr>
            <w:tcW w:w="103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eastAsia="zh-CN"/>
              </w:rPr>
              <w:t>10639.2</w:t>
            </w:r>
            <w:r>
              <w:rPr>
                <w:rFonts w:hint="default" w:ascii="Times New Roman" w:hAnsi="Times New Roman" w:cs="Times New Roman"/>
                <w:color w:val="auto"/>
              </w:rPr>
              <w:t>t</w:t>
            </w:r>
          </w:p>
        </w:tc>
        <w:tc>
          <w:tcPr>
            <w:tcW w:w="60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4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787" w:type="dxa"/>
            <w:vMerge w:val="restart"/>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《固体废物鉴别标准通则》（GB34330-2017）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w:t>
            </w:r>
          </w:p>
        </w:tc>
        <w:tc>
          <w:tcPr>
            <w:tcW w:w="113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机械设备废油</w:t>
            </w:r>
          </w:p>
        </w:tc>
        <w:tc>
          <w:tcPr>
            <w:tcW w:w="91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机械设备维修、保养等</w:t>
            </w:r>
          </w:p>
        </w:tc>
        <w:tc>
          <w:tcPr>
            <w:tcW w:w="74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液态</w:t>
            </w:r>
          </w:p>
        </w:tc>
        <w:tc>
          <w:tcPr>
            <w:tcW w:w="7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机油</w:t>
            </w:r>
          </w:p>
        </w:tc>
        <w:tc>
          <w:tcPr>
            <w:tcW w:w="103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val="en-US" w:eastAsia="zh-CN"/>
              </w:rPr>
              <w:t>4.0</w:t>
            </w:r>
            <w:r>
              <w:rPr>
                <w:rFonts w:hint="default" w:ascii="Times New Roman" w:hAnsi="Times New Roman" w:cs="Times New Roman"/>
                <w:color w:val="auto"/>
              </w:rPr>
              <w:t>t</w:t>
            </w:r>
          </w:p>
        </w:tc>
        <w:tc>
          <w:tcPr>
            <w:tcW w:w="60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4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787"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w:t>
            </w:r>
          </w:p>
        </w:tc>
        <w:tc>
          <w:tcPr>
            <w:tcW w:w="113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废弃防渗膜</w:t>
            </w:r>
          </w:p>
        </w:tc>
        <w:tc>
          <w:tcPr>
            <w:tcW w:w="913"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地面防渗</w:t>
            </w:r>
          </w:p>
        </w:tc>
        <w:tc>
          <w:tcPr>
            <w:tcW w:w="746"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791"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snapToGrid w:val="0"/>
                <w:color w:val="auto"/>
                <w:kern w:val="0"/>
              </w:rPr>
              <w:t>石油类</w:t>
            </w:r>
          </w:p>
        </w:tc>
        <w:tc>
          <w:tcPr>
            <w:tcW w:w="103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60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4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787"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w:t>
            </w:r>
          </w:p>
        </w:tc>
        <w:tc>
          <w:tcPr>
            <w:tcW w:w="113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管线施工土方</w:t>
            </w:r>
          </w:p>
        </w:tc>
        <w:tc>
          <w:tcPr>
            <w:tcW w:w="913"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管沟开挖</w:t>
            </w:r>
          </w:p>
        </w:tc>
        <w:tc>
          <w:tcPr>
            <w:tcW w:w="746"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791"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snapToGrid w:val="0"/>
                <w:color w:val="auto"/>
                <w:kern w:val="0"/>
              </w:rPr>
              <w:t>土</w:t>
            </w:r>
          </w:p>
        </w:tc>
        <w:tc>
          <w:tcPr>
            <w:tcW w:w="103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0m</w:t>
            </w:r>
            <w:r>
              <w:rPr>
                <w:rFonts w:hint="default" w:ascii="Times New Roman" w:hAnsi="Times New Roman" w:cs="Times New Roman"/>
                <w:color w:val="auto"/>
                <w:vertAlign w:val="superscript"/>
              </w:rPr>
              <w:t>3</w:t>
            </w:r>
          </w:p>
        </w:tc>
        <w:tc>
          <w:tcPr>
            <w:tcW w:w="60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4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787"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113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生活垃圾</w:t>
            </w:r>
          </w:p>
        </w:tc>
        <w:tc>
          <w:tcPr>
            <w:tcW w:w="91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color w:val="auto"/>
              </w:rPr>
              <w:t>施工人员生活</w:t>
            </w:r>
          </w:p>
        </w:tc>
        <w:tc>
          <w:tcPr>
            <w:tcW w:w="74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7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塑料纸、纸屑等</w:t>
            </w:r>
          </w:p>
        </w:tc>
        <w:tc>
          <w:tcPr>
            <w:tcW w:w="103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eastAsia="zh-CN"/>
              </w:rPr>
              <w:t>8.86</w:t>
            </w:r>
            <w:r>
              <w:rPr>
                <w:rFonts w:hint="default" w:ascii="Times New Roman" w:hAnsi="Times New Roman" w:cs="Times New Roman"/>
                <w:color w:val="auto"/>
              </w:rPr>
              <w:t>t</w:t>
            </w:r>
          </w:p>
        </w:tc>
        <w:tc>
          <w:tcPr>
            <w:tcW w:w="60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4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787"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建筑垃圾</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安装设备</w:t>
            </w:r>
          </w:p>
        </w:tc>
        <w:tc>
          <w:tcPr>
            <w:tcW w:w="7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固态</w:t>
            </w:r>
          </w:p>
        </w:tc>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GB" w:eastAsia="zh-CN" w:bidi="ar-SA"/>
              </w:rPr>
            </w:pPr>
            <w:r>
              <w:rPr>
                <w:rFonts w:hint="default" w:ascii="Times New Roman" w:hAnsi="Times New Roman" w:cs="Times New Roman"/>
                <w:color w:val="auto"/>
              </w:rPr>
              <w:t>/</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少量</w:t>
            </w:r>
          </w:p>
        </w:tc>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w:t>
            </w:r>
          </w:p>
        </w:tc>
        <w:tc>
          <w:tcPr>
            <w:tcW w:w="7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w:t>
            </w:r>
          </w:p>
        </w:tc>
        <w:tc>
          <w:tcPr>
            <w:tcW w:w="1787"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bookmarkEnd w:id="210"/>
    </w:tbl>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表3.7-9  项目施工期固体废物分析结果汇总表</w:t>
      </w:r>
    </w:p>
    <w:tbl>
      <w:tblPr>
        <w:tblStyle w:val="31"/>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09"/>
        <w:gridCol w:w="491"/>
        <w:gridCol w:w="521"/>
        <w:gridCol w:w="490"/>
        <w:gridCol w:w="490"/>
        <w:gridCol w:w="569"/>
        <w:gridCol w:w="574"/>
        <w:gridCol w:w="574"/>
        <w:gridCol w:w="737"/>
        <w:gridCol w:w="1053"/>
        <w:gridCol w:w="784"/>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120" w:hRule="atLeast"/>
          <w:tblHeader/>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bookmarkStart w:id="211" w:name="_Hlk36564446"/>
            <w:r>
              <w:rPr>
                <w:rFonts w:hint="default" w:ascii="Times New Roman" w:hAnsi="Times New Roman" w:cs="Times New Roman"/>
                <w:b/>
                <w:bCs/>
                <w:color w:val="auto"/>
              </w:rPr>
              <w:t>序号</w:t>
            </w:r>
          </w:p>
        </w:tc>
        <w:tc>
          <w:tcPr>
            <w:tcW w:w="4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固废名称</w:t>
            </w:r>
          </w:p>
        </w:tc>
        <w:tc>
          <w:tcPr>
            <w:tcW w:w="52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属性</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产生工序</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形态</w:t>
            </w:r>
          </w:p>
        </w:tc>
        <w:tc>
          <w:tcPr>
            <w:tcW w:w="56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主要成分</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危险特性鉴别方法</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危险</w:t>
            </w:r>
          </w:p>
          <w:p>
            <w:pPr>
              <w:pStyle w:val="47"/>
              <w:rPr>
                <w:rFonts w:hint="default" w:ascii="Times New Roman" w:hAnsi="Times New Roman" w:cs="Times New Roman"/>
                <w:b/>
                <w:bCs/>
                <w:color w:val="auto"/>
              </w:rPr>
            </w:pPr>
            <w:r>
              <w:rPr>
                <w:rFonts w:hint="default" w:ascii="Times New Roman" w:hAnsi="Times New Roman" w:cs="Times New Roman"/>
                <w:b/>
                <w:bCs/>
                <w:color w:val="auto"/>
              </w:rPr>
              <w:t>特性</w:t>
            </w:r>
          </w:p>
        </w:tc>
        <w:tc>
          <w:tcPr>
            <w:tcW w:w="7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废物</w:t>
            </w:r>
          </w:p>
          <w:p>
            <w:pPr>
              <w:pStyle w:val="47"/>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0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废物代码</w:t>
            </w:r>
          </w:p>
        </w:tc>
        <w:tc>
          <w:tcPr>
            <w:tcW w:w="78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估算产生量</w:t>
            </w:r>
          </w:p>
        </w:tc>
        <w:tc>
          <w:tcPr>
            <w:tcW w:w="18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拟采取的处理处置方式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63" w:hRule="atLeast"/>
          <w:jc w:val="center"/>
        </w:trPr>
        <w:tc>
          <w:tcPr>
            <w:tcW w:w="309"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w:t>
            </w:r>
          </w:p>
        </w:tc>
        <w:tc>
          <w:tcPr>
            <w:tcW w:w="491"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水基岩屑</w:t>
            </w:r>
          </w:p>
        </w:tc>
        <w:tc>
          <w:tcPr>
            <w:tcW w:w="521"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一般</w:t>
            </w:r>
          </w:p>
          <w:p>
            <w:pPr>
              <w:pStyle w:val="47"/>
              <w:rPr>
                <w:rFonts w:hint="default" w:ascii="Times New Roman" w:hAnsi="Times New Roman" w:cs="Times New Roman"/>
                <w:color w:val="auto"/>
              </w:rPr>
            </w:pPr>
            <w:r>
              <w:rPr>
                <w:rFonts w:hint="default" w:ascii="Times New Roman" w:hAnsi="Times New Roman" w:cs="Times New Roman"/>
                <w:color w:val="auto"/>
              </w:rPr>
              <w:t>工业</w:t>
            </w:r>
          </w:p>
          <w:p>
            <w:pPr>
              <w:pStyle w:val="47"/>
              <w:rPr>
                <w:rFonts w:hint="default" w:ascii="Times New Roman" w:hAnsi="Times New Roman" w:cs="Times New Roman"/>
                <w:color w:val="auto"/>
              </w:rPr>
            </w:pPr>
            <w:r>
              <w:rPr>
                <w:rFonts w:hint="default" w:ascii="Times New Roman" w:hAnsi="Times New Roman" w:cs="Times New Roman"/>
                <w:color w:val="auto"/>
              </w:rPr>
              <w:t>固废</w:t>
            </w:r>
          </w:p>
        </w:tc>
        <w:tc>
          <w:tcPr>
            <w:tcW w:w="49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w:t>
            </w:r>
          </w:p>
        </w:tc>
        <w:tc>
          <w:tcPr>
            <w:tcW w:w="49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半固态</w:t>
            </w:r>
          </w:p>
        </w:tc>
        <w:tc>
          <w:tcPr>
            <w:tcW w:w="569"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钙、镁等矿物、水</w:t>
            </w:r>
          </w:p>
        </w:tc>
        <w:tc>
          <w:tcPr>
            <w:tcW w:w="574"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574"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3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053"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一般工业固废（071-001-S12）</w:t>
            </w:r>
          </w:p>
        </w:tc>
        <w:tc>
          <w:tcPr>
            <w:tcW w:w="784"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eastAsia="zh-CN"/>
              </w:rPr>
              <w:t>10639.2</w:t>
            </w:r>
            <w:r>
              <w:rPr>
                <w:rFonts w:hint="default" w:ascii="Times New Roman" w:hAnsi="Times New Roman" w:cs="Times New Roman"/>
                <w:color w:val="auto"/>
              </w:rPr>
              <w:t>t</w:t>
            </w:r>
          </w:p>
        </w:tc>
        <w:tc>
          <w:tcPr>
            <w:tcW w:w="1820" w:type="dxa"/>
            <w:tcBorders>
              <w:top w:val="single" w:color="auto" w:sz="4" w:space="0"/>
              <w:left w:val="single" w:color="auto" w:sz="4" w:space="0"/>
              <w:right w:val="single" w:color="auto" w:sz="4" w:space="0"/>
            </w:tcBorders>
            <w:vAlign w:val="center"/>
          </w:tcPr>
          <w:p>
            <w:pPr>
              <w:pStyle w:val="43"/>
              <w:ind w:left="0" w:firstLine="0"/>
              <w:jc w:val="both"/>
              <w:rPr>
                <w:rFonts w:hint="default" w:ascii="Times New Roman" w:hAnsi="Times New Roman" w:cs="Times New Roman"/>
                <w:color w:val="auto"/>
              </w:rPr>
            </w:pPr>
            <w:r>
              <w:rPr>
                <w:rFonts w:hint="default" w:ascii="Times New Roman" w:hAnsi="Times New Roman" w:cs="Times New Roman"/>
                <w:color w:val="auto"/>
              </w:rPr>
              <w:t>临时贮存在井场内的岩屑储罐中，后委托第三方合规处置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w:t>
            </w:r>
          </w:p>
        </w:tc>
        <w:tc>
          <w:tcPr>
            <w:tcW w:w="4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管线施工土方</w:t>
            </w:r>
          </w:p>
        </w:tc>
        <w:tc>
          <w:tcPr>
            <w:tcW w:w="521" w:type="dxa"/>
            <w:tcBorders>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一般</w:t>
            </w:r>
          </w:p>
          <w:p>
            <w:pPr>
              <w:pStyle w:val="47"/>
              <w:rPr>
                <w:rFonts w:hint="default" w:ascii="Times New Roman" w:hAnsi="Times New Roman" w:cs="Times New Roman"/>
                <w:color w:val="auto"/>
              </w:rPr>
            </w:pPr>
            <w:r>
              <w:rPr>
                <w:rFonts w:hint="default" w:ascii="Times New Roman" w:hAnsi="Times New Roman" w:cs="Times New Roman"/>
                <w:color w:val="auto"/>
              </w:rPr>
              <w:t>工业</w:t>
            </w:r>
          </w:p>
          <w:p>
            <w:pPr>
              <w:pStyle w:val="47"/>
              <w:rPr>
                <w:rFonts w:hint="default" w:ascii="Times New Roman" w:hAnsi="Times New Roman" w:cs="Times New Roman"/>
                <w:color w:val="auto"/>
              </w:rPr>
            </w:pPr>
            <w:r>
              <w:rPr>
                <w:rFonts w:hint="default" w:ascii="Times New Roman" w:hAnsi="Times New Roman" w:cs="Times New Roman"/>
                <w:color w:val="auto"/>
              </w:rPr>
              <w:t>固废</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管线施工</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56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0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900-001-S70</w:t>
            </w:r>
          </w:p>
        </w:tc>
        <w:tc>
          <w:tcPr>
            <w:tcW w:w="78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0m</w:t>
            </w:r>
            <w:r>
              <w:rPr>
                <w:rFonts w:hint="default" w:ascii="Times New Roman" w:hAnsi="Times New Roman" w:cs="Times New Roman"/>
                <w:color w:val="auto"/>
                <w:vertAlign w:val="superscript"/>
              </w:rPr>
              <w:t>3</w:t>
            </w:r>
          </w:p>
        </w:tc>
        <w:tc>
          <w:tcPr>
            <w:tcW w:w="182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lang w:val="en-GB"/>
              </w:rPr>
              <w:t>回填管沟、管廊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w:t>
            </w:r>
          </w:p>
        </w:tc>
        <w:tc>
          <w:tcPr>
            <w:tcW w:w="4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机械设备废油</w:t>
            </w:r>
          </w:p>
        </w:tc>
        <w:tc>
          <w:tcPr>
            <w:tcW w:w="521"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危险废物</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snapToGrid w:val="0"/>
                <w:color w:val="auto"/>
                <w:kern w:val="0"/>
              </w:rPr>
              <w:t>机械设备维修、保养等</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液态</w:t>
            </w:r>
          </w:p>
        </w:tc>
        <w:tc>
          <w:tcPr>
            <w:tcW w:w="56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机油</w:t>
            </w:r>
          </w:p>
        </w:tc>
        <w:tc>
          <w:tcPr>
            <w:tcW w:w="574" w:type="dxa"/>
            <w:vMerge w:val="restart"/>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bCs/>
                <w:color w:val="auto"/>
              </w:rPr>
              <w:t>危险废物鉴别标准</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毒性T</w:t>
            </w:r>
          </w:p>
          <w:p>
            <w:pPr>
              <w:pStyle w:val="47"/>
              <w:rPr>
                <w:rFonts w:hint="default" w:ascii="Times New Roman" w:hAnsi="Times New Roman" w:cs="Times New Roman"/>
                <w:color w:val="auto"/>
              </w:rPr>
            </w:pPr>
            <w:r>
              <w:rPr>
                <w:rFonts w:hint="default" w:ascii="Times New Roman" w:hAnsi="Times New Roman" w:cs="Times New Roman"/>
                <w:color w:val="auto"/>
              </w:rPr>
              <w:t>易燃性I</w:t>
            </w:r>
          </w:p>
        </w:tc>
        <w:tc>
          <w:tcPr>
            <w:tcW w:w="7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bCs/>
                <w:color w:val="auto"/>
              </w:rPr>
              <w:t>HW08</w:t>
            </w:r>
          </w:p>
        </w:tc>
        <w:tc>
          <w:tcPr>
            <w:tcW w:w="10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cs="Times New Roman"/>
                <w:color w:val="auto"/>
              </w:rPr>
              <w:t>900-214-08</w:t>
            </w:r>
          </w:p>
        </w:tc>
        <w:tc>
          <w:tcPr>
            <w:tcW w:w="78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val="en-US" w:eastAsia="zh-CN"/>
              </w:rPr>
              <w:t>4.0</w:t>
            </w:r>
            <w:r>
              <w:rPr>
                <w:rFonts w:hint="default" w:ascii="Times New Roman" w:hAnsi="Times New Roman" w:cs="Times New Roman"/>
                <w:color w:val="auto"/>
              </w:rPr>
              <w:t>t</w:t>
            </w:r>
          </w:p>
        </w:tc>
        <w:tc>
          <w:tcPr>
            <w:tcW w:w="182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lang w:val="en-GB"/>
              </w:rPr>
            </w:pPr>
            <w:r>
              <w:rPr>
                <w:rFonts w:hint="default" w:ascii="Times New Roman" w:hAnsi="Times New Roman" w:cs="Times New Roman"/>
                <w:color w:val="auto"/>
                <w:lang w:val="en-GB"/>
              </w:rPr>
              <w:t>由钻井公司委托有资质的单位处置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w:t>
            </w:r>
          </w:p>
        </w:tc>
        <w:tc>
          <w:tcPr>
            <w:tcW w:w="4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废弃防渗膜</w:t>
            </w:r>
          </w:p>
        </w:tc>
        <w:tc>
          <w:tcPr>
            <w:tcW w:w="521"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snapToGrid w:val="0"/>
                <w:color w:val="auto"/>
                <w:kern w:val="0"/>
              </w:rPr>
              <w:t>地面防渗</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56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snapToGrid w:val="0"/>
                <w:color w:val="auto"/>
                <w:kern w:val="0"/>
              </w:rPr>
              <w:t>石油类</w:t>
            </w:r>
          </w:p>
        </w:tc>
        <w:tc>
          <w:tcPr>
            <w:tcW w:w="574" w:type="dxa"/>
            <w:vMerge w:val="continue"/>
            <w:tcBorders>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毒性T</w:t>
            </w:r>
          </w:p>
          <w:p>
            <w:pPr>
              <w:pStyle w:val="47"/>
              <w:rPr>
                <w:rFonts w:hint="default" w:ascii="Times New Roman" w:hAnsi="Times New Roman" w:cs="Times New Roman"/>
                <w:color w:val="auto"/>
              </w:rPr>
            </w:pPr>
            <w:r>
              <w:rPr>
                <w:rFonts w:hint="default" w:ascii="Times New Roman" w:hAnsi="Times New Roman" w:cs="Times New Roman"/>
                <w:color w:val="auto"/>
              </w:rPr>
              <w:t>易燃性I</w:t>
            </w:r>
          </w:p>
        </w:tc>
        <w:tc>
          <w:tcPr>
            <w:tcW w:w="7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bCs/>
                <w:color w:val="auto"/>
              </w:rPr>
              <w:t>HW08</w:t>
            </w:r>
          </w:p>
        </w:tc>
        <w:tc>
          <w:tcPr>
            <w:tcW w:w="10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900-249-08</w:t>
            </w:r>
          </w:p>
        </w:tc>
        <w:tc>
          <w:tcPr>
            <w:tcW w:w="78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少量</w:t>
            </w:r>
          </w:p>
        </w:tc>
        <w:tc>
          <w:tcPr>
            <w:tcW w:w="1820" w:type="dxa"/>
            <w:tcBorders>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lang w:val="en-GB"/>
              </w:rPr>
            </w:pPr>
            <w:r>
              <w:rPr>
                <w:rFonts w:hint="default" w:ascii="Times New Roman" w:hAnsi="Times New Roman" w:cs="Times New Roman"/>
                <w:color w:val="auto"/>
                <w:lang w:val="en-GB"/>
              </w:rPr>
              <w:t>收集后委托有资质的单位进行处置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4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生活垃圾</w:t>
            </w:r>
          </w:p>
        </w:tc>
        <w:tc>
          <w:tcPr>
            <w:tcW w:w="52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生活垃圾</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施工人员生活</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56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塑料纸、纸屑等</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0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900-002-S62</w:t>
            </w:r>
          </w:p>
        </w:tc>
        <w:tc>
          <w:tcPr>
            <w:tcW w:w="78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eastAsia="zh-CN"/>
              </w:rPr>
              <w:t>8.86</w:t>
            </w:r>
            <w:r>
              <w:rPr>
                <w:rFonts w:hint="default" w:ascii="Times New Roman" w:hAnsi="Times New Roman" w:cs="Times New Roman"/>
                <w:color w:val="auto"/>
              </w:rPr>
              <w:t>t</w:t>
            </w:r>
          </w:p>
        </w:tc>
        <w:tc>
          <w:tcPr>
            <w:tcW w:w="18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lang w:val="en-GB"/>
              </w:rPr>
              <w:t>由施工单位统一收集后拉运至</w:t>
            </w:r>
            <w:r>
              <w:rPr>
                <w:rFonts w:hint="default" w:ascii="Times New Roman" w:hAnsi="Times New Roman" w:eastAsia="宋体" w:cs="Times New Roman"/>
                <w:color w:val="auto"/>
                <w:lang w:val="en-US" w:eastAsia="zh-CN"/>
              </w:rPr>
              <w:t>陆梁油田</w:t>
            </w:r>
            <w:r>
              <w:rPr>
                <w:rFonts w:hint="default" w:ascii="Times New Roman" w:hAnsi="Times New Roman" w:cs="Times New Roman"/>
                <w:color w:val="auto"/>
                <w:lang w:val="en-GB"/>
              </w:rPr>
              <w:t>生活垃圾填埋场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w:t>
            </w:r>
          </w:p>
        </w:tc>
        <w:tc>
          <w:tcPr>
            <w:tcW w:w="4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建筑垃圾</w:t>
            </w:r>
          </w:p>
        </w:tc>
        <w:tc>
          <w:tcPr>
            <w:tcW w:w="521" w:type="dxa"/>
            <w:tcBorders>
              <w:top w:val="single" w:color="auto" w:sz="4" w:space="0"/>
              <w:left w:val="single" w:color="auto" w:sz="4" w:space="0"/>
              <w:bottom w:val="single" w:color="auto" w:sz="4" w:space="0"/>
              <w:right w:val="single" w:color="auto" w:sz="4" w:space="0"/>
            </w:tcBorders>
          </w:tcPr>
          <w:p>
            <w:pPr>
              <w:pStyle w:val="47"/>
              <w:rPr>
                <w:rFonts w:hint="default" w:ascii="Times New Roman" w:hAnsi="Times New Roman" w:cs="Times New Roman"/>
                <w:color w:val="auto"/>
              </w:rPr>
            </w:pPr>
            <w:r>
              <w:rPr>
                <w:rFonts w:hint="default" w:ascii="Times New Roman" w:hAnsi="Times New Roman" w:cs="Times New Roman"/>
                <w:color w:val="auto"/>
              </w:rPr>
              <w:t>一般固废</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安装设备</w:t>
            </w:r>
          </w:p>
        </w:tc>
        <w:tc>
          <w:tcPr>
            <w:tcW w:w="4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56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57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7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0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900-001-S72</w:t>
            </w:r>
          </w:p>
        </w:tc>
        <w:tc>
          <w:tcPr>
            <w:tcW w:w="78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少量</w:t>
            </w:r>
          </w:p>
        </w:tc>
        <w:tc>
          <w:tcPr>
            <w:tcW w:w="18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lang w:val="en-GB"/>
              </w:rPr>
            </w:pPr>
            <w:r>
              <w:rPr>
                <w:rFonts w:hint="default" w:ascii="Times New Roman" w:hAnsi="Times New Roman" w:cs="Times New Roman"/>
                <w:color w:val="auto"/>
                <w:lang w:val="en-GB"/>
              </w:rPr>
              <w:t>施工废包装材料尽量回收利用，建筑垃圾由施工单位清运</w:t>
            </w:r>
          </w:p>
        </w:tc>
      </w:tr>
      <w:bookmarkEnd w:id="211"/>
    </w:tbl>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（5）施工期污染物排放情况</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本工程施工期污染物排放情况见表3.7-10。</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表3.7-10  本工程施工期污染物排放情况表</w:t>
      </w:r>
    </w:p>
    <w:tbl>
      <w:tblPr>
        <w:tblStyle w:val="31"/>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261"/>
        <w:gridCol w:w="1247"/>
        <w:gridCol w:w="1080"/>
        <w:gridCol w:w="1661"/>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1261"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工程</w:t>
            </w:r>
          </w:p>
        </w:tc>
        <w:tc>
          <w:tcPr>
            <w:tcW w:w="1247"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1080"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1661"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产生量</w:t>
            </w:r>
          </w:p>
          <w:p>
            <w:pPr>
              <w:pStyle w:val="47"/>
              <w:rPr>
                <w:rFonts w:hint="default" w:ascii="Times New Roman" w:hAnsi="Times New Roman" w:cs="Times New Roman"/>
                <w:b/>
                <w:bCs/>
                <w:color w:val="auto"/>
              </w:rPr>
            </w:pPr>
            <w:r>
              <w:rPr>
                <w:rFonts w:hint="default" w:ascii="Times New Roman" w:hAnsi="Times New Roman" w:cs="Times New Roman"/>
                <w:b/>
                <w:bCs/>
                <w:color w:val="auto"/>
              </w:rPr>
              <w:t>（完钻后）</w:t>
            </w:r>
          </w:p>
        </w:tc>
        <w:tc>
          <w:tcPr>
            <w:tcW w:w="280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主要处理措施及排放去向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rPr>
        <w:tc>
          <w:tcPr>
            <w:tcW w:w="463"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废气</w:t>
            </w:r>
          </w:p>
        </w:tc>
        <w:tc>
          <w:tcPr>
            <w:tcW w:w="1261"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井场</w:t>
            </w:r>
          </w:p>
        </w:tc>
        <w:tc>
          <w:tcPr>
            <w:tcW w:w="124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施工期扬尘</w:t>
            </w: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扬尘</w:t>
            </w:r>
          </w:p>
        </w:tc>
        <w:tc>
          <w:tcPr>
            <w:tcW w:w="16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280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合理规划车辆运输路线，逸散性材料运输用苫布遮盖，同时采取场区洒水抑尘措施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钻井期柴油机组燃烧废气</w:t>
            </w: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NOx</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8.39</w:t>
            </w:r>
            <w:r>
              <w:rPr>
                <w:rFonts w:hint="default" w:ascii="Times New Roman" w:hAnsi="Times New Roman" w:cs="Times New Roman"/>
                <w:color w:val="auto"/>
              </w:rPr>
              <w:t>t</w:t>
            </w:r>
          </w:p>
        </w:tc>
        <w:tc>
          <w:tcPr>
            <w:tcW w:w="2805"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采用高品质的柴油、添加柴油助燃剂等措施，钻井期间排放的大气污染物将随钻井工程的结束而消失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continue"/>
            <w:vAlign w:val="center"/>
          </w:tcPr>
          <w:p>
            <w:pPr>
              <w:pStyle w:val="47"/>
              <w:rPr>
                <w:rFonts w:hint="default" w:ascii="Times New Roman" w:hAnsi="Times New Roman" w:cs="Times New Roman"/>
                <w:color w:val="auto"/>
              </w:rPr>
            </w:pP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0.005</w:t>
            </w:r>
            <w:r>
              <w:rPr>
                <w:rFonts w:hint="default" w:ascii="Times New Roman" w:hAnsi="Times New Roman" w:cs="Times New Roman"/>
                <w:color w:val="auto"/>
              </w:rPr>
              <w:t>t</w:t>
            </w:r>
          </w:p>
        </w:tc>
        <w:tc>
          <w:tcPr>
            <w:tcW w:w="2805"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continue"/>
            <w:vAlign w:val="center"/>
          </w:tcPr>
          <w:p>
            <w:pPr>
              <w:pStyle w:val="47"/>
              <w:rPr>
                <w:rFonts w:hint="default" w:ascii="Times New Roman" w:hAnsi="Times New Roman" w:cs="Times New Roman"/>
                <w:color w:val="auto"/>
              </w:rPr>
            </w:pP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CO</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2.74</w:t>
            </w:r>
            <w:r>
              <w:rPr>
                <w:rFonts w:hint="default" w:ascii="Times New Roman" w:hAnsi="Times New Roman" w:cs="Times New Roman"/>
                <w:color w:val="auto"/>
              </w:rPr>
              <w:t>t</w:t>
            </w:r>
          </w:p>
        </w:tc>
        <w:tc>
          <w:tcPr>
            <w:tcW w:w="2805"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continue"/>
            <w:vAlign w:val="center"/>
          </w:tcPr>
          <w:p>
            <w:pPr>
              <w:pStyle w:val="47"/>
              <w:rPr>
                <w:rFonts w:hint="default" w:ascii="Times New Roman" w:hAnsi="Times New Roman" w:cs="Times New Roman"/>
                <w:color w:val="auto"/>
              </w:rPr>
            </w:pP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HC</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0.87</w:t>
            </w:r>
            <w:r>
              <w:rPr>
                <w:rFonts w:hint="default" w:ascii="Times New Roman" w:hAnsi="Times New Roman" w:cs="Times New Roman"/>
                <w:color w:val="auto"/>
              </w:rPr>
              <w:t>t</w:t>
            </w:r>
          </w:p>
        </w:tc>
        <w:tc>
          <w:tcPr>
            <w:tcW w:w="2805"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continue"/>
            <w:vAlign w:val="center"/>
          </w:tcPr>
          <w:p>
            <w:pPr>
              <w:pStyle w:val="47"/>
              <w:rPr>
                <w:rFonts w:hint="default" w:ascii="Times New Roman" w:hAnsi="Times New Roman" w:cs="Times New Roman"/>
                <w:color w:val="auto"/>
              </w:rPr>
            </w:pP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10</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0.54</w:t>
            </w:r>
            <w:r>
              <w:rPr>
                <w:rFonts w:hint="default" w:ascii="Times New Roman" w:hAnsi="Times New Roman" w:cs="Times New Roman"/>
                <w:color w:val="auto"/>
              </w:rPr>
              <w:t>t</w:t>
            </w:r>
          </w:p>
        </w:tc>
        <w:tc>
          <w:tcPr>
            <w:tcW w:w="2805"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continue"/>
            <w:vAlign w:val="center"/>
          </w:tcPr>
          <w:p>
            <w:pPr>
              <w:pStyle w:val="47"/>
              <w:rPr>
                <w:rFonts w:hint="default" w:ascii="Times New Roman" w:hAnsi="Times New Roman" w:cs="Times New Roman"/>
                <w:color w:val="auto"/>
              </w:rPr>
            </w:pP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2.5</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0.54</w:t>
            </w:r>
            <w:r>
              <w:rPr>
                <w:rFonts w:hint="default" w:ascii="Times New Roman" w:hAnsi="Times New Roman" w:cs="Times New Roman"/>
                <w:color w:val="auto"/>
              </w:rPr>
              <w:t>t</w:t>
            </w:r>
          </w:p>
        </w:tc>
        <w:tc>
          <w:tcPr>
            <w:tcW w:w="2805"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施工期运输车辆尾气</w:t>
            </w: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烃类</w:t>
            </w:r>
          </w:p>
        </w:tc>
        <w:tc>
          <w:tcPr>
            <w:tcW w:w="1661" w:type="dxa"/>
            <w:vAlign w:val="center"/>
          </w:tcPr>
          <w:p>
            <w:pPr>
              <w:pStyle w:val="47"/>
              <w:rPr>
                <w:rFonts w:hint="default" w:ascii="Times New Roman" w:hAnsi="Times New Roman" w:cs="Times New Roman"/>
                <w:color w:val="auto"/>
              </w:rPr>
            </w:pPr>
            <w:r>
              <w:rPr>
                <w:rFonts w:hint="eastAsia" w:cs="Times New Roman"/>
                <w:color w:val="auto"/>
                <w:lang w:val="en-US" w:eastAsia="zh-CN"/>
              </w:rPr>
              <w:t>1.42</w:t>
            </w:r>
            <w:r>
              <w:rPr>
                <w:rFonts w:hint="default" w:ascii="Times New Roman" w:hAnsi="Times New Roman" w:cs="Times New Roman"/>
                <w:color w:val="auto"/>
              </w:rPr>
              <w:t>t</w:t>
            </w:r>
          </w:p>
        </w:tc>
        <w:tc>
          <w:tcPr>
            <w:tcW w:w="2805"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使用符合</w:t>
            </w:r>
            <w:r>
              <w:rPr>
                <w:rFonts w:hint="eastAsia" w:cs="Times New Roman"/>
                <w:color w:val="auto"/>
                <w:lang w:eastAsia="zh-CN"/>
              </w:rPr>
              <w:t>国五标准</w:t>
            </w:r>
            <w:r>
              <w:rPr>
                <w:rFonts w:hint="default" w:ascii="Times New Roman" w:hAnsi="Times New Roman" w:cs="Times New Roman"/>
                <w:color w:val="auto"/>
              </w:rPr>
              <w:t>的燃料，施工期废气排放时段较为集中，属于阶段性排放源，随着施工的结束而停止排放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continue"/>
            <w:vAlign w:val="center"/>
          </w:tcPr>
          <w:p>
            <w:pPr>
              <w:pStyle w:val="47"/>
              <w:rPr>
                <w:rFonts w:hint="default" w:ascii="Times New Roman" w:hAnsi="Times New Roman" w:cs="Times New Roman"/>
                <w:color w:val="auto"/>
              </w:rPr>
            </w:pP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CO</w:t>
            </w:r>
          </w:p>
        </w:tc>
        <w:tc>
          <w:tcPr>
            <w:tcW w:w="1661" w:type="dxa"/>
            <w:vAlign w:val="center"/>
          </w:tcPr>
          <w:p>
            <w:pPr>
              <w:pStyle w:val="47"/>
              <w:rPr>
                <w:rFonts w:hint="default" w:ascii="Times New Roman" w:hAnsi="Times New Roman" w:cs="Times New Roman"/>
                <w:color w:val="auto"/>
              </w:rPr>
            </w:pPr>
            <w:r>
              <w:rPr>
                <w:rFonts w:hint="eastAsia" w:cs="Times New Roman"/>
                <w:color w:val="auto"/>
                <w:lang w:val="en-US" w:eastAsia="zh-CN"/>
              </w:rPr>
              <w:t>0.83</w:t>
            </w:r>
            <w:r>
              <w:rPr>
                <w:rFonts w:hint="default" w:ascii="Times New Roman" w:hAnsi="Times New Roman" w:cs="Times New Roman"/>
                <w:color w:val="auto"/>
              </w:rPr>
              <w:t>t</w:t>
            </w:r>
          </w:p>
        </w:tc>
        <w:tc>
          <w:tcPr>
            <w:tcW w:w="2805"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continue"/>
            <w:vAlign w:val="center"/>
          </w:tcPr>
          <w:p>
            <w:pPr>
              <w:pStyle w:val="47"/>
              <w:rPr>
                <w:rFonts w:hint="default" w:ascii="Times New Roman" w:hAnsi="Times New Roman" w:cs="Times New Roman"/>
                <w:color w:val="auto"/>
              </w:rPr>
            </w:pP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NOx</w:t>
            </w:r>
          </w:p>
        </w:tc>
        <w:tc>
          <w:tcPr>
            <w:tcW w:w="1661" w:type="dxa"/>
            <w:vAlign w:val="center"/>
          </w:tcPr>
          <w:p>
            <w:pPr>
              <w:pStyle w:val="47"/>
              <w:rPr>
                <w:rFonts w:hint="default" w:ascii="Times New Roman" w:hAnsi="Times New Roman" w:cs="Times New Roman"/>
                <w:color w:val="auto"/>
              </w:rPr>
            </w:pPr>
            <w:r>
              <w:rPr>
                <w:rFonts w:hint="eastAsia" w:cs="Times New Roman"/>
                <w:color w:val="auto"/>
                <w:lang w:val="en-US" w:eastAsia="zh-CN"/>
              </w:rPr>
              <w:t>3.81</w:t>
            </w:r>
            <w:r>
              <w:rPr>
                <w:rFonts w:hint="default" w:ascii="Times New Roman" w:hAnsi="Times New Roman" w:cs="Times New Roman"/>
                <w:color w:val="auto"/>
              </w:rPr>
              <w:t>t</w:t>
            </w:r>
          </w:p>
        </w:tc>
        <w:tc>
          <w:tcPr>
            <w:tcW w:w="2805"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Merge w:val="continue"/>
            <w:vAlign w:val="center"/>
          </w:tcPr>
          <w:p>
            <w:pPr>
              <w:pStyle w:val="47"/>
              <w:rPr>
                <w:rFonts w:hint="default" w:ascii="Times New Roman" w:hAnsi="Times New Roman" w:cs="Times New Roman"/>
                <w:color w:val="auto"/>
              </w:rPr>
            </w:pP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661" w:type="dxa"/>
            <w:vAlign w:val="center"/>
          </w:tcPr>
          <w:p>
            <w:pPr>
              <w:pStyle w:val="47"/>
              <w:rPr>
                <w:rFonts w:hint="default" w:ascii="Times New Roman" w:hAnsi="Times New Roman" w:cs="Times New Roman"/>
                <w:color w:val="auto"/>
              </w:rPr>
            </w:pPr>
            <w:r>
              <w:rPr>
                <w:rFonts w:hint="eastAsia" w:cs="Times New Roman"/>
                <w:color w:val="auto"/>
                <w:lang w:val="en-US" w:eastAsia="zh-CN"/>
              </w:rPr>
              <w:t>0.04</w:t>
            </w:r>
            <w:r>
              <w:rPr>
                <w:rFonts w:hint="default" w:ascii="Times New Roman" w:hAnsi="Times New Roman" w:cs="Times New Roman"/>
                <w:color w:val="auto"/>
              </w:rPr>
              <w:t>t</w:t>
            </w:r>
          </w:p>
        </w:tc>
        <w:tc>
          <w:tcPr>
            <w:tcW w:w="2805"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463"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废水</w:t>
            </w:r>
          </w:p>
        </w:tc>
        <w:tc>
          <w:tcPr>
            <w:tcW w:w="12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集输管线</w:t>
            </w:r>
          </w:p>
        </w:tc>
        <w:tc>
          <w:tcPr>
            <w:tcW w:w="124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试压废水</w:t>
            </w: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废水量</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39.57</w:t>
            </w:r>
            <w:r>
              <w:rPr>
                <w:rFonts w:hint="default" w:ascii="Times New Roman" w:hAnsi="Times New Roman" w:cs="Times New Roman"/>
                <w:color w:val="auto"/>
              </w:rPr>
              <w:t>m</w:t>
            </w:r>
            <w:r>
              <w:rPr>
                <w:rFonts w:hint="default" w:ascii="Times New Roman" w:hAnsi="Times New Roman" w:cs="Times New Roman"/>
                <w:color w:val="auto"/>
                <w:vertAlign w:val="superscript"/>
              </w:rPr>
              <w:t>3</w:t>
            </w:r>
          </w:p>
        </w:tc>
        <w:tc>
          <w:tcPr>
            <w:tcW w:w="280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沉淀后洒水降尘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463" w:type="dxa"/>
            <w:vMerge w:val="continue"/>
            <w:vAlign w:val="center"/>
          </w:tcPr>
          <w:p>
            <w:pPr>
              <w:pStyle w:val="47"/>
              <w:rPr>
                <w:rFonts w:hint="default" w:ascii="Times New Roman" w:hAnsi="Times New Roman" w:cs="Times New Roman"/>
                <w:color w:val="auto"/>
              </w:rPr>
            </w:pPr>
          </w:p>
        </w:tc>
        <w:tc>
          <w:tcPr>
            <w:tcW w:w="1261"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井场</w:t>
            </w:r>
          </w:p>
        </w:tc>
        <w:tc>
          <w:tcPr>
            <w:tcW w:w="1247"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钻井废水</w:t>
            </w:r>
          </w:p>
        </w:tc>
        <w:tc>
          <w:tcPr>
            <w:tcW w:w="1080"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废水量</w:t>
            </w:r>
          </w:p>
        </w:tc>
        <w:tc>
          <w:tcPr>
            <w:tcW w:w="1661" w:type="dxa"/>
            <w:vAlign w:val="center"/>
          </w:tcPr>
          <w:p>
            <w:pPr>
              <w:pStyle w:val="47"/>
              <w:rPr>
                <w:rFonts w:hint="default" w:ascii="Times New Roman" w:hAnsi="Times New Roman" w:cs="Times New Roman"/>
                <w:color w:val="auto"/>
                <w:lang w:val="en-US"/>
              </w:rPr>
            </w:pPr>
            <w:r>
              <w:rPr>
                <w:rFonts w:hint="eastAsia" w:cs="Times New Roman"/>
                <w:color w:val="auto"/>
                <w:sz w:val="21"/>
                <w:szCs w:val="18"/>
                <w:lang w:val="en-US" w:eastAsia="zh-CN"/>
              </w:rPr>
              <w:t>/</w:t>
            </w:r>
          </w:p>
        </w:tc>
        <w:tc>
          <w:tcPr>
            <w:tcW w:w="2805" w:type="dxa"/>
            <w:vAlign w:val="center"/>
          </w:tcPr>
          <w:p>
            <w:pPr>
              <w:pStyle w:val="56"/>
              <w:spacing w:line="240" w:lineRule="auto"/>
              <w:ind w:left="0" w:leftChars="0" w:firstLine="0" w:firstLineChars="0"/>
              <w:rPr>
                <w:rFonts w:hint="default" w:ascii="Times New Roman" w:hAnsi="Times New Roman" w:cs="Times New Roman"/>
                <w:color w:val="auto"/>
              </w:rPr>
            </w:pPr>
            <w:r>
              <w:rPr>
                <w:rFonts w:hint="default" w:ascii="Times New Roman" w:hAnsi="Times New Roman" w:cs="Times New Roman"/>
                <w:color w:val="auto"/>
                <w:sz w:val="21"/>
                <w:szCs w:val="16"/>
              </w:rPr>
              <w:t>全部排入泥浆不落地系统中用于配制泥浆，循环使用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463"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固体废物</w:t>
            </w:r>
          </w:p>
        </w:tc>
        <w:tc>
          <w:tcPr>
            <w:tcW w:w="12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井场</w:t>
            </w:r>
          </w:p>
        </w:tc>
        <w:tc>
          <w:tcPr>
            <w:tcW w:w="124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水基岩屑</w:t>
            </w: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10639.2</w:t>
            </w:r>
            <w:r>
              <w:rPr>
                <w:rFonts w:hint="default" w:ascii="Times New Roman" w:hAnsi="Times New Roman" w:cs="Times New Roman"/>
                <w:color w:val="auto"/>
              </w:rPr>
              <w:t>t</w:t>
            </w:r>
          </w:p>
        </w:tc>
        <w:tc>
          <w:tcPr>
            <w:tcW w:w="2805" w:type="dxa"/>
          </w:tcPr>
          <w:p>
            <w:pPr>
              <w:pStyle w:val="43"/>
              <w:ind w:left="0" w:firstLine="0"/>
              <w:jc w:val="center"/>
              <w:rPr>
                <w:rFonts w:hint="default" w:ascii="Times New Roman" w:hAnsi="Times New Roman" w:cs="Times New Roman"/>
                <w:color w:val="auto"/>
              </w:rPr>
            </w:pPr>
            <w:r>
              <w:rPr>
                <w:rFonts w:hint="default" w:ascii="Times New Roman" w:hAnsi="Times New Roman" w:cs="Times New Roman"/>
                <w:color w:val="auto"/>
              </w:rPr>
              <w:t>临时贮存在井场内的岩屑储罐中，后委托第三方合规处置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管线工程</w:t>
            </w:r>
          </w:p>
        </w:tc>
        <w:tc>
          <w:tcPr>
            <w:tcW w:w="232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施工土方</w:t>
            </w:r>
          </w:p>
        </w:tc>
        <w:tc>
          <w:tcPr>
            <w:tcW w:w="16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0m</w:t>
            </w:r>
            <w:r>
              <w:rPr>
                <w:rFonts w:hint="default" w:ascii="Times New Roman" w:hAnsi="Times New Roman" w:cs="Times New Roman"/>
                <w:color w:val="auto"/>
                <w:vertAlign w:val="superscript"/>
              </w:rPr>
              <w:t>3</w:t>
            </w:r>
          </w:p>
        </w:tc>
        <w:tc>
          <w:tcPr>
            <w:tcW w:w="2805" w:type="dxa"/>
          </w:tcPr>
          <w:p>
            <w:pPr>
              <w:pStyle w:val="47"/>
              <w:rPr>
                <w:rFonts w:hint="default" w:ascii="Times New Roman" w:hAnsi="Times New Roman" w:cs="Times New Roman"/>
                <w:color w:val="auto"/>
              </w:rPr>
            </w:pPr>
            <w:r>
              <w:rPr>
                <w:rFonts w:hint="default" w:ascii="Times New Roman" w:hAnsi="Times New Roman" w:cs="Times New Roman"/>
                <w:color w:val="auto"/>
                <w:lang w:val="en-GB"/>
              </w:rPr>
              <w:t>回填管沟、管廊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机械设备维修、更换</w:t>
            </w:r>
          </w:p>
        </w:tc>
        <w:tc>
          <w:tcPr>
            <w:tcW w:w="232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机械设备废油</w:t>
            </w:r>
          </w:p>
        </w:tc>
        <w:tc>
          <w:tcPr>
            <w:tcW w:w="1661" w:type="dxa"/>
            <w:vAlign w:val="center"/>
          </w:tcPr>
          <w:p>
            <w:pPr>
              <w:pStyle w:val="47"/>
              <w:rPr>
                <w:rFonts w:hint="default" w:ascii="Times New Roman" w:hAnsi="Times New Roman" w:cs="Times New Roman"/>
                <w:color w:val="auto"/>
              </w:rPr>
            </w:pPr>
            <w:r>
              <w:rPr>
                <w:rFonts w:hint="eastAsia" w:cs="Times New Roman"/>
                <w:color w:val="auto"/>
                <w:lang w:val="en-US" w:eastAsia="zh-CN"/>
              </w:rPr>
              <w:t>4.0</w:t>
            </w:r>
            <w:r>
              <w:rPr>
                <w:rFonts w:hint="default" w:ascii="Times New Roman" w:hAnsi="Times New Roman" w:cs="Times New Roman"/>
                <w:color w:val="auto"/>
              </w:rPr>
              <w:t>t</w:t>
            </w:r>
          </w:p>
        </w:tc>
        <w:tc>
          <w:tcPr>
            <w:tcW w:w="280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由钻井公司委托有资质的单位处置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钻井施工区域铺垫防渗膜</w:t>
            </w:r>
          </w:p>
        </w:tc>
        <w:tc>
          <w:tcPr>
            <w:tcW w:w="232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废弃防渗膜</w:t>
            </w:r>
          </w:p>
        </w:tc>
        <w:tc>
          <w:tcPr>
            <w:tcW w:w="16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2805" w:type="dxa"/>
            <w:vAlign w:val="center"/>
          </w:tcPr>
          <w:p>
            <w:pPr>
              <w:pStyle w:val="47"/>
              <w:rPr>
                <w:rFonts w:hint="default" w:ascii="Times New Roman" w:hAnsi="Times New Roman" w:cs="Times New Roman"/>
                <w:color w:val="auto"/>
                <w:lang w:val="en-GB"/>
              </w:rPr>
            </w:pPr>
            <w:r>
              <w:rPr>
                <w:rFonts w:hint="default" w:ascii="Times New Roman" w:hAnsi="Times New Roman" w:cs="Times New Roman"/>
                <w:color w:val="auto"/>
                <w:lang w:val="en-GB"/>
              </w:rPr>
              <w:t>收集后委托有资质的单位进行处置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生活垃圾</w:t>
            </w:r>
          </w:p>
        </w:tc>
        <w:tc>
          <w:tcPr>
            <w:tcW w:w="232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水瓶、纸屑等</w:t>
            </w:r>
          </w:p>
        </w:tc>
        <w:tc>
          <w:tcPr>
            <w:tcW w:w="1661" w:type="dxa"/>
            <w:vAlign w:val="center"/>
          </w:tcPr>
          <w:p>
            <w:pPr>
              <w:pStyle w:val="47"/>
              <w:rPr>
                <w:rFonts w:hint="default" w:ascii="Times New Roman" w:hAnsi="Times New Roman" w:cs="Times New Roman"/>
                <w:color w:val="auto"/>
              </w:rPr>
            </w:pPr>
            <w:r>
              <w:rPr>
                <w:rFonts w:hint="eastAsia" w:cs="Times New Roman"/>
                <w:color w:val="auto"/>
                <w:lang w:eastAsia="zh-CN"/>
              </w:rPr>
              <w:t>8.86</w:t>
            </w:r>
            <w:r>
              <w:rPr>
                <w:rFonts w:hint="default" w:ascii="Times New Roman" w:hAnsi="Times New Roman" w:cs="Times New Roman"/>
                <w:color w:val="auto"/>
              </w:rPr>
              <w:t>t</w:t>
            </w:r>
          </w:p>
        </w:tc>
        <w:tc>
          <w:tcPr>
            <w:tcW w:w="2805" w:type="dxa"/>
          </w:tcPr>
          <w:p>
            <w:pPr>
              <w:pStyle w:val="47"/>
              <w:rPr>
                <w:rFonts w:hint="default" w:ascii="Times New Roman" w:hAnsi="Times New Roman" w:cs="Times New Roman"/>
                <w:color w:val="auto"/>
                <w:lang w:val="en-GB"/>
              </w:rPr>
            </w:pPr>
            <w:r>
              <w:rPr>
                <w:rFonts w:hint="default" w:ascii="Times New Roman" w:hAnsi="Times New Roman" w:cs="Times New Roman"/>
                <w:color w:val="auto"/>
                <w:lang w:val="en-GB"/>
              </w:rPr>
              <w:t>由施工单位统一收集后拉运至</w:t>
            </w:r>
            <w:r>
              <w:rPr>
                <w:rFonts w:hint="default" w:ascii="Times New Roman" w:hAnsi="Times New Roman" w:eastAsia="宋体" w:cs="Times New Roman"/>
                <w:color w:val="auto"/>
                <w:lang w:val="en-US" w:eastAsia="zh-CN"/>
              </w:rPr>
              <w:t>陆梁油田</w:t>
            </w:r>
            <w:r>
              <w:rPr>
                <w:rFonts w:hint="default" w:ascii="Times New Roman" w:hAnsi="Times New Roman" w:cs="Times New Roman"/>
                <w:color w:val="auto"/>
                <w:lang w:val="en-GB"/>
              </w:rPr>
              <w:t>生活垃圾填埋场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Align w:val="center"/>
          </w:tcPr>
          <w:p>
            <w:pPr>
              <w:pStyle w:val="44"/>
              <w:jc w:val="center"/>
              <w:rPr>
                <w:rFonts w:hint="default" w:ascii="Times New Roman" w:hAnsi="Times New Roman" w:cs="Times New Roman"/>
                <w:b w:val="0"/>
                <w:bCs/>
                <w:color w:val="auto"/>
                <w:sz w:val="21"/>
                <w:szCs w:val="15"/>
              </w:rPr>
            </w:pPr>
            <w:r>
              <w:rPr>
                <w:rFonts w:hint="default" w:ascii="Times New Roman" w:hAnsi="Times New Roman" w:cs="Times New Roman"/>
                <w:b w:val="0"/>
                <w:bCs/>
                <w:color w:val="auto"/>
                <w:sz w:val="21"/>
                <w:szCs w:val="15"/>
              </w:rPr>
              <w:t>设备安装</w:t>
            </w:r>
          </w:p>
        </w:tc>
        <w:tc>
          <w:tcPr>
            <w:tcW w:w="2327" w:type="dxa"/>
            <w:gridSpan w:val="2"/>
            <w:vAlign w:val="center"/>
          </w:tcPr>
          <w:p>
            <w:pPr>
              <w:pStyle w:val="44"/>
              <w:jc w:val="center"/>
              <w:rPr>
                <w:rFonts w:hint="default" w:ascii="Times New Roman" w:hAnsi="Times New Roman" w:cs="Times New Roman"/>
                <w:b w:val="0"/>
                <w:bCs/>
                <w:color w:val="auto"/>
                <w:sz w:val="21"/>
                <w:szCs w:val="15"/>
                <w:lang w:val="en-US"/>
              </w:rPr>
            </w:pPr>
            <w:r>
              <w:rPr>
                <w:rFonts w:hint="default" w:ascii="Times New Roman" w:hAnsi="Times New Roman" w:cs="Times New Roman"/>
                <w:b w:val="0"/>
                <w:bCs/>
                <w:color w:val="auto"/>
                <w:sz w:val="21"/>
                <w:szCs w:val="15"/>
              </w:rPr>
              <w:t>建筑垃圾</w:t>
            </w:r>
          </w:p>
        </w:tc>
        <w:tc>
          <w:tcPr>
            <w:tcW w:w="1661" w:type="dxa"/>
            <w:vAlign w:val="center"/>
          </w:tcPr>
          <w:p>
            <w:pPr>
              <w:pStyle w:val="44"/>
              <w:jc w:val="center"/>
              <w:rPr>
                <w:rFonts w:hint="default" w:ascii="Times New Roman" w:hAnsi="Times New Roman" w:cs="Times New Roman"/>
                <w:b w:val="0"/>
                <w:bCs/>
                <w:color w:val="auto"/>
                <w:sz w:val="21"/>
                <w:szCs w:val="15"/>
                <w:lang w:val="en-US"/>
              </w:rPr>
            </w:pPr>
            <w:r>
              <w:rPr>
                <w:rFonts w:hint="default" w:ascii="Times New Roman" w:hAnsi="Times New Roman" w:cs="Times New Roman"/>
                <w:b w:val="0"/>
                <w:bCs/>
                <w:color w:val="auto"/>
                <w:sz w:val="21"/>
                <w:szCs w:val="15"/>
              </w:rPr>
              <w:t>少量</w:t>
            </w:r>
          </w:p>
        </w:tc>
        <w:tc>
          <w:tcPr>
            <w:tcW w:w="2805" w:type="dxa"/>
            <w:vAlign w:val="center"/>
          </w:tcPr>
          <w:p>
            <w:pPr>
              <w:pStyle w:val="44"/>
              <w:jc w:val="center"/>
              <w:rPr>
                <w:rFonts w:hint="default" w:ascii="Times New Roman" w:hAnsi="Times New Roman" w:cs="Times New Roman"/>
                <w:b w:val="0"/>
                <w:bCs/>
                <w:color w:val="auto"/>
                <w:sz w:val="21"/>
                <w:szCs w:val="15"/>
                <w:lang w:val="en-GB"/>
              </w:rPr>
            </w:pPr>
            <w:r>
              <w:rPr>
                <w:rFonts w:hint="default" w:ascii="Times New Roman" w:hAnsi="Times New Roman" w:cs="Times New Roman"/>
                <w:b w:val="0"/>
                <w:bCs/>
                <w:color w:val="auto"/>
                <w:sz w:val="21"/>
                <w:szCs w:val="15"/>
                <w:lang w:val="en-GB"/>
              </w:rPr>
              <w:t>施工废包装材料尽量回收利用，建筑垃圾由施工单位清运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噪声</w:t>
            </w:r>
          </w:p>
        </w:tc>
        <w:tc>
          <w:tcPr>
            <w:tcW w:w="1261"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井场</w:t>
            </w:r>
          </w:p>
        </w:tc>
        <w:tc>
          <w:tcPr>
            <w:tcW w:w="124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钻井设备</w:t>
            </w: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噪声</w:t>
            </w:r>
          </w:p>
        </w:tc>
        <w:tc>
          <w:tcPr>
            <w:tcW w:w="16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90dB(A)</w:t>
            </w:r>
          </w:p>
        </w:tc>
        <w:tc>
          <w:tcPr>
            <w:tcW w:w="2805"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对高噪声设备采取隔声措施，并加强机械设备的保养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47"/>
              <w:rPr>
                <w:rFonts w:hint="default" w:ascii="Times New Roman" w:hAnsi="Times New Roman" w:cs="Times New Roman"/>
                <w:color w:val="auto"/>
              </w:rPr>
            </w:pPr>
          </w:p>
        </w:tc>
        <w:tc>
          <w:tcPr>
            <w:tcW w:w="1261" w:type="dxa"/>
            <w:vMerge w:val="continue"/>
            <w:vAlign w:val="center"/>
          </w:tcPr>
          <w:p>
            <w:pPr>
              <w:pStyle w:val="47"/>
              <w:rPr>
                <w:rFonts w:hint="default" w:ascii="Times New Roman" w:hAnsi="Times New Roman" w:cs="Times New Roman"/>
                <w:color w:val="auto"/>
              </w:rPr>
            </w:pPr>
          </w:p>
        </w:tc>
        <w:tc>
          <w:tcPr>
            <w:tcW w:w="124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泥浆泵</w:t>
            </w:r>
          </w:p>
        </w:tc>
        <w:tc>
          <w:tcPr>
            <w:tcW w:w="10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噪声</w:t>
            </w:r>
          </w:p>
        </w:tc>
        <w:tc>
          <w:tcPr>
            <w:tcW w:w="16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90dB(A)</w:t>
            </w:r>
          </w:p>
        </w:tc>
        <w:tc>
          <w:tcPr>
            <w:tcW w:w="2805" w:type="dxa"/>
            <w:vMerge w:val="continue"/>
            <w:vAlign w:val="center"/>
          </w:tcPr>
          <w:p>
            <w:pPr>
              <w:pStyle w:val="44"/>
              <w:rPr>
                <w:rFonts w:hint="default" w:ascii="Times New Roman" w:hAnsi="Times New Roman" w:cs="Times New Roman"/>
                <w:color w:val="auto"/>
                <w:szCs w:val="21"/>
              </w:rPr>
            </w:pPr>
          </w:p>
        </w:tc>
      </w:tr>
    </w:tbl>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3.7.6.5生态影响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施工期生态影响主要体现在井场、管线、电力线建设阶段，如占用土地、施工对地表植被的影响、土壤扰动等。输送管道开挖产生的弃土及时回填至管沟上方，基本可做到土石方挖填平衡。</w:t>
      </w:r>
    </w:p>
    <w:p>
      <w:pPr>
        <w:spacing w:line="360" w:lineRule="auto"/>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占用土地包括临时占地和永久占地，将暂时或永久改变土地原有使用功能。临时占地包括管线施工便道的临时占地，施工结束后临时占地可恢复原有使用功能。永久占地主要为采油井场的永久占地。</w:t>
      </w:r>
    </w:p>
    <w:p>
      <w:pPr>
        <w:spacing w:line="360" w:lineRule="auto"/>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地面工程施工作业包括地面设施的场地平整、管线敷设、井口设备安装、电力线施工等，施工作业直接破坏了地面植被，造成了土壤扰动，容易导致水土流失。</w:t>
      </w:r>
    </w:p>
    <w:p>
      <w:pPr>
        <w:pStyle w:val="66"/>
        <w:spacing w:line="360" w:lineRule="auto"/>
        <w:ind w:firstLine="480" w:firstLineChars="200"/>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根据估算，本工程总占地面积为</w:t>
      </w:r>
      <w:r>
        <w:rPr>
          <w:rFonts w:hint="eastAsia" w:cs="Times New Roman"/>
          <w:color w:val="auto"/>
          <w:kern w:val="0"/>
          <w:sz w:val="24"/>
          <w:lang w:val="en-US" w:eastAsia="zh-CN"/>
        </w:rPr>
        <w:t>97200</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，其中临时占地</w:t>
      </w:r>
      <w:r>
        <w:rPr>
          <w:rFonts w:hint="eastAsia" w:cs="Times New Roman"/>
          <w:color w:val="auto"/>
          <w:kern w:val="0"/>
          <w:sz w:val="24"/>
          <w:lang w:val="en-US" w:eastAsia="zh-CN"/>
        </w:rPr>
        <w:t>92046</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，永久占地</w:t>
      </w:r>
      <w:r>
        <w:rPr>
          <w:rFonts w:hint="eastAsia" w:cs="Times New Roman"/>
          <w:color w:val="auto"/>
          <w:kern w:val="0"/>
          <w:sz w:val="24"/>
          <w:lang w:eastAsia="zh-CN"/>
        </w:rPr>
        <w:t>5154</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。占地类型为</w:t>
      </w:r>
      <w:r>
        <w:rPr>
          <w:rFonts w:hint="eastAsia" w:cs="Times New Roman"/>
          <w:color w:val="auto"/>
          <w:kern w:val="0"/>
          <w:sz w:val="24"/>
          <w:lang w:eastAsia="zh-CN"/>
        </w:rPr>
        <w:t>沙地</w:t>
      </w:r>
      <w:r>
        <w:rPr>
          <w:rFonts w:hint="default" w:ascii="Times New Roman" w:hAnsi="Times New Roman" w:cs="Times New Roman"/>
          <w:color w:val="auto"/>
          <w:kern w:val="0"/>
          <w:sz w:val="24"/>
        </w:rPr>
        <w:t>。</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3.7.7运营期污染源分析及源强核算</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环境影响因素主要体现在采油、集输过程中无组织排放的挥发性有机物；废水主要为井下作业废水、井下作业废液（废洗井液、废压裂液）、采出水等；固体废物主要为依托场站清罐底泥。噪声源主要为井场设备的运转噪声、井下作业噪声、巡检车辆的交通噪声等。</w:t>
      </w:r>
    </w:p>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3.7.7.1废气污染物</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生产运营期间单井加热采用电加热，无废气污染物排放，在油气集输过程中产生烃类尾气，包括采油井场和集输无组织挥发的烃类尾气。</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油气集输及处理过程中的阀门、法兰等部件产生的少量挥发性有机物，该过程中的无组织挥发废气尚无相应的污染源强核算技术指南，其产生量参考《污染源源强核算技术指南 石油炼制工业》（HJ982-2018）中设备动静密封点泄漏平均排放系数法进行核算，计算公式具体如下：</w:t>
      </w:r>
    </w:p>
    <w:p>
      <w:pPr>
        <w:spacing w:line="360" w:lineRule="auto"/>
        <w:ind w:firstLine="4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2256790" cy="469265"/>
            <wp:effectExtent l="0" t="0" r="10160" b="6985"/>
            <wp:docPr id="2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
                    <pic:cNvPicPr>
                      <a:picLocks noChangeAspect="1"/>
                    </pic:cNvPicPr>
                  </pic:nvPicPr>
                  <pic:blipFill>
                    <a:blip r:embed="rId28" cstate="print"/>
                    <a:stretch>
                      <a:fillRect/>
                    </a:stretch>
                  </pic:blipFill>
                  <pic:spPr>
                    <a:xfrm>
                      <a:off x="0" y="0"/>
                      <a:ext cx="2256790" cy="469265"/>
                    </a:xfrm>
                    <a:prstGeom prst="rect">
                      <a:avLst/>
                    </a:prstGeom>
                    <a:noFill/>
                    <a:ln>
                      <a:noFill/>
                    </a:ln>
                  </pic:spPr>
                </pic:pic>
              </a:graphicData>
            </a:graphic>
          </wp:inline>
        </w:drawing>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i/>
          <w:iCs/>
          <w:color w:val="auto"/>
          <w:position w:val="2"/>
          <w:sz w:val="24"/>
        </w:rPr>
        <w:t>D</w:t>
      </w:r>
      <w:r>
        <w:rPr>
          <w:rFonts w:hint="default" w:ascii="Times New Roman" w:hAnsi="Times New Roman" w:eastAsia="宋体" w:cs="Times New Roman"/>
          <w:i/>
          <w:iCs/>
          <w:color w:val="auto"/>
          <w:position w:val="2"/>
          <w:sz w:val="24"/>
          <w:vertAlign w:val="subscript"/>
        </w:rPr>
        <w:t>设备</w:t>
      </w:r>
      <w:r>
        <w:rPr>
          <w:rFonts w:hint="default" w:ascii="Times New Roman" w:hAnsi="Times New Roman" w:eastAsia="宋体" w:cs="Times New Roman"/>
          <w:color w:val="auto"/>
          <w:position w:val="2"/>
          <w:sz w:val="24"/>
        </w:rPr>
        <w:t>—核算时段内设备与管线组件密封点泄漏的挥发性有机物的量，kg；</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α</w:t>
      </w:r>
      <w:r>
        <w:rPr>
          <w:rFonts w:hint="default" w:ascii="Times New Roman" w:hAnsi="Times New Roman" w:eastAsia="宋体" w:cs="Times New Roman"/>
          <w:color w:val="auto"/>
          <w:sz w:val="24"/>
        </w:rPr>
        <w:t>—设备与管线组件密封点的泄漏比例，本次取0.003；</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WF</w:t>
      </w:r>
      <w:r>
        <w:rPr>
          <w:rFonts w:hint="default" w:ascii="Times New Roman" w:hAnsi="Times New Roman" w:eastAsia="宋体" w:cs="Times New Roman"/>
          <w:i/>
          <w:iCs/>
          <w:color w:val="auto"/>
          <w:sz w:val="24"/>
          <w:vertAlign w:val="subscript"/>
        </w:rPr>
        <w:t>VOCS.i</w:t>
      </w:r>
      <w:r>
        <w:rPr>
          <w:rFonts w:hint="default" w:ascii="Times New Roman" w:hAnsi="Times New Roman" w:eastAsia="宋体" w:cs="Times New Roman"/>
          <w:color w:val="auto"/>
          <w:sz w:val="24"/>
        </w:rPr>
        <w:t>—流经密封点i的物料中挥发性有机物平均质量分数（根据油田采出液组分数据取采出液最大含油率，取70%）；</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WF</w:t>
      </w:r>
      <w:r>
        <w:rPr>
          <w:rFonts w:hint="default" w:ascii="Times New Roman" w:hAnsi="Times New Roman" w:eastAsia="宋体" w:cs="Times New Roman"/>
          <w:i/>
          <w:iCs/>
          <w:color w:val="auto"/>
          <w:sz w:val="24"/>
          <w:vertAlign w:val="subscript"/>
        </w:rPr>
        <w:t>TOC.i</w:t>
      </w:r>
      <w:r>
        <w:rPr>
          <w:rFonts w:hint="default" w:ascii="Times New Roman" w:hAnsi="Times New Roman" w:eastAsia="宋体" w:cs="Times New Roman"/>
          <w:color w:val="auto"/>
          <w:sz w:val="24"/>
        </w:rPr>
        <w:t>—流经密封点i的物料中总有机碳（TOC）平均质量分数（根据油田采出液组分数据取采出液最大含油率，取70%）；</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rPr>
        <w:t>e</w:t>
      </w:r>
      <w:r>
        <w:rPr>
          <w:rFonts w:hint="default" w:ascii="Times New Roman" w:hAnsi="Times New Roman" w:eastAsia="宋体" w:cs="Times New Roman"/>
          <w:i/>
          <w:iCs/>
          <w:color w:val="auto"/>
          <w:sz w:val="24"/>
          <w:vertAlign w:val="subscript"/>
        </w:rPr>
        <w:t>TOC,i</w:t>
      </w:r>
      <w:r>
        <w:rPr>
          <w:rFonts w:hint="default" w:ascii="Times New Roman" w:hAnsi="Times New Roman" w:eastAsia="宋体" w:cs="Times New Roman"/>
          <w:color w:val="auto"/>
          <w:sz w:val="24"/>
        </w:rPr>
        <w:t>一密封点i的总有机碳（TOC）排放速率（泄漏浓度大于10000umol/mol），kg/h；</w:t>
      </w:r>
    </w:p>
    <w:p>
      <w:pPr>
        <w:pStyle w:val="56"/>
        <w:spacing w:line="360" w:lineRule="auto"/>
        <w:rPr>
          <w:rFonts w:hint="default" w:ascii="Times New Roman" w:hAnsi="Times New Roman" w:cs="Times New Roman"/>
          <w:color w:val="auto"/>
          <w:position w:val="2"/>
          <w:sz w:val="24"/>
          <w:szCs w:val="24"/>
        </w:rPr>
      </w:pPr>
      <w:r>
        <w:rPr>
          <w:rFonts w:hint="default" w:ascii="Times New Roman" w:hAnsi="Times New Roman" w:cs="Times New Roman"/>
          <w:i/>
          <w:iCs/>
          <w:color w:val="auto"/>
          <w:position w:val="2"/>
          <w:sz w:val="24"/>
          <w:szCs w:val="24"/>
        </w:rPr>
        <w:t>n</w:t>
      </w:r>
      <w:r>
        <w:rPr>
          <w:rFonts w:hint="default" w:ascii="Times New Roman" w:hAnsi="Times New Roman" w:cs="Times New Roman"/>
          <w:color w:val="auto"/>
          <w:position w:val="2"/>
          <w:sz w:val="24"/>
          <w:szCs w:val="24"/>
        </w:rPr>
        <w:t>—挥发性有机物流经的设备与管线组件密封点数；</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i/>
          <w:iCs/>
          <w:color w:val="auto"/>
          <w:position w:val="2"/>
          <w:sz w:val="24"/>
          <w:szCs w:val="24"/>
        </w:rPr>
        <w:t>t</w:t>
      </w:r>
      <w:r>
        <w:rPr>
          <w:rFonts w:hint="default" w:ascii="Times New Roman" w:hAnsi="Times New Roman" w:cs="Times New Roman"/>
          <w:i/>
          <w:iCs/>
          <w:color w:val="auto"/>
          <w:position w:val="2"/>
          <w:sz w:val="24"/>
          <w:szCs w:val="24"/>
          <w:vertAlign w:val="subscript"/>
        </w:rPr>
        <w:t>i</w:t>
      </w:r>
      <w:r>
        <w:rPr>
          <w:rFonts w:hint="default" w:ascii="Times New Roman" w:hAnsi="Times New Roman" w:cs="Times New Roman"/>
          <w:color w:val="auto"/>
          <w:position w:val="2"/>
          <w:sz w:val="24"/>
          <w:szCs w:val="24"/>
        </w:rPr>
        <w:t>—核算时段内密封点i的运行时间，h，本次取8760h。</w:t>
      </w:r>
      <w:r>
        <w:rPr>
          <w:rFonts w:hint="default" w:ascii="Times New Roman" w:hAnsi="Times New Roman" w:cs="Times New Roman"/>
          <w:color w:val="auto"/>
          <w:sz w:val="24"/>
          <w:szCs w:val="24"/>
        </w:rPr>
        <w:t>取值详见表3.7-11。</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表3.7-11  密封点TOC泄漏排放速率eTOC取值</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967"/>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810"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2967"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设备类型</w:t>
            </w:r>
          </w:p>
        </w:tc>
        <w:tc>
          <w:tcPr>
            <w:tcW w:w="4742"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排放系数/（kg/h/源）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1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w:t>
            </w:r>
          </w:p>
        </w:tc>
        <w:tc>
          <w:tcPr>
            <w:tcW w:w="296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连接件</w:t>
            </w:r>
          </w:p>
        </w:tc>
        <w:tc>
          <w:tcPr>
            <w:tcW w:w="474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1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w:t>
            </w:r>
          </w:p>
        </w:tc>
        <w:tc>
          <w:tcPr>
            <w:tcW w:w="296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阀门</w:t>
            </w:r>
          </w:p>
        </w:tc>
        <w:tc>
          <w:tcPr>
            <w:tcW w:w="474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1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w:t>
            </w:r>
          </w:p>
        </w:tc>
        <w:tc>
          <w:tcPr>
            <w:tcW w:w="296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法兰</w:t>
            </w:r>
          </w:p>
        </w:tc>
        <w:tc>
          <w:tcPr>
            <w:tcW w:w="474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0.085</w:t>
            </w:r>
          </w:p>
        </w:tc>
      </w:tr>
    </w:tbl>
    <w:p>
      <w:pPr>
        <w:pStyle w:val="56"/>
        <w:spacing w:line="360" w:lineRule="auto"/>
        <w:rPr>
          <w:rFonts w:hint="default" w:ascii="Times New Roman" w:hAnsi="Times New Roman" w:cs="Times New Roman"/>
          <w:color w:val="auto"/>
        </w:rPr>
      </w:pPr>
      <w:r>
        <w:rPr>
          <w:rFonts w:hint="default" w:ascii="Times New Roman" w:hAnsi="Times New Roman" w:cs="Times New Roman"/>
          <w:color w:val="auto"/>
          <w:sz w:val="24"/>
          <w:szCs w:val="24"/>
        </w:rPr>
        <w:t>根据上述公式计算油气集输处理过程中的无组织挥发性废气产生量见表3.7-12。</w:t>
      </w:r>
    </w:p>
    <w:p>
      <w:pPr>
        <w:pStyle w:val="41"/>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 w:val="21"/>
          <w:szCs w:val="15"/>
        </w:rPr>
        <w:t>表3.7-12  油气集输及处理过程中无组织挥发有机废气排放情况</w:t>
      </w:r>
    </w:p>
    <w:tbl>
      <w:tblPr>
        <w:tblStyle w:val="31"/>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72"/>
        <w:gridCol w:w="915"/>
        <w:gridCol w:w="2233"/>
        <w:gridCol w:w="2196"/>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987" w:type="dxa"/>
            <w:gridSpan w:val="2"/>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设备类型</w:t>
            </w:r>
          </w:p>
        </w:tc>
        <w:tc>
          <w:tcPr>
            <w:tcW w:w="223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排放系数/（kg/h/源）</w:t>
            </w:r>
          </w:p>
        </w:tc>
        <w:tc>
          <w:tcPr>
            <w:tcW w:w="2196"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设备数量（个/套）</w:t>
            </w:r>
          </w:p>
        </w:tc>
        <w:tc>
          <w:tcPr>
            <w:tcW w:w="1996"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072" w:type="dxa"/>
            <w:vMerge w:val="restart"/>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宋体" w:hAnsi="宋体" w:eastAsia="宋体" w:cs="宋体"/>
                <w:i w:val="0"/>
                <w:iCs w:val="0"/>
                <w:color w:val="auto"/>
                <w:kern w:val="0"/>
                <w:sz w:val="21"/>
                <w:szCs w:val="21"/>
                <w:u w:val="none"/>
                <w:lang w:val="en-US" w:eastAsia="zh-CN" w:bidi="ar"/>
              </w:rPr>
              <w:t>单井井场</w:t>
            </w:r>
          </w:p>
        </w:tc>
        <w:tc>
          <w:tcPr>
            <w:tcW w:w="915"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宋体" w:hAnsi="宋体" w:eastAsia="宋体" w:cs="宋体"/>
                <w:i w:val="0"/>
                <w:iCs w:val="0"/>
                <w:color w:val="auto"/>
                <w:kern w:val="0"/>
                <w:sz w:val="21"/>
                <w:szCs w:val="21"/>
                <w:u w:val="none"/>
                <w:lang w:val="en-US" w:eastAsia="zh-CN" w:bidi="ar"/>
              </w:rPr>
              <w:t>阀门</w:t>
            </w:r>
          </w:p>
        </w:tc>
        <w:tc>
          <w:tcPr>
            <w:tcW w:w="2233"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2196"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072" w:type="dxa"/>
            <w:vMerge w:val="continue"/>
            <w:vAlign w:val="center"/>
          </w:tcPr>
          <w:p>
            <w:pPr>
              <w:jc w:val="center"/>
              <w:rPr>
                <w:rFonts w:hint="default" w:ascii="Times New Roman" w:hAnsi="Times New Roman" w:cs="Times New Roman"/>
                <w:color w:val="auto"/>
              </w:rPr>
            </w:pPr>
          </w:p>
        </w:tc>
        <w:tc>
          <w:tcPr>
            <w:tcW w:w="915"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宋体" w:hAnsi="宋体" w:eastAsia="宋体" w:cs="宋体"/>
                <w:i w:val="0"/>
                <w:iCs w:val="0"/>
                <w:color w:val="auto"/>
                <w:kern w:val="0"/>
                <w:sz w:val="21"/>
                <w:szCs w:val="21"/>
                <w:u w:val="none"/>
                <w:lang w:val="en-US" w:eastAsia="zh-CN" w:bidi="ar"/>
              </w:rPr>
              <w:t>法兰</w:t>
            </w:r>
          </w:p>
        </w:tc>
        <w:tc>
          <w:tcPr>
            <w:tcW w:w="2233"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0.085</w:t>
            </w:r>
          </w:p>
        </w:tc>
        <w:tc>
          <w:tcPr>
            <w:tcW w:w="21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072" w:type="dxa"/>
            <w:vMerge w:val="continue"/>
            <w:vAlign w:val="center"/>
          </w:tcPr>
          <w:p>
            <w:pPr>
              <w:jc w:val="center"/>
              <w:rPr>
                <w:rFonts w:hint="default" w:ascii="Times New Roman" w:hAnsi="Times New Roman" w:cs="Times New Roman"/>
                <w:color w:val="auto"/>
              </w:rPr>
            </w:pPr>
          </w:p>
        </w:tc>
        <w:tc>
          <w:tcPr>
            <w:tcW w:w="915"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宋体" w:hAnsi="宋体" w:eastAsia="宋体" w:cs="宋体"/>
                <w:i w:val="0"/>
                <w:iCs w:val="0"/>
                <w:color w:val="auto"/>
                <w:kern w:val="0"/>
                <w:sz w:val="21"/>
                <w:szCs w:val="21"/>
                <w:u w:val="none"/>
                <w:lang w:val="en-US" w:eastAsia="zh-CN" w:bidi="ar"/>
              </w:rPr>
              <w:t>连接件</w:t>
            </w:r>
          </w:p>
        </w:tc>
        <w:tc>
          <w:tcPr>
            <w:tcW w:w="2233"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21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keepNext w:val="0"/>
              <w:keepLines w:val="0"/>
              <w:widowControl/>
              <w:suppressLineNumbers w:val="0"/>
              <w:jc w:val="center"/>
              <w:textAlignment w:val="center"/>
              <w:rPr>
                <w:rFonts w:hint="default"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单井合计</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Times New Roman" w:hAnsi="Times New Roman" w:eastAsia="宋体" w:cs="Times New Roman"/>
                <w:i w:val="0"/>
                <w:iCs w:val="0"/>
                <w:color w:val="auto"/>
                <w:kern w:val="0"/>
                <w:sz w:val="21"/>
                <w:szCs w:val="21"/>
                <w:u w:val="none"/>
                <w:lang w:val="en-US" w:eastAsia="zh-CN" w:bidi="ar"/>
              </w:rPr>
              <w:t>4</w:t>
            </w:r>
            <w:r>
              <w:rPr>
                <w:rStyle w:val="113"/>
                <w:color w:val="auto"/>
                <w:lang w:val="en-US" w:eastAsia="zh-CN" w:bidi="ar"/>
              </w:rPr>
              <w:t>口单井合计</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Times New Roman" w:hAnsi="Times New Roman" w:eastAsia="宋体" w:cs="Times New Roman"/>
                <w:i w:val="0"/>
                <w:iCs w:val="0"/>
                <w:color w:val="auto"/>
                <w:kern w:val="0"/>
                <w:sz w:val="21"/>
                <w:szCs w:val="21"/>
                <w:u w:val="none"/>
                <w:lang w:val="en-US" w:eastAsia="zh-CN" w:bidi="ar"/>
              </w:rPr>
              <w:t>0.1804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072"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r>
              <w:rPr>
                <w:rStyle w:val="113"/>
                <w:color w:val="auto"/>
                <w:lang w:val="en-US" w:eastAsia="zh-CN" w:bidi="ar"/>
              </w:rPr>
              <w:t>井式井场</w:t>
            </w:r>
          </w:p>
        </w:tc>
        <w:tc>
          <w:tcPr>
            <w:tcW w:w="915"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宋体" w:hAnsi="宋体" w:eastAsia="宋体" w:cs="宋体"/>
                <w:i w:val="0"/>
                <w:iCs w:val="0"/>
                <w:color w:val="auto"/>
                <w:kern w:val="0"/>
                <w:sz w:val="21"/>
                <w:szCs w:val="21"/>
                <w:u w:val="none"/>
                <w:lang w:val="en-US" w:eastAsia="zh-CN" w:bidi="ar"/>
              </w:rPr>
              <w:t>阀门</w:t>
            </w:r>
          </w:p>
        </w:tc>
        <w:tc>
          <w:tcPr>
            <w:tcW w:w="2233"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21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072" w:type="dxa"/>
            <w:vMerge w:val="continue"/>
            <w:vAlign w:val="center"/>
          </w:tcPr>
          <w:p>
            <w:pPr>
              <w:jc w:val="center"/>
              <w:rPr>
                <w:rFonts w:hint="default" w:ascii="Times New Roman" w:hAnsi="Times New Roman" w:cs="Times New Roman"/>
                <w:color w:val="auto"/>
              </w:rPr>
            </w:pPr>
          </w:p>
        </w:tc>
        <w:tc>
          <w:tcPr>
            <w:tcW w:w="915"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宋体" w:hAnsi="宋体" w:eastAsia="宋体" w:cs="宋体"/>
                <w:i w:val="0"/>
                <w:iCs w:val="0"/>
                <w:color w:val="auto"/>
                <w:kern w:val="0"/>
                <w:sz w:val="21"/>
                <w:szCs w:val="21"/>
                <w:u w:val="none"/>
                <w:lang w:val="en-US" w:eastAsia="zh-CN" w:bidi="ar"/>
              </w:rPr>
              <w:t>法兰</w:t>
            </w:r>
          </w:p>
        </w:tc>
        <w:tc>
          <w:tcPr>
            <w:tcW w:w="2233"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0.085</w:t>
            </w:r>
          </w:p>
        </w:tc>
        <w:tc>
          <w:tcPr>
            <w:tcW w:w="219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072" w:type="dxa"/>
            <w:vMerge w:val="continue"/>
            <w:vAlign w:val="center"/>
          </w:tcPr>
          <w:p>
            <w:pPr>
              <w:jc w:val="center"/>
              <w:rPr>
                <w:rFonts w:hint="default" w:ascii="Times New Roman" w:hAnsi="Times New Roman" w:cs="Times New Roman"/>
                <w:color w:val="auto"/>
              </w:rPr>
            </w:pPr>
          </w:p>
        </w:tc>
        <w:tc>
          <w:tcPr>
            <w:tcW w:w="915"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宋体" w:hAnsi="宋体" w:eastAsia="宋体" w:cs="宋体"/>
                <w:i w:val="0"/>
                <w:iCs w:val="0"/>
                <w:color w:val="auto"/>
                <w:kern w:val="0"/>
                <w:sz w:val="21"/>
                <w:szCs w:val="21"/>
                <w:u w:val="none"/>
                <w:lang w:val="en-US" w:eastAsia="zh-CN" w:bidi="ar"/>
              </w:rPr>
              <w:t>连接件</w:t>
            </w:r>
          </w:p>
        </w:tc>
        <w:tc>
          <w:tcPr>
            <w:tcW w:w="2233"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2196"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合计</w:t>
            </w:r>
          </w:p>
        </w:tc>
        <w:tc>
          <w:tcPr>
            <w:tcW w:w="1996"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04" w:hRule="atLeast"/>
          <w:jc w:val="center"/>
        </w:trPr>
        <w:tc>
          <w:tcPr>
            <w:tcW w:w="6416" w:type="dxa"/>
            <w:gridSpan w:val="4"/>
            <w:vAlign w:val="center"/>
          </w:tcPr>
          <w:p>
            <w:pPr>
              <w:pStyle w:val="47"/>
              <w:rPr>
                <w:rFonts w:hint="default" w:ascii="Times New Roman" w:hAnsi="Times New Roman" w:cs="Times New Roman"/>
                <w:color w:val="auto"/>
              </w:rPr>
            </w:pPr>
            <w:r>
              <w:rPr>
                <w:rFonts w:hint="eastAsia" w:cs="Times New Roman"/>
                <w:color w:val="auto"/>
                <w:lang w:val="en-US" w:eastAsia="zh-CN"/>
              </w:rPr>
              <w:t>总</w:t>
            </w:r>
            <w:r>
              <w:rPr>
                <w:rFonts w:hint="default" w:ascii="Times New Roman" w:hAnsi="Times New Roman" w:cs="Times New Roman"/>
                <w:color w:val="auto"/>
              </w:rPr>
              <w:t>计</w:t>
            </w:r>
          </w:p>
        </w:tc>
        <w:tc>
          <w:tcPr>
            <w:tcW w:w="1996" w:type="dxa"/>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0.2714</w:t>
            </w:r>
          </w:p>
        </w:tc>
      </w:tr>
    </w:tbl>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3.7.7.2废水污染物</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注水井井场不产生废水。工作人员对油井、注水井定期进行巡检，不新增劳动定员，工作人员由陆梁油田作业区调剂解决，故不新增生活污水。运营期产生污水主要为油气开采井下作业废水、井下作业废液（废洗井液、废压裂返排液）和采出水</w:t>
      </w:r>
      <w:r>
        <w:rPr>
          <w:rFonts w:hint="default" w:ascii="Times New Roman" w:hAnsi="Times New Roman" w:eastAsia="宋体" w:cs="Times New Roman"/>
          <w:bCs/>
          <w:color w:val="auto"/>
          <w:sz w:val="24"/>
        </w:rPr>
        <w:t>。</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（1）井下作业废水</w:t>
      </w:r>
    </w:p>
    <w:p>
      <w:pPr>
        <w:adjustRightInd w:val="0"/>
        <w:snapToGrid w:val="0"/>
        <w:spacing w:line="360" w:lineRule="auto"/>
        <w:ind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拟建工程运营期井下作业主要包括大小修井、洗井等。根据《排放源统计调查产排污核算方法和系数手册》（2021.6.11）中“1120石油和天然气开采专业及辅助性活动行业系数手册”（续表1）计算井下作业废水的产生量。</w:t>
      </w:r>
      <w:bookmarkStart w:id="212" w:name="_Hlk5211222"/>
    </w:p>
    <w:p>
      <w:pPr>
        <w:pStyle w:val="41"/>
        <w:spacing w:line="360" w:lineRule="auto"/>
        <w:jc w:val="center"/>
        <w:rPr>
          <w:rFonts w:hint="default" w:ascii="Times New Roman" w:hAnsi="Times New Roman" w:cs="Times New Roman"/>
          <w:b/>
          <w:color w:val="auto"/>
          <w:sz w:val="21"/>
          <w:szCs w:val="15"/>
        </w:rPr>
      </w:pPr>
    </w:p>
    <w:p>
      <w:pPr>
        <w:pStyle w:val="41"/>
        <w:spacing w:line="360" w:lineRule="auto"/>
        <w:jc w:val="center"/>
        <w:rPr>
          <w:rFonts w:hint="default" w:ascii="Times New Roman" w:hAnsi="Times New Roman" w:cs="Times New Roman"/>
          <w:b/>
          <w:color w:val="auto"/>
          <w:sz w:val="21"/>
          <w:szCs w:val="15"/>
        </w:rPr>
      </w:pPr>
    </w:p>
    <w:p>
      <w:pPr>
        <w:pStyle w:val="41"/>
        <w:spacing w:line="360" w:lineRule="auto"/>
        <w:jc w:val="center"/>
        <w:rPr>
          <w:rFonts w:hint="default" w:ascii="Times New Roman" w:hAnsi="Times New Roman" w:cs="Times New Roman"/>
          <w:b/>
          <w:color w:val="auto"/>
          <w:sz w:val="21"/>
          <w:szCs w:val="15"/>
        </w:rPr>
      </w:pP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表3.7-13  与石油和天然气开采有关的服务活动产排污系数一览表</w:t>
      </w:r>
    </w:p>
    <w:bookmarkEnd w:id="212"/>
    <w:tbl>
      <w:tblPr>
        <w:tblStyle w:val="31"/>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46"/>
        <w:gridCol w:w="921"/>
        <w:gridCol w:w="692"/>
        <w:gridCol w:w="1317"/>
        <w:gridCol w:w="1365"/>
        <w:gridCol w:w="910"/>
        <w:gridCol w:w="1124"/>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40" w:type="dxa"/>
            <w:vAlign w:val="center"/>
          </w:tcPr>
          <w:p>
            <w:pPr>
              <w:pStyle w:val="47"/>
              <w:rPr>
                <w:rFonts w:cs="Times New Roman"/>
                <w:b/>
                <w:bCs/>
                <w:color w:val="auto"/>
              </w:rPr>
            </w:pPr>
            <w:r>
              <w:rPr>
                <w:rFonts w:cs="Times New Roman"/>
                <w:b/>
                <w:bCs/>
                <w:color w:val="auto"/>
              </w:rPr>
              <w:t>产品</w:t>
            </w:r>
          </w:p>
          <w:p>
            <w:pPr>
              <w:pStyle w:val="47"/>
              <w:rPr>
                <w:rFonts w:cs="Times New Roman"/>
                <w:b/>
                <w:bCs/>
                <w:color w:val="auto"/>
              </w:rPr>
            </w:pPr>
            <w:r>
              <w:rPr>
                <w:rFonts w:cs="Times New Roman"/>
                <w:b/>
                <w:bCs/>
                <w:color w:val="auto"/>
              </w:rPr>
              <w:t>名称</w:t>
            </w:r>
          </w:p>
        </w:tc>
        <w:tc>
          <w:tcPr>
            <w:tcW w:w="846" w:type="dxa"/>
            <w:vAlign w:val="center"/>
          </w:tcPr>
          <w:p>
            <w:pPr>
              <w:pStyle w:val="47"/>
              <w:rPr>
                <w:rFonts w:cs="Times New Roman"/>
                <w:b/>
                <w:bCs/>
                <w:color w:val="auto"/>
              </w:rPr>
            </w:pPr>
            <w:r>
              <w:rPr>
                <w:rFonts w:cs="Times New Roman"/>
                <w:b/>
                <w:bCs/>
                <w:color w:val="auto"/>
              </w:rPr>
              <w:t>原料</w:t>
            </w:r>
          </w:p>
          <w:p>
            <w:pPr>
              <w:pStyle w:val="47"/>
              <w:rPr>
                <w:rFonts w:cs="Times New Roman"/>
                <w:b/>
                <w:bCs/>
                <w:color w:val="auto"/>
              </w:rPr>
            </w:pPr>
            <w:r>
              <w:rPr>
                <w:rFonts w:cs="Times New Roman"/>
                <w:b/>
                <w:bCs/>
                <w:color w:val="auto"/>
              </w:rPr>
              <w:t>名称</w:t>
            </w:r>
          </w:p>
        </w:tc>
        <w:tc>
          <w:tcPr>
            <w:tcW w:w="921" w:type="dxa"/>
            <w:vAlign w:val="center"/>
          </w:tcPr>
          <w:p>
            <w:pPr>
              <w:pStyle w:val="47"/>
              <w:rPr>
                <w:rFonts w:cs="Times New Roman"/>
                <w:b/>
                <w:bCs/>
                <w:color w:val="auto"/>
              </w:rPr>
            </w:pPr>
            <w:r>
              <w:rPr>
                <w:rFonts w:cs="Times New Roman"/>
                <w:b/>
                <w:bCs/>
                <w:color w:val="auto"/>
              </w:rPr>
              <w:t>工艺名称</w:t>
            </w:r>
          </w:p>
        </w:tc>
        <w:tc>
          <w:tcPr>
            <w:tcW w:w="692" w:type="dxa"/>
            <w:vAlign w:val="center"/>
          </w:tcPr>
          <w:p>
            <w:pPr>
              <w:pStyle w:val="47"/>
              <w:rPr>
                <w:rFonts w:cs="Times New Roman"/>
                <w:b/>
                <w:bCs/>
                <w:color w:val="auto"/>
              </w:rPr>
            </w:pPr>
            <w:r>
              <w:rPr>
                <w:rFonts w:cs="Times New Roman"/>
                <w:b/>
                <w:bCs/>
                <w:color w:val="auto"/>
              </w:rPr>
              <w:t>规模等级</w:t>
            </w:r>
          </w:p>
        </w:tc>
        <w:tc>
          <w:tcPr>
            <w:tcW w:w="1317" w:type="dxa"/>
            <w:vAlign w:val="center"/>
          </w:tcPr>
          <w:p>
            <w:pPr>
              <w:pStyle w:val="47"/>
              <w:rPr>
                <w:rFonts w:cs="Times New Roman"/>
                <w:b/>
                <w:bCs/>
                <w:color w:val="auto"/>
              </w:rPr>
            </w:pPr>
            <w:r>
              <w:rPr>
                <w:rFonts w:cs="Times New Roman"/>
                <w:b/>
                <w:bCs/>
                <w:color w:val="auto"/>
              </w:rPr>
              <w:t>污染物指标</w:t>
            </w:r>
          </w:p>
        </w:tc>
        <w:tc>
          <w:tcPr>
            <w:tcW w:w="1365" w:type="dxa"/>
            <w:vAlign w:val="center"/>
          </w:tcPr>
          <w:p>
            <w:pPr>
              <w:pStyle w:val="47"/>
              <w:rPr>
                <w:rFonts w:cs="Times New Roman"/>
                <w:b/>
                <w:bCs/>
                <w:color w:val="auto"/>
              </w:rPr>
            </w:pPr>
            <w:r>
              <w:rPr>
                <w:rFonts w:cs="Times New Roman"/>
                <w:b/>
                <w:bCs/>
                <w:color w:val="auto"/>
              </w:rPr>
              <w:t>单位</w:t>
            </w:r>
          </w:p>
        </w:tc>
        <w:tc>
          <w:tcPr>
            <w:tcW w:w="910" w:type="dxa"/>
            <w:vAlign w:val="center"/>
          </w:tcPr>
          <w:p>
            <w:pPr>
              <w:pStyle w:val="47"/>
              <w:rPr>
                <w:rFonts w:cs="Times New Roman"/>
                <w:b/>
                <w:bCs/>
                <w:color w:val="auto"/>
              </w:rPr>
            </w:pPr>
            <w:r>
              <w:rPr>
                <w:rFonts w:cs="Times New Roman"/>
                <w:b/>
                <w:bCs/>
                <w:color w:val="auto"/>
              </w:rPr>
              <w:t>产污</w:t>
            </w:r>
          </w:p>
          <w:p>
            <w:pPr>
              <w:pStyle w:val="47"/>
              <w:rPr>
                <w:rFonts w:cs="Times New Roman"/>
                <w:b/>
                <w:bCs/>
                <w:color w:val="auto"/>
              </w:rPr>
            </w:pPr>
            <w:r>
              <w:rPr>
                <w:rFonts w:cs="Times New Roman"/>
                <w:b/>
                <w:bCs/>
                <w:color w:val="auto"/>
              </w:rPr>
              <w:t>系数</w:t>
            </w:r>
          </w:p>
        </w:tc>
        <w:tc>
          <w:tcPr>
            <w:tcW w:w="1124" w:type="dxa"/>
            <w:vAlign w:val="center"/>
          </w:tcPr>
          <w:p>
            <w:pPr>
              <w:pStyle w:val="47"/>
              <w:rPr>
                <w:rFonts w:cs="Times New Roman"/>
                <w:b/>
                <w:bCs/>
                <w:color w:val="auto"/>
              </w:rPr>
            </w:pPr>
            <w:r>
              <w:rPr>
                <w:rFonts w:cs="Times New Roman"/>
                <w:b/>
                <w:bCs/>
                <w:color w:val="auto"/>
              </w:rPr>
              <w:t>末端治理技术名称</w:t>
            </w:r>
          </w:p>
        </w:tc>
        <w:tc>
          <w:tcPr>
            <w:tcW w:w="702" w:type="dxa"/>
            <w:vAlign w:val="center"/>
          </w:tcPr>
          <w:p>
            <w:pPr>
              <w:pStyle w:val="47"/>
              <w:rPr>
                <w:rFonts w:cs="Times New Roman"/>
                <w:b/>
                <w:bCs/>
                <w:color w:val="auto"/>
              </w:rPr>
            </w:pPr>
            <w:r>
              <w:rPr>
                <w:rFonts w:cs="Times New Roman"/>
                <w:b/>
                <w:bCs/>
                <w:color w:val="auto"/>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40" w:type="dxa"/>
            <w:vMerge w:val="restart"/>
            <w:vAlign w:val="center"/>
          </w:tcPr>
          <w:p>
            <w:pPr>
              <w:pStyle w:val="47"/>
              <w:rPr>
                <w:rFonts w:cs="Times New Roman"/>
                <w:color w:val="auto"/>
              </w:rPr>
            </w:pPr>
            <w:r>
              <w:rPr>
                <w:rFonts w:cs="Times New Roman"/>
                <w:color w:val="auto"/>
              </w:rPr>
              <w:t>井下作业</w:t>
            </w:r>
          </w:p>
        </w:tc>
        <w:tc>
          <w:tcPr>
            <w:tcW w:w="846" w:type="dxa"/>
            <w:vMerge w:val="restart"/>
            <w:vAlign w:val="center"/>
          </w:tcPr>
          <w:p>
            <w:pPr>
              <w:pStyle w:val="47"/>
              <w:rPr>
                <w:rFonts w:cs="Times New Roman"/>
                <w:color w:val="auto"/>
              </w:rPr>
            </w:pPr>
            <w:r>
              <w:rPr>
                <w:rFonts w:cs="Times New Roman"/>
                <w:color w:val="auto"/>
              </w:rPr>
              <w:t>洗井液（水）</w:t>
            </w:r>
          </w:p>
        </w:tc>
        <w:tc>
          <w:tcPr>
            <w:tcW w:w="921" w:type="dxa"/>
            <w:vMerge w:val="restart"/>
            <w:vAlign w:val="center"/>
          </w:tcPr>
          <w:p>
            <w:pPr>
              <w:pStyle w:val="47"/>
              <w:rPr>
                <w:rFonts w:cs="Times New Roman"/>
                <w:color w:val="auto"/>
              </w:rPr>
            </w:pPr>
            <w:r>
              <w:rPr>
                <w:rFonts w:cs="Times New Roman"/>
                <w:color w:val="auto"/>
              </w:rPr>
              <w:t>低渗透油井洗井作业</w:t>
            </w:r>
          </w:p>
        </w:tc>
        <w:tc>
          <w:tcPr>
            <w:tcW w:w="692" w:type="dxa"/>
            <w:vMerge w:val="restart"/>
            <w:vAlign w:val="center"/>
          </w:tcPr>
          <w:p>
            <w:pPr>
              <w:pStyle w:val="47"/>
              <w:rPr>
                <w:rFonts w:cs="Times New Roman"/>
                <w:color w:val="auto"/>
              </w:rPr>
            </w:pPr>
            <w:r>
              <w:rPr>
                <w:rFonts w:cs="Times New Roman"/>
                <w:color w:val="auto"/>
              </w:rPr>
              <w:t>所有规模</w:t>
            </w:r>
          </w:p>
        </w:tc>
        <w:tc>
          <w:tcPr>
            <w:tcW w:w="1317" w:type="dxa"/>
            <w:vAlign w:val="center"/>
          </w:tcPr>
          <w:p>
            <w:pPr>
              <w:pStyle w:val="47"/>
              <w:rPr>
                <w:rFonts w:cs="Times New Roman"/>
                <w:color w:val="auto"/>
              </w:rPr>
            </w:pPr>
            <w:r>
              <w:rPr>
                <w:rFonts w:cs="Times New Roman"/>
                <w:color w:val="auto"/>
              </w:rPr>
              <w:t>工业废水量</w:t>
            </w:r>
          </w:p>
        </w:tc>
        <w:tc>
          <w:tcPr>
            <w:tcW w:w="1365" w:type="dxa"/>
            <w:vAlign w:val="center"/>
          </w:tcPr>
          <w:p>
            <w:pPr>
              <w:pStyle w:val="47"/>
              <w:rPr>
                <w:rFonts w:cs="Times New Roman"/>
                <w:color w:val="auto"/>
              </w:rPr>
            </w:pPr>
            <w:r>
              <w:rPr>
                <w:rFonts w:cs="Times New Roman"/>
                <w:color w:val="auto"/>
              </w:rPr>
              <w:t>t/井次-产品</w:t>
            </w:r>
          </w:p>
        </w:tc>
        <w:tc>
          <w:tcPr>
            <w:tcW w:w="910" w:type="dxa"/>
            <w:vAlign w:val="center"/>
          </w:tcPr>
          <w:p>
            <w:pPr>
              <w:pStyle w:val="47"/>
              <w:rPr>
                <w:rFonts w:cs="Times New Roman"/>
                <w:color w:val="auto"/>
              </w:rPr>
            </w:pPr>
            <w:r>
              <w:rPr>
                <w:rFonts w:cs="Times New Roman"/>
                <w:color w:val="auto"/>
              </w:rPr>
              <w:t>27.13</w:t>
            </w:r>
          </w:p>
        </w:tc>
        <w:tc>
          <w:tcPr>
            <w:tcW w:w="1124" w:type="dxa"/>
            <w:vMerge w:val="restart"/>
            <w:vAlign w:val="center"/>
          </w:tcPr>
          <w:p>
            <w:pPr>
              <w:pStyle w:val="47"/>
              <w:rPr>
                <w:rFonts w:cs="Times New Roman"/>
                <w:color w:val="auto"/>
              </w:rPr>
            </w:pPr>
            <w:r>
              <w:rPr>
                <w:rFonts w:cs="Times New Roman"/>
                <w:color w:val="auto"/>
              </w:rPr>
              <w:t>回注油藏</w:t>
            </w:r>
          </w:p>
        </w:tc>
        <w:tc>
          <w:tcPr>
            <w:tcW w:w="702" w:type="dxa"/>
            <w:vAlign w:val="center"/>
          </w:tcPr>
          <w:p>
            <w:pPr>
              <w:pStyle w:val="47"/>
              <w:rPr>
                <w:rFonts w:cs="Times New Roman"/>
                <w:color w:val="auto"/>
              </w:rPr>
            </w:pPr>
            <w:r>
              <w:rPr>
                <w:rFonts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40" w:type="dxa"/>
            <w:vMerge w:val="continue"/>
            <w:vAlign w:val="center"/>
          </w:tcPr>
          <w:p>
            <w:pPr>
              <w:pStyle w:val="47"/>
              <w:rPr>
                <w:rFonts w:cs="Times New Roman"/>
                <w:color w:val="auto"/>
              </w:rPr>
            </w:pPr>
          </w:p>
        </w:tc>
        <w:tc>
          <w:tcPr>
            <w:tcW w:w="846" w:type="dxa"/>
            <w:vMerge w:val="continue"/>
            <w:vAlign w:val="center"/>
          </w:tcPr>
          <w:p>
            <w:pPr>
              <w:pStyle w:val="47"/>
              <w:rPr>
                <w:rFonts w:cs="Times New Roman"/>
                <w:color w:val="auto"/>
              </w:rPr>
            </w:pPr>
          </w:p>
        </w:tc>
        <w:tc>
          <w:tcPr>
            <w:tcW w:w="921" w:type="dxa"/>
            <w:vMerge w:val="continue"/>
            <w:vAlign w:val="center"/>
          </w:tcPr>
          <w:p>
            <w:pPr>
              <w:pStyle w:val="47"/>
              <w:rPr>
                <w:rFonts w:cs="Times New Roman"/>
                <w:color w:val="auto"/>
              </w:rPr>
            </w:pPr>
          </w:p>
        </w:tc>
        <w:tc>
          <w:tcPr>
            <w:tcW w:w="692" w:type="dxa"/>
            <w:vMerge w:val="continue"/>
            <w:vAlign w:val="center"/>
          </w:tcPr>
          <w:p>
            <w:pPr>
              <w:pStyle w:val="47"/>
              <w:rPr>
                <w:rFonts w:cs="Times New Roman"/>
                <w:color w:val="auto"/>
              </w:rPr>
            </w:pPr>
          </w:p>
        </w:tc>
        <w:tc>
          <w:tcPr>
            <w:tcW w:w="1317" w:type="dxa"/>
            <w:vAlign w:val="center"/>
          </w:tcPr>
          <w:p>
            <w:pPr>
              <w:pStyle w:val="47"/>
              <w:rPr>
                <w:rFonts w:cs="Times New Roman"/>
                <w:color w:val="auto"/>
              </w:rPr>
            </w:pPr>
            <w:r>
              <w:rPr>
                <w:rFonts w:cs="Times New Roman"/>
                <w:color w:val="auto"/>
              </w:rPr>
              <w:t>化学需氧量</w:t>
            </w:r>
          </w:p>
        </w:tc>
        <w:tc>
          <w:tcPr>
            <w:tcW w:w="1365" w:type="dxa"/>
            <w:vAlign w:val="center"/>
          </w:tcPr>
          <w:p>
            <w:pPr>
              <w:pStyle w:val="47"/>
              <w:rPr>
                <w:rFonts w:cs="Times New Roman"/>
                <w:color w:val="auto"/>
              </w:rPr>
            </w:pPr>
            <w:r>
              <w:rPr>
                <w:rFonts w:cs="Times New Roman"/>
                <w:color w:val="auto"/>
              </w:rPr>
              <w:t>g/井次-产品</w:t>
            </w:r>
          </w:p>
        </w:tc>
        <w:tc>
          <w:tcPr>
            <w:tcW w:w="910" w:type="dxa"/>
            <w:vAlign w:val="center"/>
          </w:tcPr>
          <w:p>
            <w:pPr>
              <w:pStyle w:val="47"/>
              <w:rPr>
                <w:rFonts w:cs="Times New Roman"/>
                <w:color w:val="auto"/>
              </w:rPr>
            </w:pPr>
            <w:r>
              <w:rPr>
                <w:rFonts w:cs="Times New Roman"/>
                <w:color w:val="auto"/>
              </w:rPr>
              <w:t>34679.3</w:t>
            </w:r>
          </w:p>
        </w:tc>
        <w:tc>
          <w:tcPr>
            <w:tcW w:w="1124" w:type="dxa"/>
            <w:vMerge w:val="continue"/>
            <w:vAlign w:val="center"/>
          </w:tcPr>
          <w:p>
            <w:pPr>
              <w:pStyle w:val="47"/>
              <w:rPr>
                <w:rFonts w:cs="Times New Roman"/>
                <w:color w:val="auto"/>
              </w:rPr>
            </w:pPr>
          </w:p>
        </w:tc>
        <w:tc>
          <w:tcPr>
            <w:tcW w:w="702" w:type="dxa"/>
            <w:vAlign w:val="center"/>
          </w:tcPr>
          <w:p>
            <w:pPr>
              <w:pStyle w:val="47"/>
              <w:rPr>
                <w:rFonts w:cs="Times New Roman"/>
                <w:color w:val="auto"/>
              </w:rPr>
            </w:pPr>
            <w:r>
              <w:rPr>
                <w:rFonts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40" w:type="dxa"/>
            <w:vMerge w:val="continue"/>
            <w:vAlign w:val="center"/>
          </w:tcPr>
          <w:p>
            <w:pPr>
              <w:pStyle w:val="47"/>
              <w:rPr>
                <w:rFonts w:cs="Times New Roman"/>
                <w:color w:val="auto"/>
              </w:rPr>
            </w:pPr>
          </w:p>
        </w:tc>
        <w:tc>
          <w:tcPr>
            <w:tcW w:w="846" w:type="dxa"/>
            <w:vMerge w:val="continue"/>
            <w:vAlign w:val="center"/>
          </w:tcPr>
          <w:p>
            <w:pPr>
              <w:pStyle w:val="47"/>
              <w:rPr>
                <w:rFonts w:cs="Times New Roman"/>
                <w:color w:val="auto"/>
              </w:rPr>
            </w:pPr>
          </w:p>
        </w:tc>
        <w:tc>
          <w:tcPr>
            <w:tcW w:w="921" w:type="dxa"/>
            <w:vMerge w:val="continue"/>
            <w:vAlign w:val="center"/>
          </w:tcPr>
          <w:p>
            <w:pPr>
              <w:pStyle w:val="47"/>
              <w:rPr>
                <w:rFonts w:cs="Times New Roman"/>
                <w:color w:val="auto"/>
              </w:rPr>
            </w:pPr>
          </w:p>
        </w:tc>
        <w:tc>
          <w:tcPr>
            <w:tcW w:w="692" w:type="dxa"/>
            <w:vMerge w:val="continue"/>
            <w:vAlign w:val="center"/>
          </w:tcPr>
          <w:p>
            <w:pPr>
              <w:pStyle w:val="47"/>
              <w:rPr>
                <w:rFonts w:cs="Times New Roman"/>
                <w:color w:val="auto"/>
              </w:rPr>
            </w:pPr>
          </w:p>
        </w:tc>
        <w:tc>
          <w:tcPr>
            <w:tcW w:w="1317" w:type="dxa"/>
            <w:vAlign w:val="center"/>
          </w:tcPr>
          <w:p>
            <w:pPr>
              <w:pStyle w:val="47"/>
              <w:rPr>
                <w:rFonts w:cs="Times New Roman"/>
                <w:color w:val="auto"/>
              </w:rPr>
            </w:pPr>
            <w:r>
              <w:rPr>
                <w:rFonts w:cs="Times New Roman"/>
                <w:color w:val="auto"/>
              </w:rPr>
              <w:t>石油类</w:t>
            </w:r>
          </w:p>
        </w:tc>
        <w:tc>
          <w:tcPr>
            <w:tcW w:w="1365" w:type="dxa"/>
            <w:vAlign w:val="center"/>
          </w:tcPr>
          <w:p>
            <w:pPr>
              <w:pStyle w:val="47"/>
              <w:rPr>
                <w:rFonts w:cs="Times New Roman"/>
                <w:color w:val="auto"/>
              </w:rPr>
            </w:pPr>
            <w:r>
              <w:rPr>
                <w:rFonts w:cs="Times New Roman"/>
                <w:color w:val="auto"/>
              </w:rPr>
              <w:t>g/井次-产品</w:t>
            </w:r>
          </w:p>
        </w:tc>
        <w:tc>
          <w:tcPr>
            <w:tcW w:w="910" w:type="dxa"/>
            <w:vAlign w:val="center"/>
          </w:tcPr>
          <w:p>
            <w:pPr>
              <w:pStyle w:val="47"/>
              <w:rPr>
                <w:rFonts w:cs="Times New Roman"/>
                <w:color w:val="auto"/>
              </w:rPr>
            </w:pPr>
            <w:r>
              <w:rPr>
                <w:rFonts w:cs="Times New Roman"/>
                <w:color w:val="auto"/>
              </w:rPr>
              <w:t>6112.1</w:t>
            </w:r>
          </w:p>
        </w:tc>
        <w:tc>
          <w:tcPr>
            <w:tcW w:w="1124" w:type="dxa"/>
            <w:vMerge w:val="continue"/>
            <w:vAlign w:val="center"/>
          </w:tcPr>
          <w:p>
            <w:pPr>
              <w:pStyle w:val="47"/>
              <w:rPr>
                <w:rFonts w:cs="Times New Roman"/>
                <w:color w:val="auto"/>
              </w:rPr>
            </w:pPr>
          </w:p>
        </w:tc>
        <w:tc>
          <w:tcPr>
            <w:tcW w:w="702" w:type="dxa"/>
            <w:vAlign w:val="center"/>
          </w:tcPr>
          <w:p>
            <w:pPr>
              <w:pStyle w:val="47"/>
              <w:rPr>
                <w:rFonts w:cs="Times New Roman"/>
                <w:color w:val="auto"/>
              </w:rPr>
            </w:pPr>
            <w:r>
              <w:rPr>
                <w:rFonts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17" w:type="dxa"/>
            <w:gridSpan w:val="9"/>
            <w:vAlign w:val="center"/>
          </w:tcPr>
          <w:p>
            <w:pPr>
              <w:pStyle w:val="47"/>
              <w:jc w:val="left"/>
              <w:rPr>
                <w:rFonts w:cs="Times New Roman"/>
                <w:color w:val="auto"/>
              </w:rPr>
            </w:pPr>
            <w:r>
              <w:rPr>
                <w:rFonts w:cs="Times New Roman"/>
                <w:color w:val="auto"/>
              </w:rPr>
              <w:t>注：洗井废水全部用于回注油藏，不外排，故排污系数为0。</w:t>
            </w:r>
          </w:p>
        </w:tc>
      </w:tr>
    </w:tbl>
    <w:p>
      <w:pPr>
        <w:adjustRightInd w:val="0"/>
        <w:snapToGrid w:val="0"/>
        <w:spacing w:line="360" w:lineRule="auto"/>
        <w:ind w:firstLine="482"/>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根据建设单位提供</w:t>
      </w:r>
      <w:r>
        <w:rPr>
          <w:rFonts w:hint="eastAsia" w:ascii="Times New Roman" w:hAnsi="Times New Roman" w:eastAsia="宋体" w:cs="Times New Roman"/>
          <w:color w:val="auto"/>
          <w:sz w:val="24"/>
          <w:lang w:val="en-US" w:eastAsia="zh-CN"/>
        </w:rPr>
        <w:t>设计</w:t>
      </w:r>
      <w:r>
        <w:rPr>
          <w:rFonts w:hint="default" w:ascii="Times New Roman" w:hAnsi="Times New Roman" w:eastAsia="宋体" w:cs="Times New Roman"/>
          <w:color w:val="auto"/>
          <w:sz w:val="24"/>
        </w:rPr>
        <w:t>，</w:t>
      </w:r>
      <w:r>
        <w:rPr>
          <w:rFonts w:hint="default" w:ascii="Times New Roman" w:hAnsi="Times New Roman" w:cs="Times New Roman"/>
          <w:b w:val="0"/>
          <w:bCs w:val="0"/>
          <w:color w:val="auto"/>
          <w:sz w:val="24"/>
        </w:rPr>
        <w:t>陆136井区头屯河组J</w:t>
      </w:r>
      <w:r>
        <w:rPr>
          <w:rFonts w:hint="default" w:ascii="Times New Roman" w:hAnsi="Times New Roman" w:cs="Times New Roman"/>
          <w:b w:val="0"/>
          <w:bCs w:val="0"/>
          <w:color w:val="auto"/>
          <w:sz w:val="24"/>
          <w:vertAlign w:val="subscript"/>
        </w:rPr>
        <w:t>2</w:t>
      </w:r>
      <w:r>
        <w:rPr>
          <w:rFonts w:hint="default" w:ascii="Times New Roman" w:hAnsi="Times New Roman" w:cs="Times New Roman"/>
          <w:b w:val="0"/>
          <w:bCs w:val="0"/>
          <w:color w:val="auto"/>
          <w:sz w:val="24"/>
        </w:rPr>
        <w:t>t</w:t>
      </w:r>
      <w:r>
        <w:rPr>
          <w:rFonts w:hint="default" w:ascii="Times New Roman" w:hAnsi="Times New Roman" w:cs="Times New Roman"/>
          <w:b w:val="0"/>
          <w:bCs w:val="0"/>
          <w:color w:val="auto"/>
          <w:sz w:val="24"/>
          <w:vertAlign w:val="subscript"/>
        </w:rPr>
        <w:t>1</w:t>
      </w:r>
      <w:r>
        <w:rPr>
          <w:rFonts w:hint="default" w:ascii="Times New Roman" w:hAnsi="Times New Roman" w:cs="Times New Roman"/>
          <w:b w:val="0"/>
          <w:bCs w:val="0"/>
          <w:color w:val="auto"/>
          <w:sz w:val="24"/>
        </w:rPr>
        <w:t>油藏</w:t>
      </w:r>
      <w:r>
        <w:rPr>
          <w:rFonts w:hint="default" w:ascii="Times New Roman" w:hAnsi="Times New Roman" w:cs="Times New Roman"/>
          <w:b w:val="0"/>
          <w:bCs w:val="0"/>
          <w:color w:val="auto"/>
          <w:sz w:val="24"/>
          <w:lang w:val="en-US" w:eastAsia="zh-CN"/>
        </w:rPr>
        <w:t>属低渗油藏</w:t>
      </w:r>
      <w:r>
        <w:rPr>
          <w:rFonts w:hint="default" w:ascii="Times New Roman" w:hAnsi="Times New Roman" w:eastAsia="宋体" w:cs="Times New Roman"/>
          <w:color w:val="auto"/>
          <w:sz w:val="24"/>
        </w:rPr>
        <w:t>，井下作业每2年1次。计算结果详见表3.7-14。</w:t>
      </w:r>
      <w:bookmarkStart w:id="213" w:name="_Hlk20135089"/>
    </w:p>
    <w:bookmarkEnd w:id="213"/>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表3.7-14  井下作业废水产生量一览表</w:t>
      </w:r>
    </w:p>
    <w:tbl>
      <w:tblPr>
        <w:tblStyle w:val="31"/>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2451"/>
        <w:gridCol w:w="1952"/>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46"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污染物指标</w:t>
            </w:r>
          </w:p>
        </w:tc>
        <w:tc>
          <w:tcPr>
            <w:tcW w:w="2451"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产污系数</w:t>
            </w:r>
          </w:p>
        </w:tc>
        <w:tc>
          <w:tcPr>
            <w:tcW w:w="1952"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产生量（t/次）</w:t>
            </w:r>
          </w:p>
        </w:tc>
        <w:tc>
          <w:tcPr>
            <w:tcW w:w="2071"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产生浓度（mg/L）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4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工业废水量</w:t>
            </w:r>
          </w:p>
        </w:tc>
        <w:tc>
          <w:tcPr>
            <w:tcW w:w="2451" w:type="dxa"/>
            <w:vAlign w:val="center"/>
          </w:tcPr>
          <w:p>
            <w:pPr>
              <w:pStyle w:val="47"/>
              <w:rPr>
                <w:rFonts w:hint="default" w:ascii="Times New Roman" w:hAnsi="Times New Roman" w:cs="Times New Roman"/>
                <w:color w:val="auto"/>
              </w:rPr>
            </w:pPr>
            <w:r>
              <w:rPr>
                <w:rFonts w:cs="Times New Roman"/>
                <w:color w:val="auto"/>
              </w:rPr>
              <w:t>27.13t/井次－产品</w:t>
            </w:r>
          </w:p>
        </w:tc>
        <w:tc>
          <w:tcPr>
            <w:tcW w:w="1952" w:type="dxa"/>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162.78</w:t>
            </w:r>
          </w:p>
        </w:tc>
        <w:tc>
          <w:tcPr>
            <w:tcW w:w="207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4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化学需氧量</w:t>
            </w:r>
          </w:p>
        </w:tc>
        <w:tc>
          <w:tcPr>
            <w:tcW w:w="2451" w:type="dxa"/>
            <w:vAlign w:val="center"/>
          </w:tcPr>
          <w:p>
            <w:pPr>
              <w:pStyle w:val="47"/>
              <w:rPr>
                <w:rFonts w:hint="default" w:ascii="Times New Roman" w:hAnsi="Times New Roman" w:cs="Times New Roman"/>
                <w:color w:val="auto"/>
              </w:rPr>
            </w:pPr>
            <w:r>
              <w:rPr>
                <w:rFonts w:cs="Times New Roman"/>
                <w:color w:val="auto"/>
              </w:rPr>
              <w:t>34679.3g/井次－产品</w:t>
            </w:r>
          </w:p>
        </w:tc>
        <w:tc>
          <w:tcPr>
            <w:tcW w:w="1952" w:type="dxa"/>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0.208</w:t>
            </w:r>
          </w:p>
        </w:tc>
        <w:tc>
          <w:tcPr>
            <w:tcW w:w="2071"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rPr>
              <w:t>127</w:t>
            </w:r>
            <w:r>
              <w:rPr>
                <w:rFonts w:hint="eastAsia" w:cs="Times New Roman"/>
                <w:color w:val="auto"/>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4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石油类</w:t>
            </w:r>
          </w:p>
        </w:tc>
        <w:tc>
          <w:tcPr>
            <w:tcW w:w="2451" w:type="dxa"/>
            <w:vAlign w:val="center"/>
          </w:tcPr>
          <w:p>
            <w:pPr>
              <w:pStyle w:val="47"/>
              <w:rPr>
                <w:rFonts w:hint="default" w:ascii="Times New Roman" w:hAnsi="Times New Roman" w:cs="Times New Roman"/>
                <w:color w:val="auto"/>
              </w:rPr>
            </w:pPr>
            <w:r>
              <w:rPr>
                <w:rFonts w:cs="Times New Roman"/>
                <w:color w:val="auto"/>
              </w:rPr>
              <w:t>6112.1g/井次-产品</w:t>
            </w:r>
          </w:p>
        </w:tc>
        <w:tc>
          <w:tcPr>
            <w:tcW w:w="1952" w:type="dxa"/>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0.037</w:t>
            </w:r>
          </w:p>
        </w:tc>
        <w:tc>
          <w:tcPr>
            <w:tcW w:w="2071"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rPr>
              <w:t>22</w:t>
            </w:r>
            <w:r>
              <w:rPr>
                <w:rFonts w:hint="eastAsia" w:cs="Times New Roman"/>
                <w:color w:val="auto"/>
                <w:lang w:val="en-US" w:eastAsia="zh-CN"/>
              </w:rPr>
              <w:t>5.3</w:t>
            </w:r>
          </w:p>
        </w:tc>
      </w:tr>
    </w:tbl>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本项目井下作业废水产生量为</w:t>
      </w:r>
      <w:r>
        <w:rPr>
          <w:rFonts w:hint="eastAsia" w:ascii="Times New Roman" w:hAnsi="Times New Roman" w:eastAsia="宋体" w:cs="Times New Roman"/>
          <w:color w:val="auto"/>
          <w:lang w:eastAsia="zh-CN"/>
        </w:rPr>
        <w:t>162.78</w:t>
      </w:r>
      <w:r>
        <w:rPr>
          <w:rFonts w:hint="default" w:ascii="Times New Roman" w:hAnsi="Times New Roman" w:eastAsia="宋体" w:cs="Times New Roman"/>
          <w:color w:val="auto"/>
        </w:rPr>
        <w:t>t/次（</w:t>
      </w:r>
      <w:r>
        <w:rPr>
          <w:rFonts w:hint="eastAsia" w:ascii="Times New Roman" w:hAnsi="Times New Roman" w:eastAsia="宋体" w:cs="Times New Roman"/>
          <w:color w:val="auto"/>
          <w:lang w:eastAsia="zh-CN"/>
        </w:rPr>
        <w:t>6口</w:t>
      </w:r>
      <w:r>
        <w:rPr>
          <w:rFonts w:ascii="Times New Roman" w:hAnsi="Times New Roman" w:cs="Times New Roman"/>
          <w:color w:val="auto"/>
          <w:sz w:val="24"/>
        </w:rPr>
        <w:t>油井</w:t>
      </w:r>
      <w:r>
        <w:rPr>
          <w:rFonts w:hint="default" w:ascii="Times New Roman" w:hAnsi="Times New Roman" w:eastAsia="宋体" w:cs="Times New Roman"/>
          <w:color w:val="auto"/>
        </w:rPr>
        <w:t>，</w:t>
      </w:r>
      <w:r>
        <w:rPr>
          <w:rFonts w:hint="eastAsia" w:ascii="Times New Roman" w:hAnsi="Times New Roman" w:eastAsia="宋体" w:cs="Times New Roman"/>
          <w:color w:val="auto"/>
          <w:lang w:eastAsia="zh-CN"/>
        </w:rPr>
        <w:t>81.39</w:t>
      </w:r>
      <w:r>
        <w:rPr>
          <w:rFonts w:hint="default" w:ascii="Times New Roman" w:hAnsi="Times New Roman" w:eastAsia="宋体" w:cs="Times New Roman"/>
          <w:color w:val="auto"/>
        </w:rPr>
        <w:t>t/a）。化学需氧量产生量为</w:t>
      </w:r>
      <w:r>
        <w:rPr>
          <w:rFonts w:hint="eastAsia" w:ascii="Times New Roman" w:hAnsi="Times New Roman" w:eastAsia="宋体" w:cs="Times New Roman"/>
          <w:color w:val="auto"/>
          <w:lang w:eastAsia="zh-CN"/>
        </w:rPr>
        <w:t>0.208</w:t>
      </w:r>
      <w:r>
        <w:rPr>
          <w:rFonts w:hint="default" w:ascii="Times New Roman" w:hAnsi="Times New Roman" w:eastAsia="宋体" w:cs="Times New Roman"/>
          <w:color w:val="auto"/>
        </w:rPr>
        <w:t>t/次，产生浓度127</w:t>
      </w:r>
      <w:r>
        <w:rPr>
          <w:rFonts w:hint="eastAsia" w:ascii="Times New Roman" w:hAnsi="Times New Roman" w:eastAsia="宋体" w:cs="Times New Roman"/>
          <w:color w:val="auto"/>
          <w:lang w:val="en-US" w:eastAsia="zh-CN"/>
        </w:rPr>
        <w:t>8.3</w:t>
      </w:r>
      <w:r>
        <w:rPr>
          <w:rFonts w:hint="default" w:ascii="Times New Roman" w:hAnsi="Times New Roman" w:eastAsia="宋体" w:cs="Times New Roman"/>
          <w:color w:val="auto"/>
        </w:rPr>
        <w:t>mg/L；石油类产生量为</w:t>
      </w:r>
      <w:r>
        <w:rPr>
          <w:rFonts w:hint="eastAsia" w:ascii="Times New Roman" w:hAnsi="Times New Roman" w:eastAsia="宋体" w:cs="Times New Roman"/>
          <w:color w:val="auto"/>
          <w:lang w:eastAsia="zh-CN"/>
        </w:rPr>
        <w:t>0.037</w:t>
      </w:r>
      <w:r>
        <w:rPr>
          <w:rFonts w:hint="default" w:ascii="Times New Roman" w:hAnsi="Times New Roman" w:eastAsia="宋体" w:cs="Times New Roman"/>
          <w:color w:val="auto"/>
        </w:rPr>
        <w:t>t/次，产生浓度22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3mg/L。</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井下作业废水严禁直接外排，井下作业必须采取带罐作业，井下作业废水全部回收，采用专用废水收集罐收集后运至陆梁集中处理站，处理达标后综合利用，用于回注油藏，废水不外排</w:t>
      </w:r>
      <w:r>
        <w:rPr>
          <w:rFonts w:hint="default" w:ascii="Times New Roman" w:hAnsi="Times New Roman" w:eastAsia="宋体" w:cs="Times New Roman"/>
          <w:color w:val="auto"/>
          <w:kern w:val="0"/>
          <w:sz w:val="24"/>
        </w:rPr>
        <w:t>。正常情况下井下作业废水</w:t>
      </w:r>
      <w:r>
        <w:rPr>
          <w:rFonts w:hint="default" w:ascii="Times New Roman" w:hAnsi="Times New Roman" w:eastAsia="宋体" w:cs="Times New Roman"/>
          <w:color w:val="auto"/>
          <w:sz w:val="24"/>
        </w:rPr>
        <w:t>不会对地下水产生不利影响。</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（2）井下作业废液</w:t>
      </w:r>
    </w:p>
    <w:p>
      <w:pPr>
        <w:pStyle w:val="41"/>
        <w:spacing w:line="360" w:lineRule="auto"/>
        <w:ind w:firstLine="480" w:firstLineChars="200"/>
        <w:jc w:val="left"/>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本项目运营期修井作业过程中会产生一定量的废洗井液、废压裂液。在根据《排放源统计调查产排污核算方法和系数手册》（2021.6.11）“1120石油和天然气开采专业及辅助性活动行业系数手册”产污系数核算详见表3.7-15。</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表3.7-15  井下作业废液产生量一览表</w:t>
      </w:r>
    </w:p>
    <w:tbl>
      <w:tblPr>
        <w:tblStyle w:val="31"/>
        <w:tblW w:w="8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3"/>
        <w:gridCol w:w="977"/>
        <w:gridCol w:w="1290"/>
        <w:gridCol w:w="1480"/>
        <w:gridCol w:w="1061"/>
        <w:gridCol w:w="1245"/>
        <w:gridCol w:w="804"/>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产品名称</w:t>
            </w:r>
          </w:p>
        </w:tc>
        <w:tc>
          <w:tcPr>
            <w:tcW w:w="977"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原料名称</w:t>
            </w:r>
          </w:p>
        </w:tc>
        <w:tc>
          <w:tcPr>
            <w:tcW w:w="1290"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工艺名称</w:t>
            </w:r>
          </w:p>
        </w:tc>
        <w:tc>
          <w:tcPr>
            <w:tcW w:w="1480"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污染物指标项</w:t>
            </w:r>
          </w:p>
        </w:tc>
        <w:tc>
          <w:tcPr>
            <w:tcW w:w="1061"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产物系数</w:t>
            </w:r>
          </w:p>
        </w:tc>
        <w:tc>
          <w:tcPr>
            <w:tcW w:w="124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末端治理技术</w:t>
            </w:r>
          </w:p>
        </w:tc>
        <w:tc>
          <w:tcPr>
            <w:tcW w:w="804"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产生量t</w:t>
            </w:r>
          </w:p>
        </w:tc>
        <w:tc>
          <w:tcPr>
            <w:tcW w:w="814"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3"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w:t>
            </w:r>
          </w:p>
        </w:tc>
        <w:tc>
          <w:tcPr>
            <w:tcW w:w="97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洗井液</w:t>
            </w:r>
          </w:p>
        </w:tc>
        <w:tc>
          <w:tcPr>
            <w:tcW w:w="129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修井</w:t>
            </w:r>
          </w:p>
        </w:tc>
        <w:tc>
          <w:tcPr>
            <w:tcW w:w="148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废洗井液</w:t>
            </w:r>
          </w:p>
        </w:tc>
        <w:tc>
          <w:tcPr>
            <w:tcW w:w="106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25.29t/井</w:t>
            </w:r>
          </w:p>
        </w:tc>
        <w:tc>
          <w:tcPr>
            <w:tcW w:w="124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无害化处理/处置/利用</w:t>
            </w:r>
          </w:p>
        </w:tc>
        <w:tc>
          <w:tcPr>
            <w:tcW w:w="804" w:type="dxa"/>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151.74</w:t>
            </w:r>
          </w:p>
        </w:tc>
        <w:tc>
          <w:tcPr>
            <w:tcW w:w="8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3" w:type="dxa"/>
            <w:vMerge w:val="continue"/>
            <w:vAlign w:val="center"/>
          </w:tcPr>
          <w:p>
            <w:pPr>
              <w:pStyle w:val="47"/>
              <w:rPr>
                <w:rFonts w:hint="default" w:ascii="Times New Roman" w:hAnsi="Times New Roman" w:cs="Times New Roman"/>
                <w:color w:val="auto"/>
              </w:rPr>
            </w:pPr>
          </w:p>
        </w:tc>
        <w:tc>
          <w:tcPr>
            <w:tcW w:w="977"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压裂液</w:t>
            </w:r>
          </w:p>
        </w:tc>
        <w:tc>
          <w:tcPr>
            <w:tcW w:w="1290"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低渗透油井加砂压裂</w:t>
            </w:r>
          </w:p>
        </w:tc>
        <w:tc>
          <w:tcPr>
            <w:tcW w:w="1480"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废压裂液（压裂返排液）</w:t>
            </w:r>
          </w:p>
        </w:tc>
        <w:tc>
          <w:tcPr>
            <w:tcW w:w="1061"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153.21m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/井</w:t>
            </w:r>
          </w:p>
        </w:tc>
        <w:tc>
          <w:tcPr>
            <w:tcW w:w="1245"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无害化处理/处置/利用</w:t>
            </w:r>
          </w:p>
        </w:tc>
        <w:tc>
          <w:tcPr>
            <w:tcW w:w="804" w:type="dxa"/>
            <w:vAlign w:val="center"/>
          </w:tcPr>
          <w:p>
            <w:pPr>
              <w:pStyle w:val="86"/>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919.26</w:t>
            </w:r>
          </w:p>
        </w:tc>
        <w:tc>
          <w:tcPr>
            <w:tcW w:w="814"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bl>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本项目产生废洗井液</w:t>
      </w:r>
      <w:r>
        <w:rPr>
          <w:rFonts w:hint="eastAsia" w:ascii="Times New Roman" w:hAnsi="Times New Roman" w:eastAsia="宋体" w:cs="Times New Roman"/>
          <w:color w:val="auto"/>
          <w:lang w:eastAsia="zh-CN"/>
        </w:rPr>
        <w:t>151.74</w:t>
      </w:r>
      <w:r>
        <w:rPr>
          <w:rFonts w:hint="default" w:ascii="Times New Roman" w:hAnsi="Times New Roman" w:eastAsia="宋体" w:cs="Times New Roman"/>
          <w:color w:val="auto"/>
        </w:rPr>
        <w:t>t/a，压裂返排液</w:t>
      </w:r>
      <w:r>
        <w:rPr>
          <w:rFonts w:hint="eastAsia" w:ascii="Times New Roman" w:hAnsi="Times New Roman" w:eastAsia="宋体" w:cs="Times New Roman"/>
          <w:color w:val="auto"/>
          <w:lang w:eastAsia="zh-CN"/>
        </w:rPr>
        <w:t>919.26</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/a，废洗井液、压裂返排液通过罐车先运至陆梁集中处理站污水处理系统处理，满足《碎屑岩油藏注水水质指标技术要求及分析方法》（SY/T5329-2022）标准限值后回注油藏。</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（3）采出水</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根据开发方案，本项目</w:t>
      </w:r>
      <w:r>
        <w:rPr>
          <w:rFonts w:hint="eastAsia" w:ascii="Times New Roman" w:hAnsi="Times New Roman" w:eastAsia="宋体" w:cs="Times New Roman"/>
          <w:color w:val="auto"/>
          <w:sz w:val="24"/>
          <w:lang w:eastAsia="zh-CN"/>
        </w:rPr>
        <w:t>6口</w:t>
      </w:r>
      <w:r>
        <w:rPr>
          <w:rFonts w:hint="default" w:ascii="Times New Roman" w:hAnsi="Times New Roman" w:eastAsia="宋体" w:cs="Times New Roman"/>
          <w:color w:val="auto"/>
          <w:sz w:val="24"/>
        </w:rPr>
        <w:t>井采出液进入</w:t>
      </w:r>
      <w:r>
        <w:rPr>
          <w:rFonts w:hint="default" w:ascii="Times New Roman" w:hAnsi="Times New Roman" w:eastAsia="宋体" w:cs="Times New Roman"/>
          <w:color w:val="auto"/>
          <w:sz w:val="24"/>
          <w:lang w:val="en-US" w:eastAsia="zh-CN"/>
        </w:rPr>
        <w:t>陆梁集中处理站</w:t>
      </w:r>
      <w:r>
        <w:rPr>
          <w:rFonts w:hint="eastAsia" w:ascii="Times New Roman" w:hAnsi="Times New Roman" w:eastAsia="宋体" w:cs="Times New Roman"/>
          <w:color w:val="auto"/>
          <w:sz w:val="24"/>
          <w:lang w:val="en-US" w:eastAsia="zh-CN"/>
        </w:rPr>
        <w:t>分离后</w:t>
      </w:r>
      <w:r>
        <w:rPr>
          <w:rFonts w:hint="default" w:ascii="Times New Roman" w:hAnsi="Times New Roman" w:eastAsia="宋体" w:cs="Times New Roman"/>
          <w:color w:val="auto"/>
          <w:sz w:val="24"/>
        </w:rPr>
        <w:t>处理，</w:t>
      </w:r>
      <w:r>
        <w:rPr>
          <w:rFonts w:hint="eastAsia" w:ascii="Times New Roman" w:hAnsi="Times New Roman" w:eastAsia="宋体" w:cs="Times New Roman"/>
          <w:color w:val="auto"/>
          <w:sz w:val="24"/>
          <w:lang w:eastAsia="zh-CN"/>
        </w:rPr>
        <w:t>6口</w:t>
      </w:r>
      <w:r>
        <w:rPr>
          <w:rFonts w:hint="default" w:ascii="Times New Roman" w:hAnsi="Times New Roman" w:eastAsia="宋体" w:cs="Times New Roman"/>
          <w:color w:val="auto"/>
          <w:sz w:val="24"/>
        </w:rPr>
        <w:t>井采出水最大产生量为</w:t>
      </w:r>
      <w:r>
        <w:rPr>
          <w:rFonts w:hint="eastAsia" w:ascii="Times New Roman" w:hAnsi="Times New Roman" w:eastAsia="宋体" w:cs="Times New Roman"/>
          <w:color w:val="auto"/>
          <w:sz w:val="24"/>
          <w:lang w:eastAsia="zh-CN"/>
        </w:rPr>
        <w:t>32730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val="en-US" w:eastAsia="zh-CN"/>
        </w:rPr>
        <w:t>109.1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/d），依托陆梁集中处理站污水处理系统处理，处理达到《碎屑岩油藏注水水质指标技术要求及分析方法》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SY/T5329-2022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标准后回注油藏，不外排。</w:t>
      </w:r>
    </w:p>
    <w:p>
      <w:pPr>
        <w:pStyle w:val="66"/>
        <w:rPr>
          <w:rFonts w:hint="default" w:ascii="Times New Roman" w:hAnsi="Times New Roman" w:cs="Times New Roman"/>
          <w:color w:val="auto"/>
          <w:kern w:val="0"/>
        </w:rPr>
      </w:pPr>
      <w:bookmarkStart w:id="214" w:name="_Hlk94093023"/>
      <w:r>
        <w:rPr>
          <w:rFonts w:hint="default" w:ascii="Times New Roman" w:hAnsi="Times New Roman" w:cs="Times New Roman"/>
          <w:color w:val="auto"/>
          <w:kern w:val="0"/>
        </w:rPr>
        <w:t>3.7.7.3噪声污染源</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运营期噪声污染源主要包括：场站设备运转噪声、井下作业机械和巡检车辆等。噪声排放情况见表3.7-16。</w:t>
      </w:r>
    </w:p>
    <w:bookmarkEnd w:id="214"/>
    <w:p>
      <w:pPr>
        <w:pStyle w:val="41"/>
        <w:spacing w:line="360" w:lineRule="auto"/>
        <w:jc w:val="center"/>
        <w:rPr>
          <w:rFonts w:hint="default" w:ascii="Times New Roman" w:hAnsi="Times New Roman" w:cs="Times New Roman"/>
          <w:b/>
          <w:color w:val="auto"/>
          <w:sz w:val="21"/>
          <w:szCs w:val="15"/>
        </w:rPr>
      </w:pPr>
      <w:bookmarkStart w:id="215" w:name="_Ref478381584"/>
      <w:r>
        <w:rPr>
          <w:rFonts w:hint="default" w:ascii="Times New Roman" w:hAnsi="Times New Roman" w:cs="Times New Roman"/>
          <w:b/>
          <w:color w:val="auto"/>
          <w:sz w:val="21"/>
          <w:szCs w:val="15"/>
        </w:rPr>
        <w:t>表</w:t>
      </w:r>
      <w:bookmarkEnd w:id="215"/>
      <w:r>
        <w:rPr>
          <w:rFonts w:hint="default" w:ascii="Times New Roman" w:hAnsi="Times New Roman" w:cs="Times New Roman"/>
          <w:b/>
          <w:color w:val="auto"/>
          <w:sz w:val="21"/>
          <w:szCs w:val="15"/>
        </w:rPr>
        <w:t>3.7-16  运营期噪声排放情况（单位：dB(A)）</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75"/>
        <w:gridCol w:w="1063"/>
        <w:gridCol w:w="587"/>
        <w:gridCol w:w="738"/>
        <w:gridCol w:w="587"/>
        <w:gridCol w:w="1238"/>
        <w:gridCol w:w="2062"/>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38" w:type="dxa"/>
            <w:gridSpan w:val="3"/>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噪声源名称</w:t>
            </w:r>
          </w:p>
        </w:tc>
        <w:tc>
          <w:tcPr>
            <w:tcW w:w="1912" w:type="dxa"/>
            <w:gridSpan w:val="3"/>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空间相对位置（m）</w:t>
            </w:r>
          </w:p>
        </w:tc>
        <w:tc>
          <w:tcPr>
            <w:tcW w:w="1238"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w:t>
            </w:r>
          </w:p>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源强dB(A)</w:t>
            </w:r>
          </w:p>
        </w:tc>
        <w:tc>
          <w:tcPr>
            <w:tcW w:w="2062"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声源控制措施</w:t>
            </w:r>
          </w:p>
        </w:tc>
        <w:tc>
          <w:tcPr>
            <w:tcW w:w="669"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638" w:type="dxa"/>
            <w:gridSpan w:val="3"/>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0"/>
                <w:szCs w:val="21"/>
              </w:rPr>
            </w:pPr>
          </w:p>
        </w:tc>
        <w:tc>
          <w:tcPr>
            <w:tcW w:w="587" w:type="dxa"/>
            <w:vAlign w:val="center"/>
          </w:tcPr>
          <w:p>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X</w:t>
            </w:r>
          </w:p>
        </w:tc>
        <w:tc>
          <w:tcPr>
            <w:tcW w:w="738" w:type="dxa"/>
            <w:vAlign w:val="center"/>
          </w:tcPr>
          <w:p>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Y</w:t>
            </w:r>
          </w:p>
        </w:tc>
        <w:tc>
          <w:tcPr>
            <w:tcW w:w="587" w:type="dxa"/>
            <w:vAlign w:val="center"/>
          </w:tcPr>
          <w:p>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Z</w:t>
            </w:r>
          </w:p>
        </w:tc>
        <w:tc>
          <w:tcPr>
            <w:tcW w:w="1238"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c>
          <w:tcPr>
            <w:tcW w:w="2062"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c>
          <w:tcPr>
            <w:tcW w:w="669"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0"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Cs/>
                <w:color w:val="auto"/>
                <w:kern w:val="0"/>
                <w:sz w:val="20"/>
                <w:szCs w:val="21"/>
                <w:lang w:val="en-US" w:eastAsia="zh-CN"/>
              </w:rPr>
            </w:pPr>
            <w:r>
              <w:rPr>
                <w:rFonts w:hint="eastAsia" w:ascii="Times New Roman" w:hAnsi="Times New Roman" w:eastAsia="宋体" w:cs="Times New Roman"/>
                <w:color w:val="auto"/>
                <w:kern w:val="0"/>
                <w:szCs w:val="21"/>
                <w:lang w:val="en-US" w:eastAsia="zh-CN"/>
              </w:rPr>
              <w:t>正常工况</w:t>
            </w:r>
          </w:p>
        </w:tc>
        <w:tc>
          <w:tcPr>
            <w:tcW w:w="875" w:type="dxa"/>
            <w:vAlign w:val="center"/>
          </w:tcPr>
          <w:p>
            <w:pPr>
              <w:pStyle w:val="47"/>
              <w:rPr>
                <w:rFonts w:hint="default" w:ascii="Times New Roman" w:hAnsi="Times New Roman" w:cs="Times New Roman"/>
                <w:color w:val="auto"/>
                <w:kern w:val="0"/>
              </w:rPr>
            </w:pPr>
            <w:r>
              <w:rPr>
                <w:rFonts w:hint="default" w:ascii="Times New Roman" w:hAnsi="Times New Roman" w:cs="Times New Roman"/>
                <w:color w:val="auto"/>
              </w:rPr>
              <w:t>井场</w:t>
            </w:r>
          </w:p>
        </w:tc>
        <w:tc>
          <w:tcPr>
            <w:tcW w:w="1063" w:type="dxa"/>
            <w:vAlign w:val="center"/>
          </w:tcPr>
          <w:p>
            <w:pPr>
              <w:pStyle w:val="47"/>
              <w:rPr>
                <w:rFonts w:hint="default" w:ascii="Times New Roman" w:hAnsi="Times New Roman" w:cs="Times New Roman"/>
                <w:color w:val="auto"/>
              </w:rPr>
            </w:pPr>
            <w:r>
              <w:rPr>
                <w:rFonts w:hint="default" w:ascii="Times New Roman" w:hAnsi="Times New Roman" w:eastAsia="宋体" w:cs="Times New Roman"/>
                <w:color w:val="auto"/>
              </w:rPr>
              <w:t>10型抽油机</w:t>
            </w:r>
          </w:p>
        </w:tc>
        <w:tc>
          <w:tcPr>
            <w:tcW w:w="587"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25</w:t>
            </w:r>
          </w:p>
        </w:tc>
        <w:tc>
          <w:tcPr>
            <w:tcW w:w="738"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w:t>
            </w:r>
          </w:p>
        </w:tc>
        <w:tc>
          <w:tcPr>
            <w:tcW w:w="587"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1238" w:type="dxa"/>
            <w:vAlign w:val="center"/>
          </w:tcPr>
          <w:p>
            <w:pPr>
              <w:pStyle w:val="47"/>
              <w:rPr>
                <w:rFonts w:hint="default" w:ascii="Times New Roman" w:hAnsi="Times New Roman" w:cs="Times New Roman"/>
                <w:color w:val="auto"/>
                <w:kern w:val="0"/>
              </w:rPr>
            </w:pPr>
            <w:r>
              <w:rPr>
                <w:rFonts w:hint="default" w:ascii="Times New Roman" w:hAnsi="Times New Roman" w:cs="Times New Roman"/>
                <w:color w:val="auto"/>
              </w:rPr>
              <w:t>75~80</w:t>
            </w:r>
          </w:p>
        </w:tc>
        <w:tc>
          <w:tcPr>
            <w:tcW w:w="2062" w:type="dxa"/>
            <w:vAlign w:val="center"/>
          </w:tcPr>
          <w:p>
            <w:pPr>
              <w:pStyle w:val="47"/>
              <w:rPr>
                <w:rFonts w:hint="default" w:ascii="Times New Roman" w:hAnsi="Times New Roman" w:cs="Times New Roman"/>
                <w:color w:val="auto"/>
                <w:kern w:val="0"/>
              </w:rPr>
            </w:pPr>
            <w:r>
              <w:rPr>
                <w:rFonts w:hint="default" w:ascii="Times New Roman" w:hAnsi="Times New Roman" w:cs="Times New Roman"/>
                <w:color w:val="auto"/>
              </w:rPr>
              <w:t>采用低噪声设备，局部加装隔声罩</w:t>
            </w:r>
          </w:p>
        </w:tc>
        <w:tc>
          <w:tcPr>
            <w:tcW w:w="669"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0"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bCs/>
                <w:color w:val="auto"/>
                <w:kern w:val="0"/>
                <w:sz w:val="20"/>
                <w:szCs w:val="21"/>
              </w:rPr>
            </w:pPr>
          </w:p>
        </w:tc>
        <w:tc>
          <w:tcPr>
            <w:tcW w:w="875" w:type="dxa"/>
            <w:vAlign w:val="center"/>
          </w:tcPr>
          <w:p>
            <w:pPr>
              <w:pStyle w:val="47"/>
              <w:rPr>
                <w:rFonts w:hint="default" w:ascii="Times New Roman" w:hAnsi="Times New Roman" w:cs="Times New Roman"/>
                <w:color w:val="auto"/>
                <w:kern w:val="0"/>
              </w:rPr>
            </w:pPr>
            <w:r>
              <w:rPr>
                <w:rFonts w:hint="default" w:ascii="Times New Roman" w:hAnsi="Times New Roman" w:cs="Times New Roman"/>
                <w:color w:val="auto"/>
              </w:rPr>
              <w:t>交通噪声</w:t>
            </w:r>
          </w:p>
        </w:tc>
        <w:tc>
          <w:tcPr>
            <w:tcW w:w="10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巡检车辆</w:t>
            </w:r>
          </w:p>
        </w:tc>
        <w:tc>
          <w:tcPr>
            <w:tcW w:w="587" w:type="dxa"/>
            <w:vAlign w:val="center"/>
          </w:tcPr>
          <w:p>
            <w:pPr>
              <w:autoSpaceDE w:val="0"/>
              <w:autoSpaceDN w:val="0"/>
              <w:adjustRightInd w:val="0"/>
              <w:snapToGrid w:val="0"/>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738" w:type="dxa"/>
            <w:vAlign w:val="center"/>
          </w:tcPr>
          <w:p>
            <w:pPr>
              <w:autoSpaceDE w:val="0"/>
              <w:autoSpaceDN w:val="0"/>
              <w:adjustRightInd w:val="0"/>
              <w:snapToGrid w:val="0"/>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587" w:type="dxa"/>
            <w:vAlign w:val="center"/>
          </w:tcPr>
          <w:p>
            <w:pPr>
              <w:autoSpaceDE w:val="0"/>
              <w:autoSpaceDN w:val="0"/>
              <w:adjustRightInd w:val="0"/>
              <w:snapToGrid w:val="0"/>
              <w:jc w:val="center"/>
              <w:textAlignment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123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60~90</w:t>
            </w:r>
          </w:p>
        </w:tc>
        <w:tc>
          <w:tcPr>
            <w:tcW w:w="2062" w:type="dxa"/>
            <w:vAlign w:val="center"/>
          </w:tcPr>
          <w:p>
            <w:pPr>
              <w:pStyle w:val="47"/>
              <w:rPr>
                <w:rFonts w:hint="default" w:ascii="Times New Roman" w:hAnsi="Times New Roman" w:cs="Times New Roman"/>
                <w:color w:val="auto"/>
              </w:rPr>
            </w:pPr>
            <w:r>
              <w:rPr>
                <w:rFonts w:hint="default" w:ascii="Times New Roman" w:hAnsi="Times New Roman" w:cs="Times New Roman"/>
                <w:bCs/>
                <w:color w:val="auto"/>
                <w:szCs w:val="32"/>
              </w:rPr>
              <w:t>限制车速、定期维护保养和禁止鸣笛等</w:t>
            </w:r>
          </w:p>
        </w:tc>
        <w:tc>
          <w:tcPr>
            <w:tcW w:w="669"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0" w:type="dxa"/>
            <w:vAlign w:val="center"/>
          </w:tcPr>
          <w:p>
            <w:pPr>
              <w:autoSpaceDE w:val="0"/>
              <w:autoSpaceDN w:val="0"/>
              <w:adjustRightInd w:val="0"/>
              <w:snapToGrid w:val="0"/>
              <w:jc w:val="center"/>
              <w:textAlignment w:val="center"/>
              <w:rPr>
                <w:rFonts w:hint="default" w:ascii="Times New Roman" w:hAnsi="Times New Roman" w:eastAsia="宋体" w:cs="Times New Roman"/>
                <w:bCs/>
                <w:color w:val="auto"/>
                <w:kern w:val="0"/>
                <w:sz w:val="20"/>
                <w:szCs w:val="21"/>
                <w:lang w:val="en-US" w:eastAsia="zh-CN"/>
              </w:rPr>
            </w:pPr>
            <w:r>
              <w:rPr>
                <w:rFonts w:hint="eastAsia" w:ascii="Times New Roman" w:hAnsi="Times New Roman" w:eastAsia="宋体" w:cs="Times New Roman"/>
                <w:bCs/>
                <w:color w:val="auto"/>
                <w:kern w:val="0"/>
                <w:sz w:val="20"/>
                <w:szCs w:val="21"/>
                <w:lang w:val="en-US" w:eastAsia="zh-CN"/>
              </w:rPr>
              <w:t>非正常工况</w:t>
            </w:r>
          </w:p>
        </w:tc>
        <w:tc>
          <w:tcPr>
            <w:tcW w:w="875" w:type="dxa"/>
            <w:vAlign w:val="center"/>
          </w:tcPr>
          <w:p>
            <w:pPr>
              <w:pStyle w:val="47"/>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rPr>
              <w:t>井场</w:t>
            </w:r>
          </w:p>
        </w:tc>
        <w:tc>
          <w:tcPr>
            <w:tcW w:w="1063" w:type="dxa"/>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井下作业（</w:t>
            </w:r>
            <w:r>
              <w:rPr>
                <w:rFonts w:hint="eastAsia" w:cs="Times New Roman"/>
                <w:color w:val="auto"/>
                <w:lang w:val="en-US" w:eastAsia="zh-CN"/>
              </w:rPr>
              <w:t>压裂、</w:t>
            </w:r>
            <w:r>
              <w:rPr>
                <w:rFonts w:hint="default" w:ascii="Times New Roman" w:hAnsi="Times New Roman" w:cs="Times New Roman"/>
                <w:color w:val="auto"/>
              </w:rPr>
              <w:t>修井等）</w:t>
            </w:r>
          </w:p>
        </w:tc>
        <w:tc>
          <w:tcPr>
            <w:tcW w:w="587"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25</w:t>
            </w:r>
          </w:p>
        </w:tc>
        <w:tc>
          <w:tcPr>
            <w:tcW w:w="738"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15</w:t>
            </w:r>
          </w:p>
        </w:tc>
        <w:tc>
          <w:tcPr>
            <w:tcW w:w="587" w:type="dxa"/>
            <w:vAlign w:val="center"/>
          </w:tcPr>
          <w:p>
            <w:pPr>
              <w:autoSpaceDE w:val="0"/>
              <w:autoSpaceDN w:val="0"/>
              <w:adjustRightInd w:val="0"/>
              <w:snapToGrid w:val="0"/>
              <w:jc w:val="center"/>
              <w:textAlignment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0</w:t>
            </w:r>
          </w:p>
        </w:tc>
        <w:tc>
          <w:tcPr>
            <w:tcW w:w="1238" w:type="dxa"/>
            <w:vAlign w:val="center"/>
          </w:tcPr>
          <w:p>
            <w:pPr>
              <w:pStyle w:val="47"/>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rPr>
              <w:t>80~</w:t>
            </w:r>
            <w:r>
              <w:rPr>
                <w:rFonts w:hint="eastAsia" w:cs="Times New Roman"/>
                <w:color w:val="auto"/>
                <w:lang w:val="en-US" w:eastAsia="zh-CN"/>
              </w:rPr>
              <w:t>120</w:t>
            </w:r>
          </w:p>
        </w:tc>
        <w:tc>
          <w:tcPr>
            <w:tcW w:w="2062" w:type="dxa"/>
            <w:vAlign w:val="center"/>
          </w:tcPr>
          <w:p>
            <w:pPr>
              <w:pStyle w:val="47"/>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rPr>
              <w:t>独立基础，加减振垫，采用软连接</w:t>
            </w:r>
          </w:p>
        </w:tc>
        <w:tc>
          <w:tcPr>
            <w:tcW w:w="669" w:type="dxa"/>
            <w:vAlign w:val="center"/>
          </w:tcPr>
          <w:p>
            <w:pPr>
              <w:autoSpaceDE w:val="0"/>
              <w:autoSpaceDN w:val="0"/>
              <w:adjustRightInd w:val="0"/>
              <w:snapToGrid w:val="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间断</w:t>
            </w:r>
          </w:p>
        </w:tc>
      </w:tr>
    </w:tbl>
    <w:p>
      <w:pPr>
        <w:pStyle w:val="66"/>
        <w:rPr>
          <w:rFonts w:hint="default" w:ascii="Times New Roman" w:hAnsi="Times New Roman" w:cs="Times New Roman"/>
          <w:color w:val="auto"/>
          <w:kern w:val="0"/>
        </w:rPr>
      </w:pPr>
      <w:r>
        <w:rPr>
          <w:rFonts w:hint="default" w:ascii="Times New Roman" w:hAnsi="Times New Roman" w:cs="Times New Roman"/>
          <w:color w:val="auto"/>
          <w:kern w:val="0"/>
        </w:rPr>
        <w:t>3.7.7.4固体废物</w:t>
      </w:r>
    </w:p>
    <w:p>
      <w:pPr>
        <w:pStyle w:val="66"/>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运营期项目注水管线和注水井无固体废物产生。运营期的固体废物主要为原油开采和集输过程中产生的含油污泥、</w:t>
      </w:r>
      <w:r>
        <w:rPr>
          <w:rFonts w:hint="default" w:ascii="Times New Roman" w:hAnsi="Times New Roman" w:eastAsia="宋体" w:cs="Times New Roman"/>
          <w:color w:val="auto"/>
          <w:sz w:val="24"/>
        </w:rPr>
        <w:t>落地油</w:t>
      </w:r>
      <w:r>
        <w:rPr>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szCs w:val="24"/>
        </w:rPr>
        <w:t>清管废渣、废润滑油及废弃防渗膜。</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（1）含油污泥</w:t>
      </w:r>
    </w:p>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根据《排放源统计调查产排污核算方法和系数手册》“07石油和天然气开采业行业系数手册”续表35中产污系数核算含油污泥产生量。见表3.7-17。</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表3.7-17  石油与天然气开采行业专业及复制性活动行业系数表</w:t>
      </w:r>
    </w:p>
    <w:tbl>
      <w:tblPr>
        <w:tblStyle w:val="32"/>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01"/>
        <w:gridCol w:w="873"/>
        <w:gridCol w:w="832"/>
        <w:gridCol w:w="853"/>
        <w:gridCol w:w="769"/>
        <w:gridCol w:w="955"/>
        <w:gridCol w:w="929"/>
        <w:gridCol w:w="1030"/>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4"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801"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原料名称</w:t>
            </w:r>
          </w:p>
        </w:tc>
        <w:tc>
          <w:tcPr>
            <w:tcW w:w="873"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工艺名称</w:t>
            </w:r>
          </w:p>
        </w:tc>
        <w:tc>
          <w:tcPr>
            <w:tcW w:w="832"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规模等级</w:t>
            </w:r>
          </w:p>
        </w:tc>
        <w:tc>
          <w:tcPr>
            <w:tcW w:w="853"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污染物类别</w:t>
            </w:r>
          </w:p>
        </w:tc>
        <w:tc>
          <w:tcPr>
            <w:tcW w:w="769"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污染物指标项</w:t>
            </w:r>
          </w:p>
        </w:tc>
        <w:tc>
          <w:tcPr>
            <w:tcW w:w="955"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929"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产污系数</w:t>
            </w:r>
          </w:p>
        </w:tc>
        <w:tc>
          <w:tcPr>
            <w:tcW w:w="1030"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末端治理技术名称</w:t>
            </w:r>
          </w:p>
        </w:tc>
        <w:tc>
          <w:tcPr>
            <w:tcW w:w="801" w:type="dxa"/>
            <w:vAlign w:val="center"/>
          </w:tcPr>
          <w:p>
            <w:pPr>
              <w:pStyle w:val="86"/>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4"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非稠油</w:t>
            </w:r>
          </w:p>
        </w:tc>
        <w:tc>
          <w:tcPr>
            <w:tcW w:w="801"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非稠油</w:t>
            </w:r>
          </w:p>
        </w:tc>
        <w:tc>
          <w:tcPr>
            <w:tcW w:w="873"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检修清罐</w:t>
            </w:r>
          </w:p>
        </w:tc>
        <w:tc>
          <w:tcPr>
            <w:tcW w:w="832"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所有规模</w:t>
            </w:r>
          </w:p>
        </w:tc>
        <w:tc>
          <w:tcPr>
            <w:tcW w:w="853"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769"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含油污泥</w:t>
            </w:r>
          </w:p>
        </w:tc>
        <w:tc>
          <w:tcPr>
            <w:tcW w:w="955"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吨－万吨产品</w:t>
            </w:r>
          </w:p>
        </w:tc>
        <w:tc>
          <w:tcPr>
            <w:tcW w:w="929"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90.76</w:t>
            </w:r>
          </w:p>
        </w:tc>
        <w:tc>
          <w:tcPr>
            <w:tcW w:w="1030"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无害化处理/处置/利用</w:t>
            </w:r>
          </w:p>
        </w:tc>
        <w:tc>
          <w:tcPr>
            <w:tcW w:w="801" w:type="dxa"/>
            <w:vAlign w:val="center"/>
          </w:tcPr>
          <w:p>
            <w:pPr>
              <w:pStyle w:val="86"/>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bl>
    <w:p>
      <w:pPr>
        <w:pStyle w:val="86"/>
        <w:rPr>
          <w:rFonts w:hint="default" w:ascii="Times New Roman" w:hAnsi="Times New Roman" w:eastAsia="宋体" w:cs="Times New Roman"/>
          <w:color w:val="auto"/>
        </w:rPr>
      </w:pPr>
      <w:r>
        <w:rPr>
          <w:rFonts w:hint="default" w:ascii="Times New Roman" w:hAnsi="Times New Roman" w:eastAsia="宋体" w:cs="Times New Roman"/>
          <w:color w:val="auto"/>
        </w:rPr>
        <w:t>本项目最大产油量</w:t>
      </w:r>
      <w:r>
        <w:rPr>
          <w:rFonts w:hint="eastAsia" w:ascii="Times New Roman" w:hAnsi="Times New Roman" w:eastAsia="宋体" w:cs="Times New Roman"/>
          <w:color w:val="auto"/>
          <w:lang w:eastAsia="zh-CN"/>
        </w:rPr>
        <w:t>1.44×10</w:t>
      </w:r>
      <w:r>
        <w:rPr>
          <w:rFonts w:hint="default" w:ascii="Times New Roman" w:hAnsi="Times New Roman" w:eastAsia="宋体" w:cs="Times New Roman"/>
          <w:color w:val="auto"/>
          <w:vertAlign w:val="superscript"/>
        </w:rPr>
        <w:t>4</w:t>
      </w:r>
      <w:r>
        <w:rPr>
          <w:rFonts w:hint="default" w:ascii="Times New Roman" w:hAnsi="Times New Roman" w:eastAsia="宋体" w:cs="Times New Roman"/>
          <w:color w:val="auto"/>
        </w:rPr>
        <w:t>t/a，含油污泥最大产生量为</w:t>
      </w:r>
      <w:r>
        <w:rPr>
          <w:rFonts w:hint="eastAsia" w:ascii="Times New Roman" w:hAnsi="Times New Roman" w:eastAsia="宋体" w:cs="Times New Roman"/>
          <w:color w:val="auto"/>
          <w:lang w:eastAsia="zh-CN"/>
        </w:rPr>
        <w:t>130.69</w:t>
      </w:r>
      <w:r>
        <w:rPr>
          <w:rFonts w:hint="default" w:ascii="Times New Roman" w:hAnsi="Times New Roman" w:eastAsia="宋体" w:cs="Times New Roman"/>
          <w:color w:val="auto"/>
        </w:rPr>
        <w:t>t/a。根据《国家危险废物名录（202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年版）》，本工程产生的含油污泥属危险废物，废物类别为HW08废矿物油与含矿物油废物，危废代码为071-001-08。含油污泥采用专用收集罐收集，</w:t>
      </w:r>
      <w:r>
        <w:rPr>
          <w:rFonts w:hint="default" w:ascii="Times New Roman" w:hAnsi="Times New Roman" w:eastAsia="宋体" w:cs="Times New Roman"/>
          <w:color w:val="auto"/>
          <w:kern w:val="0"/>
          <w:sz w:val="24"/>
          <w:szCs w:val="24"/>
          <w:lang w:val="en-US" w:eastAsia="zh-CN" w:bidi="ar"/>
        </w:rPr>
        <w:t>暂存至陆梁油田作业区污泥暂存池，</w:t>
      </w:r>
      <w:r>
        <w:rPr>
          <w:rFonts w:hint="default" w:ascii="Times New Roman" w:hAnsi="Times New Roman" w:eastAsia="宋体" w:cs="Times New Roman"/>
          <w:color w:val="auto"/>
        </w:rPr>
        <w:t>委托克拉玛依博达生态环保科技有限责任公司处置。</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（2）落地原油</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落地原油主要产生于油井采油树的阀门、法兰等处事故状态下的泄漏、管线破损以及井下作业产生的落地原油。按照单井落地原油产生量约0.1t/a计算，本项目运行后共</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口油井，落地油总产生量约</w:t>
      </w:r>
      <w:r>
        <w:rPr>
          <w:rFonts w:hint="default"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highlight w:val="none"/>
        </w:rPr>
        <w:t>本项目井下作业时带罐作业，</w:t>
      </w:r>
      <w:r>
        <w:rPr>
          <w:rFonts w:hint="default" w:ascii="Times New Roman" w:hAnsi="Times New Roman" w:eastAsia="宋体" w:cs="Times New Roman"/>
          <w:color w:val="auto"/>
          <w:sz w:val="24"/>
          <w:highlight w:val="none"/>
          <w:lang w:val="en-US" w:eastAsia="zh-CN"/>
        </w:rPr>
        <w:t>作业区域铺设防渗膜，</w:t>
      </w:r>
      <w:r>
        <w:rPr>
          <w:rFonts w:hint="default" w:ascii="Times New Roman" w:hAnsi="Times New Roman" w:eastAsia="宋体" w:cs="Times New Roman"/>
          <w:color w:val="auto"/>
          <w:sz w:val="24"/>
          <w:highlight w:val="none"/>
        </w:rPr>
        <w:t>落地油100%回收，回收后的落地原油</w:t>
      </w:r>
      <w:r>
        <w:rPr>
          <w:rFonts w:hint="default" w:ascii="Times New Roman" w:hAnsi="Times New Roman" w:eastAsia="宋体" w:cs="Times New Roman"/>
          <w:color w:val="auto"/>
          <w:sz w:val="24"/>
          <w:highlight w:val="none"/>
          <w:lang w:val="zh-CN"/>
        </w:rPr>
        <w:t>拉运至陆梁集中处理站原油处理系统处置。</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）清管废渣</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集输管线每2～4年清管1次，根据建设单位提供，一般每公里管线产生的清管废渣量平均约为1.15kg，本工程新建单井出油管线</w:t>
      </w:r>
      <w:r>
        <w:rPr>
          <w:rFonts w:hint="eastAsia" w:ascii="Times New Roman" w:hAnsi="Times New Roman" w:eastAsia="宋体" w:cs="Times New Roman"/>
          <w:color w:val="auto"/>
          <w:sz w:val="24"/>
          <w:lang w:eastAsia="zh-CN"/>
        </w:rPr>
        <w:t>4.2</w:t>
      </w:r>
      <w:r>
        <w:rPr>
          <w:rFonts w:hint="default" w:ascii="Times New Roman" w:hAnsi="Times New Roman" w:eastAsia="宋体" w:cs="Times New Roman"/>
          <w:color w:val="auto"/>
          <w:sz w:val="24"/>
        </w:rPr>
        <w:t>km，每次废渣量约</w:t>
      </w:r>
      <w:r>
        <w:rPr>
          <w:rFonts w:hint="eastAsia" w:ascii="Times New Roman" w:hAnsi="Times New Roman" w:eastAsia="宋体" w:cs="Times New Roman"/>
          <w:color w:val="auto"/>
          <w:sz w:val="24"/>
          <w:lang w:eastAsia="zh-CN"/>
        </w:rPr>
        <w:t>0.005</w:t>
      </w:r>
      <w:r>
        <w:rPr>
          <w:rFonts w:hint="default" w:ascii="Times New Roman" w:hAnsi="Times New Roman" w:eastAsia="宋体" w:cs="Times New Roman"/>
          <w:color w:val="auto"/>
          <w:sz w:val="24"/>
        </w:rPr>
        <w:t>t。清管废渣中含有少量管道中的油，其危险废物类别为HW08废矿物油和含矿物油废物，危废代码为071-001-08，</w:t>
      </w:r>
      <w:r>
        <w:rPr>
          <w:rFonts w:hint="default" w:ascii="Times New Roman" w:hAnsi="Times New Roman" w:eastAsia="宋体" w:cs="Times New Roman"/>
          <w:color w:val="auto"/>
          <w:kern w:val="0"/>
          <w:sz w:val="24"/>
          <w:szCs w:val="24"/>
          <w:lang w:val="en-US" w:eastAsia="zh-CN" w:bidi="ar"/>
        </w:rPr>
        <w:t>暂存至陆梁油田作业区污泥暂存池</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rPr>
        <w:t>委托持有危险废物经营许可证的单位处置。</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）废润滑油</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运营期井架及井下作业时各类机械设备需要定期保养和维护，会产生一定量的废润滑油，根据建设单位提供数据，单井井场产生的废润滑油量约0.05t/a，本项目</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lang w:eastAsia="zh-CN"/>
        </w:rPr>
        <w:t>口</w:t>
      </w:r>
      <w:r>
        <w:rPr>
          <w:rFonts w:hint="default" w:ascii="Times New Roman" w:hAnsi="Times New Roman" w:eastAsia="宋体" w:cs="Times New Roman"/>
          <w:color w:val="auto"/>
          <w:sz w:val="24"/>
        </w:rPr>
        <w:t>井废润滑油产生量为</w:t>
      </w:r>
      <w:r>
        <w:rPr>
          <w:rFonts w:hint="eastAsia" w:ascii="Times New Roman" w:hAnsi="Times New Roman" w:eastAsia="宋体" w:cs="Times New Roman"/>
          <w:color w:val="auto"/>
          <w:sz w:val="24"/>
          <w:lang w:eastAsia="zh-CN"/>
        </w:rPr>
        <w:t>0.</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0</w:t>
      </w:r>
      <w:r>
        <w:rPr>
          <w:rFonts w:hint="default" w:ascii="Times New Roman" w:hAnsi="Times New Roman" w:eastAsia="宋体" w:cs="Times New Roman"/>
          <w:color w:val="auto"/>
          <w:sz w:val="24"/>
        </w:rPr>
        <w:t>t/a。</w:t>
      </w:r>
      <w:r>
        <w:rPr>
          <w:rFonts w:hint="default" w:ascii="Times New Roman" w:hAnsi="Times New Roman" w:cs="Times New Roman"/>
          <w:color w:val="auto"/>
          <w:sz w:val="24"/>
          <w:lang w:eastAsia="zh-CN"/>
        </w:rPr>
        <w:t>废润滑油</w:t>
      </w:r>
      <w:r>
        <w:rPr>
          <w:rFonts w:hint="default" w:ascii="Times New Roman" w:hAnsi="Times New Roman" w:eastAsia="宋体" w:cs="Times New Roman"/>
          <w:color w:val="auto"/>
          <w:sz w:val="24"/>
          <w:lang w:eastAsia="zh-CN"/>
        </w:rPr>
        <w:t>成分为矿物油与原油成分相似，可进入陆梁集中处理站原油处理系统处置</w:t>
      </w:r>
      <w:r>
        <w:rPr>
          <w:rFonts w:hint="default" w:ascii="Times New Roman" w:hAnsi="Times New Roman" w:eastAsia="宋体" w:cs="Times New Roman"/>
          <w:color w:val="auto"/>
          <w:sz w:val="24"/>
        </w:rPr>
        <w:t>。</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）废弃防渗膜</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项目运行期油井作业时，作业场地下方铺设防渗膜，产生的落地油直接落在防渗膜上，目前油田使用的防渗膜均可重复利用，平均重复利用1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2年。单块防渗膜重约250kg（12m×12m），每口井作业用2块，则本工程</w:t>
      </w:r>
      <w:r>
        <w:rPr>
          <w:rFonts w:hint="eastAsia" w:ascii="Times New Roman" w:hAnsi="Times New Roman" w:eastAsia="宋体" w:cs="Times New Roman"/>
          <w:color w:val="auto"/>
          <w:sz w:val="24"/>
          <w:lang w:eastAsia="zh-CN"/>
        </w:rPr>
        <w:t>6口</w:t>
      </w:r>
      <w:r>
        <w:rPr>
          <w:rFonts w:hint="default" w:ascii="Times New Roman" w:hAnsi="Times New Roman" w:eastAsia="宋体" w:cs="Times New Roman"/>
          <w:color w:val="auto"/>
          <w:sz w:val="24"/>
        </w:rPr>
        <w:t>油井作业1次共产生废弃防渗膜约</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t，油井作业频次为2年/次，则项目产生废弃防渗膜最大量约</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t/a。</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作业过程中产生的含油废弃防膜布属于危险废物，危废代码为HW08中900-249-08其他生产、销售、使用过程中产生的废矿物油及沾染矿物油的废弃包装物。作业施工结束后，由施工单位将废弃的含油防渗膜集中收集，不在井场贮存，委托具有危险废物运输及处理资质的单位拉运处理，拉运过程中资质单位应使用专车、按照指定的拉运路线。</w:t>
      </w:r>
    </w:p>
    <w:p>
      <w:pPr>
        <w:spacing w:line="360" w:lineRule="auto"/>
        <w:ind w:right="-1"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根据《固体废物鉴别标准 通则》（GB34330-2017）的规定，判断各类物质是否属于固体废物，根据《国家危险废物名录》（202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年版）以及危险废物鉴别标准，判定上述固体废物是否属于危险废物，判定结果见表3.7-18。</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表3.7-18  固废属性判定</w:t>
      </w:r>
    </w:p>
    <w:tbl>
      <w:tblPr>
        <w:tblStyle w:val="31"/>
        <w:tblW w:w="8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2"/>
        <w:gridCol w:w="627"/>
        <w:gridCol w:w="1162"/>
        <w:gridCol w:w="577"/>
        <w:gridCol w:w="577"/>
        <w:gridCol w:w="871"/>
        <w:gridCol w:w="878"/>
        <w:gridCol w:w="908"/>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72"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627"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固废名称</w:t>
            </w:r>
          </w:p>
        </w:tc>
        <w:tc>
          <w:tcPr>
            <w:tcW w:w="1162"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产生工序</w:t>
            </w:r>
          </w:p>
        </w:tc>
        <w:tc>
          <w:tcPr>
            <w:tcW w:w="577"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形态</w:t>
            </w:r>
          </w:p>
        </w:tc>
        <w:tc>
          <w:tcPr>
            <w:tcW w:w="577"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主要成分</w:t>
            </w:r>
          </w:p>
        </w:tc>
        <w:tc>
          <w:tcPr>
            <w:tcW w:w="871"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预测产生量</w:t>
            </w:r>
          </w:p>
          <w:p>
            <w:pPr>
              <w:pStyle w:val="47"/>
              <w:rPr>
                <w:rFonts w:hint="default" w:ascii="Times New Roman" w:hAnsi="Times New Roman" w:cs="Times New Roman"/>
                <w:b/>
                <w:bCs/>
                <w:color w:val="auto"/>
              </w:rPr>
            </w:pPr>
            <w:r>
              <w:rPr>
                <w:rFonts w:hint="default" w:ascii="Times New Roman" w:hAnsi="Times New Roman" w:cs="Times New Roman"/>
                <w:b/>
                <w:bCs/>
                <w:color w:val="auto"/>
              </w:rPr>
              <w:t>（t/a）</w:t>
            </w:r>
          </w:p>
        </w:tc>
        <w:tc>
          <w:tcPr>
            <w:tcW w:w="3971"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7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627"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116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871"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87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固废</w:t>
            </w:r>
          </w:p>
        </w:tc>
        <w:tc>
          <w:tcPr>
            <w:tcW w:w="90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副产品</w:t>
            </w:r>
          </w:p>
        </w:tc>
        <w:tc>
          <w:tcPr>
            <w:tcW w:w="218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49" w:hRule="atLeast"/>
          <w:jc w:val="center"/>
        </w:trPr>
        <w:tc>
          <w:tcPr>
            <w:tcW w:w="572"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w:t>
            </w:r>
          </w:p>
        </w:tc>
        <w:tc>
          <w:tcPr>
            <w:tcW w:w="62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含油污泥</w:t>
            </w:r>
          </w:p>
        </w:tc>
        <w:tc>
          <w:tcPr>
            <w:tcW w:w="1162"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清罐</w:t>
            </w:r>
          </w:p>
        </w:tc>
        <w:tc>
          <w:tcPr>
            <w:tcW w:w="57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半固态</w:t>
            </w:r>
          </w:p>
        </w:tc>
        <w:tc>
          <w:tcPr>
            <w:tcW w:w="57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油砂混合物</w:t>
            </w:r>
          </w:p>
        </w:tc>
        <w:tc>
          <w:tcPr>
            <w:tcW w:w="871" w:type="dxa"/>
            <w:tcBorders>
              <w:top w:val="single" w:color="auto" w:sz="4" w:space="0"/>
              <w:left w:val="single" w:color="auto" w:sz="4" w:space="0"/>
              <w:right w:val="single" w:color="auto" w:sz="4" w:space="0"/>
            </w:tcBorders>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130.69</w:t>
            </w:r>
          </w:p>
        </w:tc>
        <w:tc>
          <w:tcPr>
            <w:tcW w:w="878"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2185" w:type="dxa"/>
            <w:vMerge w:val="restart"/>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《国家危险废物名录》（202</w:t>
            </w:r>
            <w:r>
              <w:rPr>
                <w:rFonts w:hint="eastAsia" w:cs="Times New Roman"/>
                <w:color w:val="auto"/>
                <w:lang w:val="en-US" w:eastAsia="zh-CN"/>
              </w:rPr>
              <w:t>5</w:t>
            </w:r>
            <w:r>
              <w:rPr>
                <w:rFonts w:hint="default" w:ascii="Times New Roman" w:hAnsi="Times New Roman" w:cs="Times New Roman"/>
                <w:color w:val="auto"/>
              </w:rPr>
              <w:t>年版）、《危险废物环境管理指南 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49" w:hRule="atLeast"/>
          <w:jc w:val="center"/>
        </w:trPr>
        <w:tc>
          <w:tcPr>
            <w:tcW w:w="572" w:type="dxa"/>
            <w:tcBorders>
              <w:top w:val="single" w:color="auto" w:sz="4" w:space="0"/>
              <w:left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bookmarkStart w:id="216" w:name="_Hlk92732768"/>
            <w:r>
              <w:rPr>
                <w:rFonts w:hint="default" w:ascii="Times New Roman" w:hAnsi="Times New Roman" w:cs="Times New Roman"/>
                <w:color w:val="auto"/>
              </w:rPr>
              <w:t>2</w:t>
            </w:r>
          </w:p>
        </w:tc>
        <w:tc>
          <w:tcPr>
            <w:tcW w:w="62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落地原油</w:t>
            </w:r>
          </w:p>
        </w:tc>
        <w:tc>
          <w:tcPr>
            <w:tcW w:w="1162"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cs="Times New Roman"/>
                <w:snapToGrid w:val="0"/>
                <w:color w:val="auto"/>
                <w:kern w:val="0"/>
              </w:rPr>
              <w:t>井下作业、阀门泄漏、管线破损等</w:t>
            </w:r>
          </w:p>
        </w:tc>
        <w:tc>
          <w:tcPr>
            <w:tcW w:w="57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cs="Times New Roman"/>
                <w:color w:val="auto"/>
              </w:rPr>
              <w:t>液态</w:t>
            </w:r>
          </w:p>
        </w:tc>
        <w:tc>
          <w:tcPr>
            <w:tcW w:w="577"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cs="Times New Roman"/>
                <w:color w:val="auto"/>
              </w:rPr>
              <w:t>原油</w:t>
            </w:r>
          </w:p>
        </w:tc>
        <w:tc>
          <w:tcPr>
            <w:tcW w:w="871" w:type="dxa"/>
            <w:tcBorders>
              <w:top w:val="single" w:color="auto" w:sz="4" w:space="0"/>
              <w:left w:val="single" w:color="auto" w:sz="4" w:space="0"/>
              <w:right w:val="single" w:color="auto" w:sz="4" w:space="0"/>
            </w:tcBorders>
            <w:vAlign w:val="center"/>
          </w:tcPr>
          <w:p>
            <w:pPr>
              <w:pStyle w:val="47"/>
              <w:rPr>
                <w:rFonts w:hint="default" w:eastAsia="宋体" w:cs="Times New Roman"/>
                <w:color w:val="auto"/>
                <w:lang w:val="en-US" w:eastAsia="zh-CN"/>
              </w:rPr>
            </w:pPr>
            <w:r>
              <w:rPr>
                <w:rFonts w:hint="eastAsia" w:cs="Times New Roman"/>
                <w:color w:val="auto"/>
                <w:lang w:val="en-US" w:eastAsia="zh-CN"/>
              </w:rPr>
              <w:t>0.6</w:t>
            </w:r>
          </w:p>
        </w:tc>
        <w:tc>
          <w:tcPr>
            <w:tcW w:w="878"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cs="Times New Roman"/>
                <w:color w:val="auto"/>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cs="Times New Roman"/>
                <w:color w:val="auto"/>
              </w:rPr>
              <w:t>/</w:t>
            </w:r>
          </w:p>
        </w:tc>
        <w:tc>
          <w:tcPr>
            <w:tcW w:w="218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3</w:t>
            </w:r>
          </w:p>
        </w:tc>
        <w:tc>
          <w:tcPr>
            <w:tcW w:w="62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废润滑油</w:t>
            </w:r>
          </w:p>
        </w:tc>
        <w:tc>
          <w:tcPr>
            <w:tcW w:w="116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机械设备检修</w:t>
            </w:r>
          </w:p>
        </w:tc>
        <w:tc>
          <w:tcPr>
            <w:tcW w:w="57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液态</w:t>
            </w:r>
          </w:p>
        </w:tc>
        <w:tc>
          <w:tcPr>
            <w:tcW w:w="57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石油类</w:t>
            </w:r>
          </w:p>
        </w:tc>
        <w:tc>
          <w:tcPr>
            <w:tcW w:w="871" w:type="dxa"/>
            <w:tcBorders>
              <w:top w:val="single" w:color="auto" w:sz="4" w:space="0"/>
              <w:left w:val="single" w:color="auto" w:sz="4" w:space="0"/>
              <w:bottom w:val="single" w:color="auto" w:sz="4" w:space="0"/>
              <w:right w:val="single" w:color="auto" w:sz="4" w:space="0"/>
            </w:tcBorders>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0.</w:t>
            </w:r>
            <w:r>
              <w:rPr>
                <w:rFonts w:hint="eastAsia" w:cs="Times New Roman"/>
                <w:color w:val="auto"/>
                <w:lang w:val="en-US" w:eastAsia="zh-CN"/>
              </w:rPr>
              <w:t>4</w:t>
            </w:r>
            <w:r>
              <w:rPr>
                <w:rFonts w:hint="eastAsia" w:cs="Times New Roman"/>
                <w:color w:val="auto"/>
                <w:lang w:eastAsia="zh-CN"/>
              </w:rPr>
              <w:t>0</w:t>
            </w:r>
          </w:p>
        </w:tc>
        <w:tc>
          <w:tcPr>
            <w:tcW w:w="87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218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4</w:t>
            </w:r>
          </w:p>
        </w:tc>
        <w:tc>
          <w:tcPr>
            <w:tcW w:w="62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清管废渣</w:t>
            </w:r>
          </w:p>
        </w:tc>
        <w:tc>
          <w:tcPr>
            <w:tcW w:w="116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定期清管</w:t>
            </w:r>
          </w:p>
        </w:tc>
        <w:tc>
          <w:tcPr>
            <w:tcW w:w="57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57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油类物质</w:t>
            </w:r>
          </w:p>
        </w:tc>
        <w:tc>
          <w:tcPr>
            <w:tcW w:w="87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eastAsia="zh-CN"/>
              </w:rPr>
              <w:t>0.005</w:t>
            </w:r>
            <w:r>
              <w:rPr>
                <w:rFonts w:hint="default" w:ascii="Times New Roman" w:hAnsi="Times New Roman" w:cs="Times New Roman"/>
                <w:color w:val="auto"/>
              </w:rPr>
              <w:t>t/次</w:t>
            </w:r>
          </w:p>
        </w:tc>
        <w:tc>
          <w:tcPr>
            <w:tcW w:w="87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218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eastAsia" w:ascii="Times New Roman" w:hAnsi="Times New Roman" w:eastAsia="宋体" w:cs="Times New Roman"/>
                <w:color w:val="auto"/>
                <w:lang w:val="en-US" w:eastAsia="zh-CN"/>
              </w:rPr>
            </w:pPr>
            <w:r>
              <w:rPr>
                <w:rFonts w:hint="eastAsia" w:cs="Times New Roman"/>
                <w:color w:val="auto"/>
                <w:lang w:val="en-US" w:eastAsia="zh-CN"/>
              </w:rPr>
              <w:t>5</w:t>
            </w:r>
          </w:p>
        </w:tc>
        <w:tc>
          <w:tcPr>
            <w:tcW w:w="62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废防渗膜</w:t>
            </w:r>
          </w:p>
        </w:tc>
        <w:tc>
          <w:tcPr>
            <w:tcW w:w="116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油井作业场地</w:t>
            </w:r>
          </w:p>
        </w:tc>
        <w:tc>
          <w:tcPr>
            <w:tcW w:w="57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57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石油类</w:t>
            </w:r>
          </w:p>
        </w:tc>
        <w:tc>
          <w:tcPr>
            <w:tcW w:w="87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2.25</w:t>
            </w:r>
          </w:p>
        </w:tc>
        <w:tc>
          <w:tcPr>
            <w:tcW w:w="87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218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r>
    </w:tbl>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综上，固体废物的产生和排放汇总见表3.7-19。</w:t>
      </w:r>
    </w:p>
    <w:p>
      <w:pPr>
        <w:pStyle w:val="41"/>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 w:val="21"/>
          <w:szCs w:val="15"/>
        </w:rPr>
        <w:t>表3.7-19  项目运营期固体废物分析结果汇总表</w:t>
      </w:r>
    </w:p>
    <w:tbl>
      <w:tblPr>
        <w:tblStyle w:val="31"/>
        <w:tblW w:w="8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0"/>
        <w:gridCol w:w="686"/>
        <w:gridCol w:w="525"/>
        <w:gridCol w:w="791"/>
        <w:gridCol w:w="500"/>
        <w:gridCol w:w="500"/>
        <w:gridCol w:w="791"/>
        <w:gridCol w:w="500"/>
        <w:gridCol w:w="616"/>
        <w:gridCol w:w="1036"/>
        <w:gridCol w:w="739"/>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3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68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固废名称</w:t>
            </w:r>
          </w:p>
        </w:tc>
        <w:tc>
          <w:tcPr>
            <w:tcW w:w="5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属性</w:t>
            </w:r>
          </w:p>
        </w:tc>
        <w:tc>
          <w:tcPr>
            <w:tcW w:w="7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产生工序</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形态</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主要成分</w:t>
            </w:r>
          </w:p>
        </w:tc>
        <w:tc>
          <w:tcPr>
            <w:tcW w:w="7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危险特性鉴别方法</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危险</w:t>
            </w:r>
          </w:p>
          <w:p>
            <w:pPr>
              <w:pStyle w:val="47"/>
              <w:rPr>
                <w:rFonts w:hint="default" w:ascii="Times New Roman" w:hAnsi="Times New Roman" w:cs="Times New Roman"/>
                <w:b/>
                <w:bCs/>
                <w:color w:val="auto"/>
              </w:rPr>
            </w:pPr>
            <w:r>
              <w:rPr>
                <w:rFonts w:hint="default" w:ascii="Times New Roman" w:hAnsi="Times New Roman" w:cs="Times New Roman"/>
                <w:b/>
                <w:bCs/>
                <w:color w:val="auto"/>
              </w:rPr>
              <w:t>特性</w:t>
            </w:r>
          </w:p>
        </w:tc>
        <w:tc>
          <w:tcPr>
            <w:tcW w:w="61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废物</w:t>
            </w:r>
          </w:p>
          <w:p>
            <w:pPr>
              <w:pStyle w:val="47"/>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0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废物代码</w:t>
            </w:r>
          </w:p>
        </w:tc>
        <w:tc>
          <w:tcPr>
            <w:tcW w:w="73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估算产生量（t/a）</w:t>
            </w:r>
          </w:p>
        </w:tc>
        <w:tc>
          <w:tcPr>
            <w:tcW w:w="13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拟采取的处理处置方式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w:t>
            </w:r>
          </w:p>
        </w:tc>
        <w:tc>
          <w:tcPr>
            <w:tcW w:w="686"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含油污泥</w:t>
            </w:r>
          </w:p>
        </w:tc>
        <w:tc>
          <w:tcPr>
            <w:tcW w:w="525" w:type="dxa"/>
            <w:vMerge w:val="restart"/>
            <w:tcBorders>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危险废物</w:t>
            </w:r>
          </w:p>
        </w:tc>
        <w:tc>
          <w:tcPr>
            <w:tcW w:w="791"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清罐</w:t>
            </w:r>
          </w:p>
        </w:tc>
        <w:tc>
          <w:tcPr>
            <w:tcW w:w="50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半固态</w:t>
            </w:r>
          </w:p>
        </w:tc>
        <w:tc>
          <w:tcPr>
            <w:tcW w:w="50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油砂混合物</w:t>
            </w:r>
          </w:p>
        </w:tc>
        <w:tc>
          <w:tcPr>
            <w:tcW w:w="791" w:type="dxa"/>
            <w:vMerge w:val="restart"/>
            <w:tcBorders>
              <w:left w:val="single" w:color="auto" w:sz="4" w:space="0"/>
              <w:right w:val="single" w:color="auto" w:sz="4" w:space="0"/>
            </w:tcBorders>
            <w:vAlign w:val="center"/>
          </w:tcPr>
          <w:p>
            <w:pPr>
              <w:pStyle w:val="47"/>
              <w:rPr>
                <w:rFonts w:hint="default" w:ascii="Times New Roman" w:hAnsi="Times New Roman" w:cs="Times New Roman"/>
                <w:bCs/>
                <w:color w:val="auto"/>
              </w:rPr>
            </w:pPr>
            <w:r>
              <w:rPr>
                <w:rFonts w:hint="default" w:ascii="Times New Roman" w:hAnsi="Times New Roman" w:cs="Times New Roman"/>
                <w:bCs/>
                <w:color w:val="auto"/>
              </w:rPr>
              <w:t>危险废物鉴别标准</w:t>
            </w:r>
          </w:p>
        </w:tc>
        <w:tc>
          <w:tcPr>
            <w:tcW w:w="50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毒性T</w:t>
            </w:r>
          </w:p>
          <w:p>
            <w:pPr>
              <w:pStyle w:val="47"/>
              <w:rPr>
                <w:rFonts w:hint="default" w:ascii="Times New Roman" w:hAnsi="Times New Roman" w:cs="Times New Roman"/>
                <w:color w:val="auto"/>
              </w:rPr>
            </w:pPr>
            <w:r>
              <w:rPr>
                <w:rFonts w:hint="default" w:ascii="Times New Roman" w:hAnsi="Times New Roman" w:cs="Times New Roman"/>
                <w:color w:val="auto"/>
              </w:rPr>
              <w:t>易燃性I</w:t>
            </w:r>
          </w:p>
        </w:tc>
        <w:tc>
          <w:tcPr>
            <w:tcW w:w="616"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bCs/>
                <w:color w:val="auto"/>
              </w:rPr>
            </w:pPr>
            <w:r>
              <w:rPr>
                <w:rFonts w:hint="default" w:ascii="Times New Roman" w:hAnsi="Times New Roman" w:cs="Times New Roman"/>
                <w:bCs/>
                <w:color w:val="auto"/>
              </w:rPr>
              <w:t>HW08</w:t>
            </w:r>
          </w:p>
        </w:tc>
        <w:tc>
          <w:tcPr>
            <w:tcW w:w="1036"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071-001-08</w:t>
            </w:r>
          </w:p>
        </w:tc>
        <w:tc>
          <w:tcPr>
            <w:tcW w:w="739" w:type="dxa"/>
            <w:tcBorders>
              <w:top w:val="single" w:color="auto" w:sz="4" w:space="0"/>
              <w:left w:val="single" w:color="auto" w:sz="4" w:space="0"/>
              <w:right w:val="single" w:color="auto" w:sz="4" w:space="0"/>
            </w:tcBorders>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130.69</w:t>
            </w:r>
          </w:p>
        </w:tc>
        <w:tc>
          <w:tcPr>
            <w:tcW w:w="13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lang w:val="en-US" w:eastAsia="zh-CN"/>
              </w:rPr>
              <w:t>由专用罐收集后暂存至陆梁油田作业区污泥暂存池，</w:t>
            </w:r>
            <w:r>
              <w:rPr>
                <w:rFonts w:hint="default" w:ascii="Times New Roman" w:hAnsi="Times New Roman" w:cs="Times New Roman"/>
                <w:snapToGrid w:val="0"/>
                <w:color w:val="auto"/>
                <w:kern w:val="0"/>
              </w:rPr>
              <w:t>委托克拉玛依博达生态环保科技有限责任公司处置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2</w:t>
            </w:r>
          </w:p>
        </w:tc>
        <w:tc>
          <w:tcPr>
            <w:tcW w:w="686" w:type="dxa"/>
            <w:tcBorders>
              <w:top w:val="single" w:color="auto" w:sz="4" w:space="0"/>
              <w:left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落地原油</w:t>
            </w:r>
          </w:p>
        </w:tc>
        <w:tc>
          <w:tcPr>
            <w:tcW w:w="52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c>
          <w:tcPr>
            <w:tcW w:w="791"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cs="Times New Roman"/>
                <w:snapToGrid w:val="0"/>
                <w:color w:val="auto"/>
                <w:kern w:val="0"/>
              </w:rPr>
              <w:t>井下作业、阀门泄漏、管线破损等</w:t>
            </w:r>
          </w:p>
        </w:tc>
        <w:tc>
          <w:tcPr>
            <w:tcW w:w="50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cs="Times New Roman"/>
                <w:color w:val="auto"/>
              </w:rPr>
              <w:t>液态</w:t>
            </w:r>
          </w:p>
        </w:tc>
        <w:tc>
          <w:tcPr>
            <w:tcW w:w="500"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cs="Times New Roman"/>
                <w:color w:val="auto"/>
              </w:rPr>
              <w:t>原油</w:t>
            </w:r>
          </w:p>
        </w:tc>
        <w:tc>
          <w:tcPr>
            <w:tcW w:w="791" w:type="dxa"/>
            <w:vMerge w:val="continue"/>
            <w:tcBorders>
              <w:left w:val="single" w:color="auto" w:sz="4" w:space="0"/>
              <w:right w:val="single" w:color="auto" w:sz="4" w:space="0"/>
            </w:tcBorders>
            <w:vAlign w:val="center"/>
          </w:tcPr>
          <w:p>
            <w:pPr>
              <w:pStyle w:val="47"/>
              <w:rPr>
                <w:rFonts w:hint="default" w:ascii="Times New Roman" w:hAnsi="Times New Roman" w:cs="Times New Roman"/>
                <w:bCs/>
                <w:color w:val="auto"/>
              </w:rPr>
            </w:pPr>
          </w:p>
        </w:tc>
        <w:tc>
          <w:tcPr>
            <w:tcW w:w="500" w:type="dxa"/>
            <w:tcBorders>
              <w:top w:val="single" w:color="auto" w:sz="4" w:space="0"/>
              <w:left w:val="single" w:color="auto" w:sz="4" w:space="0"/>
              <w:right w:val="single" w:color="auto" w:sz="4" w:space="0"/>
            </w:tcBorders>
            <w:vAlign w:val="center"/>
          </w:tcPr>
          <w:p>
            <w:pPr>
              <w:pStyle w:val="47"/>
              <w:rPr>
                <w:rFonts w:cs="Times New Roman"/>
                <w:color w:val="auto"/>
              </w:rPr>
            </w:pPr>
            <w:r>
              <w:rPr>
                <w:rFonts w:cs="Times New Roman"/>
                <w:color w:val="auto"/>
              </w:rPr>
              <w:t>毒性T</w:t>
            </w:r>
          </w:p>
          <w:p>
            <w:pPr>
              <w:pStyle w:val="47"/>
              <w:rPr>
                <w:rFonts w:hint="default" w:ascii="Times New Roman" w:hAnsi="Times New Roman" w:cs="Times New Roman"/>
                <w:color w:val="auto"/>
              </w:rPr>
            </w:pPr>
            <w:r>
              <w:rPr>
                <w:rFonts w:cs="Times New Roman"/>
                <w:color w:val="auto"/>
              </w:rPr>
              <w:t>易燃性I</w:t>
            </w:r>
          </w:p>
        </w:tc>
        <w:tc>
          <w:tcPr>
            <w:tcW w:w="616"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bCs/>
                <w:color w:val="auto"/>
              </w:rPr>
            </w:pPr>
            <w:r>
              <w:rPr>
                <w:rFonts w:cs="Times New Roman"/>
                <w:bCs/>
                <w:color w:val="auto"/>
              </w:rPr>
              <w:t>HW08</w:t>
            </w:r>
          </w:p>
        </w:tc>
        <w:tc>
          <w:tcPr>
            <w:tcW w:w="1036" w:type="dxa"/>
            <w:tcBorders>
              <w:top w:val="single" w:color="auto" w:sz="4" w:space="0"/>
              <w:left w:val="single" w:color="auto" w:sz="4" w:space="0"/>
              <w:right w:val="single" w:color="auto" w:sz="4" w:space="0"/>
            </w:tcBorders>
            <w:vAlign w:val="center"/>
          </w:tcPr>
          <w:p>
            <w:pPr>
              <w:pStyle w:val="47"/>
              <w:rPr>
                <w:rFonts w:hint="default" w:ascii="Times New Roman" w:hAnsi="Times New Roman" w:cs="Times New Roman"/>
                <w:color w:val="auto"/>
              </w:rPr>
            </w:pPr>
            <w:r>
              <w:rPr>
                <w:rFonts w:cs="Times New Roman"/>
                <w:color w:val="auto"/>
              </w:rPr>
              <w:t>071-001-08</w:t>
            </w:r>
          </w:p>
        </w:tc>
        <w:tc>
          <w:tcPr>
            <w:tcW w:w="739" w:type="dxa"/>
            <w:tcBorders>
              <w:top w:val="single" w:color="auto" w:sz="4" w:space="0"/>
              <w:left w:val="single" w:color="auto" w:sz="4" w:space="0"/>
              <w:right w:val="single" w:color="auto" w:sz="4" w:space="0"/>
            </w:tcBorders>
            <w:vAlign w:val="center"/>
          </w:tcPr>
          <w:p>
            <w:pPr>
              <w:pStyle w:val="47"/>
              <w:rPr>
                <w:rFonts w:hint="default" w:cs="Times New Roman"/>
                <w:color w:val="auto"/>
                <w:lang w:val="en-US" w:eastAsia="zh-CN"/>
              </w:rPr>
            </w:pPr>
            <w:r>
              <w:rPr>
                <w:rFonts w:hint="eastAsia" w:cs="Times New Roman"/>
                <w:color w:val="auto"/>
                <w:lang w:val="en-US" w:eastAsia="zh-CN"/>
              </w:rPr>
              <w:t>0.6</w:t>
            </w:r>
          </w:p>
        </w:tc>
        <w:tc>
          <w:tcPr>
            <w:tcW w:w="13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snapToGrid w:val="0"/>
                <w:color w:val="auto"/>
                <w:kern w:val="0"/>
                <w:lang w:val="en-US" w:eastAsia="zh-CN"/>
              </w:rPr>
            </w:pPr>
            <w:r>
              <w:rPr>
                <w:rFonts w:cs="Times New Roman"/>
                <w:bCs/>
                <w:color w:val="auto"/>
              </w:rPr>
              <w:t>作业单位100%回收，回收的落地油送至陆梁集中处理站处理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3</w:t>
            </w:r>
          </w:p>
        </w:tc>
        <w:tc>
          <w:tcPr>
            <w:tcW w:w="68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废润滑油</w:t>
            </w:r>
          </w:p>
        </w:tc>
        <w:tc>
          <w:tcPr>
            <w:tcW w:w="52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c>
          <w:tcPr>
            <w:tcW w:w="7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机械设备检修</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液态</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石油类</w:t>
            </w:r>
          </w:p>
        </w:tc>
        <w:tc>
          <w:tcPr>
            <w:tcW w:w="791"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毒性T</w:t>
            </w:r>
          </w:p>
          <w:p>
            <w:pPr>
              <w:pStyle w:val="47"/>
              <w:rPr>
                <w:rFonts w:hint="default" w:ascii="Times New Roman" w:hAnsi="Times New Roman" w:cs="Times New Roman"/>
                <w:color w:val="auto"/>
              </w:rPr>
            </w:pPr>
            <w:r>
              <w:rPr>
                <w:rFonts w:hint="default" w:ascii="Times New Roman" w:hAnsi="Times New Roman" w:cs="Times New Roman"/>
                <w:color w:val="auto"/>
              </w:rPr>
              <w:t>易燃性I</w:t>
            </w:r>
          </w:p>
        </w:tc>
        <w:tc>
          <w:tcPr>
            <w:tcW w:w="61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Cs/>
                <w:color w:val="auto"/>
              </w:rPr>
            </w:pPr>
            <w:r>
              <w:rPr>
                <w:rFonts w:hint="default" w:ascii="Times New Roman" w:hAnsi="Times New Roman" w:cs="Times New Roman"/>
                <w:bCs/>
                <w:color w:val="auto"/>
              </w:rPr>
              <w:t>HW08</w:t>
            </w:r>
          </w:p>
        </w:tc>
        <w:tc>
          <w:tcPr>
            <w:tcW w:w="10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900-214-08</w:t>
            </w:r>
          </w:p>
        </w:tc>
        <w:tc>
          <w:tcPr>
            <w:tcW w:w="739" w:type="dxa"/>
            <w:tcBorders>
              <w:top w:val="single" w:color="auto" w:sz="4" w:space="0"/>
              <w:left w:val="single" w:color="auto" w:sz="4" w:space="0"/>
              <w:bottom w:val="single" w:color="auto" w:sz="4" w:space="0"/>
              <w:right w:val="single" w:color="auto" w:sz="4" w:space="0"/>
            </w:tcBorders>
            <w:vAlign w:val="center"/>
          </w:tcPr>
          <w:p>
            <w:pPr>
              <w:pStyle w:val="47"/>
              <w:rPr>
                <w:rFonts w:hint="eastAsia" w:ascii="Times New Roman" w:hAnsi="Times New Roman" w:eastAsia="宋体" w:cs="Times New Roman"/>
                <w:color w:val="auto"/>
                <w:lang w:eastAsia="zh-CN"/>
              </w:rPr>
            </w:pPr>
            <w:r>
              <w:rPr>
                <w:rFonts w:hint="eastAsia" w:cs="Times New Roman"/>
                <w:color w:val="auto"/>
                <w:lang w:eastAsia="zh-CN"/>
              </w:rPr>
              <w:t>0.</w:t>
            </w:r>
            <w:r>
              <w:rPr>
                <w:rFonts w:hint="eastAsia" w:cs="Times New Roman"/>
                <w:color w:val="auto"/>
                <w:lang w:val="en-US" w:eastAsia="zh-CN"/>
              </w:rPr>
              <w:t>4</w:t>
            </w:r>
            <w:r>
              <w:rPr>
                <w:rFonts w:hint="eastAsia" w:cs="Times New Roman"/>
                <w:color w:val="auto"/>
                <w:lang w:eastAsia="zh-CN"/>
              </w:rPr>
              <w:t>0</w:t>
            </w:r>
          </w:p>
        </w:tc>
        <w:tc>
          <w:tcPr>
            <w:tcW w:w="13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Cs/>
                <w:color w:val="auto"/>
              </w:rPr>
            </w:pPr>
            <w:r>
              <w:rPr>
                <w:rFonts w:cs="Times New Roman"/>
                <w:bCs/>
                <w:color w:val="auto"/>
              </w:rPr>
              <w:t>回收后运至陆梁集中处理站原油处理系统进行处理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4</w:t>
            </w:r>
          </w:p>
        </w:tc>
        <w:tc>
          <w:tcPr>
            <w:tcW w:w="68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清管废渣</w:t>
            </w:r>
          </w:p>
        </w:tc>
        <w:tc>
          <w:tcPr>
            <w:tcW w:w="52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c>
          <w:tcPr>
            <w:tcW w:w="7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定期清管</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油类物质</w:t>
            </w:r>
          </w:p>
        </w:tc>
        <w:tc>
          <w:tcPr>
            <w:tcW w:w="791"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毒性T</w:t>
            </w:r>
          </w:p>
          <w:p>
            <w:pPr>
              <w:pStyle w:val="47"/>
              <w:rPr>
                <w:rFonts w:hint="default" w:ascii="Times New Roman" w:hAnsi="Times New Roman" w:cs="Times New Roman"/>
                <w:color w:val="auto"/>
              </w:rPr>
            </w:pPr>
            <w:r>
              <w:rPr>
                <w:rFonts w:hint="default" w:ascii="Times New Roman" w:hAnsi="Times New Roman" w:cs="Times New Roman"/>
                <w:color w:val="auto"/>
              </w:rPr>
              <w:t>易燃性I</w:t>
            </w:r>
          </w:p>
        </w:tc>
        <w:tc>
          <w:tcPr>
            <w:tcW w:w="61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Cs/>
                <w:color w:val="auto"/>
              </w:rPr>
            </w:pPr>
            <w:r>
              <w:rPr>
                <w:rFonts w:hint="default" w:ascii="Times New Roman" w:hAnsi="Times New Roman" w:cs="Times New Roman"/>
                <w:bCs/>
                <w:color w:val="auto"/>
              </w:rPr>
              <w:t>HW08</w:t>
            </w:r>
          </w:p>
        </w:tc>
        <w:tc>
          <w:tcPr>
            <w:tcW w:w="10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071-001-08</w:t>
            </w:r>
          </w:p>
        </w:tc>
        <w:tc>
          <w:tcPr>
            <w:tcW w:w="73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eastAsia="zh-CN"/>
              </w:rPr>
              <w:t>0.005</w:t>
            </w:r>
            <w:r>
              <w:rPr>
                <w:rFonts w:hint="default" w:ascii="Times New Roman" w:hAnsi="Times New Roman" w:cs="Times New Roman"/>
                <w:color w:val="auto"/>
              </w:rPr>
              <w:t>t/次</w:t>
            </w:r>
          </w:p>
        </w:tc>
        <w:tc>
          <w:tcPr>
            <w:tcW w:w="13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Cs/>
                <w:color w:val="auto"/>
              </w:rPr>
            </w:pPr>
            <w:r>
              <w:rPr>
                <w:rFonts w:hint="default" w:ascii="Times New Roman" w:hAnsi="Times New Roman" w:cs="Times New Roman"/>
                <w:bCs/>
                <w:color w:val="auto"/>
              </w:rPr>
              <w:t>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bottom w:val="single" w:color="auto" w:sz="4" w:space="0"/>
              <w:right w:val="single" w:color="auto" w:sz="4" w:space="0"/>
            </w:tcBorders>
            <w:vAlign w:val="center"/>
          </w:tcPr>
          <w:p>
            <w:pPr>
              <w:pStyle w:val="47"/>
              <w:rPr>
                <w:rFonts w:hint="eastAsia" w:ascii="Times New Roman" w:hAnsi="Times New Roman" w:eastAsia="宋体" w:cs="Times New Roman"/>
                <w:color w:val="auto"/>
                <w:lang w:val="en-US" w:eastAsia="zh-CN"/>
              </w:rPr>
            </w:pPr>
            <w:r>
              <w:rPr>
                <w:rFonts w:hint="eastAsia" w:cs="Times New Roman"/>
                <w:color w:val="auto"/>
                <w:lang w:val="en-US" w:eastAsia="zh-CN"/>
              </w:rPr>
              <w:t>5</w:t>
            </w:r>
          </w:p>
        </w:tc>
        <w:tc>
          <w:tcPr>
            <w:tcW w:w="68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废弃防渗膜</w:t>
            </w:r>
          </w:p>
        </w:tc>
        <w:tc>
          <w:tcPr>
            <w:tcW w:w="525"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c>
          <w:tcPr>
            <w:tcW w:w="791"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油井作业场地</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固态</w:t>
            </w: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石油类</w:t>
            </w:r>
          </w:p>
        </w:tc>
        <w:tc>
          <w:tcPr>
            <w:tcW w:w="791" w:type="dxa"/>
            <w:vMerge w:val="continue"/>
            <w:tcBorders>
              <w:left w:val="single" w:color="auto" w:sz="4" w:space="0"/>
              <w:right w:val="single" w:color="auto" w:sz="4" w:space="0"/>
            </w:tcBorders>
            <w:vAlign w:val="center"/>
          </w:tcPr>
          <w:p>
            <w:pPr>
              <w:pStyle w:val="47"/>
              <w:rPr>
                <w:rFonts w:hint="default" w:ascii="Times New Roman" w:hAnsi="Times New Roman" w:cs="Times New Roman"/>
                <w:color w:val="auto"/>
              </w:rPr>
            </w:pPr>
          </w:p>
        </w:tc>
        <w:tc>
          <w:tcPr>
            <w:tcW w:w="5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毒性T</w:t>
            </w:r>
          </w:p>
          <w:p>
            <w:pPr>
              <w:pStyle w:val="47"/>
              <w:rPr>
                <w:rFonts w:hint="default" w:ascii="Times New Roman" w:hAnsi="Times New Roman" w:cs="Times New Roman"/>
                <w:color w:val="auto"/>
              </w:rPr>
            </w:pPr>
            <w:r>
              <w:rPr>
                <w:rFonts w:hint="default" w:ascii="Times New Roman" w:hAnsi="Times New Roman" w:cs="Times New Roman"/>
                <w:color w:val="auto"/>
              </w:rPr>
              <w:t>易燃性I</w:t>
            </w:r>
          </w:p>
        </w:tc>
        <w:tc>
          <w:tcPr>
            <w:tcW w:w="61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bCs/>
                <w:color w:val="auto"/>
              </w:rPr>
              <w:t>HW08</w:t>
            </w:r>
          </w:p>
        </w:tc>
        <w:tc>
          <w:tcPr>
            <w:tcW w:w="10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900-249-08</w:t>
            </w:r>
          </w:p>
        </w:tc>
        <w:tc>
          <w:tcPr>
            <w:tcW w:w="739"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135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Cs/>
                <w:color w:val="auto"/>
              </w:rPr>
            </w:pPr>
            <w:r>
              <w:rPr>
                <w:rFonts w:hint="default" w:ascii="Times New Roman" w:hAnsi="Times New Roman" w:cs="Times New Roman"/>
                <w:color w:val="auto"/>
              </w:rPr>
              <w:t>委托有资质的单位处置</w:t>
            </w:r>
          </w:p>
        </w:tc>
      </w:tr>
      <w:bookmarkEnd w:id="216"/>
    </w:tbl>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本项目运营期污染物产排情况汇总见表3.7-20。</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表3.7-20  运营期产排污情况汇总</w:t>
      </w:r>
    </w:p>
    <w:tbl>
      <w:tblPr>
        <w:tblStyle w:val="31"/>
        <w:tblW w:w="8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862"/>
        <w:gridCol w:w="1267"/>
        <w:gridCol w:w="1050"/>
        <w:gridCol w:w="1134"/>
        <w:gridCol w:w="1183"/>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50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862"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工程</w:t>
            </w:r>
          </w:p>
        </w:tc>
        <w:tc>
          <w:tcPr>
            <w:tcW w:w="1267"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1050"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1134"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本次新增产生量</w:t>
            </w:r>
          </w:p>
        </w:tc>
        <w:tc>
          <w:tcPr>
            <w:tcW w:w="118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本项目</w:t>
            </w:r>
          </w:p>
          <w:p>
            <w:pPr>
              <w:pStyle w:val="47"/>
              <w:rPr>
                <w:rFonts w:hint="default" w:ascii="Times New Roman" w:hAnsi="Times New Roman" w:cs="Times New Roman"/>
                <w:b/>
                <w:bCs/>
                <w:color w:val="auto"/>
              </w:rPr>
            </w:pPr>
            <w:r>
              <w:rPr>
                <w:rFonts w:hint="default" w:ascii="Times New Roman" w:hAnsi="Times New Roman" w:cs="Times New Roman"/>
                <w:b/>
                <w:bCs/>
                <w:color w:val="auto"/>
              </w:rPr>
              <w:t>排放量</w:t>
            </w:r>
          </w:p>
        </w:tc>
        <w:tc>
          <w:tcPr>
            <w:tcW w:w="250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主要处理措施</w:t>
            </w:r>
          </w:p>
          <w:p>
            <w:pPr>
              <w:pStyle w:val="47"/>
              <w:rPr>
                <w:rFonts w:hint="default" w:ascii="Times New Roman" w:hAnsi="Times New Roman" w:cs="Times New Roman"/>
                <w:b/>
                <w:bCs/>
                <w:color w:val="auto"/>
              </w:rPr>
            </w:pPr>
            <w:r>
              <w:rPr>
                <w:rFonts w:hint="default" w:ascii="Times New Roman" w:hAnsi="Times New Roman" w:cs="Times New Roman"/>
                <w:b/>
                <w:bCs/>
                <w:color w:val="auto"/>
              </w:rPr>
              <w:t>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0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废气</w:t>
            </w:r>
          </w:p>
        </w:tc>
        <w:tc>
          <w:tcPr>
            <w:tcW w:w="862"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采油及集输</w:t>
            </w:r>
          </w:p>
        </w:tc>
        <w:tc>
          <w:tcPr>
            <w:tcW w:w="1267"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无组织挥发</w:t>
            </w:r>
          </w:p>
        </w:tc>
        <w:tc>
          <w:tcPr>
            <w:tcW w:w="105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非甲烷总烃</w:t>
            </w:r>
          </w:p>
        </w:tc>
        <w:tc>
          <w:tcPr>
            <w:tcW w:w="1134" w:type="dxa"/>
            <w:vAlign w:val="center"/>
          </w:tcPr>
          <w:p>
            <w:pPr>
              <w:pStyle w:val="47"/>
              <w:rPr>
                <w:rFonts w:hint="default" w:ascii="Times New Roman" w:hAnsi="Times New Roman" w:cs="Times New Roman"/>
                <w:color w:val="auto"/>
              </w:rPr>
            </w:pPr>
            <w:r>
              <w:rPr>
                <w:rFonts w:hint="eastAsia" w:cs="Times New Roman"/>
                <w:color w:val="auto"/>
                <w:lang w:eastAsia="zh-CN"/>
              </w:rPr>
              <w:t>0.2714</w:t>
            </w:r>
            <w:r>
              <w:rPr>
                <w:rFonts w:hint="default" w:ascii="Times New Roman" w:hAnsi="Times New Roman" w:cs="Times New Roman"/>
                <w:color w:val="auto"/>
              </w:rPr>
              <w:t>t/a</w:t>
            </w:r>
          </w:p>
        </w:tc>
        <w:tc>
          <w:tcPr>
            <w:tcW w:w="1183" w:type="dxa"/>
            <w:vAlign w:val="center"/>
          </w:tcPr>
          <w:p>
            <w:pPr>
              <w:pStyle w:val="47"/>
              <w:rPr>
                <w:rFonts w:hint="default" w:ascii="Times New Roman" w:hAnsi="Times New Roman" w:cs="Times New Roman"/>
                <w:color w:val="auto"/>
              </w:rPr>
            </w:pPr>
            <w:r>
              <w:rPr>
                <w:rFonts w:hint="eastAsia" w:cs="Times New Roman"/>
                <w:color w:val="auto"/>
                <w:lang w:eastAsia="zh-CN"/>
              </w:rPr>
              <w:t>0.2714</w:t>
            </w:r>
            <w:r>
              <w:rPr>
                <w:rFonts w:hint="default" w:ascii="Times New Roman" w:hAnsi="Times New Roman" w:cs="Times New Roman"/>
                <w:color w:val="auto"/>
              </w:rPr>
              <w:t>t/a</w:t>
            </w:r>
          </w:p>
        </w:tc>
        <w:tc>
          <w:tcPr>
            <w:tcW w:w="250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无组织排放至大气环境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08" w:type="dxa"/>
            <w:vMerge w:val="continue"/>
            <w:vAlign w:val="center"/>
          </w:tcPr>
          <w:p>
            <w:pPr>
              <w:pStyle w:val="47"/>
              <w:rPr>
                <w:rFonts w:hint="default" w:ascii="Times New Roman" w:hAnsi="Times New Roman" w:cs="Times New Roman"/>
                <w:color w:val="auto"/>
              </w:rPr>
            </w:pPr>
          </w:p>
        </w:tc>
        <w:tc>
          <w:tcPr>
            <w:tcW w:w="862" w:type="dxa"/>
            <w:vMerge w:val="continue"/>
            <w:vAlign w:val="center"/>
          </w:tcPr>
          <w:p>
            <w:pPr>
              <w:pStyle w:val="47"/>
              <w:rPr>
                <w:rFonts w:hint="default" w:ascii="Times New Roman" w:hAnsi="Times New Roman" w:cs="Times New Roman"/>
                <w:color w:val="auto"/>
              </w:rPr>
            </w:pPr>
          </w:p>
        </w:tc>
        <w:tc>
          <w:tcPr>
            <w:tcW w:w="1267" w:type="dxa"/>
            <w:vMerge w:val="continue"/>
            <w:vAlign w:val="center"/>
          </w:tcPr>
          <w:p>
            <w:pPr>
              <w:pStyle w:val="47"/>
              <w:rPr>
                <w:rFonts w:hint="default" w:ascii="Times New Roman" w:hAnsi="Times New Roman" w:cs="Times New Roman"/>
                <w:color w:val="auto"/>
              </w:rPr>
            </w:pPr>
          </w:p>
        </w:tc>
        <w:tc>
          <w:tcPr>
            <w:tcW w:w="1050"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硫化氢</w:t>
            </w:r>
          </w:p>
        </w:tc>
        <w:tc>
          <w:tcPr>
            <w:tcW w:w="1134" w:type="dxa"/>
            <w:vAlign w:val="center"/>
          </w:tcPr>
          <w:p>
            <w:pPr>
              <w:pStyle w:val="47"/>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83" w:type="dxa"/>
            <w:vAlign w:val="center"/>
          </w:tcPr>
          <w:p>
            <w:pPr>
              <w:pStyle w:val="47"/>
              <w:rPr>
                <w:rFonts w:hint="eastAsia" w:ascii="Times New Roman" w:hAnsi="Times New Roman" w:eastAsia="宋体" w:cs="Times New Roman"/>
                <w:color w:val="auto"/>
                <w:lang w:eastAsia="zh-CN"/>
              </w:rPr>
            </w:pPr>
            <w:r>
              <w:rPr>
                <w:rFonts w:hint="eastAsia" w:cs="Times New Roman"/>
                <w:color w:val="auto"/>
                <w:lang w:val="en-US" w:eastAsia="zh-CN"/>
              </w:rPr>
              <w:t>/</w:t>
            </w:r>
          </w:p>
        </w:tc>
        <w:tc>
          <w:tcPr>
            <w:tcW w:w="2508" w:type="dxa"/>
            <w:vMerge w:val="continue"/>
            <w:vAlign w:val="center"/>
          </w:tcPr>
          <w:p>
            <w:pPr>
              <w:pStyle w:val="47"/>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0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废水</w:t>
            </w:r>
          </w:p>
        </w:tc>
        <w:tc>
          <w:tcPr>
            <w:tcW w:w="862"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井场</w:t>
            </w:r>
          </w:p>
        </w:tc>
        <w:tc>
          <w:tcPr>
            <w:tcW w:w="126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井下作业废水</w:t>
            </w:r>
          </w:p>
        </w:tc>
        <w:tc>
          <w:tcPr>
            <w:tcW w:w="1050"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工业废水量、COD、石油类</w:t>
            </w:r>
          </w:p>
        </w:tc>
        <w:tc>
          <w:tcPr>
            <w:tcW w:w="1134" w:type="dxa"/>
            <w:vAlign w:val="center"/>
          </w:tcPr>
          <w:p>
            <w:pPr>
              <w:pStyle w:val="47"/>
              <w:rPr>
                <w:rFonts w:hint="default" w:ascii="Times New Roman" w:hAnsi="Times New Roman" w:cs="Times New Roman"/>
                <w:color w:val="auto"/>
              </w:rPr>
            </w:pPr>
            <w:r>
              <w:rPr>
                <w:rFonts w:hint="eastAsia" w:cs="Times New Roman"/>
                <w:color w:val="auto"/>
                <w:lang w:eastAsia="zh-CN"/>
              </w:rPr>
              <w:t>81.39</w:t>
            </w:r>
            <w:r>
              <w:rPr>
                <w:rFonts w:hint="default" w:ascii="Times New Roman" w:hAnsi="Times New Roman" w:cs="Times New Roman"/>
                <w:color w:val="auto"/>
              </w:rPr>
              <w:t>t/a</w:t>
            </w:r>
          </w:p>
        </w:tc>
        <w:tc>
          <w:tcPr>
            <w:tcW w:w="118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250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作业单位自带回收罐回收作业废水，运至陆梁集中</w:t>
            </w:r>
            <w:r>
              <w:rPr>
                <w:rFonts w:hint="default" w:ascii="Times New Roman" w:hAnsi="Times New Roman" w:cs="Times New Roman"/>
                <w:bCs/>
                <w:color w:val="auto"/>
              </w:rPr>
              <w:t>处理站污水处理系统</w:t>
            </w:r>
            <w:r>
              <w:rPr>
                <w:rFonts w:hint="default" w:ascii="Times New Roman" w:hAnsi="Times New Roman" w:cs="Times New Roman"/>
                <w:color w:val="auto"/>
              </w:rPr>
              <w:t>处理达标后回注油藏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08" w:type="dxa"/>
            <w:vMerge w:val="continue"/>
            <w:vAlign w:val="center"/>
          </w:tcPr>
          <w:p>
            <w:pPr>
              <w:pStyle w:val="47"/>
              <w:rPr>
                <w:rFonts w:hint="default" w:ascii="Times New Roman" w:hAnsi="Times New Roman" w:cs="Times New Roman"/>
                <w:color w:val="auto"/>
              </w:rPr>
            </w:pPr>
          </w:p>
        </w:tc>
        <w:tc>
          <w:tcPr>
            <w:tcW w:w="862" w:type="dxa"/>
            <w:vMerge w:val="continue"/>
            <w:vAlign w:val="center"/>
          </w:tcPr>
          <w:p>
            <w:pPr>
              <w:pStyle w:val="47"/>
              <w:rPr>
                <w:rFonts w:hint="default" w:ascii="Times New Roman" w:hAnsi="Times New Roman" w:cs="Times New Roman"/>
                <w:color w:val="auto"/>
              </w:rPr>
            </w:pPr>
          </w:p>
        </w:tc>
        <w:tc>
          <w:tcPr>
            <w:tcW w:w="126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废洗井液</w:t>
            </w:r>
          </w:p>
        </w:tc>
        <w:tc>
          <w:tcPr>
            <w:tcW w:w="1050" w:type="dxa"/>
            <w:vMerge w:val="continue"/>
            <w:vAlign w:val="center"/>
          </w:tcPr>
          <w:p>
            <w:pPr>
              <w:pStyle w:val="47"/>
              <w:rPr>
                <w:rFonts w:hint="default" w:ascii="Times New Roman" w:hAnsi="Times New Roman" w:cs="Times New Roman"/>
                <w:color w:val="auto"/>
              </w:rPr>
            </w:pPr>
          </w:p>
        </w:tc>
        <w:tc>
          <w:tcPr>
            <w:tcW w:w="1134" w:type="dxa"/>
            <w:vAlign w:val="center"/>
          </w:tcPr>
          <w:p>
            <w:pPr>
              <w:pStyle w:val="47"/>
              <w:rPr>
                <w:rFonts w:hint="default" w:ascii="Times New Roman" w:hAnsi="Times New Roman" w:cs="Times New Roman"/>
                <w:color w:val="auto"/>
              </w:rPr>
            </w:pPr>
            <w:r>
              <w:rPr>
                <w:rFonts w:hint="eastAsia" w:cs="Times New Roman"/>
                <w:color w:val="auto"/>
                <w:lang w:eastAsia="zh-CN"/>
              </w:rPr>
              <w:t>151.74</w:t>
            </w:r>
            <w:r>
              <w:rPr>
                <w:rFonts w:hint="default" w:ascii="Times New Roman" w:hAnsi="Times New Roman" w:cs="Times New Roman"/>
                <w:color w:val="auto"/>
              </w:rPr>
              <w:t>t/a</w:t>
            </w:r>
          </w:p>
        </w:tc>
        <w:tc>
          <w:tcPr>
            <w:tcW w:w="118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2508"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08" w:type="dxa"/>
            <w:vMerge w:val="continue"/>
            <w:vAlign w:val="center"/>
          </w:tcPr>
          <w:p>
            <w:pPr>
              <w:pStyle w:val="47"/>
              <w:rPr>
                <w:rFonts w:hint="default" w:ascii="Times New Roman" w:hAnsi="Times New Roman" w:cs="Times New Roman"/>
                <w:color w:val="auto"/>
              </w:rPr>
            </w:pPr>
          </w:p>
        </w:tc>
        <w:tc>
          <w:tcPr>
            <w:tcW w:w="862" w:type="dxa"/>
            <w:vMerge w:val="continue"/>
            <w:vAlign w:val="center"/>
          </w:tcPr>
          <w:p>
            <w:pPr>
              <w:pStyle w:val="47"/>
              <w:rPr>
                <w:rFonts w:hint="default" w:ascii="Times New Roman" w:hAnsi="Times New Roman" w:cs="Times New Roman"/>
                <w:color w:val="auto"/>
              </w:rPr>
            </w:pPr>
          </w:p>
        </w:tc>
        <w:tc>
          <w:tcPr>
            <w:tcW w:w="126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废压裂液</w:t>
            </w:r>
          </w:p>
        </w:tc>
        <w:tc>
          <w:tcPr>
            <w:tcW w:w="1050" w:type="dxa"/>
            <w:vMerge w:val="continue"/>
            <w:vAlign w:val="center"/>
          </w:tcPr>
          <w:p>
            <w:pPr>
              <w:pStyle w:val="47"/>
              <w:rPr>
                <w:rFonts w:hint="default" w:ascii="Times New Roman" w:hAnsi="Times New Roman" w:cs="Times New Roman"/>
                <w:color w:val="auto"/>
              </w:rPr>
            </w:pPr>
          </w:p>
        </w:tc>
        <w:tc>
          <w:tcPr>
            <w:tcW w:w="1134" w:type="dxa"/>
            <w:vAlign w:val="center"/>
          </w:tcPr>
          <w:p>
            <w:pPr>
              <w:pStyle w:val="47"/>
              <w:rPr>
                <w:rFonts w:hint="default" w:ascii="Times New Roman" w:hAnsi="Times New Roman" w:cs="Times New Roman"/>
                <w:color w:val="auto"/>
              </w:rPr>
            </w:pPr>
            <w:r>
              <w:rPr>
                <w:rFonts w:hint="eastAsia" w:cs="Times New Roman"/>
                <w:color w:val="auto"/>
                <w:lang w:eastAsia="zh-CN"/>
              </w:rPr>
              <w:t>919.26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118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2508"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47"/>
              <w:rPr>
                <w:rFonts w:hint="default" w:ascii="Times New Roman" w:hAnsi="Times New Roman" w:cs="Times New Roman"/>
                <w:color w:val="auto"/>
              </w:rPr>
            </w:pPr>
          </w:p>
        </w:tc>
        <w:tc>
          <w:tcPr>
            <w:tcW w:w="862" w:type="dxa"/>
            <w:vMerge w:val="continue"/>
            <w:vAlign w:val="center"/>
          </w:tcPr>
          <w:p>
            <w:pPr>
              <w:pStyle w:val="47"/>
              <w:rPr>
                <w:rFonts w:hint="default" w:ascii="Times New Roman" w:hAnsi="Times New Roman" w:cs="Times New Roman"/>
                <w:color w:val="auto"/>
              </w:rPr>
            </w:pPr>
          </w:p>
        </w:tc>
        <w:tc>
          <w:tcPr>
            <w:tcW w:w="126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采出水</w:t>
            </w:r>
          </w:p>
        </w:tc>
        <w:tc>
          <w:tcPr>
            <w:tcW w:w="1050" w:type="dxa"/>
            <w:vMerge w:val="continue"/>
            <w:vAlign w:val="center"/>
          </w:tcPr>
          <w:p>
            <w:pPr>
              <w:pStyle w:val="47"/>
              <w:rPr>
                <w:rFonts w:hint="default" w:ascii="Times New Roman" w:hAnsi="Times New Roman" w:cs="Times New Roman"/>
                <w:color w:val="auto"/>
              </w:rPr>
            </w:pPr>
          </w:p>
        </w:tc>
        <w:tc>
          <w:tcPr>
            <w:tcW w:w="1134" w:type="dxa"/>
            <w:vAlign w:val="center"/>
          </w:tcPr>
          <w:p>
            <w:pPr>
              <w:pStyle w:val="47"/>
              <w:rPr>
                <w:rFonts w:hint="default" w:ascii="Times New Roman" w:hAnsi="Times New Roman" w:cs="Times New Roman"/>
                <w:color w:val="auto"/>
              </w:rPr>
            </w:pPr>
            <w:r>
              <w:rPr>
                <w:rFonts w:hint="eastAsia" w:cs="Times New Roman"/>
                <w:color w:val="auto"/>
                <w:lang w:eastAsia="zh-CN"/>
              </w:rPr>
              <w:t>32730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118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2508" w:type="dxa"/>
            <w:vMerge w:val="continue"/>
            <w:vAlign w:val="center"/>
          </w:tcPr>
          <w:p>
            <w:pPr>
              <w:pStyle w:val="47"/>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固体废物</w:t>
            </w:r>
          </w:p>
        </w:tc>
        <w:tc>
          <w:tcPr>
            <w:tcW w:w="8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集中处理站</w:t>
            </w:r>
          </w:p>
        </w:tc>
        <w:tc>
          <w:tcPr>
            <w:tcW w:w="231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含油污泥</w:t>
            </w:r>
          </w:p>
        </w:tc>
        <w:tc>
          <w:tcPr>
            <w:tcW w:w="1134" w:type="dxa"/>
            <w:vAlign w:val="center"/>
          </w:tcPr>
          <w:p>
            <w:pPr>
              <w:pStyle w:val="47"/>
              <w:rPr>
                <w:rFonts w:hint="default" w:ascii="Times New Roman" w:hAnsi="Times New Roman" w:cs="Times New Roman"/>
                <w:color w:val="auto"/>
              </w:rPr>
            </w:pPr>
            <w:r>
              <w:rPr>
                <w:rFonts w:hint="eastAsia" w:cs="Times New Roman"/>
                <w:color w:val="auto"/>
                <w:lang w:eastAsia="zh-CN"/>
              </w:rPr>
              <w:t>130.69</w:t>
            </w:r>
            <w:r>
              <w:rPr>
                <w:rFonts w:hint="default" w:ascii="Times New Roman" w:hAnsi="Times New Roman" w:cs="Times New Roman"/>
                <w:color w:val="auto"/>
              </w:rPr>
              <w:t>t/a</w:t>
            </w:r>
          </w:p>
        </w:tc>
        <w:tc>
          <w:tcPr>
            <w:tcW w:w="118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250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lang w:val="en-US" w:eastAsia="zh-CN"/>
              </w:rPr>
              <w:t>收集后暂存至陆梁油田作业区污泥暂存池，</w:t>
            </w:r>
            <w:r>
              <w:rPr>
                <w:rFonts w:hint="default" w:ascii="Times New Roman" w:hAnsi="Times New Roman" w:cs="Times New Roman"/>
                <w:color w:val="auto"/>
              </w:rPr>
              <w:t>委托克拉玛依博达生态环保科技有限责任公司处置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47"/>
              <w:rPr>
                <w:rFonts w:hint="default" w:ascii="Times New Roman" w:hAnsi="Times New Roman" w:cs="Times New Roman"/>
                <w:color w:val="auto"/>
              </w:rPr>
            </w:pPr>
          </w:p>
        </w:tc>
        <w:tc>
          <w:tcPr>
            <w:tcW w:w="862"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eastAsia="宋体" w:cs="Times New Roman"/>
                <w:snapToGrid w:val="0"/>
                <w:color w:val="auto"/>
                <w:kern w:val="0"/>
                <w:szCs w:val="21"/>
              </w:rPr>
              <w:t>井下作业环节，采油环节，集输与处理环节</w:t>
            </w:r>
          </w:p>
        </w:tc>
        <w:tc>
          <w:tcPr>
            <w:tcW w:w="2317" w:type="dxa"/>
            <w:gridSpan w:val="2"/>
            <w:vAlign w:val="center"/>
          </w:tcPr>
          <w:p>
            <w:pPr>
              <w:adjustRightInd w:val="0"/>
              <w:snapToGrid w:val="0"/>
              <w:jc w:val="center"/>
              <w:rPr>
                <w:rFonts w:hint="default" w:ascii="Times New Roman" w:hAnsi="Times New Roman" w:cs="Times New Roman"/>
                <w:color w:val="auto"/>
              </w:rPr>
            </w:pPr>
            <w:r>
              <w:rPr>
                <w:rFonts w:hint="default" w:ascii="Times New Roman" w:hAnsi="Times New Roman" w:eastAsia="宋体" w:cs="Times New Roman"/>
                <w:snapToGrid w:val="0"/>
                <w:color w:val="auto"/>
                <w:kern w:val="0"/>
                <w:szCs w:val="21"/>
                <w:lang w:eastAsia="zh-CN"/>
              </w:rPr>
              <w:t>落地原油</w:t>
            </w:r>
          </w:p>
        </w:tc>
        <w:tc>
          <w:tcPr>
            <w:tcW w:w="1134" w:type="dxa"/>
            <w:vAlign w:val="center"/>
          </w:tcPr>
          <w:p>
            <w:pPr>
              <w:adjustRightInd w:val="0"/>
              <w:snapToGrid w:val="0"/>
              <w:jc w:val="center"/>
              <w:rPr>
                <w:rFonts w:hint="eastAsia" w:cs="Times New Roman"/>
                <w:color w:val="auto"/>
                <w:lang w:eastAsia="zh-CN"/>
              </w:rPr>
            </w:pPr>
            <w:r>
              <w:rPr>
                <w:rFonts w:hint="eastAsia" w:ascii="Times New Roman" w:hAnsi="Times New Roman" w:eastAsia="宋体" w:cs="Times New Roman"/>
                <w:snapToGrid w:val="0"/>
                <w:color w:val="auto"/>
                <w:kern w:val="0"/>
                <w:szCs w:val="21"/>
                <w:lang w:val="en-US" w:eastAsia="zh-CN"/>
              </w:rPr>
              <w:t>0.6</w:t>
            </w:r>
          </w:p>
        </w:tc>
        <w:tc>
          <w:tcPr>
            <w:tcW w:w="1183"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eastAsia="宋体" w:cs="Times New Roman"/>
                <w:snapToGrid w:val="0"/>
                <w:color w:val="auto"/>
                <w:kern w:val="0"/>
                <w:szCs w:val="21"/>
              </w:rPr>
              <w:t>0</w:t>
            </w:r>
          </w:p>
        </w:tc>
        <w:tc>
          <w:tcPr>
            <w:tcW w:w="2508" w:type="dxa"/>
            <w:vAlign w:val="center"/>
          </w:tcPr>
          <w:p>
            <w:pPr>
              <w:adjustRightInd w:val="0"/>
              <w:snapToGrid w:val="0"/>
              <w:jc w:val="center"/>
              <w:rPr>
                <w:rFonts w:hint="default" w:ascii="Times New Roman" w:hAnsi="Times New Roman" w:cs="Times New Roman"/>
                <w:color w:val="auto"/>
                <w:lang w:val="en-US" w:eastAsia="zh-CN"/>
              </w:rPr>
            </w:pPr>
            <w:r>
              <w:rPr>
                <w:rFonts w:hint="default" w:ascii="Times New Roman" w:hAnsi="Times New Roman" w:eastAsia="宋体" w:cs="Times New Roman"/>
                <w:snapToGrid w:val="0"/>
                <w:color w:val="auto"/>
                <w:kern w:val="0"/>
                <w:szCs w:val="21"/>
                <w:lang w:eastAsia="zh-CN"/>
              </w:rPr>
              <w:t>进入陆梁集中处理站原油处理系统处置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47"/>
              <w:rPr>
                <w:rFonts w:hint="default" w:ascii="Times New Roman" w:hAnsi="Times New Roman" w:cs="Times New Roman"/>
                <w:color w:val="auto"/>
              </w:rPr>
            </w:pPr>
          </w:p>
        </w:tc>
        <w:tc>
          <w:tcPr>
            <w:tcW w:w="8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集输管线</w:t>
            </w:r>
          </w:p>
        </w:tc>
        <w:tc>
          <w:tcPr>
            <w:tcW w:w="231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清管废渣</w:t>
            </w:r>
          </w:p>
        </w:tc>
        <w:tc>
          <w:tcPr>
            <w:tcW w:w="1134" w:type="dxa"/>
            <w:vAlign w:val="center"/>
          </w:tcPr>
          <w:p>
            <w:pPr>
              <w:pStyle w:val="47"/>
              <w:rPr>
                <w:rFonts w:hint="default" w:ascii="Times New Roman" w:hAnsi="Times New Roman" w:cs="Times New Roman"/>
                <w:color w:val="auto"/>
              </w:rPr>
            </w:pPr>
            <w:r>
              <w:rPr>
                <w:rFonts w:hint="eastAsia" w:cs="Times New Roman"/>
                <w:color w:val="auto"/>
                <w:lang w:eastAsia="zh-CN"/>
              </w:rPr>
              <w:t>0.005</w:t>
            </w:r>
            <w:r>
              <w:rPr>
                <w:rFonts w:hint="default" w:ascii="Times New Roman" w:hAnsi="Times New Roman" w:cs="Times New Roman"/>
                <w:color w:val="auto"/>
              </w:rPr>
              <w:t>t/次</w:t>
            </w:r>
          </w:p>
        </w:tc>
        <w:tc>
          <w:tcPr>
            <w:tcW w:w="118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250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委托有危废处置资质单位进行处置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47"/>
              <w:rPr>
                <w:rFonts w:hint="default" w:ascii="Times New Roman" w:hAnsi="Times New Roman" w:cs="Times New Roman"/>
                <w:color w:val="auto"/>
              </w:rPr>
            </w:pPr>
          </w:p>
        </w:tc>
        <w:tc>
          <w:tcPr>
            <w:tcW w:w="8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机械设备检修</w:t>
            </w:r>
          </w:p>
        </w:tc>
        <w:tc>
          <w:tcPr>
            <w:tcW w:w="231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废润滑油</w:t>
            </w:r>
          </w:p>
        </w:tc>
        <w:tc>
          <w:tcPr>
            <w:tcW w:w="1134" w:type="dxa"/>
            <w:vAlign w:val="center"/>
          </w:tcPr>
          <w:p>
            <w:pPr>
              <w:pStyle w:val="47"/>
              <w:rPr>
                <w:rFonts w:hint="default" w:ascii="Times New Roman" w:hAnsi="Times New Roman" w:cs="Times New Roman"/>
                <w:color w:val="auto"/>
              </w:rPr>
            </w:pPr>
            <w:r>
              <w:rPr>
                <w:rFonts w:hint="eastAsia" w:cs="Times New Roman"/>
                <w:color w:val="auto"/>
                <w:lang w:eastAsia="zh-CN"/>
              </w:rPr>
              <w:t>0.</w:t>
            </w:r>
            <w:r>
              <w:rPr>
                <w:rFonts w:hint="eastAsia" w:cs="Times New Roman"/>
                <w:color w:val="auto"/>
                <w:lang w:val="en-US" w:eastAsia="zh-CN"/>
              </w:rPr>
              <w:t>4</w:t>
            </w:r>
            <w:r>
              <w:rPr>
                <w:rFonts w:hint="eastAsia" w:cs="Times New Roman"/>
                <w:color w:val="auto"/>
                <w:lang w:eastAsia="zh-CN"/>
              </w:rPr>
              <w:t>0</w:t>
            </w:r>
            <w:r>
              <w:rPr>
                <w:rFonts w:hint="default" w:ascii="Times New Roman" w:hAnsi="Times New Roman" w:cs="Times New Roman"/>
                <w:color w:val="auto"/>
              </w:rPr>
              <w:t>t/a</w:t>
            </w:r>
          </w:p>
        </w:tc>
        <w:tc>
          <w:tcPr>
            <w:tcW w:w="118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2508" w:type="dxa"/>
            <w:vAlign w:val="center"/>
          </w:tcPr>
          <w:p>
            <w:pPr>
              <w:pStyle w:val="47"/>
              <w:rPr>
                <w:rFonts w:hint="default" w:ascii="Times New Roman" w:hAnsi="Times New Roman" w:cs="Times New Roman"/>
                <w:color w:val="auto"/>
              </w:rPr>
            </w:pPr>
            <w:r>
              <w:rPr>
                <w:rFonts w:cs="Times New Roman"/>
                <w:color w:val="auto"/>
              </w:rPr>
              <w:t>回收后运至陆梁集中处理站原油处理系统进行处理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47"/>
              <w:rPr>
                <w:rFonts w:hint="default" w:ascii="Times New Roman" w:hAnsi="Times New Roman" w:cs="Times New Roman"/>
                <w:color w:val="auto"/>
              </w:rPr>
            </w:pPr>
          </w:p>
        </w:tc>
        <w:tc>
          <w:tcPr>
            <w:tcW w:w="8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油井作业场地</w:t>
            </w:r>
          </w:p>
        </w:tc>
        <w:tc>
          <w:tcPr>
            <w:tcW w:w="231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废弃防渗膜</w:t>
            </w:r>
          </w:p>
        </w:tc>
        <w:tc>
          <w:tcPr>
            <w:tcW w:w="1134" w:type="dxa"/>
            <w:vAlign w:val="center"/>
          </w:tcPr>
          <w:p>
            <w:pPr>
              <w:pStyle w:val="47"/>
              <w:rPr>
                <w:rFonts w:hint="default" w:ascii="Times New Roman" w:hAnsi="Times New Roman" w:cs="Times New Roman"/>
                <w:color w:val="auto"/>
              </w:rPr>
            </w:pPr>
            <w:r>
              <w:rPr>
                <w:rFonts w:hint="eastAsia" w:cs="Times New Roman"/>
                <w:color w:val="auto"/>
                <w:lang w:val="en-US" w:eastAsia="zh-CN"/>
              </w:rPr>
              <w:t>1.5</w:t>
            </w:r>
            <w:r>
              <w:rPr>
                <w:rFonts w:hint="default" w:ascii="Times New Roman" w:hAnsi="Times New Roman" w:cs="Times New Roman"/>
                <w:color w:val="auto"/>
              </w:rPr>
              <w:t>t/a</w:t>
            </w:r>
          </w:p>
        </w:tc>
        <w:tc>
          <w:tcPr>
            <w:tcW w:w="118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2508" w:type="dxa"/>
            <w:vAlign w:val="center"/>
          </w:tcPr>
          <w:p>
            <w:pPr>
              <w:pStyle w:val="47"/>
              <w:rPr>
                <w:rFonts w:hint="default" w:ascii="Times New Roman" w:hAnsi="Times New Roman" w:cs="Times New Roman"/>
                <w:color w:val="auto"/>
              </w:rPr>
            </w:pPr>
            <w:r>
              <w:rPr>
                <w:rFonts w:cs="Times New Roman"/>
                <w:color w:val="auto"/>
              </w:rPr>
              <w:t>委托有危废处置资质单位进行处置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噪声</w:t>
            </w:r>
          </w:p>
        </w:tc>
        <w:tc>
          <w:tcPr>
            <w:tcW w:w="862" w:type="dxa"/>
            <w:vMerge w:val="restart"/>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正常工况</w:t>
            </w:r>
          </w:p>
        </w:tc>
        <w:tc>
          <w:tcPr>
            <w:tcW w:w="2317" w:type="dxa"/>
            <w:gridSpan w:val="2"/>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18"/>
              </w:rPr>
              <w:t>10型抽油机</w:t>
            </w:r>
          </w:p>
        </w:tc>
        <w:tc>
          <w:tcPr>
            <w:tcW w:w="2317"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75-80dB（A）</w:t>
            </w:r>
          </w:p>
        </w:tc>
        <w:tc>
          <w:tcPr>
            <w:tcW w:w="250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选用低噪声设备，减振垫、定期维护保养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47"/>
              <w:rPr>
                <w:rFonts w:hint="default" w:ascii="Times New Roman" w:hAnsi="Times New Roman" w:cs="Times New Roman"/>
                <w:color w:val="auto"/>
              </w:rPr>
            </w:pPr>
          </w:p>
        </w:tc>
        <w:tc>
          <w:tcPr>
            <w:tcW w:w="862" w:type="dxa"/>
            <w:vMerge w:val="continue"/>
            <w:vAlign w:val="center"/>
          </w:tcPr>
          <w:p>
            <w:pPr>
              <w:pStyle w:val="47"/>
              <w:rPr>
                <w:rFonts w:hint="default" w:ascii="Times New Roman" w:hAnsi="Times New Roman" w:cs="Times New Roman"/>
                <w:color w:val="auto"/>
              </w:rPr>
            </w:pPr>
          </w:p>
        </w:tc>
        <w:tc>
          <w:tcPr>
            <w:tcW w:w="2317" w:type="dxa"/>
            <w:gridSpan w:val="2"/>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巡检车辆</w:t>
            </w:r>
          </w:p>
        </w:tc>
        <w:tc>
          <w:tcPr>
            <w:tcW w:w="2317" w:type="dxa"/>
            <w:gridSpan w:val="2"/>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60~90dB（A）</w:t>
            </w:r>
          </w:p>
        </w:tc>
        <w:tc>
          <w:tcPr>
            <w:tcW w:w="2508" w:type="dxa"/>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限制车速、定期维护保养和禁止鸣笛等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47"/>
              <w:rPr>
                <w:rFonts w:hint="default" w:ascii="Times New Roman" w:hAnsi="Times New Roman" w:cs="Times New Roman"/>
                <w:color w:val="auto"/>
              </w:rPr>
            </w:pPr>
          </w:p>
        </w:tc>
        <w:tc>
          <w:tcPr>
            <w:tcW w:w="862" w:type="dxa"/>
            <w:vAlign w:val="center"/>
          </w:tcPr>
          <w:p>
            <w:pPr>
              <w:pStyle w:val="47"/>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非正常工况</w:t>
            </w:r>
          </w:p>
        </w:tc>
        <w:tc>
          <w:tcPr>
            <w:tcW w:w="2317" w:type="dxa"/>
            <w:gridSpan w:val="2"/>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井下作业（压裂、修井等）</w:t>
            </w:r>
          </w:p>
        </w:tc>
        <w:tc>
          <w:tcPr>
            <w:tcW w:w="2317" w:type="dxa"/>
            <w:gridSpan w:val="2"/>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80~</w:t>
            </w:r>
            <w:r>
              <w:rPr>
                <w:rFonts w:hint="eastAsia" w:ascii="Times New Roman" w:hAnsi="Times New Roman" w:eastAsia="宋体" w:cs="Times New Roman"/>
                <w:color w:val="auto"/>
                <w:lang w:val="en-US" w:eastAsia="zh-CN"/>
              </w:rPr>
              <w:t>120</w:t>
            </w:r>
            <w:r>
              <w:rPr>
                <w:rFonts w:hint="default" w:ascii="Times New Roman" w:hAnsi="Times New Roman" w:eastAsia="宋体" w:cs="Times New Roman"/>
                <w:color w:val="auto"/>
              </w:rPr>
              <w:t>dB（A）</w:t>
            </w:r>
          </w:p>
        </w:tc>
        <w:tc>
          <w:tcPr>
            <w:tcW w:w="2508" w:type="dxa"/>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选用低噪声设备</w:t>
            </w:r>
          </w:p>
        </w:tc>
      </w:tr>
    </w:tbl>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（5）污染物排放三本账</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污染物排放“三本账”详见表3.7-21。</w:t>
      </w:r>
    </w:p>
    <w:p>
      <w:pPr>
        <w:pStyle w:val="41"/>
        <w:spacing w:line="360" w:lineRule="auto"/>
        <w:jc w:val="center"/>
        <w:rPr>
          <w:rFonts w:hint="default" w:ascii="Times New Roman" w:hAnsi="Times New Roman" w:cs="Times New Roman"/>
          <w:b/>
          <w:color w:val="auto"/>
          <w:sz w:val="21"/>
          <w:szCs w:val="15"/>
        </w:rPr>
      </w:pPr>
      <w:bookmarkStart w:id="217" w:name="_Hlk73549520"/>
      <w:r>
        <w:rPr>
          <w:rFonts w:hint="default" w:ascii="Times New Roman" w:hAnsi="Times New Roman" w:cs="Times New Roman"/>
          <w:b/>
          <w:color w:val="auto"/>
          <w:sz w:val="21"/>
          <w:szCs w:val="15"/>
        </w:rPr>
        <w:t>表3.7-21  污染物排放“三本账”</w:t>
      </w:r>
    </w:p>
    <w:tbl>
      <w:tblPr>
        <w:tblStyle w:val="31"/>
        <w:tblW w:w="832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1418"/>
        <w:gridCol w:w="811"/>
        <w:gridCol w:w="1469"/>
        <w:gridCol w:w="798"/>
        <w:gridCol w:w="686"/>
        <w:gridCol w:w="1160"/>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1" w:hRule="atLeast"/>
          <w:jc w:val="center"/>
        </w:trPr>
        <w:tc>
          <w:tcPr>
            <w:tcW w:w="821" w:type="dxa"/>
            <w:vMerge w:val="restart"/>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类型</w:t>
            </w:r>
          </w:p>
        </w:tc>
        <w:tc>
          <w:tcPr>
            <w:tcW w:w="1418" w:type="dxa"/>
            <w:vMerge w:val="restart"/>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811" w:type="dxa"/>
            <w:vMerge w:val="restart"/>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1469" w:type="dxa"/>
            <w:vMerge w:val="restart"/>
            <w:vAlign w:val="center"/>
          </w:tcPr>
          <w:p>
            <w:pPr>
              <w:pStyle w:val="47"/>
              <w:rPr>
                <w:rFonts w:hint="default" w:ascii="Times New Roman" w:hAnsi="Times New Roman" w:cs="Times New Roman"/>
                <w:b/>
                <w:bCs/>
                <w:color w:val="auto"/>
              </w:rPr>
            </w:pPr>
            <w:r>
              <w:rPr>
                <w:rFonts w:hint="eastAsia" w:ascii="Times New Roman" w:hAnsi="Times New Roman" w:eastAsia="宋体" w:cs="Times New Roman"/>
                <w:b/>
                <w:bCs/>
                <w:color w:val="auto"/>
                <w:kern w:val="0"/>
                <w:sz w:val="21"/>
                <w:szCs w:val="21"/>
                <w:lang w:val="en-US" w:eastAsia="zh-CN" w:bidi="ar-SA"/>
              </w:rPr>
              <w:t>现有工程产生及排放量</w:t>
            </w:r>
          </w:p>
        </w:tc>
        <w:tc>
          <w:tcPr>
            <w:tcW w:w="1484" w:type="dxa"/>
            <w:gridSpan w:val="2"/>
            <w:tcBorders>
              <w:bottom w:val="single" w:color="auto" w:sz="4" w:space="0"/>
            </w:tcBorders>
            <w:vAlign w:val="center"/>
          </w:tcPr>
          <w:p>
            <w:pPr>
              <w:widowControl w:val="0"/>
              <w:spacing w:line="240" w:lineRule="auto"/>
              <w:ind w:firstLine="0" w:firstLineChars="0"/>
              <w:jc w:val="center"/>
              <w:rPr>
                <w:rFonts w:hint="default" w:ascii="Times New Roman" w:hAnsi="Times New Roman" w:cs="Times New Roman"/>
                <w:b/>
                <w:bCs/>
                <w:color w:val="auto"/>
              </w:rPr>
            </w:pPr>
            <w:r>
              <w:rPr>
                <w:rFonts w:hint="eastAsia" w:ascii="Times New Roman" w:hAnsi="Times New Roman" w:eastAsia="宋体" w:cs="Times New Roman"/>
                <w:b/>
                <w:bCs/>
                <w:color w:val="auto"/>
                <w:kern w:val="0"/>
                <w:sz w:val="21"/>
                <w:szCs w:val="21"/>
                <w:lang w:val="en-US" w:eastAsia="zh-CN" w:bidi="ar-SA"/>
              </w:rPr>
              <w:t>本项目</w:t>
            </w:r>
          </w:p>
        </w:tc>
        <w:tc>
          <w:tcPr>
            <w:tcW w:w="1160" w:type="dxa"/>
            <w:vMerge w:val="restart"/>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实施前后污染物增减量</w:t>
            </w:r>
          </w:p>
        </w:tc>
        <w:tc>
          <w:tcPr>
            <w:tcW w:w="1160" w:type="dxa"/>
            <w:vMerge w:val="restart"/>
            <w:shd w:val="clear" w:color="auto" w:fill="auto"/>
            <w:vAlign w:val="center"/>
          </w:tcPr>
          <w:p>
            <w:pPr>
              <w:widowControl w:val="0"/>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总排放量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jc w:val="center"/>
        </w:trPr>
        <w:tc>
          <w:tcPr>
            <w:tcW w:w="821" w:type="dxa"/>
            <w:vMerge w:val="continue"/>
            <w:vAlign w:val="center"/>
          </w:tcPr>
          <w:p>
            <w:pPr>
              <w:pStyle w:val="47"/>
              <w:rPr>
                <w:rFonts w:hint="default" w:ascii="Times New Roman" w:hAnsi="Times New Roman" w:cs="Times New Roman"/>
                <w:b/>
                <w:bCs/>
                <w:color w:val="auto"/>
              </w:rPr>
            </w:pPr>
          </w:p>
        </w:tc>
        <w:tc>
          <w:tcPr>
            <w:tcW w:w="1418" w:type="dxa"/>
            <w:vMerge w:val="continue"/>
            <w:vAlign w:val="center"/>
          </w:tcPr>
          <w:p>
            <w:pPr>
              <w:pStyle w:val="47"/>
              <w:rPr>
                <w:rFonts w:hint="default" w:ascii="Times New Roman" w:hAnsi="Times New Roman" w:cs="Times New Roman"/>
                <w:b/>
                <w:bCs/>
                <w:color w:val="auto"/>
              </w:rPr>
            </w:pPr>
          </w:p>
        </w:tc>
        <w:tc>
          <w:tcPr>
            <w:tcW w:w="811" w:type="dxa"/>
            <w:vMerge w:val="continue"/>
            <w:vAlign w:val="center"/>
          </w:tcPr>
          <w:p>
            <w:pPr>
              <w:pStyle w:val="47"/>
              <w:rPr>
                <w:rFonts w:hint="default" w:ascii="Times New Roman" w:hAnsi="Times New Roman" w:cs="Times New Roman"/>
                <w:b/>
                <w:bCs/>
                <w:color w:val="auto"/>
              </w:rPr>
            </w:pPr>
          </w:p>
        </w:tc>
        <w:tc>
          <w:tcPr>
            <w:tcW w:w="1469" w:type="dxa"/>
            <w:vMerge w:val="continue"/>
            <w:vAlign w:val="center"/>
          </w:tcPr>
          <w:p>
            <w:pPr>
              <w:pStyle w:val="47"/>
              <w:rPr>
                <w:rFonts w:hint="default" w:ascii="Times New Roman" w:hAnsi="Times New Roman" w:cs="Times New Roman"/>
                <w:b/>
                <w:bCs/>
                <w:color w:val="auto"/>
              </w:rPr>
            </w:pPr>
          </w:p>
        </w:tc>
        <w:tc>
          <w:tcPr>
            <w:tcW w:w="798" w:type="dxa"/>
            <w:tcBorders>
              <w:top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b/>
                <w:bCs/>
                <w:color w:val="auto"/>
              </w:rPr>
            </w:pPr>
            <w:r>
              <w:rPr>
                <w:rFonts w:hint="eastAsia" w:ascii="Times New Roman" w:hAnsi="Times New Roman" w:eastAsia="宋体" w:cs="Times New Roman"/>
                <w:b/>
                <w:bCs/>
                <w:color w:val="auto"/>
                <w:kern w:val="0"/>
                <w:sz w:val="21"/>
                <w:szCs w:val="21"/>
                <w:lang w:val="en-US" w:eastAsia="zh-CN" w:bidi="ar-SA"/>
              </w:rPr>
              <w:t>产生量</w:t>
            </w:r>
          </w:p>
        </w:tc>
        <w:tc>
          <w:tcPr>
            <w:tcW w:w="686" w:type="dxa"/>
            <w:tcBorders>
              <w:top w:val="single" w:color="auto" w:sz="4" w:space="0"/>
              <w:left w:val="single" w:color="auto" w:sz="4" w:space="0"/>
            </w:tcBorders>
            <w:vAlign w:val="center"/>
          </w:tcPr>
          <w:p>
            <w:pPr>
              <w:widowControl w:val="0"/>
              <w:spacing w:line="240" w:lineRule="auto"/>
              <w:ind w:firstLine="0" w:firstLineChars="0"/>
              <w:jc w:val="center"/>
              <w:rPr>
                <w:rFonts w:hint="default" w:ascii="Times New Roman" w:hAnsi="Times New Roman" w:cs="Times New Roman"/>
                <w:b/>
                <w:bCs/>
                <w:color w:val="auto"/>
              </w:rPr>
            </w:pPr>
            <w:r>
              <w:rPr>
                <w:rFonts w:hint="eastAsia" w:ascii="Times New Roman" w:hAnsi="Times New Roman" w:eastAsia="宋体" w:cs="Times New Roman"/>
                <w:b/>
                <w:bCs/>
                <w:color w:val="auto"/>
                <w:kern w:val="0"/>
                <w:sz w:val="21"/>
                <w:szCs w:val="21"/>
                <w:lang w:val="en-US" w:eastAsia="zh-CN" w:bidi="ar-SA"/>
              </w:rPr>
              <w:t>排放量</w:t>
            </w:r>
          </w:p>
        </w:tc>
        <w:tc>
          <w:tcPr>
            <w:tcW w:w="1160" w:type="dxa"/>
            <w:vMerge w:val="continue"/>
            <w:vAlign w:val="center"/>
          </w:tcPr>
          <w:p>
            <w:pPr>
              <w:pStyle w:val="47"/>
              <w:rPr>
                <w:rFonts w:hint="default" w:ascii="Times New Roman" w:hAnsi="Times New Roman" w:cs="Times New Roman"/>
                <w:b/>
                <w:bCs/>
                <w:color w:val="auto"/>
              </w:rPr>
            </w:pPr>
          </w:p>
        </w:tc>
        <w:tc>
          <w:tcPr>
            <w:tcW w:w="1160" w:type="dxa"/>
            <w:vMerge w:val="continue"/>
            <w:vAlign w:val="center"/>
          </w:tcPr>
          <w:p>
            <w:pPr>
              <w:pStyle w:val="47"/>
              <w:rPr>
                <w:rFonts w:hint="default" w:ascii="Times New Roman" w:hAnsi="Times New Roman" w:cs="Times New Roman"/>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废气</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非甲烷总烃</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0"/>
                <w:szCs w:val="20"/>
                <w:u w:val="none"/>
                <w:lang w:val="en-US" w:eastAsia="zh-CN" w:bidi="ar"/>
              </w:rPr>
              <w:t>2.0454</w:t>
            </w:r>
          </w:p>
        </w:tc>
        <w:tc>
          <w:tcPr>
            <w:tcW w:w="798"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eastAsia" w:ascii="Times New Roman" w:hAnsi="Times New Roman" w:eastAsia="宋体" w:cs="Times New Roman"/>
                <w:i w:val="0"/>
                <w:iCs w:val="0"/>
                <w:color w:val="auto"/>
                <w:kern w:val="0"/>
                <w:sz w:val="21"/>
                <w:szCs w:val="21"/>
                <w:u w:val="none"/>
                <w:lang w:val="en-US" w:eastAsia="zh-CN" w:bidi="ar"/>
              </w:rPr>
              <w:t>0.2714</w:t>
            </w:r>
          </w:p>
        </w:tc>
        <w:tc>
          <w:tcPr>
            <w:tcW w:w="686"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eastAsia" w:ascii="Times New Roman" w:hAnsi="Times New Roman" w:eastAsia="宋体" w:cs="Times New Roman"/>
                <w:i w:val="0"/>
                <w:iCs w:val="0"/>
                <w:color w:val="auto"/>
                <w:kern w:val="0"/>
                <w:sz w:val="21"/>
                <w:szCs w:val="21"/>
                <w:u w:val="none"/>
                <w:lang w:val="en-US" w:eastAsia="zh-CN" w:bidi="ar"/>
              </w:rPr>
              <w:t>0.2714</w:t>
            </w:r>
          </w:p>
        </w:tc>
        <w:tc>
          <w:tcPr>
            <w:tcW w:w="1160"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0.2714</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lang w:val="en-US"/>
              </w:rPr>
            </w:pPr>
            <w:r>
              <w:rPr>
                <w:rFonts w:hint="eastAsia" w:ascii="Times New Roman" w:hAnsi="Times New Roman" w:eastAsia="宋体" w:cs="Times New Roman"/>
                <w:i w:val="0"/>
                <w:iCs w:val="0"/>
                <w:color w:val="auto"/>
                <w:kern w:val="0"/>
                <w:sz w:val="21"/>
                <w:szCs w:val="21"/>
                <w:u w:val="none"/>
                <w:lang w:val="en-US" w:eastAsia="zh-CN" w:bidi="ar"/>
              </w:rPr>
              <w:t>2.3168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continue"/>
            <w:vAlign w:val="center"/>
          </w:tcPr>
          <w:p>
            <w:pPr>
              <w:pStyle w:val="47"/>
              <w:rPr>
                <w:rFonts w:hint="default" w:ascii="Times New Roman" w:hAnsi="Times New Roman" w:cs="Times New Roman"/>
                <w:color w:val="auto"/>
              </w:rPr>
            </w:pPr>
          </w:p>
        </w:tc>
        <w:tc>
          <w:tcPr>
            <w:tcW w:w="1418"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硫化氢</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w:t>
            </w:r>
          </w:p>
        </w:tc>
        <w:tc>
          <w:tcPr>
            <w:tcW w:w="798"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86"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废水</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采出水</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1469"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11.797</w:t>
            </w:r>
          </w:p>
        </w:tc>
        <w:tc>
          <w:tcPr>
            <w:tcW w:w="686"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+11.797</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continue"/>
            <w:vAlign w:val="center"/>
          </w:tcPr>
          <w:p>
            <w:pPr>
              <w:pStyle w:val="47"/>
              <w:rPr>
                <w:rFonts w:hint="default" w:ascii="Times New Roman" w:hAnsi="Times New Roman" w:cs="Times New Roman"/>
                <w:color w:val="auto"/>
              </w:rPr>
            </w:pP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井下作业废水</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81.39</w:t>
            </w:r>
          </w:p>
        </w:tc>
        <w:tc>
          <w:tcPr>
            <w:tcW w:w="686"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+81.39</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5" w:hRule="atLeast"/>
          <w:jc w:val="center"/>
        </w:trPr>
        <w:tc>
          <w:tcPr>
            <w:tcW w:w="821" w:type="dxa"/>
            <w:vMerge w:val="continue"/>
            <w:vAlign w:val="center"/>
          </w:tcPr>
          <w:p>
            <w:pPr>
              <w:pStyle w:val="47"/>
              <w:rPr>
                <w:rFonts w:hint="default" w:ascii="Times New Roman" w:hAnsi="Times New Roman" w:cs="Times New Roman"/>
                <w:color w:val="auto"/>
              </w:rPr>
            </w:pP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废洗井液</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151.74</w:t>
            </w:r>
          </w:p>
        </w:tc>
        <w:tc>
          <w:tcPr>
            <w:tcW w:w="686" w:type="dxa"/>
            <w:tcBorders>
              <w:left w:val="single" w:color="auto" w:sz="4" w:space="0"/>
            </w:tcBorders>
            <w:vAlign w:val="center"/>
          </w:tcPr>
          <w:p>
            <w:pPr>
              <w:keepNext w:val="0"/>
              <w:keepLines w:val="0"/>
              <w:widowControl/>
              <w:suppressLineNumbers w:val="0"/>
              <w:jc w:val="center"/>
              <w:textAlignment w:val="center"/>
              <w:rPr>
                <w:rFonts w:hint="eastAsia"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+151.74</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5" w:hRule="atLeast"/>
          <w:jc w:val="center"/>
        </w:trPr>
        <w:tc>
          <w:tcPr>
            <w:tcW w:w="821" w:type="dxa"/>
            <w:vMerge w:val="continue"/>
            <w:vAlign w:val="center"/>
          </w:tcPr>
          <w:p>
            <w:pPr>
              <w:pStyle w:val="47"/>
              <w:rPr>
                <w:rFonts w:hint="default" w:ascii="Times New Roman" w:hAnsi="Times New Roman" w:cs="Times New Roman"/>
                <w:color w:val="auto"/>
              </w:rPr>
            </w:pP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废压裂液</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1469"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919.26</w:t>
            </w:r>
          </w:p>
        </w:tc>
        <w:tc>
          <w:tcPr>
            <w:tcW w:w="686" w:type="dxa"/>
            <w:tcBorders>
              <w:left w:val="single" w:color="auto" w:sz="4" w:space="0"/>
            </w:tcBorders>
            <w:vAlign w:val="center"/>
          </w:tcPr>
          <w:p>
            <w:pPr>
              <w:keepNext w:val="0"/>
              <w:keepLines w:val="0"/>
              <w:widowControl/>
              <w:suppressLineNumbers w:val="0"/>
              <w:jc w:val="center"/>
              <w:textAlignment w:val="center"/>
              <w:rPr>
                <w:rFonts w:hint="eastAsia"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+919.26</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固废</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含油污泥</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130.69</w:t>
            </w:r>
          </w:p>
        </w:tc>
        <w:tc>
          <w:tcPr>
            <w:tcW w:w="686" w:type="dxa"/>
            <w:tcBorders>
              <w:left w:val="single" w:color="auto" w:sz="4" w:space="0"/>
            </w:tcBorders>
            <w:vAlign w:val="center"/>
          </w:tcPr>
          <w:p>
            <w:pPr>
              <w:keepNext w:val="0"/>
              <w:keepLines w:val="0"/>
              <w:widowControl/>
              <w:suppressLineNumbers w:val="0"/>
              <w:jc w:val="center"/>
              <w:textAlignment w:val="center"/>
              <w:rPr>
                <w:rFonts w:hint="eastAsia"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+130.69</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continue"/>
            <w:vAlign w:val="center"/>
          </w:tcPr>
          <w:p>
            <w:pPr>
              <w:pStyle w:val="47"/>
              <w:rPr>
                <w:rFonts w:hint="default" w:ascii="Times New Roman" w:hAnsi="Times New Roman" w:cs="Times New Roman"/>
                <w:color w:val="auto"/>
              </w:rPr>
            </w:pPr>
          </w:p>
        </w:tc>
        <w:tc>
          <w:tcPr>
            <w:tcW w:w="1418" w:type="dxa"/>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落地原油</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86"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continue"/>
            <w:vAlign w:val="center"/>
          </w:tcPr>
          <w:p>
            <w:pPr>
              <w:pStyle w:val="47"/>
              <w:rPr>
                <w:rFonts w:hint="default" w:ascii="Times New Roman" w:hAnsi="Times New Roman" w:cs="Times New Roman"/>
                <w:color w:val="auto"/>
              </w:rPr>
            </w:pP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废润滑油</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4</w:t>
            </w:r>
          </w:p>
        </w:tc>
        <w:tc>
          <w:tcPr>
            <w:tcW w:w="686" w:type="dxa"/>
            <w:tcBorders>
              <w:left w:val="single" w:color="auto" w:sz="4" w:space="0"/>
            </w:tcBorders>
            <w:vAlign w:val="center"/>
          </w:tcPr>
          <w:p>
            <w:pPr>
              <w:keepNext w:val="0"/>
              <w:keepLines w:val="0"/>
              <w:widowControl/>
              <w:suppressLineNumbers w:val="0"/>
              <w:jc w:val="center"/>
              <w:textAlignment w:val="center"/>
              <w:rPr>
                <w:rFonts w:hint="eastAsia"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4</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continue"/>
            <w:vAlign w:val="center"/>
          </w:tcPr>
          <w:p>
            <w:pPr>
              <w:pStyle w:val="47"/>
              <w:rPr>
                <w:rFonts w:hint="default" w:ascii="Times New Roman" w:hAnsi="Times New Roman" w:cs="Times New Roman"/>
                <w:color w:val="auto"/>
              </w:rPr>
            </w:pP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废弃防渗膜</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686"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821" w:type="dxa"/>
            <w:vMerge w:val="continue"/>
            <w:vAlign w:val="center"/>
          </w:tcPr>
          <w:p>
            <w:pPr>
              <w:pStyle w:val="47"/>
              <w:rPr>
                <w:rFonts w:hint="default" w:ascii="Times New Roman" w:hAnsi="Times New Roman" w:cs="Times New Roman"/>
                <w:color w:val="auto"/>
              </w:rPr>
            </w:pP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清管废渣</w:t>
            </w:r>
          </w:p>
        </w:tc>
        <w:tc>
          <w:tcPr>
            <w:tcW w:w="81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t/a</w:t>
            </w:r>
          </w:p>
        </w:tc>
        <w:tc>
          <w:tcPr>
            <w:tcW w:w="1469"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686" w:type="dxa"/>
            <w:tcBorders>
              <w:left w:val="single" w:color="auto" w:sz="4" w:space="0"/>
            </w:tcBorders>
            <w:vAlign w:val="center"/>
          </w:tcPr>
          <w:p>
            <w:pPr>
              <w:keepNext w:val="0"/>
              <w:keepLines w:val="0"/>
              <w:widowControl/>
              <w:suppressLineNumbers w:val="0"/>
              <w:jc w:val="center"/>
              <w:textAlignment w:val="center"/>
              <w:rPr>
                <w:rFonts w:hint="eastAsia"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160" w:type="dxa"/>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w:t>
            </w:r>
          </w:p>
        </w:tc>
      </w:tr>
      <w:bookmarkEnd w:id="217"/>
    </w:tbl>
    <w:p>
      <w:pPr>
        <w:keepNext w:val="0"/>
        <w:keepLines w:val="0"/>
        <w:widowControl/>
        <w:suppressLineNumbers w:val="0"/>
        <w:jc w:val="lef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注：原有工程污染物排放量数据来源于《</w:t>
      </w:r>
      <w:r>
        <w:rPr>
          <w:rFonts w:hint="eastAsia" w:ascii="宋体" w:hAnsi="宋体" w:eastAsia="宋体" w:cs="宋体"/>
          <w:color w:val="auto"/>
          <w:kern w:val="0"/>
          <w:sz w:val="18"/>
          <w:szCs w:val="18"/>
          <w:lang w:val="en-US" w:eastAsia="zh-CN" w:bidi="ar"/>
        </w:rPr>
        <w:t>陆梁油田陆</w:t>
      </w:r>
      <w:r>
        <w:rPr>
          <w:rFonts w:ascii="Calibri" w:hAnsi="Calibri" w:eastAsia="宋体" w:cs="Calibri"/>
          <w:color w:val="auto"/>
          <w:kern w:val="0"/>
          <w:sz w:val="18"/>
          <w:szCs w:val="18"/>
          <w:lang w:val="en-US" w:eastAsia="zh-CN" w:bidi="ar"/>
        </w:rPr>
        <w:t>136</w:t>
      </w:r>
      <w:r>
        <w:rPr>
          <w:rFonts w:hint="eastAsia" w:ascii="宋体" w:hAnsi="宋体" w:eastAsia="宋体" w:cs="宋体"/>
          <w:color w:val="auto"/>
          <w:kern w:val="0"/>
          <w:sz w:val="18"/>
          <w:szCs w:val="18"/>
          <w:lang w:val="en-US" w:eastAsia="zh-CN" w:bidi="ar"/>
        </w:rPr>
        <w:t>井区侏罗系头屯河组油藏开发建设工程</w:t>
      </w:r>
      <w:r>
        <w:rPr>
          <w:rFonts w:hint="default" w:ascii="Times New Roman" w:hAnsi="Times New Roman" w:cs="Times New Roman"/>
          <w:color w:val="auto"/>
          <w:sz w:val="18"/>
          <w:szCs w:val="18"/>
        </w:rPr>
        <w:t>环境影响报告书》。</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3.7.7.5服役期满环境影响分析</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油田退役期并非所有油井都同时关闭，而是一个陆续和渐进的过程。在退役期需将那些产能低或者无续采价值的油井陆续关闭，直到将所有井关闭，油田运行结束。</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（1）大气污染物</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退役期井场设备的拆除、井口封堵、井场清理等过程中，将有少量的施工机械废气产生，主要污染物为SO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、NOx、C</w:t>
      </w:r>
      <w:r>
        <w:rPr>
          <w:rFonts w:hint="default" w:ascii="Times New Roman" w:hAnsi="Times New Roman" w:eastAsia="宋体" w:cs="Times New Roman"/>
          <w:color w:val="auto"/>
          <w:kern w:val="0"/>
          <w:sz w:val="24"/>
          <w:vertAlign w:val="subscript"/>
        </w:rPr>
        <w:t>m</w:t>
      </w:r>
      <w:r>
        <w:rPr>
          <w:rFonts w:hint="default" w:ascii="Times New Roman" w:hAnsi="Times New Roman" w:eastAsia="宋体" w:cs="Times New Roman"/>
          <w:color w:val="auto"/>
          <w:kern w:val="0"/>
          <w:sz w:val="24"/>
        </w:rPr>
        <w:t>H</w:t>
      </w:r>
      <w:r>
        <w:rPr>
          <w:rFonts w:hint="default" w:ascii="Times New Roman" w:hAnsi="Times New Roman" w:eastAsia="宋体" w:cs="Times New Roman"/>
          <w:color w:val="auto"/>
          <w:kern w:val="0"/>
          <w:sz w:val="24"/>
          <w:vertAlign w:val="subscript"/>
        </w:rPr>
        <w:t>n</w:t>
      </w:r>
      <w:r>
        <w:rPr>
          <w:rFonts w:hint="default" w:ascii="Times New Roman" w:hAnsi="Times New Roman" w:eastAsia="宋体" w:cs="Times New Roman"/>
          <w:color w:val="auto"/>
          <w:kern w:val="0"/>
          <w:sz w:val="24"/>
        </w:rPr>
        <w:t>等。由于废气量较小，且施工现场均在野外，有利于空气的扩散，同时废气污染源具有间歇性和流动性，因此对局部地区的环境影响较小。</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（2）水污染物</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闭井期管线清理过程中会产生清管废水，主要污染物是悬浮物、石油类，清管废水收集后由罐车拉运至陆梁集中处理站处理，处理合格后用于油藏回注，不外排。</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（3）固体废物</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①地面设施拆除、井场清理等工作中会产生建筑垃圾，应集中清理收集。不能回收的外运至指定填埋场填埋处理；</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②地面设施拆除、井场清理等工作过程中被原油污染的土壤或油渣等危险固废，集中收集后交有资质单位转运及处置。</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（4）噪声</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油井进入退役期时，噪声主要源自井场设备拆卸和车辆运输，影响范围在声源周围200m范围内。</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3.7.8碳排放分析</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3.7.8.1碳排放源强核算</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根据《中国石油天然气生产企业温室气体排放核算方法与报告指南（试行）》，石油天然气生产作业温室气体包括燃料燃烧二氧化碳（CO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排放、火炬燃烧CO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和甲烷（CH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排放、工艺放空CO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和CH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排放、设备泄露CH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逃逸排放、CH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回收利用量、CO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回收利用量以及净购入电力和热力隐含的CO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排放。</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本项目为石油开采项目，按其指南中“油气开采业务温室气体排放”“油气储运业务温室气体排放”计算方法进行核算。</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（1）油气开采业务工艺放空排放</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油气开采工艺放空CH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排放可根据油气开采环节各类设施的数量及不同设施的工艺放空排放因子进行计算：</w:t>
      </w:r>
    </w:p>
    <w:p>
      <w:pPr>
        <w:pStyle w:val="66"/>
        <w:spacing w:line="360" w:lineRule="auto"/>
        <w:ind w:firstLine="480" w:firstLineChars="200"/>
        <w:outlineLvl w:val="9"/>
        <w:rPr>
          <w:rFonts w:hint="default" w:ascii="Times New Roman" w:hAnsi="Times New Roman" w:cs="Times New Roman"/>
          <w:color w:val="auto"/>
          <w:sz w:val="24"/>
          <w:szCs w:val="24"/>
        </w:rPr>
      </w:pPr>
      <m:oMathPara>
        <m:oMath>
          <m:sSub>
            <m:sSubPr>
              <m:ctrlPr>
                <w:rPr>
                  <w:rFonts w:hint="default" w:ascii="Cambria Math" w:hAnsi="Cambria Math" w:cs="Times New Roman"/>
                  <w:i/>
                  <w:color w:val="auto"/>
                  <w:sz w:val="24"/>
                  <w:szCs w:val="24"/>
                </w:rPr>
              </m:ctrlPr>
            </m:sSubPr>
            <m:e>
              <m:r>
                <w:rPr>
                  <w:rFonts w:hint="default" w:ascii="Cambria Math" w:hAnsi="Cambria Math" w:cs="Times New Roman"/>
                  <w:color w:val="auto"/>
                  <w:sz w:val="24"/>
                  <w:szCs w:val="24"/>
                </w:rPr>
                <m:t>E</m:t>
              </m:r>
              <m:ctrlPr>
                <w:rPr>
                  <w:rFonts w:hint="default" w:ascii="Cambria Math" w:hAnsi="Cambria Math" w:cs="Times New Roman"/>
                  <w:i/>
                  <w:color w:val="auto"/>
                  <w:sz w:val="24"/>
                  <w:szCs w:val="24"/>
                </w:rPr>
              </m:ctrlPr>
            </m:e>
            <m:sub>
              <m:r>
                <w:rPr>
                  <w:rFonts w:hint="default" w:ascii="Cambria Math" w:hAnsi="Cambria Math" w:cs="Times New Roman"/>
                  <w:color w:val="auto"/>
                  <w:sz w:val="24"/>
                  <w:szCs w:val="24"/>
                </w:rPr>
                <m:t>CH</m:t>
              </m:r>
              <m:r>
                <w:rPr>
                  <w:rFonts w:hint="default" w:ascii="Cambria Math" w:hAnsi="Cambria Math" w:cs="Times New Roman"/>
                  <w:color w:val="auto"/>
                  <w:sz w:val="24"/>
                  <w:szCs w:val="24"/>
                  <w:vertAlign w:val="subscript"/>
                </w:rPr>
                <m:t>4</m:t>
              </m:r>
              <m:r>
                <w:rPr>
                  <w:rFonts w:hint="default" w:ascii="Cambria Math" w:hAnsi="Cambria Math" w:cs="Times New Roman"/>
                  <w:color w:val="auto"/>
                  <w:sz w:val="24"/>
                  <w:szCs w:val="24"/>
                </w:rPr>
                <m:t xml:space="preserve">_开采放空 </m:t>
              </m:r>
              <m:ctrlPr>
                <w:rPr>
                  <w:rFonts w:hint="default" w:ascii="Cambria Math" w:hAnsi="Cambria Math" w:cs="Times New Roman"/>
                  <w:i/>
                  <w:color w:val="auto"/>
                  <w:sz w:val="24"/>
                  <w:szCs w:val="24"/>
                </w:rPr>
              </m:ctrlPr>
            </m:sub>
          </m:sSub>
          <m:r>
            <w:rPr>
              <w:rFonts w:hint="default" w:ascii="Cambria Math" w:hAnsi="Cambria Math" w:cs="Times New Roman"/>
              <w:color w:val="auto"/>
              <w:sz w:val="24"/>
              <w:szCs w:val="24"/>
            </w:rPr>
            <m:t>=</m:t>
          </m:r>
          <m:nary>
            <m:naryPr>
              <m:chr m:val="∑"/>
              <m:limLoc m:val="undOvr"/>
              <m:supHide m:val="1"/>
              <m:ctrlPr>
                <w:rPr>
                  <w:rFonts w:hint="default" w:ascii="Cambria Math" w:hAnsi="Cambria Math" w:cs="Times New Roman"/>
                  <w:i/>
                  <w:color w:val="auto"/>
                  <w:sz w:val="24"/>
                  <w:szCs w:val="24"/>
                </w:rPr>
              </m:ctrlPr>
            </m:naryPr>
            <m:sub>
              <m:r>
                <w:rPr>
                  <w:rFonts w:hint="default" w:ascii="Cambria Math" w:hAnsi="Cambria Math" w:cs="Times New Roman"/>
                  <w:color w:val="auto"/>
                  <w:sz w:val="24"/>
                  <w:szCs w:val="24"/>
                </w:rPr>
                <m:t>j</m:t>
              </m:r>
              <m:ctrlPr>
                <w:rPr>
                  <w:rFonts w:hint="default" w:ascii="Cambria Math" w:hAnsi="Cambria Math" w:cs="Times New Roman"/>
                  <w:i/>
                  <w:color w:val="auto"/>
                  <w:sz w:val="24"/>
                  <w:szCs w:val="24"/>
                </w:rPr>
              </m:ctrlPr>
            </m:sub>
            <m:sup>
              <m:ctrlPr>
                <w:rPr>
                  <w:rFonts w:hint="default" w:ascii="Cambria Math" w:hAnsi="Cambria Math" w:cs="Times New Roman"/>
                  <w:i/>
                  <w:color w:val="auto"/>
                  <w:sz w:val="24"/>
                  <w:szCs w:val="24"/>
                </w:rPr>
              </m:ctrlPr>
            </m:sup>
            <m:e>
              <m:r>
                <w:rPr>
                  <w:rFonts w:hint="default" w:ascii="Cambria Math" w:hAnsi="Cambria Math" w:cs="Times New Roman"/>
                  <w:color w:val="auto"/>
                  <w:sz w:val="24"/>
                  <w:szCs w:val="24"/>
                </w:rPr>
                <m:t>（</m:t>
              </m:r>
              <m:sSub>
                <m:sSubPr>
                  <m:ctrlPr>
                    <w:rPr>
                      <w:rFonts w:hint="default" w:ascii="Cambria Math" w:hAnsi="Cambria Math" w:cs="Times New Roman"/>
                      <w:i/>
                      <w:color w:val="auto"/>
                      <w:sz w:val="24"/>
                      <w:szCs w:val="24"/>
                    </w:rPr>
                  </m:ctrlPr>
                </m:sSubPr>
                <m:e>
                  <m:r>
                    <w:rPr>
                      <w:rFonts w:hint="default" w:ascii="Cambria Math" w:hAnsi="Cambria Math" w:cs="Times New Roman"/>
                      <w:color w:val="auto"/>
                      <w:sz w:val="24"/>
                      <w:szCs w:val="24"/>
                    </w:rPr>
                    <m:t>Num</m:t>
                  </m:r>
                  <m:ctrlPr>
                    <w:rPr>
                      <w:rFonts w:hint="default" w:ascii="Cambria Math" w:hAnsi="Cambria Math" w:cs="Times New Roman"/>
                      <w:i/>
                      <w:color w:val="auto"/>
                      <w:sz w:val="24"/>
                      <w:szCs w:val="24"/>
                    </w:rPr>
                  </m:ctrlPr>
                </m:e>
                <m:sub>
                  <m:r>
                    <w:rPr>
                      <w:rFonts w:hint="default" w:ascii="Cambria Math" w:hAnsi="Cambria Math" w:cs="Times New Roman"/>
                      <w:color w:val="auto"/>
                      <w:sz w:val="24"/>
                      <w:szCs w:val="24"/>
                    </w:rPr>
                    <m:t>j</m:t>
                  </m:r>
                  <m:ctrlPr>
                    <w:rPr>
                      <w:rFonts w:hint="default" w:ascii="Cambria Math" w:hAnsi="Cambria Math" w:cs="Times New Roman"/>
                      <w:i/>
                      <w:color w:val="auto"/>
                      <w:sz w:val="24"/>
                      <w:szCs w:val="24"/>
                    </w:rPr>
                  </m:ctrlPr>
                </m:sub>
              </m:sSub>
              <m:r>
                <w:rPr>
                  <w:rFonts w:hint="default" w:ascii="Cambria Math" w:hAnsi="Cambria Math" w:cs="Times New Roman"/>
                  <w:color w:val="auto"/>
                  <w:sz w:val="24"/>
                  <w:szCs w:val="24"/>
                </w:rPr>
                <m:t>×</m:t>
              </m:r>
              <m:sSub>
                <m:sSubPr>
                  <m:ctrlPr>
                    <w:rPr>
                      <w:rFonts w:hint="default" w:ascii="Cambria Math" w:hAnsi="Cambria Math" w:cs="Times New Roman"/>
                      <w:i/>
                      <w:color w:val="auto"/>
                      <w:sz w:val="24"/>
                      <w:szCs w:val="24"/>
                    </w:rPr>
                  </m:ctrlPr>
                </m:sSubPr>
                <m:e>
                  <m:r>
                    <w:rPr>
                      <w:rFonts w:hint="default" w:ascii="Cambria Math" w:hAnsi="Cambria Math" w:cs="Times New Roman"/>
                      <w:color w:val="auto"/>
                      <w:sz w:val="24"/>
                      <w:szCs w:val="24"/>
                    </w:rPr>
                    <m:t>EF</m:t>
                  </m:r>
                  <m:ctrlPr>
                    <w:rPr>
                      <w:rFonts w:hint="default" w:ascii="Cambria Math" w:hAnsi="Cambria Math" w:cs="Times New Roman"/>
                      <w:i/>
                      <w:color w:val="auto"/>
                      <w:sz w:val="24"/>
                      <w:szCs w:val="24"/>
                    </w:rPr>
                  </m:ctrlPr>
                </m:e>
                <m:sub>
                  <m:r>
                    <w:rPr>
                      <w:rFonts w:hint="default" w:ascii="Cambria Math" w:hAnsi="Cambria Math" w:cs="Times New Roman"/>
                      <w:color w:val="auto"/>
                      <w:sz w:val="24"/>
                      <w:szCs w:val="24"/>
                    </w:rPr>
                    <m:t>j</m:t>
                  </m:r>
                  <m:ctrlPr>
                    <w:rPr>
                      <w:rFonts w:hint="default" w:ascii="Cambria Math" w:hAnsi="Cambria Math" w:cs="Times New Roman"/>
                      <w:i/>
                      <w:color w:val="auto"/>
                      <w:sz w:val="24"/>
                      <w:szCs w:val="24"/>
                    </w:rPr>
                  </m:ctrlPr>
                </m:sub>
              </m:sSub>
              <m:r>
                <w:rPr>
                  <w:rFonts w:hint="default" w:ascii="Cambria Math" w:hAnsi="Cambria Math" w:cs="Times New Roman"/>
                  <w:color w:val="auto"/>
                  <w:sz w:val="24"/>
                  <w:szCs w:val="24"/>
                </w:rPr>
                <m:t>）</m:t>
              </m:r>
              <m:ctrlPr>
                <w:rPr>
                  <w:rFonts w:hint="default" w:ascii="Cambria Math" w:hAnsi="Cambria Math" w:cs="Times New Roman"/>
                  <w:i/>
                  <w:color w:val="auto"/>
                  <w:sz w:val="24"/>
                  <w:szCs w:val="24"/>
                </w:rPr>
              </m:ctrlPr>
            </m:e>
          </m:nary>
        </m:oMath>
      </m:oMathPara>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E</w:t>
      </w:r>
      <w:r>
        <w:rPr>
          <w:rFonts w:hint="default" w:ascii="Times New Roman" w:hAnsi="Times New Roman" w:cs="Times New Roman"/>
          <w:i/>
          <w:iCs/>
          <w:color w:val="auto"/>
          <w:sz w:val="24"/>
          <w:szCs w:val="24"/>
          <w:vertAlign w:val="subscript"/>
        </w:rPr>
        <w:t>CH4</w:t>
      </w:r>
      <w:r>
        <w:rPr>
          <w:rFonts w:hint="default" w:ascii="Times New Roman" w:hAnsi="Times New Roman" w:cs="Times New Roman"/>
          <w:color w:val="auto"/>
          <w:sz w:val="24"/>
          <w:szCs w:val="24"/>
          <w:vertAlign w:val="subscript"/>
        </w:rPr>
        <w:t>_开采放空</w:t>
      </w:r>
      <w:r>
        <w:rPr>
          <w:rFonts w:hint="default" w:ascii="Times New Roman" w:hAnsi="Times New Roman" w:cs="Times New Roman"/>
          <w:color w:val="auto"/>
          <w:sz w:val="24"/>
          <w:szCs w:val="24"/>
        </w:rPr>
        <w:t>为油气开采环节产生的工艺放空CH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排放量，单位为吨CH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j为油气开采系统中的装置类型，包括原油开采的井口装置、单井储油装置、接转站、联合站及天然气开采中的井口装置、集气站、计量/配气站、储气站等；</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Num</w:t>
      </w:r>
      <w:r>
        <w:rPr>
          <w:rFonts w:hint="default" w:ascii="Times New Roman" w:hAnsi="Times New Roman" w:cs="Times New Roman"/>
          <w:color w:val="auto"/>
          <w:sz w:val="24"/>
          <w:szCs w:val="24"/>
          <w:vertAlign w:val="subscript"/>
        </w:rPr>
        <w:t>j</w:t>
      </w:r>
      <w:r>
        <w:rPr>
          <w:rFonts w:hint="default" w:ascii="Times New Roman" w:hAnsi="Times New Roman" w:cs="Times New Roman"/>
          <w:color w:val="auto"/>
          <w:sz w:val="24"/>
          <w:szCs w:val="24"/>
        </w:rPr>
        <w:t>为第j个装置的数量，单位为个；</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EF</w:t>
      </w:r>
      <w:r>
        <w:rPr>
          <w:rFonts w:hint="default" w:ascii="Times New Roman" w:hAnsi="Times New Roman" w:cs="Times New Roman"/>
          <w:color w:val="auto"/>
          <w:sz w:val="24"/>
          <w:szCs w:val="24"/>
          <w:vertAlign w:val="subscript"/>
        </w:rPr>
        <w:t>j</w:t>
      </w:r>
      <w:r>
        <w:rPr>
          <w:rFonts w:hint="default" w:ascii="Times New Roman" w:hAnsi="Times New Roman" w:cs="Times New Roman"/>
          <w:color w:val="auto"/>
          <w:sz w:val="24"/>
          <w:szCs w:val="24"/>
        </w:rPr>
        <w:t>为第j个装置的工艺放空CH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排放因子，单位为吨CH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/（年·个）。</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（2）油气开采业务CH</w:t>
      </w:r>
      <w:r>
        <w:rPr>
          <w:rFonts w:hint="default" w:ascii="Times New Roman" w:hAnsi="Times New Roman" w:eastAsia="宋体" w:cs="Times New Roman"/>
          <w:color w:val="auto"/>
          <w:sz w:val="24"/>
          <w:vertAlign w:val="subscript"/>
        </w:rPr>
        <w:t>4</w:t>
      </w:r>
      <w:r>
        <w:rPr>
          <w:rFonts w:hint="default" w:ascii="Times New Roman" w:hAnsi="Times New Roman" w:eastAsia="宋体" w:cs="Times New Roman"/>
          <w:color w:val="auto"/>
          <w:sz w:val="24"/>
        </w:rPr>
        <w:t>逃逸排放</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油气开采业务CH</w:t>
      </w:r>
      <w:r>
        <w:rPr>
          <w:rFonts w:hint="default" w:ascii="Times New Roman" w:hAnsi="Times New Roman" w:eastAsia="宋体" w:cs="Times New Roman"/>
          <w:color w:val="auto"/>
          <w:sz w:val="24"/>
          <w:vertAlign w:val="subscript"/>
        </w:rPr>
        <w:t>4</w:t>
      </w:r>
      <w:r>
        <w:rPr>
          <w:rFonts w:hint="default" w:ascii="Times New Roman" w:hAnsi="Times New Roman" w:eastAsia="宋体" w:cs="Times New Roman"/>
          <w:color w:val="auto"/>
          <w:sz w:val="24"/>
        </w:rPr>
        <w:t>逃逸排放可根据油气开采环节各类设施的数量及不同设施的CH</w:t>
      </w:r>
      <w:r>
        <w:rPr>
          <w:rFonts w:hint="default" w:ascii="Times New Roman" w:hAnsi="Times New Roman" w:eastAsia="宋体" w:cs="Times New Roman"/>
          <w:color w:val="auto"/>
          <w:sz w:val="24"/>
          <w:vertAlign w:val="subscript"/>
        </w:rPr>
        <w:t>4</w:t>
      </w:r>
      <w:r>
        <w:rPr>
          <w:rFonts w:hint="default" w:ascii="Times New Roman" w:hAnsi="Times New Roman" w:eastAsia="宋体" w:cs="Times New Roman"/>
          <w:color w:val="auto"/>
          <w:sz w:val="24"/>
        </w:rPr>
        <w:t>逃逸排放因子进行计算：</w:t>
      </w:r>
    </w:p>
    <w:p>
      <w:pPr>
        <w:pStyle w:val="66"/>
        <w:spacing w:line="360" w:lineRule="auto"/>
        <w:ind w:firstLine="480" w:firstLineChars="200"/>
        <w:outlineLvl w:val="9"/>
        <w:rPr>
          <w:rFonts w:hint="default" w:ascii="Times New Roman" w:hAnsi="Times New Roman" w:cs="Times New Roman"/>
          <w:color w:val="auto"/>
          <w:sz w:val="24"/>
          <w:szCs w:val="24"/>
        </w:rPr>
      </w:pPr>
      <m:oMathPara>
        <m:oMath>
          <m:sSub>
            <m:sSubPr>
              <m:ctrlPr>
                <w:rPr>
                  <w:rFonts w:hint="default" w:ascii="Cambria Math" w:hAnsi="Cambria Math" w:cs="Times New Roman"/>
                  <w:i/>
                  <w:color w:val="auto"/>
                  <w:sz w:val="24"/>
                  <w:szCs w:val="24"/>
                </w:rPr>
              </m:ctrlPr>
            </m:sSubPr>
            <m:e>
              <m:r>
                <w:rPr>
                  <w:rFonts w:hint="default" w:ascii="Cambria Math" w:hAnsi="Cambria Math" w:cs="Times New Roman"/>
                  <w:color w:val="auto"/>
                  <w:sz w:val="24"/>
                  <w:szCs w:val="24"/>
                </w:rPr>
                <m:t>E</m:t>
              </m:r>
              <m:ctrlPr>
                <w:rPr>
                  <w:rFonts w:hint="default" w:ascii="Cambria Math" w:hAnsi="Cambria Math" w:cs="Times New Roman"/>
                  <w:i/>
                  <w:color w:val="auto"/>
                  <w:sz w:val="24"/>
                  <w:szCs w:val="24"/>
                </w:rPr>
              </m:ctrlPr>
            </m:e>
            <m:sub>
              <m:r>
                <w:rPr>
                  <w:rFonts w:hint="default" w:ascii="Cambria Math" w:hAnsi="Cambria Math" w:cs="Times New Roman"/>
                  <w:color w:val="auto"/>
                  <w:sz w:val="24"/>
                  <w:szCs w:val="24"/>
                </w:rPr>
                <m:t>CH4_开采逃逸</m:t>
              </m:r>
              <m:ctrlPr>
                <w:rPr>
                  <w:rFonts w:hint="default" w:ascii="Cambria Math" w:hAnsi="Cambria Math" w:cs="Times New Roman"/>
                  <w:i/>
                  <w:color w:val="auto"/>
                  <w:sz w:val="24"/>
                  <w:szCs w:val="24"/>
                </w:rPr>
              </m:ctrlPr>
            </m:sub>
          </m:sSub>
          <m:r>
            <w:rPr>
              <w:rFonts w:hint="default" w:ascii="Cambria Math" w:hAnsi="Cambria Math" w:cs="Times New Roman"/>
              <w:color w:val="auto"/>
              <w:sz w:val="24"/>
              <w:szCs w:val="24"/>
            </w:rPr>
            <m:t>=</m:t>
          </m:r>
          <m:nary>
            <m:naryPr>
              <m:chr m:val="∑"/>
              <m:limLoc m:val="undOvr"/>
              <m:supHide m:val="1"/>
              <m:ctrlPr>
                <w:rPr>
                  <w:rFonts w:hint="default" w:ascii="Cambria Math" w:hAnsi="Cambria Math" w:cs="Times New Roman"/>
                  <w:i/>
                  <w:color w:val="auto"/>
                  <w:sz w:val="24"/>
                  <w:szCs w:val="24"/>
                </w:rPr>
              </m:ctrlPr>
            </m:naryPr>
            <m:sub>
              <m:r>
                <w:rPr>
                  <w:rFonts w:hint="default" w:ascii="Cambria Math" w:hAnsi="Cambria Math" w:cs="Times New Roman"/>
                  <w:color w:val="auto"/>
                  <w:sz w:val="24"/>
                  <w:szCs w:val="24"/>
                </w:rPr>
                <m:t>j</m:t>
              </m:r>
              <m:ctrlPr>
                <w:rPr>
                  <w:rFonts w:hint="default" w:ascii="Cambria Math" w:hAnsi="Cambria Math" w:cs="Times New Roman"/>
                  <w:i/>
                  <w:color w:val="auto"/>
                  <w:sz w:val="24"/>
                  <w:szCs w:val="24"/>
                </w:rPr>
              </m:ctrlPr>
            </m:sub>
            <m:sup>
              <m:ctrlPr>
                <w:rPr>
                  <w:rFonts w:hint="default" w:ascii="Cambria Math" w:hAnsi="Cambria Math" w:cs="Times New Roman"/>
                  <w:i/>
                  <w:color w:val="auto"/>
                  <w:sz w:val="24"/>
                  <w:szCs w:val="24"/>
                </w:rPr>
              </m:ctrlPr>
            </m:sup>
            <m:e>
              <m:r>
                <w:rPr>
                  <w:rFonts w:hint="default" w:ascii="Cambria Math" w:hAnsi="Cambria Math" w:cs="Times New Roman"/>
                  <w:color w:val="auto"/>
                  <w:sz w:val="24"/>
                  <w:szCs w:val="24"/>
                </w:rPr>
                <m:t>(</m:t>
              </m:r>
              <m:sSub>
                <m:sSubPr>
                  <m:ctrlPr>
                    <w:rPr>
                      <w:rFonts w:hint="default" w:ascii="Cambria Math" w:hAnsi="Cambria Math" w:cs="Times New Roman"/>
                      <w:i/>
                      <w:color w:val="auto"/>
                      <w:sz w:val="24"/>
                      <w:szCs w:val="24"/>
                    </w:rPr>
                  </m:ctrlPr>
                </m:sSubPr>
                <m:e>
                  <m:r>
                    <w:rPr>
                      <w:rFonts w:hint="default" w:ascii="Cambria Math" w:hAnsi="Cambria Math" w:cs="Times New Roman"/>
                      <w:color w:val="auto"/>
                      <w:sz w:val="24"/>
                      <w:szCs w:val="24"/>
                    </w:rPr>
                    <m:t>Num</m:t>
                  </m:r>
                  <m:ctrlPr>
                    <w:rPr>
                      <w:rFonts w:hint="default" w:ascii="Cambria Math" w:hAnsi="Cambria Math" w:cs="Times New Roman"/>
                      <w:i/>
                      <w:color w:val="auto"/>
                      <w:sz w:val="24"/>
                      <w:szCs w:val="24"/>
                    </w:rPr>
                  </m:ctrlPr>
                </m:e>
                <m:sub>
                  <m:r>
                    <w:rPr>
                      <w:rFonts w:hint="default" w:ascii="Cambria Math" w:hAnsi="Cambria Math" w:cs="Times New Roman"/>
                      <w:color w:val="auto"/>
                      <w:sz w:val="24"/>
                      <w:szCs w:val="24"/>
                    </w:rPr>
                    <m:t>oil,j</m:t>
                  </m:r>
                  <m:ctrlPr>
                    <w:rPr>
                      <w:rFonts w:hint="default" w:ascii="Cambria Math" w:hAnsi="Cambria Math" w:cs="Times New Roman"/>
                      <w:i/>
                      <w:color w:val="auto"/>
                      <w:sz w:val="24"/>
                      <w:szCs w:val="24"/>
                    </w:rPr>
                  </m:ctrlPr>
                </m:sub>
              </m:sSub>
              <m:r>
                <w:rPr>
                  <w:rFonts w:hint="default" w:ascii="Cambria Math" w:hAnsi="Cambria Math" w:cs="Times New Roman"/>
                  <w:color w:val="auto"/>
                  <w:sz w:val="24"/>
                  <w:szCs w:val="24"/>
                </w:rPr>
                <m:t>×</m:t>
              </m:r>
              <m:sSub>
                <m:sSubPr>
                  <m:ctrlPr>
                    <w:rPr>
                      <w:rFonts w:hint="default" w:ascii="Cambria Math" w:hAnsi="Cambria Math" w:cs="Times New Roman"/>
                      <w:i/>
                      <w:color w:val="auto"/>
                      <w:sz w:val="24"/>
                      <w:szCs w:val="24"/>
                    </w:rPr>
                  </m:ctrlPr>
                </m:sSubPr>
                <m:e>
                  <m:r>
                    <w:rPr>
                      <w:rFonts w:hint="default" w:ascii="Cambria Math" w:hAnsi="Cambria Math" w:cs="Times New Roman"/>
                      <w:color w:val="auto"/>
                      <w:sz w:val="24"/>
                      <w:szCs w:val="24"/>
                    </w:rPr>
                    <m:t>EF</m:t>
                  </m:r>
                  <m:ctrlPr>
                    <w:rPr>
                      <w:rFonts w:hint="default" w:ascii="Cambria Math" w:hAnsi="Cambria Math" w:cs="Times New Roman"/>
                      <w:i/>
                      <w:color w:val="auto"/>
                      <w:sz w:val="24"/>
                      <w:szCs w:val="24"/>
                    </w:rPr>
                  </m:ctrlPr>
                </m:e>
                <m:sub>
                  <m:r>
                    <w:rPr>
                      <w:rFonts w:hint="default" w:ascii="Cambria Math" w:hAnsi="Cambria Math" w:cs="Times New Roman"/>
                      <w:color w:val="auto"/>
                      <w:sz w:val="24"/>
                      <w:szCs w:val="24"/>
                    </w:rPr>
                    <m:t>oil,j</m:t>
                  </m:r>
                  <m:ctrlPr>
                    <w:rPr>
                      <w:rFonts w:hint="default" w:ascii="Cambria Math" w:hAnsi="Cambria Math" w:cs="Times New Roman"/>
                      <w:i/>
                      <w:color w:val="auto"/>
                      <w:sz w:val="24"/>
                      <w:szCs w:val="24"/>
                    </w:rPr>
                  </m:ctrlPr>
                </m:sub>
              </m:sSub>
              <m:r>
                <w:rPr>
                  <w:rFonts w:hint="default" w:ascii="Cambria Math" w:hAnsi="Cambria Math" w:cs="Times New Roman"/>
                  <w:color w:val="auto"/>
                  <w:sz w:val="24"/>
                  <w:szCs w:val="24"/>
                </w:rPr>
                <m:t>)+</m:t>
              </m:r>
              <m:nary>
                <m:naryPr>
                  <m:chr m:val="∑"/>
                  <m:limLoc m:val="undOvr"/>
                  <m:supHide m:val="1"/>
                  <m:ctrlPr>
                    <w:rPr>
                      <w:rFonts w:hint="default" w:ascii="Cambria Math" w:hAnsi="Cambria Math" w:cs="Times New Roman"/>
                      <w:i/>
                      <w:color w:val="auto"/>
                      <w:sz w:val="24"/>
                      <w:szCs w:val="24"/>
                    </w:rPr>
                  </m:ctrlPr>
                </m:naryPr>
                <m:sub>
                  <m:r>
                    <w:rPr>
                      <w:rFonts w:hint="default" w:ascii="Cambria Math" w:hAnsi="Cambria Math" w:cs="Times New Roman"/>
                      <w:color w:val="auto"/>
                      <w:sz w:val="24"/>
                      <w:szCs w:val="24"/>
                    </w:rPr>
                    <m:t>j</m:t>
                  </m:r>
                  <m:ctrlPr>
                    <w:rPr>
                      <w:rFonts w:hint="default" w:ascii="Cambria Math" w:hAnsi="Cambria Math" w:cs="Times New Roman"/>
                      <w:i/>
                      <w:color w:val="auto"/>
                      <w:sz w:val="24"/>
                      <w:szCs w:val="24"/>
                    </w:rPr>
                  </m:ctrlPr>
                </m:sub>
                <m:sup>
                  <m:ctrlPr>
                    <w:rPr>
                      <w:rFonts w:hint="default" w:ascii="Cambria Math" w:hAnsi="Cambria Math" w:cs="Times New Roman"/>
                      <w:i/>
                      <w:color w:val="auto"/>
                      <w:sz w:val="24"/>
                      <w:szCs w:val="24"/>
                    </w:rPr>
                  </m:ctrlPr>
                </m:sup>
                <m:e>
                  <m:r>
                    <w:rPr>
                      <w:rFonts w:hint="default" w:ascii="Cambria Math" w:hAnsi="Cambria Math" w:cs="Times New Roman"/>
                      <w:color w:val="auto"/>
                      <w:sz w:val="24"/>
                      <w:szCs w:val="24"/>
                    </w:rPr>
                    <m:t>(</m:t>
                  </m:r>
                  <m:sSub>
                    <m:sSubPr>
                      <m:ctrlPr>
                        <w:rPr>
                          <w:rFonts w:hint="default" w:ascii="Cambria Math" w:hAnsi="Cambria Math" w:cs="Times New Roman"/>
                          <w:i/>
                          <w:color w:val="auto"/>
                          <w:sz w:val="24"/>
                          <w:szCs w:val="24"/>
                        </w:rPr>
                      </m:ctrlPr>
                    </m:sSubPr>
                    <m:e>
                      <m:r>
                        <w:rPr>
                          <w:rFonts w:hint="default" w:ascii="Cambria Math" w:hAnsi="Cambria Math" w:cs="Times New Roman"/>
                          <w:color w:val="auto"/>
                          <w:sz w:val="24"/>
                          <w:szCs w:val="24"/>
                        </w:rPr>
                        <m:t>Num</m:t>
                      </m:r>
                      <m:ctrlPr>
                        <w:rPr>
                          <w:rFonts w:hint="default" w:ascii="Cambria Math" w:hAnsi="Cambria Math" w:cs="Times New Roman"/>
                          <w:i/>
                          <w:color w:val="auto"/>
                          <w:sz w:val="24"/>
                          <w:szCs w:val="24"/>
                        </w:rPr>
                      </m:ctrlPr>
                    </m:e>
                    <m:sub>
                      <m:r>
                        <w:rPr>
                          <w:rFonts w:hint="default" w:ascii="Cambria Math" w:hAnsi="Cambria Math" w:cs="Times New Roman"/>
                          <w:color w:val="auto"/>
                          <w:sz w:val="24"/>
                          <w:szCs w:val="24"/>
                        </w:rPr>
                        <m:t>gas,j</m:t>
                      </m:r>
                      <m:ctrlPr>
                        <w:rPr>
                          <w:rFonts w:hint="default" w:ascii="Cambria Math" w:hAnsi="Cambria Math" w:cs="Times New Roman"/>
                          <w:i/>
                          <w:color w:val="auto"/>
                          <w:sz w:val="24"/>
                          <w:szCs w:val="24"/>
                        </w:rPr>
                      </m:ctrlPr>
                    </m:sub>
                  </m:sSub>
                  <m:r>
                    <w:rPr>
                      <w:rFonts w:hint="default" w:ascii="Cambria Math" w:hAnsi="Cambria Math" w:cs="Times New Roman"/>
                      <w:color w:val="auto"/>
                      <w:sz w:val="24"/>
                      <w:szCs w:val="24"/>
                    </w:rPr>
                    <m:t>×</m:t>
                  </m:r>
                  <m:sSub>
                    <m:sSubPr>
                      <m:ctrlPr>
                        <w:rPr>
                          <w:rFonts w:hint="default" w:ascii="Cambria Math" w:hAnsi="Cambria Math" w:cs="Times New Roman"/>
                          <w:i/>
                          <w:color w:val="auto"/>
                          <w:sz w:val="24"/>
                          <w:szCs w:val="24"/>
                        </w:rPr>
                      </m:ctrlPr>
                    </m:sSubPr>
                    <m:e>
                      <m:r>
                        <w:rPr>
                          <w:rFonts w:hint="default" w:ascii="Cambria Math" w:hAnsi="Cambria Math" w:cs="Times New Roman"/>
                          <w:color w:val="auto"/>
                          <w:sz w:val="24"/>
                          <w:szCs w:val="24"/>
                        </w:rPr>
                        <m:t>EF</m:t>
                      </m:r>
                      <m:ctrlPr>
                        <w:rPr>
                          <w:rFonts w:hint="default" w:ascii="Cambria Math" w:hAnsi="Cambria Math" w:cs="Times New Roman"/>
                          <w:i/>
                          <w:color w:val="auto"/>
                          <w:sz w:val="24"/>
                          <w:szCs w:val="24"/>
                        </w:rPr>
                      </m:ctrlPr>
                    </m:e>
                    <m:sub>
                      <m:r>
                        <w:rPr>
                          <w:rFonts w:hint="default" w:ascii="Cambria Math" w:hAnsi="Cambria Math" w:cs="Times New Roman"/>
                          <w:color w:val="auto"/>
                          <w:sz w:val="24"/>
                          <w:szCs w:val="24"/>
                        </w:rPr>
                        <m:t>gas,j</m:t>
                      </m:r>
                      <m:ctrlPr>
                        <w:rPr>
                          <w:rFonts w:hint="default" w:ascii="Cambria Math" w:hAnsi="Cambria Math" w:cs="Times New Roman"/>
                          <w:i/>
                          <w:color w:val="auto"/>
                          <w:sz w:val="24"/>
                          <w:szCs w:val="24"/>
                        </w:rPr>
                      </m:ctrlPr>
                    </m:sub>
                  </m:sSub>
                  <m:r>
                    <w:rPr>
                      <w:rFonts w:hint="default" w:ascii="Cambria Math" w:hAnsi="Cambria Math" w:cs="Times New Roman"/>
                      <w:color w:val="auto"/>
                      <w:sz w:val="24"/>
                      <w:szCs w:val="24"/>
                    </w:rPr>
                    <m:t>)</m:t>
                  </m:r>
                  <m:ctrlPr>
                    <w:rPr>
                      <w:rFonts w:hint="default" w:ascii="Cambria Math" w:hAnsi="Cambria Math" w:cs="Times New Roman"/>
                      <w:i/>
                      <w:color w:val="auto"/>
                      <w:sz w:val="24"/>
                      <w:szCs w:val="24"/>
                    </w:rPr>
                  </m:ctrlPr>
                </m:e>
              </m:nary>
              <m:ctrlPr>
                <w:rPr>
                  <w:rFonts w:hint="default" w:ascii="Cambria Math" w:hAnsi="Cambria Math" w:cs="Times New Roman"/>
                  <w:i/>
                  <w:color w:val="auto"/>
                  <w:sz w:val="24"/>
                  <w:szCs w:val="24"/>
                </w:rPr>
              </m:ctrlPr>
            </m:e>
          </m:nary>
        </m:oMath>
      </m:oMathPara>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E</w:t>
      </w:r>
      <w:r>
        <w:rPr>
          <w:rFonts w:hint="default" w:ascii="Times New Roman" w:hAnsi="Times New Roman" w:cs="Times New Roman"/>
          <w:i/>
          <w:iCs/>
          <w:color w:val="auto"/>
          <w:sz w:val="24"/>
          <w:szCs w:val="24"/>
          <w:vertAlign w:val="subscript"/>
        </w:rPr>
        <w:t>CH4</w:t>
      </w:r>
      <w:r>
        <w:rPr>
          <w:rFonts w:hint="default" w:ascii="Times New Roman" w:hAnsi="Times New Roman" w:cs="Times New Roman"/>
          <w:color w:val="auto"/>
          <w:sz w:val="24"/>
          <w:szCs w:val="24"/>
          <w:vertAlign w:val="subscript"/>
        </w:rPr>
        <w:t>_开采逃逸</w:t>
      </w:r>
      <w:r>
        <w:rPr>
          <w:rFonts w:hint="default" w:ascii="Times New Roman" w:hAnsi="Times New Roman" w:cs="Times New Roman"/>
          <w:color w:val="auto"/>
          <w:sz w:val="24"/>
          <w:szCs w:val="24"/>
        </w:rPr>
        <w:t>为原油开采或天然气开采中所有设施类型（包括原油开采的井口装置、单井储油装置、接转站、联合站及天然气开采中的井口装置、集气站、计量/配气站、储气站等）产生的CH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逃逸排放，单位为吨CH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j为不同的设施类型；</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Num</w:t>
      </w:r>
      <w:r>
        <w:rPr>
          <w:rFonts w:hint="default" w:ascii="Times New Roman" w:hAnsi="Times New Roman" w:cs="Times New Roman"/>
          <w:i/>
          <w:iCs/>
          <w:color w:val="auto"/>
          <w:sz w:val="24"/>
          <w:szCs w:val="24"/>
          <w:vertAlign w:val="subscript"/>
        </w:rPr>
        <w:t>oil,j</w:t>
      </w:r>
      <w:r>
        <w:rPr>
          <w:rFonts w:hint="default" w:ascii="Times New Roman" w:hAnsi="Times New Roman" w:cs="Times New Roman"/>
          <w:color w:val="auto"/>
          <w:sz w:val="24"/>
          <w:szCs w:val="24"/>
        </w:rPr>
        <w:t>为原油开采业务所涉及的泄漏设施类型数量，单位为个；</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EF</w:t>
      </w:r>
      <w:r>
        <w:rPr>
          <w:rFonts w:hint="default" w:ascii="Times New Roman" w:hAnsi="Times New Roman" w:cs="Times New Roman"/>
          <w:i/>
          <w:iCs/>
          <w:color w:val="auto"/>
          <w:sz w:val="24"/>
          <w:szCs w:val="24"/>
          <w:vertAlign w:val="subscript"/>
        </w:rPr>
        <w:t>oil,j</w:t>
      </w:r>
      <w:r>
        <w:rPr>
          <w:rFonts w:hint="default" w:ascii="Times New Roman" w:hAnsi="Times New Roman" w:cs="Times New Roman"/>
          <w:color w:val="auto"/>
          <w:sz w:val="24"/>
          <w:szCs w:val="24"/>
        </w:rPr>
        <w:t>为原油开采业务中涉及到的每种设施类型j的CH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逃逸排放因子，单位为吨CH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/（年·个）；</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Num</w:t>
      </w:r>
      <w:r>
        <w:rPr>
          <w:rFonts w:hint="default" w:ascii="Times New Roman" w:hAnsi="Times New Roman" w:cs="Times New Roman"/>
          <w:i/>
          <w:iCs/>
          <w:color w:val="auto"/>
          <w:sz w:val="24"/>
          <w:szCs w:val="24"/>
          <w:vertAlign w:val="subscript"/>
        </w:rPr>
        <w:t>gas,j</w:t>
      </w:r>
      <w:r>
        <w:rPr>
          <w:rFonts w:hint="default" w:ascii="Times New Roman" w:hAnsi="Times New Roman" w:cs="Times New Roman"/>
          <w:color w:val="auto"/>
          <w:sz w:val="24"/>
          <w:szCs w:val="24"/>
        </w:rPr>
        <w:t>为天然气开采业务所涉及的泄漏设施类型数量，单位为个；</w:t>
      </w:r>
    </w:p>
    <w:p>
      <w:pPr>
        <w:pStyle w:val="66"/>
        <w:spacing w:line="360" w:lineRule="auto"/>
        <w:ind w:firstLine="960" w:firstLineChars="400"/>
        <w:outlineLvl w:val="9"/>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EF</w:t>
      </w:r>
      <w:r>
        <w:rPr>
          <w:rFonts w:hint="default" w:ascii="Times New Roman" w:hAnsi="Times New Roman" w:cs="Times New Roman"/>
          <w:i/>
          <w:iCs/>
          <w:color w:val="auto"/>
          <w:sz w:val="24"/>
          <w:szCs w:val="24"/>
          <w:vertAlign w:val="subscript"/>
        </w:rPr>
        <w:t>gas,j</w:t>
      </w:r>
      <w:r>
        <w:rPr>
          <w:rFonts w:hint="default" w:ascii="Times New Roman" w:hAnsi="Times New Roman" w:cs="Times New Roman"/>
          <w:color w:val="auto"/>
          <w:sz w:val="24"/>
          <w:szCs w:val="24"/>
        </w:rPr>
        <w:t>为天然气开采业务中涉及到的每种设施类型j的CH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逃逸排放因子，单位为吨CH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/（年·个）。</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（3）油气储运业务工艺放空排放</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原油输送过程中产生的CH</w:t>
      </w:r>
      <w:r>
        <w:rPr>
          <w:rFonts w:hint="default" w:ascii="Times New Roman" w:hAnsi="Times New Roman" w:eastAsia="宋体" w:cs="Times New Roman"/>
          <w:color w:val="auto"/>
          <w:sz w:val="24"/>
          <w:vertAlign w:val="subscript"/>
        </w:rPr>
        <w:t>4</w:t>
      </w:r>
      <w:r>
        <w:rPr>
          <w:rFonts w:hint="default" w:ascii="Times New Roman" w:hAnsi="Times New Roman" w:eastAsia="宋体" w:cs="Times New Roman"/>
          <w:color w:val="auto"/>
          <w:sz w:val="24"/>
        </w:rPr>
        <w:t>逃逸排放主要源于原油输送管道的泄漏，可根据原油输送量估算，公式如下：</w:t>
      </w:r>
    </w:p>
    <w:p>
      <w:pPr>
        <w:widowControl/>
        <w:spacing w:line="360" w:lineRule="auto"/>
        <w:ind w:firstLine="480" w:firstLineChars="200"/>
        <w:jc w:val="left"/>
        <w:rPr>
          <w:rFonts w:hint="default" w:ascii="Times New Roman" w:hAnsi="Times New Roman" w:eastAsia="宋体" w:cs="Times New Roman"/>
          <w:color w:val="auto"/>
          <w:sz w:val="24"/>
        </w:rPr>
      </w:pPr>
      <m:oMathPara>
        <m:oMath>
          <m:sSub>
            <m:sSubPr>
              <m:ctrlPr>
                <w:rPr>
                  <w:rFonts w:hint="default" w:ascii="Cambria Math" w:hAnsi="Cambria Math" w:eastAsia="宋体" w:cs="Times New Roman"/>
                  <w:i/>
                  <w:color w:val="auto"/>
                  <w:sz w:val="24"/>
                </w:rPr>
              </m:ctrlPr>
            </m:sSubPr>
            <m:e>
              <m:r>
                <w:rPr>
                  <w:rFonts w:hint="default" w:ascii="Cambria Math" w:hAnsi="Cambria Math" w:eastAsia="宋体" w:cs="Times New Roman"/>
                  <w:color w:val="auto"/>
                  <w:sz w:val="24"/>
                </w:rPr>
                <m:t>E</m:t>
              </m:r>
              <m:ctrlPr>
                <w:rPr>
                  <w:rFonts w:hint="default" w:ascii="Cambria Math" w:hAnsi="Cambria Math" w:eastAsia="宋体" w:cs="Times New Roman"/>
                  <w:i/>
                  <w:color w:val="auto"/>
                  <w:sz w:val="24"/>
                </w:rPr>
              </m:ctrlPr>
            </m:e>
            <m:sub>
              <m:r>
                <w:rPr>
                  <w:rFonts w:hint="default" w:ascii="Cambria Math" w:hAnsi="Cambria Math" w:eastAsia="宋体" w:cs="Times New Roman"/>
                  <w:color w:val="auto"/>
                  <w:sz w:val="24"/>
                </w:rPr>
                <m:t>CH4_油输逃逸</m:t>
              </m:r>
              <m:ctrlPr>
                <w:rPr>
                  <w:rFonts w:hint="default" w:ascii="Cambria Math" w:hAnsi="Cambria Math" w:eastAsia="宋体" w:cs="Times New Roman"/>
                  <w:i/>
                  <w:color w:val="auto"/>
                  <w:sz w:val="24"/>
                </w:rPr>
              </m:ctrlPr>
            </m:sub>
          </m:sSub>
          <m:r>
            <w:rPr>
              <w:rFonts w:hint="default" w:ascii="Cambria Math" w:hAnsi="Cambria Math" w:eastAsia="宋体" w:cs="Times New Roman"/>
              <w:color w:val="auto"/>
              <w:sz w:val="24"/>
            </w:rPr>
            <m:t>=</m:t>
          </m:r>
          <m:sSub>
            <m:sSubPr>
              <m:ctrlPr>
                <w:rPr>
                  <w:rFonts w:hint="default" w:ascii="Cambria Math" w:hAnsi="Cambria Math" w:eastAsia="宋体" w:cs="Times New Roman"/>
                  <w:i/>
                  <w:color w:val="auto"/>
                  <w:sz w:val="24"/>
                </w:rPr>
              </m:ctrlPr>
            </m:sSubPr>
            <m:e>
              <m:r>
                <w:rPr>
                  <w:rFonts w:hint="default" w:ascii="Cambria Math" w:hAnsi="Cambria Math" w:eastAsia="宋体" w:cs="Times New Roman"/>
                  <w:color w:val="auto"/>
                  <w:sz w:val="24"/>
                </w:rPr>
                <m:t>Q</m:t>
              </m:r>
              <m:ctrlPr>
                <w:rPr>
                  <w:rFonts w:hint="default" w:ascii="Cambria Math" w:hAnsi="Cambria Math" w:eastAsia="宋体" w:cs="Times New Roman"/>
                  <w:i/>
                  <w:color w:val="auto"/>
                  <w:sz w:val="24"/>
                </w:rPr>
              </m:ctrlPr>
            </m:e>
            <m:sub>
              <m:r>
                <w:rPr>
                  <w:rFonts w:hint="default" w:ascii="Cambria Math" w:hAnsi="Cambria Math" w:eastAsia="宋体" w:cs="Times New Roman"/>
                  <w:color w:val="auto"/>
                  <w:sz w:val="24"/>
                </w:rPr>
                <m:t>oil</m:t>
              </m:r>
              <m:ctrlPr>
                <w:rPr>
                  <w:rFonts w:hint="default" w:ascii="Cambria Math" w:hAnsi="Cambria Math" w:eastAsia="宋体" w:cs="Times New Roman"/>
                  <w:i/>
                  <w:color w:val="auto"/>
                  <w:sz w:val="24"/>
                </w:rPr>
              </m:ctrlPr>
            </m:sub>
          </m:sSub>
          <m:r>
            <w:rPr>
              <w:rFonts w:hint="default" w:ascii="Cambria Math" w:hAnsi="Cambria Math" w:eastAsia="宋体" w:cs="Times New Roman"/>
              <w:color w:val="auto"/>
              <w:sz w:val="24"/>
            </w:rPr>
            <m:t>×</m:t>
          </m:r>
          <m:sSub>
            <m:sSubPr>
              <m:ctrlPr>
                <w:rPr>
                  <w:rFonts w:hint="default" w:ascii="Cambria Math" w:hAnsi="Cambria Math" w:eastAsia="宋体" w:cs="Times New Roman"/>
                  <w:i/>
                  <w:color w:val="auto"/>
                  <w:sz w:val="24"/>
                </w:rPr>
              </m:ctrlPr>
            </m:sSubPr>
            <m:e>
              <m:r>
                <w:rPr>
                  <w:rFonts w:hint="default" w:ascii="Cambria Math" w:hAnsi="Cambria Math" w:eastAsia="宋体" w:cs="Times New Roman"/>
                  <w:color w:val="auto"/>
                  <w:sz w:val="24"/>
                </w:rPr>
                <m:t>EF</m:t>
              </m:r>
              <m:ctrlPr>
                <w:rPr>
                  <w:rFonts w:hint="default" w:ascii="Cambria Math" w:hAnsi="Cambria Math" w:eastAsia="宋体" w:cs="Times New Roman"/>
                  <w:i/>
                  <w:color w:val="auto"/>
                  <w:sz w:val="24"/>
                </w:rPr>
              </m:ctrlPr>
            </m:e>
            <m:sub>
              <m:r>
                <w:rPr>
                  <w:rFonts w:hint="default" w:ascii="Cambria Math" w:hAnsi="Cambria Math" w:eastAsia="宋体" w:cs="Times New Roman"/>
                  <w:color w:val="auto"/>
                  <w:sz w:val="24"/>
                </w:rPr>
                <m:t>CH4_油输逃逸</m:t>
              </m:r>
              <m:ctrlPr>
                <w:rPr>
                  <w:rFonts w:hint="default" w:ascii="Cambria Math" w:hAnsi="Cambria Math" w:eastAsia="宋体" w:cs="Times New Roman"/>
                  <w:i/>
                  <w:color w:val="auto"/>
                  <w:sz w:val="24"/>
                </w:rPr>
              </m:ctrlPr>
            </m:sub>
          </m:sSub>
        </m:oMath>
      </m:oMathPara>
    </w:p>
    <w:p>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式中：</w:t>
      </w:r>
    </w:p>
    <w:p>
      <w:pPr>
        <w:widowControl/>
        <w:spacing w:line="360" w:lineRule="auto"/>
        <w:ind w:firstLine="960" w:firstLineChars="400"/>
        <w:jc w:val="left"/>
        <w:rPr>
          <w:rFonts w:hint="default" w:ascii="Times New Roman" w:hAnsi="Times New Roman" w:eastAsia="宋体" w:cs="Times New Roman"/>
          <w:color w:val="auto"/>
          <w:kern w:val="0"/>
          <w:sz w:val="24"/>
        </w:rPr>
      </w:pPr>
      <w:r>
        <w:rPr>
          <w:rFonts w:hint="default" w:ascii="Times New Roman" w:hAnsi="Times New Roman" w:eastAsia="宋体" w:cs="Times New Roman"/>
          <w:i/>
          <w:iCs/>
          <w:color w:val="auto"/>
          <w:kern w:val="0"/>
          <w:sz w:val="24"/>
        </w:rPr>
        <w:t>E</w:t>
      </w:r>
      <w:r>
        <w:rPr>
          <w:rFonts w:hint="default" w:ascii="Times New Roman" w:hAnsi="Times New Roman" w:eastAsia="宋体" w:cs="Times New Roman"/>
          <w:i/>
          <w:iCs/>
          <w:color w:val="auto"/>
          <w:kern w:val="0"/>
          <w:sz w:val="24"/>
          <w:vertAlign w:val="subscript"/>
        </w:rPr>
        <w:t>CH4</w:t>
      </w:r>
      <w:r>
        <w:rPr>
          <w:rFonts w:hint="default" w:ascii="Times New Roman" w:hAnsi="Times New Roman" w:eastAsia="宋体" w:cs="Times New Roman"/>
          <w:color w:val="auto"/>
          <w:kern w:val="0"/>
          <w:sz w:val="24"/>
          <w:vertAlign w:val="subscript"/>
        </w:rPr>
        <w:t>_油输逃逸</w:t>
      </w:r>
      <w:r>
        <w:rPr>
          <w:rFonts w:hint="default" w:ascii="Times New Roman" w:hAnsi="Times New Roman" w:eastAsia="宋体" w:cs="Times New Roman"/>
          <w:color w:val="auto"/>
          <w:kern w:val="0"/>
          <w:sz w:val="24"/>
        </w:rPr>
        <w:t>为原油输送过程中产生的CH</w:t>
      </w:r>
      <w:r>
        <w:rPr>
          <w:rFonts w:hint="default" w:ascii="Times New Roman" w:hAnsi="Times New Roman" w:eastAsia="宋体" w:cs="Times New Roman"/>
          <w:color w:val="auto"/>
          <w:kern w:val="0"/>
          <w:sz w:val="24"/>
          <w:vertAlign w:val="subscript"/>
        </w:rPr>
        <w:t>4</w:t>
      </w:r>
      <w:r>
        <w:rPr>
          <w:rFonts w:hint="default" w:ascii="Times New Roman" w:hAnsi="Times New Roman" w:eastAsia="宋体" w:cs="Times New Roman"/>
          <w:color w:val="auto"/>
          <w:kern w:val="0"/>
          <w:sz w:val="24"/>
        </w:rPr>
        <w:t>逃逸排放，单位为吨CH</w:t>
      </w:r>
      <w:r>
        <w:rPr>
          <w:rFonts w:hint="default" w:ascii="Times New Roman" w:hAnsi="Times New Roman" w:eastAsia="宋体" w:cs="Times New Roman"/>
          <w:color w:val="auto"/>
          <w:kern w:val="0"/>
          <w:sz w:val="24"/>
          <w:vertAlign w:val="subscript"/>
        </w:rPr>
        <w:t>4</w:t>
      </w:r>
      <w:r>
        <w:rPr>
          <w:rFonts w:hint="default" w:ascii="Times New Roman" w:hAnsi="Times New Roman" w:eastAsia="宋体" w:cs="Times New Roman"/>
          <w:color w:val="auto"/>
          <w:kern w:val="0"/>
          <w:sz w:val="24"/>
        </w:rPr>
        <w:t>；</w:t>
      </w:r>
    </w:p>
    <w:p>
      <w:pPr>
        <w:widowControl/>
        <w:spacing w:line="360" w:lineRule="auto"/>
        <w:ind w:firstLine="960" w:firstLineChars="400"/>
        <w:jc w:val="left"/>
        <w:rPr>
          <w:rFonts w:hint="default" w:ascii="Times New Roman" w:hAnsi="Times New Roman" w:eastAsia="宋体" w:cs="Times New Roman"/>
          <w:color w:val="auto"/>
          <w:kern w:val="0"/>
          <w:sz w:val="24"/>
        </w:rPr>
      </w:pPr>
      <w:r>
        <w:rPr>
          <w:rFonts w:hint="default" w:ascii="Times New Roman" w:hAnsi="Times New Roman" w:eastAsia="宋体" w:cs="Times New Roman"/>
          <w:i/>
          <w:iCs/>
          <w:color w:val="auto"/>
          <w:kern w:val="0"/>
          <w:sz w:val="24"/>
        </w:rPr>
        <w:t>Q</w:t>
      </w:r>
      <w:r>
        <w:rPr>
          <w:rFonts w:hint="default" w:ascii="Times New Roman" w:hAnsi="Times New Roman" w:eastAsia="宋体" w:cs="Times New Roman"/>
          <w:color w:val="auto"/>
          <w:kern w:val="0"/>
          <w:sz w:val="24"/>
          <w:vertAlign w:val="subscript"/>
        </w:rPr>
        <w:t>oil</w:t>
      </w:r>
      <w:r>
        <w:rPr>
          <w:rFonts w:hint="default" w:ascii="Times New Roman" w:hAnsi="Times New Roman" w:eastAsia="宋体" w:cs="Times New Roman"/>
          <w:color w:val="auto"/>
          <w:kern w:val="0"/>
          <w:sz w:val="24"/>
        </w:rPr>
        <w:t>为原油输送量，单位为亿吨；</w:t>
      </w:r>
    </w:p>
    <w:p>
      <w:pPr>
        <w:widowControl/>
        <w:spacing w:line="360" w:lineRule="auto"/>
        <w:ind w:firstLine="960" w:firstLineChars="4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EF</w:t>
      </w:r>
      <w:r>
        <w:rPr>
          <w:rFonts w:hint="default" w:ascii="Times New Roman" w:hAnsi="Times New Roman" w:eastAsia="宋体" w:cs="Times New Roman"/>
          <w:i/>
          <w:iCs/>
          <w:color w:val="auto"/>
          <w:kern w:val="0"/>
          <w:sz w:val="24"/>
          <w:vertAlign w:val="subscript"/>
        </w:rPr>
        <w:t>CH4</w:t>
      </w:r>
      <w:r>
        <w:rPr>
          <w:rFonts w:hint="default" w:ascii="Times New Roman" w:hAnsi="Times New Roman" w:eastAsia="宋体" w:cs="Times New Roman"/>
          <w:color w:val="auto"/>
          <w:kern w:val="0"/>
          <w:sz w:val="24"/>
          <w:vertAlign w:val="subscript"/>
        </w:rPr>
        <w:t>_油输逃逸</w:t>
      </w:r>
      <w:r>
        <w:rPr>
          <w:rFonts w:hint="default" w:ascii="Times New Roman" w:hAnsi="Times New Roman" w:eastAsia="宋体" w:cs="Times New Roman"/>
          <w:color w:val="auto"/>
          <w:kern w:val="0"/>
          <w:sz w:val="24"/>
        </w:rPr>
        <w:t>为原油输送的CH</w:t>
      </w:r>
      <w:r>
        <w:rPr>
          <w:rFonts w:hint="default" w:ascii="Times New Roman" w:hAnsi="Times New Roman" w:eastAsia="宋体" w:cs="Times New Roman"/>
          <w:color w:val="auto"/>
          <w:kern w:val="0"/>
          <w:sz w:val="24"/>
          <w:vertAlign w:val="subscript"/>
        </w:rPr>
        <w:t>4</w:t>
      </w:r>
      <w:r>
        <w:rPr>
          <w:rFonts w:hint="default" w:ascii="Times New Roman" w:hAnsi="Times New Roman" w:eastAsia="宋体" w:cs="Times New Roman"/>
          <w:color w:val="auto"/>
          <w:kern w:val="0"/>
          <w:sz w:val="24"/>
        </w:rPr>
        <w:t>逃逸排放因子，单位为吨CH</w:t>
      </w:r>
      <w:r>
        <w:rPr>
          <w:rFonts w:hint="default" w:ascii="Times New Roman" w:hAnsi="Times New Roman" w:eastAsia="宋体" w:cs="Times New Roman"/>
          <w:color w:val="auto"/>
          <w:kern w:val="0"/>
          <w:sz w:val="24"/>
          <w:vertAlign w:val="subscript"/>
        </w:rPr>
        <w:t>4</w:t>
      </w:r>
      <w:r>
        <w:rPr>
          <w:rFonts w:hint="default" w:ascii="Times New Roman" w:hAnsi="Times New Roman" w:eastAsia="宋体" w:cs="Times New Roman"/>
          <w:color w:val="auto"/>
          <w:kern w:val="0"/>
          <w:sz w:val="24"/>
        </w:rPr>
        <w:t>/亿吨原油。</w:t>
      </w:r>
    </w:p>
    <w:p>
      <w:pPr>
        <w:widowControl/>
        <w:spacing w:line="360" w:lineRule="auto"/>
        <w:ind w:firstLine="480" w:firstLineChars="200"/>
        <w:jc w:val="left"/>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 w:val="24"/>
        </w:rPr>
        <w:t>根据《中国石油天然气生产企业温室气体排放核算方法与报告指南（试行）》，参考</w:t>
      </w:r>
      <w:r>
        <w:rPr>
          <w:rFonts w:hint="default" w:ascii="Times New Roman" w:hAnsi="Times New Roman" w:eastAsia="宋体" w:cs="Times New Roman"/>
          <w:color w:val="auto"/>
          <w:kern w:val="0"/>
          <w:sz w:val="24"/>
        </w:rPr>
        <w:t>附录二表2.2根据相应的装置类型选用缺省值。</w:t>
      </w:r>
    </w:p>
    <w:p>
      <w:pPr>
        <w:pStyle w:val="66"/>
        <w:spacing w:line="360" w:lineRule="auto"/>
        <w:jc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表3.7-22  油气系统不同设施CH</w:t>
      </w:r>
      <w:r>
        <w:rPr>
          <w:rFonts w:hint="default" w:ascii="Times New Roman" w:hAnsi="Times New Roman" w:cs="Times New Roman"/>
          <w:b/>
          <w:bCs/>
          <w:color w:val="auto"/>
          <w:sz w:val="21"/>
          <w:szCs w:val="21"/>
          <w:vertAlign w:val="subscript"/>
        </w:rPr>
        <w:t>4</w:t>
      </w:r>
      <w:r>
        <w:rPr>
          <w:rFonts w:hint="default" w:ascii="Times New Roman" w:hAnsi="Times New Roman" w:cs="Times New Roman"/>
          <w:b/>
          <w:bCs/>
          <w:color w:val="auto"/>
          <w:sz w:val="21"/>
          <w:szCs w:val="21"/>
        </w:rPr>
        <w:t>排放因子</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restart"/>
            <w:vAlign w:val="center"/>
          </w:tcPr>
          <w:p>
            <w:pPr>
              <w:pStyle w:val="66"/>
              <w:jc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油气系统</w:t>
            </w:r>
          </w:p>
        </w:tc>
        <w:tc>
          <w:tcPr>
            <w:tcW w:w="5682" w:type="dxa"/>
            <w:gridSpan w:val="2"/>
            <w:vAlign w:val="center"/>
          </w:tcPr>
          <w:p>
            <w:pPr>
              <w:pStyle w:val="66"/>
              <w:jc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设施/设备CH</w:t>
            </w:r>
            <w:r>
              <w:rPr>
                <w:rFonts w:hint="default" w:ascii="Times New Roman" w:hAnsi="Times New Roman" w:cs="Times New Roman"/>
                <w:b/>
                <w:bCs/>
                <w:color w:val="auto"/>
                <w:sz w:val="21"/>
                <w:szCs w:val="21"/>
                <w:vertAlign w:val="subscript"/>
              </w:rPr>
              <w:t>4</w:t>
            </w:r>
            <w:r>
              <w:rPr>
                <w:rFonts w:hint="default" w:ascii="Times New Roman" w:hAnsi="Times New Roman" w:cs="Times New Roman"/>
                <w:b/>
                <w:bCs/>
                <w:color w:val="auto"/>
                <w:sz w:val="21"/>
                <w:szCs w:val="21"/>
              </w:rPr>
              <w:t>排放因子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vAlign w:val="center"/>
          </w:tcPr>
          <w:p>
            <w:pPr>
              <w:pStyle w:val="66"/>
              <w:jc w:val="center"/>
              <w:outlineLvl w:val="9"/>
              <w:rPr>
                <w:rFonts w:hint="default" w:ascii="Times New Roman" w:hAnsi="Times New Roman" w:cs="Times New Roman"/>
                <w:b/>
                <w:bCs/>
                <w:color w:val="auto"/>
                <w:sz w:val="21"/>
                <w:szCs w:val="21"/>
              </w:rPr>
            </w:pPr>
          </w:p>
        </w:tc>
        <w:tc>
          <w:tcPr>
            <w:tcW w:w="2841" w:type="dxa"/>
            <w:vAlign w:val="center"/>
          </w:tcPr>
          <w:p>
            <w:pPr>
              <w:pStyle w:val="66"/>
              <w:jc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设施逃逸</w:t>
            </w:r>
          </w:p>
        </w:tc>
        <w:tc>
          <w:tcPr>
            <w:tcW w:w="2841" w:type="dxa"/>
            <w:vAlign w:val="center"/>
          </w:tcPr>
          <w:p>
            <w:pPr>
              <w:pStyle w:val="66"/>
              <w:jc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a.）常规石油开采</w:t>
            </w:r>
          </w:p>
        </w:tc>
        <w:tc>
          <w:tcPr>
            <w:tcW w:w="2841" w:type="dxa"/>
            <w:vAlign w:val="center"/>
          </w:tcPr>
          <w:p>
            <w:pPr>
              <w:pStyle w:val="66"/>
              <w:jc w:val="center"/>
              <w:outlineLvl w:val="9"/>
              <w:rPr>
                <w:rFonts w:hint="default" w:ascii="Times New Roman" w:hAnsi="Times New Roman" w:cs="Times New Roman"/>
                <w:color w:val="auto"/>
                <w:sz w:val="21"/>
                <w:szCs w:val="21"/>
              </w:rPr>
            </w:pPr>
          </w:p>
        </w:tc>
        <w:tc>
          <w:tcPr>
            <w:tcW w:w="2841" w:type="dxa"/>
            <w:vAlign w:val="center"/>
          </w:tcPr>
          <w:p>
            <w:pPr>
              <w:pStyle w:val="66"/>
              <w:jc w:val="center"/>
              <w:outlineLvl w:val="9"/>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井口装置</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0.23（吨/年·个）</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单井储油装置</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0.38（吨/年·个）</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0.22（吨/年·个）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接转站</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0.18（吨/年·个）</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0.11（吨/年·个）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联合站</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1.40（吨/年·个）</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0.45（吨/年·个）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b.）原油储运</w:t>
            </w:r>
          </w:p>
        </w:tc>
        <w:tc>
          <w:tcPr>
            <w:tcW w:w="2841" w:type="dxa"/>
            <w:vAlign w:val="center"/>
          </w:tcPr>
          <w:p>
            <w:pPr>
              <w:pStyle w:val="66"/>
              <w:jc w:val="center"/>
              <w:outlineLvl w:val="9"/>
              <w:rPr>
                <w:rFonts w:hint="default" w:ascii="Times New Roman" w:hAnsi="Times New Roman" w:cs="Times New Roman"/>
                <w:color w:val="auto"/>
                <w:sz w:val="21"/>
                <w:szCs w:val="21"/>
              </w:rPr>
            </w:pPr>
          </w:p>
        </w:tc>
        <w:tc>
          <w:tcPr>
            <w:tcW w:w="2841" w:type="dxa"/>
            <w:vAlign w:val="center"/>
          </w:tcPr>
          <w:p>
            <w:pPr>
              <w:pStyle w:val="66"/>
              <w:jc w:val="center"/>
              <w:outlineLvl w:val="9"/>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原油输送管道</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753.29（吨/亿吨）</w:t>
            </w:r>
          </w:p>
        </w:tc>
        <w:tc>
          <w:tcPr>
            <w:tcW w:w="2841" w:type="dxa"/>
            <w:vAlign w:val="center"/>
          </w:tcPr>
          <w:p>
            <w:pPr>
              <w:pStyle w:val="66"/>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根据计算公式和表3.7-22，可计算出本项目石油开采过程中CH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的排放量为</w:t>
      </w:r>
      <w:r>
        <w:rPr>
          <w:rFonts w:hint="eastAsia" w:cs="Times New Roman"/>
          <w:color w:val="auto"/>
          <w:sz w:val="24"/>
          <w:szCs w:val="24"/>
          <w:lang w:eastAsia="zh-CN"/>
        </w:rPr>
        <w:t>4.4</w:t>
      </w:r>
      <w:r>
        <w:rPr>
          <w:rFonts w:hint="default" w:ascii="Times New Roman" w:hAnsi="Times New Roman" w:cs="Times New Roman"/>
          <w:color w:val="auto"/>
          <w:sz w:val="24"/>
          <w:szCs w:val="24"/>
        </w:rPr>
        <w:t>吨。具体见表3.7-23。</w:t>
      </w:r>
    </w:p>
    <w:p>
      <w:pPr>
        <w:pStyle w:val="66"/>
        <w:spacing w:line="360" w:lineRule="auto"/>
        <w:jc w:val="center"/>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表3.7-23  石油开采各工艺CH</w:t>
      </w:r>
      <w:r>
        <w:rPr>
          <w:rFonts w:hint="default" w:ascii="Times New Roman" w:hAnsi="Times New Roman" w:cs="Times New Roman"/>
          <w:b/>
          <w:bCs/>
          <w:color w:val="auto"/>
          <w:sz w:val="21"/>
          <w:szCs w:val="21"/>
          <w:vertAlign w:val="subscript"/>
        </w:rPr>
        <w:t>4</w:t>
      </w:r>
      <w:r>
        <w:rPr>
          <w:rFonts w:hint="default" w:ascii="Times New Roman" w:hAnsi="Times New Roman" w:cs="Times New Roman"/>
          <w:b/>
          <w:bCs/>
          <w:color w:val="auto"/>
          <w:sz w:val="21"/>
          <w:szCs w:val="21"/>
        </w:rPr>
        <w:t>排放量表</w:t>
      </w:r>
    </w:p>
    <w:tbl>
      <w:tblPr>
        <w:tblStyle w:val="32"/>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878"/>
        <w:gridCol w:w="1365"/>
        <w:gridCol w:w="1389"/>
        <w:gridCol w:w="1106"/>
        <w:gridCol w:w="968"/>
        <w:gridCol w:w="968"/>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Align w:val="center"/>
          </w:tcPr>
          <w:p>
            <w:pPr>
              <w:pStyle w:val="66"/>
              <w:jc w:val="center"/>
              <w:outlineLvl w:val="9"/>
              <w:rPr>
                <w:rFonts w:cs="Times New Roman" w:eastAsiaTheme="minorEastAsia"/>
                <w:b/>
                <w:bCs/>
                <w:color w:val="auto"/>
                <w:sz w:val="21"/>
                <w:szCs w:val="21"/>
              </w:rPr>
            </w:pPr>
            <w:r>
              <w:rPr>
                <w:rFonts w:hint="eastAsia" w:cs="Times New Roman" w:eastAsiaTheme="minorEastAsia"/>
                <w:b/>
                <w:bCs/>
                <w:color w:val="auto"/>
                <w:sz w:val="21"/>
                <w:szCs w:val="21"/>
              </w:rPr>
              <w:t>排放源</w:t>
            </w:r>
          </w:p>
        </w:tc>
        <w:tc>
          <w:tcPr>
            <w:tcW w:w="878" w:type="dxa"/>
            <w:vAlign w:val="center"/>
          </w:tcPr>
          <w:p>
            <w:pPr>
              <w:pStyle w:val="66"/>
              <w:jc w:val="center"/>
              <w:outlineLvl w:val="9"/>
              <w:rPr>
                <w:rFonts w:cs="Times New Roman" w:eastAsiaTheme="minorEastAsia"/>
                <w:b/>
                <w:bCs/>
                <w:color w:val="auto"/>
                <w:sz w:val="21"/>
                <w:szCs w:val="21"/>
              </w:rPr>
            </w:pPr>
            <w:r>
              <w:rPr>
                <w:rFonts w:hint="eastAsia" w:cs="Times New Roman" w:eastAsiaTheme="minorEastAsia"/>
                <w:b/>
                <w:bCs/>
                <w:color w:val="auto"/>
                <w:sz w:val="21"/>
                <w:szCs w:val="21"/>
              </w:rPr>
              <w:t>指标</w:t>
            </w:r>
          </w:p>
        </w:tc>
        <w:tc>
          <w:tcPr>
            <w:tcW w:w="1365" w:type="dxa"/>
            <w:vAlign w:val="center"/>
          </w:tcPr>
          <w:p>
            <w:pPr>
              <w:pStyle w:val="66"/>
              <w:jc w:val="center"/>
              <w:outlineLvl w:val="9"/>
              <w:rPr>
                <w:rFonts w:cs="Times New Roman" w:eastAsiaTheme="minorEastAsia"/>
                <w:b/>
                <w:bCs/>
                <w:color w:val="auto"/>
                <w:sz w:val="21"/>
                <w:szCs w:val="21"/>
              </w:rPr>
            </w:pPr>
            <w:r>
              <w:rPr>
                <w:rFonts w:cs="Times New Roman" w:eastAsiaTheme="minorEastAsia"/>
                <w:b/>
                <w:bCs/>
                <w:color w:val="auto"/>
                <w:sz w:val="21"/>
                <w:szCs w:val="21"/>
              </w:rPr>
              <w:t>单位</w:t>
            </w:r>
          </w:p>
        </w:tc>
        <w:tc>
          <w:tcPr>
            <w:tcW w:w="1389" w:type="dxa"/>
            <w:vAlign w:val="center"/>
          </w:tcPr>
          <w:p>
            <w:pPr>
              <w:pStyle w:val="66"/>
              <w:jc w:val="center"/>
              <w:outlineLvl w:val="9"/>
              <w:rPr>
                <w:rFonts w:cs="Times New Roman" w:eastAsiaTheme="minorEastAsia"/>
                <w:b/>
                <w:bCs/>
                <w:color w:val="auto"/>
                <w:sz w:val="21"/>
                <w:szCs w:val="21"/>
              </w:rPr>
            </w:pPr>
            <w:r>
              <w:rPr>
                <w:rFonts w:cs="Times New Roman" w:eastAsiaTheme="minorEastAsia"/>
                <w:b/>
                <w:bCs/>
                <w:color w:val="auto"/>
                <w:sz w:val="21"/>
                <w:szCs w:val="21"/>
              </w:rPr>
              <w:t>设施/设备</w:t>
            </w:r>
          </w:p>
        </w:tc>
        <w:tc>
          <w:tcPr>
            <w:tcW w:w="1106" w:type="dxa"/>
            <w:vAlign w:val="center"/>
          </w:tcPr>
          <w:p>
            <w:pPr>
              <w:pStyle w:val="66"/>
              <w:jc w:val="center"/>
              <w:outlineLvl w:val="9"/>
              <w:rPr>
                <w:rFonts w:cs="Times New Roman" w:eastAsiaTheme="minorEastAsia"/>
                <w:b/>
                <w:bCs/>
                <w:color w:val="auto"/>
                <w:sz w:val="21"/>
                <w:szCs w:val="21"/>
              </w:rPr>
            </w:pPr>
            <w:r>
              <w:rPr>
                <w:rFonts w:cs="Times New Roman" w:eastAsiaTheme="minorEastAsia"/>
                <w:b/>
                <w:bCs/>
                <w:color w:val="auto"/>
                <w:sz w:val="21"/>
                <w:szCs w:val="21"/>
              </w:rPr>
              <w:t>数量</w:t>
            </w:r>
          </w:p>
        </w:tc>
        <w:tc>
          <w:tcPr>
            <w:tcW w:w="968" w:type="dxa"/>
            <w:vAlign w:val="center"/>
          </w:tcPr>
          <w:p>
            <w:pPr>
              <w:pStyle w:val="66"/>
              <w:jc w:val="center"/>
              <w:outlineLvl w:val="9"/>
              <w:rPr>
                <w:rFonts w:cs="Times New Roman" w:eastAsiaTheme="minorEastAsia"/>
                <w:b/>
                <w:bCs/>
                <w:color w:val="auto"/>
                <w:sz w:val="21"/>
                <w:szCs w:val="21"/>
              </w:rPr>
            </w:pPr>
            <w:r>
              <w:rPr>
                <w:rFonts w:cs="Times New Roman" w:eastAsiaTheme="minorEastAsia"/>
                <w:b/>
                <w:bCs/>
                <w:i/>
                <w:iCs/>
                <w:color w:val="auto"/>
                <w:sz w:val="21"/>
                <w:szCs w:val="21"/>
              </w:rPr>
              <w:t>E</w:t>
            </w:r>
            <w:r>
              <w:rPr>
                <w:rFonts w:cs="Times New Roman" w:eastAsiaTheme="minorEastAsia"/>
                <w:b/>
                <w:bCs/>
                <w:i/>
                <w:iCs/>
                <w:color w:val="auto"/>
                <w:sz w:val="21"/>
                <w:szCs w:val="21"/>
                <w:vertAlign w:val="subscript"/>
              </w:rPr>
              <w:t>CH4</w:t>
            </w:r>
            <w:r>
              <w:rPr>
                <w:rFonts w:cs="Times New Roman" w:eastAsiaTheme="minorEastAsia"/>
                <w:b/>
                <w:bCs/>
                <w:color w:val="auto"/>
                <w:sz w:val="21"/>
                <w:szCs w:val="21"/>
                <w:vertAlign w:val="subscript"/>
              </w:rPr>
              <w:t>_开采放空</w:t>
            </w:r>
          </w:p>
        </w:tc>
        <w:tc>
          <w:tcPr>
            <w:tcW w:w="968" w:type="dxa"/>
            <w:vAlign w:val="center"/>
          </w:tcPr>
          <w:p>
            <w:pPr>
              <w:pStyle w:val="66"/>
              <w:jc w:val="center"/>
              <w:outlineLvl w:val="9"/>
              <w:rPr>
                <w:rFonts w:cs="Times New Roman" w:eastAsiaTheme="minorEastAsia"/>
                <w:b/>
                <w:bCs/>
                <w:color w:val="auto"/>
                <w:sz w:val="21"/>
                <w:szCs w:val="21"/>
              </w:rPr>
            </w:pPr>
            <w:r>
              <w:rPr>
                <w:rFonts w:cs="Times New Roman" w:eastAsiaTheme="minorEastAsia"/>
                <w:b/>
                <w:bCs/>
                <w:i/>
                <w:iCs/>
                <w:color w:val="auto"/>
                <w:sz w:val="21"/>
                <w:szCs w:val="21"/>
              </w:rPr>
              <w:t>E</w:t>
            </w:r>
            <w:r>
              <w:rPr>
                <w:rFonts w:cs="Times New Roman" w:eastAsiaTheme="minorEastAsia"/>
                <w:b/>
                <w:bCs/>
                <w:i/>
                <w:iCs/>
                <w:color w:val="auto"/>
                <w:sz w:val="21"/>
                <w:szCs w:val="21"/>
                <w:vertAlign w:val="subscript"/>
              </w:rPr>
              <w:t>CH4</w:t>
            </w:r>
            <w:r>
              <w:rPr>
                <w:rFonts w:cs="Times New Roman" w:eastAsiaTheme="minorEastAsia"/>
                <w:b/>
                <w:bCs/>
                <w:color w:val="auto"/>
                <w:sz w:val="21"/>
                <w:szCs w:val="21"/>
                <w:vertAlign w:val="subscript"/>
              </w:rPr>
              <w:t>_开采逃逸</w:t>
            </w:r>
          </w:p>
        </w:tc>
        <w:tc>
          <w:tcPr>
            <w:tcW w:w="968" w:type="dxa"/>
            <w:vAlign w:val="center"/>
          </w:tcPr>
          <w:p>
            <w:pPr>
              <w:pStyle w:val="66"/>
              <w:jc w:val="center"/>
              <w:outlineLvl w:val="9"/>
              <w:rPr>
                <w:rFonts w:cs="Times New Roman" w:eastAsiaTheme="minorEastAsia"/>
                <w:b/>
                <w:bCs/>
                <w:color w:val="auto"/>
                <w:sz w:val="21"/>
                <w:szCs w:val="21"/>
              </w:rPr>
            </w:pPr>
            <w:r>
              <w:rPr>
                <w:rFonts w:cs="Times New Roman"/>
                <w:b/>
                <w:bCs/>
                <w:i/>
                <w:iCs/>
                <w:color w:val="auto"/>
                <w:kern w:val="0"/>
                <w:sz w:val="21"/>
                <w:szCs w:val="21"/>
                <w:lang w:bidi="ar"/>
              </w:rPr>
              <w:t>E</w:t>
            </w:r>
            <w:r>
              <w:rPr>
                <w:rFonts w:cs="Times New Roman"/>
                <w:b/>
                <w:bCs/>
                <w:i/>
                <w:iCs/>
                <w:color w:val="auto"/>
                <w:kern w:val="0"/>
                <w:sz w:val="21"/>
                <w:szCs w:val="21"/>
                <w:vertAlign w:val="subscript"/>
                <w:lang w:bidi="ar"/>
              </w:rPr>
              <w:t>CH4</w:t>
            </w:r>
            <w:r>
              <w:rPr>
                <w:rFonts w:cs="Times New Roman"/>
                <w:b/>
                <w:bCs/>
                <w:color w:val="auto"/>
                <w:kern w:val="0"/>
                <w:sz w:val="21"/>
                <w:szCs w:val="21"/>
                <w:vertAlign w:val="subscript"/>
                <w:lang w:bidi="ar"/>
              </w:rPr>
              <w:t>_油输逃逸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restart"/>
            <w:vAlign w:val="center"/>
          </w:tcPr>
          <w:p>
            <w:pPr>
              <w:pStyle w:val="66"/>
              <w:jc w:val="center"/>
              <w:outlineLvl w:val="9"/>
              <w:rPr>
                <w:rFonts w:cs="Times New Roman" w:eastAsiaTheme="minorEastAsia"/>
                <w:color w:val="auto"/>
                <w:sz w:val="21"/>
                <w:szCs w:val="21"/>
              </w:rPr>
            </w:pPr>
            <w:r>
              <w:rPr>
                <w:rFonts w:hint="eastAsia" w:cs="Times New Roman" w:eastAsiaTheme="minorEastAsia"/>
                <w:color w:val="auto"/>
                <w:sz w:val="21"/>
                <w:szCs w:val="21"/>
              </w:rPr>
              <w:t>油气开采业务工艺放空</w:t>
            </w:r>
          </w:p>
        </w:tc>
        <w:tc>
          <w:tcPr>
            <w:tcW w:w="878" w:type="dxa"/>
            <w:vAlign w:val="center"/>
          </w:tcPr>
          <w:p>
            <w:pPr>
              <w:pStyle w:val="66"/>
              <w:jc w:val="center"/>
              <w:outlineLvl w:val="9"/>
              <w:rPr>
                <w:rFonts w:cs="Times New Roman" w:eastAsiaTheme="minorEastAsia"/>
                <w:color w:val="auto"/>
                <w:sz w:val="21"/>
                <w:szCs w:val="21"/>
              </w:rPr>
            </w:pPr>
            <w:r>
              <w:rPr>
                <w:rFonts w:cs="Times New Roman" w:eastAsiaTheme="minorEastAsia"/>
                <w:i/>
                <w:iCs/>
                <w:color w:val="auto"/>
                <w:sz w:val="21"/>
                <w:szCs w:val="21"/>
              </w:rPr>
              <w:t>Numj</w:t>
            </w:r>
          </w:p>
        </w:tc>
        <w:tc>
          <w:tcPr>
            <w:tcW w:w="1365"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（个）</w:t>
            </w:r>
          </w:p>
        </w:tc>
        <w:tc>
          <w:tcPr>
            <w:tcW w:w="1389" w:type="dxa"/>
            <w:vAlign w:val="center"/>
          </w:tcPr>
          <w:p>
            <w:pPr>
              <w:pStyle w:val="66"/>
              <w:jc w:val="center"/>
              <w:outlineLvl w:val="9"/>
              <w:rPr>
                <w:rFonts w:hint="eastAsia" w:cs="Times New Roman" w:eastAsiaTheme="minorEastAsia"/>
                <w:color w:val="auto"/>
                <w:sz w:val="21"/>
                <w:szCs w:val="21"/>
                <w:lang w:eastAsia="zh-CN"/>
              </w:rPr>
            </w:pPr>
            <w:r>
              <w:rPr>
                <w:rFonts w:hint="eastAsia" w:cs="Times New Roman" w:eastAsiaTheme="minorEastAsia"/>
                <w:color w:val="auto"/>
                <w:sz w:val="21"/>
                <w:szCs w:val="21"/>
                <w:lang w:val="en-US" w:eastAsia="zh-CN"/>
              </w:rPr>
              <w:t>6</w:t>
            </w:r>
          </w:p>
        </w:tc>
        <w:tc>
          <w:tcPr>
            <w:tcW w:w="1106"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eastAsiaTheme="minorEastAsia"/>
                <w:i/>
                <w:iCs/>
                <w:color w:val="auto"/>
                <w:sz w:val="21"/>
                <w:szCs w:val="21"/>
              </w:rPr>
            </w:pPr>
          </w:p>
        </w:tc>
        <w:tc>
          <w:tcPr>
            <w:tcW w:w="878" w:type="dxa"/>
            <w:vMerge w:val="restart"/>
            <w:vAlign w:val="center"/>
          </w:tcPr>
          <w:p>
            <w:pPr>
              <w:pStyle w:val="66"/>
              <w:jc w:val="center"/>
              <w:outlineLvl w:val="9"/>
              <w:rPr>
                <w:rFonts w:cs="Times New Roman" w:eastAsiaTheme="minorEastAsia"/>
                <w:i/>
                <w:iCs/>
                <w:color w:val="auto"/>
                <w:sz w:val="21"/>
                <w:szCs w:val="21"/>
              </w:rPr>
            </w:pPr>
            <w:r>
              <w:rPr>
                <w:rFonts w:cs="Times New Roman" w:eastAsiaTheme="minorEastAsia"/>
                <w:i/>
                <w:iCs/>
                <w:color w:val="auto"/>
                <w:sz w:val="21"/>
                <w:szCs w:val="21"/>
              </w:rPr>
              <w:t>EFj</w:t>
            </w:r>
          </w:p>
        </w:tc>
        <w:tc>
          <w:tcPr>
            <w:tcW w:w="1365"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CH</w:t>
            </w:r>
            <w:r>
              <w:rPr>
                <w:rFonts w:cs="Times New Roman" w:eastAsiaTheme="minorEastAsia"/>
                <w:color w:val="auto"/>
                <w:sz w:val="21"/>
                <w:szCs w:val="21"/>
                <w:vertAlign w:val="subscript"/>
              </w:rPr>
              <w:t>4</w:t>
            </w:r>
            <w:r>
              <w:rPr>
                <w:rFonts w:cs="Times New Roman" w:eastAsiaTheme="minorEastAsia"/>
                <w:color w:val="auto"/>
                <w:sz w:val="21"/>
                <w:szCs w:val="21"/>
              </w:rPr>
              <w:t>/（年·个）</w:t>
            </w:r>
          </w:p>
        </w:tc>
        <w:tc>
          <w:tcPr>
            <w:tcW w:w="1389"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井口装置</w:t>
            </w:r>
          </w:p>
        </w:tc>
        <w:tc>
          <w:tcPr>
            <w:tcW w:w="1106" w:type="dxa"/>
            <w:vAlign w:val="center"/>
          </w:tcPr>
          <w:p>
            <w:pPr>
              <w:keepNext w:val="0"/>
              <w:keepLines w:val="0"/>
              <w:widowControl/>
              <w:suppressLineNumbers w:val="0"/>
              <w:jc w:val="center"/>
              <w:textAlignment w:val="center"/>
              <w:rPr>
                <w:rFonts w:hint="eastAsia" w:cs="Times New Roman" w:eastAsiaTheme="minorEastAsia"/>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eastAsiaTheme="minorEastAsia"/>
                <w:color w:val="auto"/>
                <w:sz w:val="21"/>
                <w:szCs w:val="21"/>
              </w:rPr>
            </w:pPr>
          </w:p>
        </w:tc>
        <w:tc>
          <w:tcPr>
            <w:tcW w:w="878" w:type="dxa"/>
            <w:vMerge w:val="continue"/>
            <w:vAlign w:val="center"/>
          </w:tcPr>
          <w:p>
            <w:pPr>
              <w:pStyle w:val="66"/>
              <w:jc w:val="center"/>
              <w:outlineLvl w:val="9"/>
              <w:rPr>
                <w:rFonts w:cs="Times New Roman" w:eastAsiaTheme="minorEastAsia"/>
                <w:color w:val="auto"/>
                <w:sz w:val="21"/>
                <w:szCs w:val="21"/>
              </w:rPr>
            </w:pPr>
          </w:p>
        </w:tc>
        <w:tc>
          <w:tcPr>
            <w:tcW w:w="1365"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CH</w:t>
            </w:r>
            <w:r>
              <w:rPr>
                <w:rFonts w:cs="Times New Roman" w:eastAsiaTheme="minorEastAsia"/>
                <w:color w:val="auto"/>
                <w:sz w:val="21"/>
                <w:szCs w:val="21"/>
                <w:vertAlign w:val="subscript"/>
              </w:rPr>
              <w:t>4</w:t>
            </w:r>
            <w:r>
              <w:rPr>
                <w:rFonts w:cs="Times New Roman" w:eastAsiaTheme="minorEastAsia"/>
                <w:color w:val="auto"/>
                <w:sz w:val="21"/>
                <w:szCs w:val="21"/>
              </w:rPr>
              <w:t>/（年·个）</w:t>
            </w:r>
          </w:p>
        </w:tc>
        <w:tc>
          <w:tcPr>
            <w:tcW w:w="1389"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计量站</w:t>
            </w:r>
          </w:p>
        </w:tc>
        <w:tc>
          <w:tcPr>
            <w:tcW w:w="1106"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0.88</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eastAsiaTheme="minorEastAsia"/>
                <w:color w:val="auto"/>
                <w:sz w:val="21"/>
                <w:szCs w:val="21"/>
              </w:rPr>
            </w:pPr>
          </w:p>
        </w:tc>
        <w:tc>
          <w:tcPr>
            <w:tcW w:w="878" w:type="dxa"/>
            <w:vMerge w:val="continue"/>
            <w:vAlign w:val="center"/>
          </w:tcPr>
          <w:p>
            <w:pPr>
              <w:pStyle w:val="66"/>
              <w:jc w:val="center"/>
              <w:outlineLvl w:val="9"/>
              <w:rPr>
                <w:rFonts w:cs="Times New Roman" w:eastAsiaTheme="minorEastAsia"/>
                <w:color w:val="auto"/>
                <w:sz w:val="21"/>
                <w:szCs w:val="21"/>
              </w:rPr>
            </w:pPr>
          </w:p>
        </w:tc>
        <w:tc>
          <w:tcPr>
            <w:tcW w:w="1365"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CH</w:t>
            </w:r>
            <w:r>
              <w:rPr>
                <w:rFonts w:cs="Times New Roman" w:eastAsiaTheme="minorEastAsia"/>
                <w:color w:val="auto"/>
                <w:sz w:val="21"/>
                <w:szCs w:val="21"/>
                <w:vertAlign w:val="subscript"/>
              </w:rPr>
              <w:t>4</w:t>
            </w:r>
            <w:r>
              <w:rPr>
                <w:rFonts w:cs="Times New Roman" w:eastAsiaTheme="minorEastAsia"/>
                <w:color w:val="auto"/>
                <w:sz w:val="21"/>
                <w:szCs w:val="21"/>
              </w:rPr>
              <w:t>/（年·个）</w:t>
            </w:r>
          </w:p>
        </w:tc>
        <w:tc>
          <w:tcPr>
            <w:tcW w:w="1389"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联合站</w:t>
            </w:r>
          </w:p>
        </w:tc>
        <w:tc>
          <w:tcPr>
            <w:tcW w:w="1106"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0.45</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restart"/>
            <w:vAlign w:val="center"/>
          </w:tcPr>
          <w:p>
            <w:pPr>
              <w:pStyle w:val="66"/>
              <w:jc w:val="center"/>
              <w:outlineLvl w:val="9"/>
              <w:rPr>
                <w:rFonts w:cs="Times New Roman" w:eastAsiaTheme="minorEastAsia"/>
                <w:i/>
                <w:iCs/>
                <w:color w:val="auto"/>
                <w:sz w:val="21"/>
                <w:szCs w:val="21"/>
              </w:rPr>
            </w:pPr>
            <w:r>
              <w:rPr>
                <w:rFonts w:cs="Times New Roman"/>
                <w:color w:val="auto"/>
                <w:sz w:val="21"/>
                <w:szCs w:val="21"/>
              </w:rPr>
              <w:t>油气开采业务CH</w:t>
            </w:r>
            <w:r>
              <w:rPr>
                <w:rFonts w:cs="Times New Roman"/>
                <w:color w:val="auto"/>
                <w:sz w:val="21"/>
                <w:szCs w:val="21"/>
                <w:vertAlign w:val="subscript"/>
              </w:rPr>
              <w:t>4</w:t>
            </w:r>
            <w:r>
              <w:rPr>
                <w:rFonts w:cs="Times New Roman"/>
                <w:color w:val="auto"/>
                <w:sz w:val="21"/>
                <w:szCs w:val="21"/>
              </w:rPr>
              <w:t>逃逸</w:t>
            </w:r>
          </w:p>
        </w:tc>
        <w:tc>
          <w:tcPr>
            <w:tcW w:w="878" w:type="dxa"/>
            <w:vAlign w:val="center"/>
          </w:tcPr>
          <w:p>
            <w:pPr>
              <w:pStyle w:val="66"/>
              <w:jc w:val="center"/>
              <w:outlineLvl w:val="9"/>
              <w:rPr>
                <w:rFonts w:cs="Times New Roman" w:eastAsiaTheme="minorEastAsia"/>
                <w:i/>
                <w:iCs/>
                <w:color w:val="auto"/>
                <w:sz w:val="21"/>
                <w:szCs w:val="21"/>
              </w:rPr>
            </w:pPr>
            <w:r>
              <w:rPr>
                <w:rFonts w:cs="Times New Roman" w:eastAsiaTheme="minorEastAsia"/>
                <w:i/>
                <w:iCs/>
                <w:color w:val="auto"/>
                <w:sz w:val="21"/>
                <w:szCs w:val="21"/>
              </w:rPr>
              <w:t>Num</w:t>
            </w:r>
            <w:r>
              <w:rPr>
                <w:rFonts w:cs="Times New Roman" w:eastAsiaTheme="minorEastAsia"/>
                <w:i/>
                <w:iCs/>
                <w:color w:val="auto"/>
                <w:sz w:val="21"/>
                <w:szCs w:val="21"/>
                <w:vertAlign w:val="subscript"/>
              </w:rPr>
              <w:t>oil,j</w:t>
            </w:r>
          </w:p>
        </w:tc>
        <w:tc>
          <w:tcPr>
            <w:tcW w:w="1365" w:type="dxa"/>
            <w:vAlign w:val="center"/>
          </w:tcPr>
          <w:p>
            <w:pPr>
              <w:pStyle w:val="66"/>
              <w:jc w:val="center"/>
              <w:outlineLvl w:val="9"/>
              <w:rPr>
                <w:rFonts w:cs="Times New Roman" w:eastAsiaTheme="minorEastAsia"/>
                <w:i/>
                <w:iCs/>
                <w:color w:val="auto"/>
                <w:sz w:val="21"/>
                <w:szCs w:val="21"/>
              </w:rPr>
            </w:pPr>
            <w:r>
              <w:rPr>
                <w:rFonts w:cs="Times New Roman" w:eastAsiaTheme="minorEastAsia"/>
                <w:color w:val="auto"/>
                <w:sz w:val="21"/>
                <w:szCs w:val="21"/>
              </w:rPr>
              <w:t>（个）</w:t>
            </w:r>
          </w:p>
        </w:tc>
        <w:tc>
          <w:tcPr>
            <w:tcW w:w="1389" w:type="dxa"/>
            <w:vAlign w:val="center"/>
          </w:tcPr>
          <w:p>
            <w:pPr>
              <w:pStyle w:val="66"/>
              <w:jc w:val="center"/>
              <w:outlineLvl w:val="9"/>
              <w:rPr>
                <w:rFonts w:hint="eastAsia" w:cs="Times New Roman" w:eastAsiaTheme="minorEastAsia"/>
                <w:i/>
                <w:iCs/>
                <w:color w:val="auto"/>
                <w:sz w:val="21"/>
                <w:szCs w:val="21"/>
                <w:lang w:eastAsia="zh-CN"/>
              </w:rPr>
            </w:pPr>
            <w:r>
              <w:rPr>
                <w:rFonts w:hint="eastAsia" w:cs="Times New Roman" w:eastAsiaTheme="minorEastAsia"/>
                <w:color w:val="auto"/>
                <w:sz w:val="21"/>
                <w:szCs w:val="21"/>
                <w:lang w:val="en-US" w:eastAsia="zh-CN"/>
              </w:rPr>
              <w:t>6</w:t>
            </w:r>
          </w:p>
        </w:tc>
        <w:tc>
          <w:tcPr>
            <w:tcW w:w="1106" w:type="dxa"/>
            <w:vAlign w:val="center"/>
          </w:tcPr>
          <w:p>
            <w:pPr>
              <w:keepNext w:val="0"/>
              <w:keepLines w:val="0"/>
              <w:widowControl/>
              <w:suppressLineNumbers w:val="0"/>
              <w:jc w:val="center"/>
              <w:textAlignment w:val="center"/>
              <w:rPr>
                <w:rFonts w:cs="Times New Roman" w:eastAsiaTheme="minorEastAsia"/>
                <w:i/>
                <w:iCs/>
                <w:color w:val="auto"/>
                <w:sz w:val="21"/>
                <w:szCs w:val="21"/>
              </w:rPr>
            </w:pPr>
            <w:r>
              <w:rPr>
                <w:rFonts w:hint="default" w:ascii="Times New Roman" w:hAnsi="Times New Roman" w:eastAsia="宋体" w:cs="Times New Roman"/>
                <w:i/>
                <w:iCs/>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eastAsiaTheme="minorEastAsia"/>
                <w:i/>
                <w:iCs/>
                <w:color w:val="auto"/>
                <w:sz w:val="21"/>
                <w:szCs w:val="21"/>
              </w:rPr>
            </w:pPr>
          </w:p>
        </w:tc>
        <w:tc>
          <w:tcPr>
            <w:tcW w:w="878" w:type="dxa"/>
            <w:vMerge w:val="restart"/>
            <w:vAlign w:val="center"/>
          </w:tcPr>
          <w:p>
            <w:pPr>
              <w:pStyle w:val="66"/>
              <w:jc w:val="center"/>
              <w:outlineLvl w:val="9"/>
              <w:rPr>
                <w:rFonts w:cs="Times New Roman" w:eastAsiaTheme="minorEastAsia"/>
                <w:i/>
                <w:iCs/>
                <w:color w:val="auto"/>
                <w:sz w:val="21"/>
                <w:szCs w:val="21"/>
              </w:rPr>
            </w:pPr>
            <w:r>
              <w:rPr>
                <w:rFonts w:cs="Times New Roman" w:eastAsiaTheme="minorEastAsia"/>
                <w:i/>
                <w:iCs/>
                <w:color w:val="auto"/>
                <w:sz w:val="21"/>
                <w:szCs w:val="21"/>
              </w:rPr>
              <w:t>EF</w:t>
            </w:r>
            <w:r>
              <w:rPr>
                <w:rFonts w:cs="Times New Roman" w:eastAsiaTheme="minorEastAsia"/>
                <w:i/>
                <w:iCs/>
                <w:color w:val="auto"/>
                <w:sz w:val="21"/>
                <w:szCs w:val="21"/>
                <w:vertAlign w:val="subscript"/>
              </w:rPr>
              <w:t>oil,j</w:t>
            </w:r>
          </w:p>
        </w:tc>
        <w:tc>
          <w:tcPr>
            <w:tcW w:w="1365" w:type="dxa"/>
            <w:vAlign w:val="center"/>
          </w:tcPr>
          <w:p>
            <w:pPr>
              <w:pStyle w:val="66"/>
              <w:jc w:val="center"/>
              <w:outlineLvl w:val="9"/>
              <w:rPr>
                <w:rFonts w:cs="Times New Roman" w:eastAsiaTheme="minorEastAsia"/>
                <w:i/>
                <w:iCs/>
                <w:color w:val="auto"/>
                <w:sz w:val="21"/>
                <w:szCs w:val="21"/>
              </w:rPr>
            </w:pPr>
            <w:r>
              <w:rPr>
                <w:rFonts w:cs="Times New Roman" w:eastAsiaTheme="minorEastAsia"/>
                <w:color w:val="auto"/>
                <w:sz w:val="21"/>
                <w:szCs w:val="21"/>
              </w:rPr>
              <w:t>CH</w:t>
            </w:r>
            <w:r>
              <w:rPr>
                <w:rFonts w:cs="Times New Roman" w:eastAsiaTheme="minorEastAsia"/>
                <w:color w:val="auto"/>
                <w:sz w:val="21"/>
                <w:szCs w:val="21"/>
                <w:vertAlign w:val="subscript"/>
              </w:rPr>
              <w:t>4</w:t>
            </w:r>
            <w:r>
              <w:rPr>
                <w:rFonts w:cs="Times New Roman" w:eastAsiaTheme="minorEastAsia"/>
                <w:color w:val="auto"/>
                <w:sz w:val="21"/>
                <w:szCs w:val="21"/>
              </w:rPr>
              <w:t>/（年·个）</w:t>
            </w:r>
          </w:p>
        </w:tc>
        <w:tc>
          <w:tcPr>
            <w:tcW w:w="1389"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井口装置</w:t>
            </w:r>
          </w:p>
        </w:tc>
        <w:tc>
          <w:tcPr>
            <w:tcW w:w="1106" w:type="dxa"/>
            <w:vAlign w:val="center"/>
          </w:tcPr>
          <w:p>
            <w:pPr>
              <w:keepNext w:val="0"/>
              <w:keepLines w:val="0"/>
              <w:widowControl/>
              <w:suppressLineNumbers w:val="0"/>
              <w:jc w:val="center"/>
              <w:textAlignment w:val="center"/>
              <w:rPr>
                <w:rFonts w:hint="eastAsia" w:cs="Times New Roman" w:eastAsiaTheme="minorEastAsia"/>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1.38</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eastAsiaTheme="minorEastAsia"/>
                <w:i/>
                <w:iCs/>
                <w:color w:val="auto"/>
                <w:sz w:val="21"/>
                <w:szCs w:val="21"/>
              </w:rPr>
            </w:pPr>
          </w:p>
        </w:tc>
        <w:tc>
          <w:tcPr>
            <w:tcW w:w="878" w:type="dxa"/>
            <w:vMerge w:val="continue"/>
            <w:vAlign w:val="center"/>
          </w:tcPr>
          <w:p>
            <w:pPr>
              <w:pStyle w:val="66"/>
              <w:jc w:val="center"/>
              <w:outlineLvl w:val="9"/>
              <w:rPr>
                <w:rFonts w:cs="Times New Roman" w:eastAsiaTheme="minorEastAsia"/>
                <w:i/>
                <w:iCs/>
                <w:color w:val="auto"/>
                <w:sz w:val="21"/>
                <w:szCs w:val="21"/>
              </w:rPr>
            </w:pPr>
          </w:p>
        </w:tc>
        <w:tc>
          <w:tcPr>
            <w:tcW w:w="1365" w:type="dxa"/>
            <w:vAlign w:val="center"/>
          </w:tcPr>
          <w:p>
            <w:pPr>
              <w:pStyle w:val="66"/>
              <w:jc w:val="center"/>
              <w:outlineLvl w:val="9"/>
              <w:rPr>
                <w:rFonts w:cs="Times New Roman" w:eastAsiaTheme="minorEastAsia"/>
                <w:i/>
                <w:iCs/>
                <w:color w:val="auto"/>
                <w:sz w:val="21"/>
                <w:szCs w:val="21"/>
              </w:rPr>
            </w:pPr>
            <w:r>
              <w:rPr>
                <w:rFonts w:cs="Times New Roman" w:eastAsiaTheme="minorEastAsia"/>
                <w:color w:val="auto"/>
                <w:sz w:val="21"/>
                <w:szCs w:val="21"/>
              </w:rPr>
              <w:t>CH</w:t>
            </w:r>
            <w:r>
              <w:rPr>
                <w:rFonts w:cs="Times New Roman" w:eastAsiaTheme="minorEastAsia"/>
                <w:color w:val="auto"/>
                <w:sz w:val="21"/>
                <w:szCs w:val="21"/>
                <w:vertAlign w:val="subscript"/>
              </w:rPr>
              <w:t>4</w:t>
            </w:r>
            <w:r>
              <w:rPr>
                <w:rFonts w:cs="Times New Roman" w:eastAsiaTheme="minorEastAsia"/>
                <w:color w:val="auto"/>
                <w:sz w:val="21"/>
                <w:szCs w:val="21"/>
              </w:rPr>
              <w:t>/（年·个）</w:t>
            </w:r>
          </w:p>
        </w:tc>
        <w:tc>
          <w:tcPr>
            <w:tcW w:w="1389"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计量站</w:t>
            </w:r>
          </w:p>
        </w:tc>
        <w:tc>
          <w:tcPr>
            <w:tcW w:w="1106"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eastAsiaTheme="minorEastAsia"/>
                <w:i/>
                <w:iCs/>
                <w:color w:val="auto"/>
                <w:sz w:val="21"/>
                <w:szCs w:val="21"/>
              </w:rPr>
            </w:pPr>
          </w:p>
        </w:tc>
        <w:tc>
          <w:tcPr>
            <w:tcW w:w="878" w:type="dxa"/>
            <w:vMerge w:val="continue"/>
            <w:vAlign w:val="center"/>
          </w:tcPr>
          <w:p>
            <w:pPr>
              <w:pStyle w:val="66"/>
              <w:jc w:val="center"/>
              <w:outlineLvl w:val="9"/>
              <w:rPr>
                <w:rFonts w:cs="Times New Roman" w:eastAsiaTheme="minorEastAsia"/>
                <w:i/>
                <w:iCs/>
                <w:color w:val="auto"/>
                <w:sz w:val="21"/>
                <w:szCs w:val="21"/>
              </w:rPr>
            </w:pPr>
          </w:p>
        </w:tc>
        <w:tc>
          <w:tcPr>
            <w:tcW w:w="1365" w:type="dxa"/>
            <w:vAlign w:val="center"/>
          </w:tcPr>
          <w:p>
            <w:pPr>
              <w:pStyle w:val="66"/>
              <w:jc w:val="center"/>
              <w:outlineLvl w:val="9"/>
              <w:rPr>
                <w:rFonts w:cs="Times New Roman" w:eastAsiaTheme="minorEastAsia"/>
                <w:i/>
                <w:iCs/>
                <w:color w:val="auto"/>
                <w:sz w:val="21"/>
                <w:szCs w:val="21"/>
              </w:rPr>
            </w:pPr>
            <w:r>
              <w:rPr>
                <w:rFonts w:cs="Times New Roman" w:eastAsiaTheme="minorEastAsia"/>
                <w:color w:val="auto"/>
                <w:sz w:val="21"/>
                <w:szCs w:val="21"/>
              </w:rPr>
              <w:t>CH</w:t>
            </w:r>
            <w:r>
              <w:rPr>
                <w:rFonts w:cs="Times New Roman" w:eastAsiaTheme="minorEastAsia"/>
                <w:color w:val="auto"/>
                <w:sz w:val="21"/>
                <w:szCs w:val="21"/>
                <w:vertAlign w:val="subscript"/>
              </w:rPr>
              <w:t>4</w:t>
            </w:r>
            <w:r>
              <w:rPr>
                <w:rFonts w:cs="Times New Roman" w:eastAsiaTheme="minorEastAsia"/>
                <w:color w:val="auto"/>
                <w:sz w:val="21"/>
                <w:szCs w:val="21"/>
              </w:rPr>
              <w:t>/（年·个）</w:t>
            </w:r>
          </w:p>
        </w:tc>
        <w:tc>
          <w:tcPr>
            <w:tcW w:w="1389"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联合站</w:t>
            </w:r>
          </w:p>
        </w:tc>
        <w:tc>
          <w:tcPr>
            <w:tcW w:w="1106"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eastAsiaTheme="minorEastAsia"/>
                <w:i/>
                <w:iCs/>
                <w:color w:val="auto"/>
                <w:sz w:val="21"/>
                <w:szCs w:val="21"/>
              </w:rPr>
            </w:pPr>
          </w:p>
        </w:tc>
        <w:tc>
          <w:tcPr>
            <w:tcW w:w="878" w:type="dxa"/>
            <w:vAlign w:val="center"/>
          </w:tcPr>
          <w:p>
            <w:pPr>
              <w:pStyle w:val="66"/>
              <w:jc w:val="center"/>
              <w:outlineLvl w:val="9"/>
              <w:rPr>
                <w:rFonts w:cs="Times New Roman" w:eastAsiaTheme="minorEastAsia"/>
                <w:i/>
                <w:iCs/>
                <w:color w:val="auto"/>
                <w:sz w:val="21"/>
                <w:szCs w:val="21"/>
              </w:rPr>
            </w:pPr>
            <w:r>
              <w:rPr>
                <w:rFonts w:cs="Times New Roman" w:eastAsiaTheme="minorEastAsia"/>
                <w:i/>
                <w:iCs/>
                <w:color w:val="auto"/>
                <w:sz w:val="21"/>
                <w:szCs w:val="21"/>
              </w:rPr>
              <w:t>Num</w:t>
            </w:r>
            <w:r>
              <w:rPr>
                <w:rFonts w:cs="Times New Roman" w:eastAsiaTheme="minorEastAsia"/>
                <w:i/>
                <w:iCs/>
                <w:color w:val="auto"/>
                <w:sz w:val="21"/>
                <w:szCs w:val="21"/>
                <w:vertAlign w:val="subscript"/>
              </w:rPr>
              <w:t>gas,j</w:t>
            </w:r>
          </w:p>
        </w:tc>
        <w:tc>
          <w:tcPr>
            <w:tcW w:w="1365" w:type="dxa"/>
            <w:vAlign w:val="center"/>
          </w:tcPr>
          <w:p>
            <w:pPr>
              <w:pStyle w:val="66"/>
              <w:jc w:val="center"/>
              <w:outlineLvl w:val="9"/>
              <w:rPr>
                <w:rFonts w:cs="Times New Roman" w:eastAsiaTheme="minorEastAsia"/>
                <w:i/>
                <w:iCs/>
                <w:color w:val="auto"/>
                <w:sz w:val="21"/>
                <w:szCs w:val="21"/>
              </w:rPr>
            </w:pPr>
            <w:r>
              <w:rPr>
                <w:rFonts w:cs="Times New Roman" w:eastAsiaTheme="minorEastAsia"/>
                <w:color w:val="auto"/>
                <w:sz w:val="21"/>
                <w:szCs w:val="21"/>
              </w:rPr>
              <w:t>（个）</w:t>
            </w:r>
          </w:p>
        </w:tc>
        <w:tc>
          <w:tcPr>
            <w:tcW w:w="1389"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0</w:t>
            </w:r>
          </w:p>
        </w:tc>
        <w:tc>
          <w:tcPr>
            <w:tcW w:w="1106"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eastAsiaTheme="minorEastAsia"/>
                <w:i/>
                <w:iCs/>
                <w:color w:val="auto"/>
                <w:sz w:val="21"/>
                <w:szCs w:val="21"/>
              </w:rPr>
            </w:pPr>
          </w:p>
        </w:tc>
        <w:tc>
          <w:tcPr>
            <w:tcW w:w="878" w:type="dxa"/>
            <w:vAlign w:val="center"/>
          </w:tcPr>
          <w:p>
            <w:pPr>
              <w:pStyle w:val="66"/>
              <w:jc w:val="center"/>
              <w:outlineLvl w:val="9"/>
              <w:rPr>
                <w:rFonts w:cs="Times New Roman" w:eastAsiaTheme="minorEastAsia"/>
                <w:i/>
                <w:iCs/>
                <w:color w:val="auto"/>
                <w:sz w:val="21"/>
                <w:szCs w:val="21"/>
              </w:rPr>
            </w:pPr>
            <w:r>
              <w:rPr>
                <w:rFonts w:cs="Times New Roman" w:eastAsiaTheme="minorEastAsia"/>
                <w:i/>
                <w:iCs/>
                <w:color w:val="auto"/>
                <w:sz w:val="21"/>
                <w:szCs w:val="21"/>
              </w:rPr>
              <w:t>EF</w:t>
            </w:r>
            <w:r>
              <w:rPr>
                <w:rFonts w:cs="Times New Roman" w:eastAsiaTheme="minorEastAsia"/>
                <w:i/>
                <w:iCs/>
                <w:color w:val="auto"/>
                <w:sz w:val="21"/>
                <w:szCs w:val="21"/>
                <w:vertAlign w:val="subscript"/>
              </w:rPr>
              <w:t>gas,j</w:t>
            </w:r>
          </w:p>
        </w:tc>
        <w:tc>
          <w:tcPr>
            <w:tcW w:w="1365" w:type="dxa"/>
            <w:vAlign w:val="center"/>
          </w:tcPr>
          <w:p>
            <w:pPr>
              <w:pStyle w:val="66"/>
              <w:jc w:val="center"/>
              <w:outlineLvl w:val="9"/>
              <w:rPr>
                <w:rFonts w:cs="Times New Roman" w:eastAsiaTheme="minorEastAsia"/>
                <w:i/>
                <w:iCs/>
                <w:color w:val="auto"/>
                <w:sz w:val="21"/>
                <w:szCs w:val="21"/>
              </w:rPr>
            </w:pPr>
            <w:r>
              <w:rPr>
                <w:rFonts w:cs="Times New Roman" w:eastAsiaTheme="minorEastAsia"/>
                <w:color w:val="auto"/>
                <w:sz w:val="21"/>
                <w:szCs w:val="21"/>
              </w:rPr>
              <w:t>CH</w:t>
            </w:r>
            <w:r>
              <w:rPr>
                <w:rFonts w:cs="Times New Roman" w:eastAsiaTheme="minorEastAsia"/>
                <w:color w:val="auto"/>
                <w:sz w:val="21"/>
                <w:szCs w:val="21"/>
                <w:vertAlign w:val="subscript"/>
              </w:rPr>
              <w:t>4</w:t>
            </w:r>
            <w:r>
              <w:rPr>
                <w:rFonts w:cs="Times New Roman" w:eastAsiaTheme="minorEastAsia"/>
                <w:color w:val="auto"/>
                <w:sz w:val="21"/>
                <w:szCs w:val="21"/>
              </w:rPr>
              <w:t>/（年·个）</w:t>
            </w:r>
          </w:p>
        </w:tc>
        <w:tc>
          <w:tcPr>
            <w:tcW w:w="1389"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0</w:t>
            </w:r>
          </w:p>
        </w:tc>
        <w:tc>
          <w:tcPr>
            <w:tcW w:w="1106"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restart"/>
            <w:vAlign w:val="center"/>
          </w:tcPr>
          <w:p>
            <w:pPr>
              <w:pStyle w:val="66"/>
              <w:jc w:val="center"/>
              <w:outlineLvl w:val="9"/>
              <w:rPr>
                <w:rFonts w:cs="Times New Roman"/>
                <w:color w:val="auto"/>
                <w:kern w:val="0"/>
                <w:sz w:val="21"/>
                <w:szCs w:val="21"/>
                <w:lang w:bidi="ar"/>
              </w:rPr>
            </w:pPr>
            <w:r>
              <w:rPr>
                <w:rFonts w:cs="Times New Roman"/>
                <w:color w:val="auto"/>
                <w:kern w:val="0"/>
                <w:sz w:val="21"/>
                <w:szCs w:val="21"/>
                <w:lang w:bidi="ar"/>
              </w:rPr>
              <w:t>油气储运业务工艺放空</w:t>
            </w:r>
          </w:p>
        </w:tc>
        <w:tc>
          <w:tcPr>
            <w:tcW w:w="878" w:type="dxa"/>
            <w:vAlign w:val="center"/>
          </w:tcPr>
          <w:p>
            <w:pPr>
              <w:pStyle w:val="66"/>
              <w:jc w:val="center"/>
              <w:outlineLvl w:val="9"/>
              <w:rPr>
                <w:rFonts w:cs="Times New Roman" w:eastAsiaTheme="minorEastAsia"/>
                <w:i/>
                <w:iCs/>
                <w:color w:val="auto"/>
                <w:sz w:val="21"/>
                <w:szCs w:val="21"/>
              </w:rPr>
            </w:pPr>
            <w:r>
              <w:rPr>
                <w:rFonts w:cs="Times New Roman"/>
                <w:i/>
                <w:iCs/>
                <w:color w:val="auto"/>
                <w:kern w:val="0"/>
                <w:sz w:val="21"/>
                <w:szCs w:val="21"/>
                <w:lang w:bidi="ar"/>
              </w:rPr>
              <w:t>Q</w:t>
            </w:r>
            <w:r>
              <w:rPr>
                <w:rFonts w:cs="Times New Roman"/>
                <w:color w:val="auto"/>
                <w:kern w:val="0"/>
                <w:sz w:val="21"/>
                <w:szCs w:val="21"/>
                <w:vertAlign w:val="subscript"/>
                <w:lang w:bidi="ar"/>
              </w:rPr>
              <w:t>oil</w:t>
            </w:r>
          </w:p>
        </w:tc>
        <w:tc>
          <w:tcPr>
            <w:tcW w:w="1365" w:type="dxa"/>
            <w:vAlign w:val="center"/>
          </w:tcPr>
          <w:p>
            <w:pPr>
              <w:pStyle w:val="66"/>
              <w:jc w:val="center"/>
              <w:outlineLvl w:val="9"/>
              <w:rPr>
                <w:rFonts w:cs="Times New Roman"/>
                <w:i/>
                <w:iCs/>
                <w:color w:val="auto"/>
                <w:kern w:val="0"/>
                <w:sz w:val="21"/>
                <w:szCs w:val="21"/>
                <w:lang w:bidi="ar"/>
              </w:rPr>
            </w:pPr>
            <w:r>
              <w:rPr>
                <w:rFonts w:cs="Times New Roman"/>
                <w:color w:val="auto"/>
                <w:kern w:val="0"/>
                <w:sz w:val="21"/>
                <w:szCs w:val="21"/>
                <w:lang w:bidi="ar"/>
              </w:rPr>
              <w:t>亿吨</w:t>
            </w:r>
          </w:p>
        </w:tc>
        <w:tc>
          <w:tcPr>
            <w:tcW w:w="1389" w:type="dxa"/>
            <w:vAlign w:val="center"/>
          </w:tcPr>
          <w:p>
            <w:pPr>
              <w:pStyle w:val="66"/>
              <w:jc w:val="center"/>
              <w:outlineLvl w:val="9"/>
              <w:rPr>
                <w:rFonts w:cs="Times New Roman"/>
                <w:i/>
                <w:iCs/>
                <w:color w:val="auto"/>
                <w:kern w:val="0"/>
                <w:sz w:val="21"/>
                <w:szCs w:val="21"/>
                <w:lang w:bidi="ar"/>
              </w:rPr>
            </w:pPr>
            <w:r>
              <w:rPr>
                <w:rFonts w:cs="Times New Roman"/>
                <w:i/>
                <w:iCs/>
                <w:color w:val="auto"/>
                <w:kern w:val="0"/>
                <w:sz w:val="21"/>
                <w:szCs w:val="21"/>
                <w:lang w:bidi="ar"/>
              </w:rPr>
              <w:t>/</w:t>
            </w:r>
          </w:p>
        </w:tc>
        <w:tc>
          <w:tcPr>
            <w:tcW w:w="1106"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0.000144</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8" w:type="dxa"/>
            <w:vMerge w:val="restart"/>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5" w:type="dxa"/>
            <w:vMerge w:val="continue"/>
            <w:vAlign w:val="center"/>
          </w:tcPr>
          <w:p>
            <w:pPr>
              <w:pStyle w:val="66"/>
              <w:jc w:val="center"/>
              <w:outlineLvl w:val="9"/>
              <w:rPr>
                <w:rFonts w:cs="Times New Roman"/>
                <w:color w:val="auto"/>
                <w:kern w:val="0"/>
                <w:sz w:val="21"/>
                <w:szCs w:val="21"/>
                <w:lang w:bidi="ar"/>
              </w:rPr>
            </w:pPr>
          </w:p>
        </w:tc>
        <w:tc>
          <w:tcPr>
            <w:tcW w:w="878" w:type="dxa"/>
            <w:vAlign w:val="center"/>
          </w:tcPr>
          <w:p>
            <w:pPr>
              <w:pStyle w:val="66"/>
              <w:jc w:val="center"/>
              <w:outlineLvl w:val="9"/>
              <w:rPr>
                <w:rFonts w:cs="Times New Roman"/>
                <w:i/>
                <w:iCs/>
                <w:color w:val="auto"/>
                <w:kern w:val="0"/>
                <w:sz w:val="21"/>
                <w:szCs w:val="21"/>
                <w:lang w:bidi="ar"/>
              </w:rPr>
            </w:pPr>
            <w:r>
              <w:rPr>
                <w:rFonts w:cs="Times New Roman"/>
                <w:i/>
                <w:iCs/>
                <w:color w:val="auto"/>
                <w:kern w:val="0"/>
                <w:sz w:val="21"/>
                <w:szCs w:val="21"/>
                <w:lang w:bidi="ar"/>
              </w:rPr>
              <w:t>EF</w:t>
            </w:r>
            <w:r>
              <w:rPr>
                <w:rFonts w:cs="Times New Roman"/>
                <w:i/>
                <w:iCs/>
                <w:color w:val="auto"/>
                <w:kern w:val="0"/>
                <w:sz w:val="21"/>
                <w:szCs w:val="21"/>
                <w:vertAlign w:val="subscript"/>
                <w:lang w:bidi="ar"/>
              </w:rPr>
              <w:t>CH4_油输逃逸</w:t>
            </w:r>
          </w:p>
        </w:tc>
        <w:tc>
          <w:tcPr>
            <w:tcW w:w="1365" w:type="dxa"/>
            <w:vAlign w:val="center"/>
          </w:tcPr>
          <w:p>
            <w:pPr>
              <w:pStyle w:val="66"/>
              <w:jc w:val="center"/>
              <w:outlineLvl w:val="9"/>
              <w:rPr>
                <w:rFonts w:cs="Times New Roman"/>
                <w:color w:val="auto"/>
                <w:kern w:val="0"/>
                <w:sz w:val="21"/>
                <w:szCs w:val="21"/>
                <w:lang w:bidi="ar"/>
              </w:rPr>
            </w:pPr>
            <w:r>
              <w:rPr>
                <w:rFonts w:cs="Times New Roman" w:eastAsiaTheme="minorEastAsia"/>
                <w:color w:val="auto"/>
                <w:sz w:val="21"/>
                <w:szCs w:val="21"/>
              </w:rPr>
              <w:t>（吨/亿吨）</w:t>
            </w:r>
          </w:p>
        </w:tc>
        <w:tc>
          <w:tcPr>
            <w:tcW w:w="1389" w:type="dxa"/>
            <w:vAlign w:val="center"/>
          </w:tcPr>
          <w:p>
            <w:pPr>
              <w:pStyle w:val="66"/>
              <w:jc w:val="center"/>
              <w:outlineLvl w:val="9"/>
              <w:rPr>
                <w:rFonts w:cs="Times New Roman"/>
                <w:color w:val="auto"/>
                <w:kern w:val="0"/>
                <w:sz w:val="21"/>
                <w:szCs w:val="21"/>
                <w:lang w:bidi="ar"/>
              </w:rPr>
            </w:pPr>
            <w:r>
              <w:rPr>
                <w:rFonts w:cs="Times New Roman"/>
                <w:color w:val="auto"/>
                <w:kern w:val="0"/>
                <w:sz w:val="21"/>
                <w:szCs w:val="21"/>
                <w:lang w:bidi="ar"/>
              </w:rPr>
              <w:t>原油输送管道</w:t>
            </w:r>
          </w:p>
        </w:tc>
        <w:tc>
          <w:tcPr>
            <w:tcW w:w="1106"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753.29</w:t>
            </w:r>
          </w:p>
        </w:tc>
        <w:tc>
          <w:tcPr>
            <w:tcW w:w="968"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w:t>
            </w:r>
          </w:p>
        </w:tc>
        <w:tc>
          <w:tcPr>
            <w:tcW w:w="968" w:type="dxa"/>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w:t>
            </w:r>
          </w:p>
        </w:tc>
        <w:tc>
          <w:tcPr>
            <w:tcW w:w="968" w:type="dxa"/>
            <w:vMerge w:val="continue"/>
            <w:vAlign w:val="center"/>
          </w:tcPr>
          <w:p>
            <w:pPr>
              <w:pStyle w:val="66"/>
              <w:jc w:val="center"/>
              <w:outlineLvl w:val="9"/>
              <w:rPr>
                <w:rFonts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3" w:type="dxa"/>
            <w:gridSpan w:val="5"/>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小计</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2.96</w:t>
            </w:r>
          </w:p>
        </w:tc>
        <w:tc>
          <w:tcPr>
            <w:tcW w:w="968" w:type="dxa"/>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3" w:type="dxa"/>
            <w:gridSpan w:val="5"/>
            <w:vAlign w:val="center"/>
          </w:tcPr>
          <w:p>
            <w:pPr>
              <w:pStyle w:val="66"/>
              <w:jc w:val="center"/>
              <w:outlineLvl w:val="9"/>
              <w:rPr>
                <w:rFonts w:cs="Times New Roman" w:eastAsiaTheme="minorEastAsia"/>
                <w:color w:val="auto"/>
                <w:sz w:val="21"/>
                <w:szCs w:val="21"/>
              </w:rPr>
            </w:pPr>
            <w:r>
              <w:rPr>
                <w:rFonts w:cs="Times New Roman" w:eastAsiaTheme="minorEastAsia"/>
                <w:color w:val="auto"/>
                <w:sz w:val="21"/>
                <w:szCs w:val="21"/>
              </w:rPr>
              <w:t>合计</w:t>
            </w:r>
          </w:p>
        </w:tc>
        <w:tc>
          <w:tcPr>
            <w:tcW w:w="2904" w:type="dxa"/>
            <w:gridSpan w:val="3"/>
            <w:vAlign w:val="center"/>
          </w:tcPr>
          <w:p>
            <w:pPr>
              <w:keepNext w:val="0"/>
              <w:keepLines w:val="0"/>
              <w:widowControl/>
              <w:suppressLineNumbers w:val="0"/>
              <w:jc w:val="center"/>
              <w:textAlignment w:val="center"/>
              <w:rPr>
                <w:rFonts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4.4</w:t>
            </w:r>
          </w:p>
        </w:tc>
      </w:tr>
    </w:tbl>
    <w:p>
      <w:pPr>
        <w:pStyle w:val="66"/>
        <w:spacing w:line="360" w:lineRule="auto"/>
        <w:ind w:firstLine="360" w:firstLineChars="200"/>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注：本项目12井式一体化计量撬参照表3.7-</w:t>
      </w:r>
      <w:r>
        <w:rPr>
          <w:rFonts w:hint="eastAsia" w:cs="Times New Roman"/>
          <w:color w:val="auto"/>
          <w:sz w:val="18"/>
          <w:szCs w:val="18"/>
          <w:lang w:val="en-US" w:eastAsia="zh-CN"/>
        </w:rPr>
        <w:t>22</w:t>
      </w:r>
      <w:r>
        <w:rPr>
          <w:rFonts w:hint="default" w:ascii="Times New Roman" w:hAnsi="Times New Roman" w:cs="Times New Roman"/>
          <w:color w:val="auto"/>
          <w:sz w:val="18"/>
          <w:szCs w:val="18"/>
        </w:rPr>
        <w:t>表中的接转站设施/设备CH</w:t>
      </w:r>
      <w:r>
        <w:rPr>
          <w:rFonts w:hint="default" w:ascii="Times New Roman" w:hAnsi="Times New Roman" w:cs="Times New Roman"/>
          <w:color w:val="auto"/>
          <w:sz w:val="18"/>
          <w:szCs w:val="18"/>
          <w:vertAlign w:val="subscript"/>
        </w:rPr>
        <w:t>4</w:t>
      </w:r>
      <w:r>
        <w:rPr>
          <w:rFonts w:hint="default" w:ascii="Times New Roman" w:hAnsi="Times New Roman" w:cs="Times New Roman"/>
          <w:color w:val="auto"/>
          <w:sz w:val="18"/>
          <w:szCs w:val="18"/>
        </w:rPr>
        <w:t>排放因子计算。</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（4）二氧化碳</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根据《中国石油天然气生产企业温室气体排放核算方法与报告指南（试行）》，涉及燃料燃烧、火炬燃烧、天然气处理过程的需要计算CO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，本项目为石油开采项目，不涉及燃料燃烧、火炬燃烧、天然气处理过程，故未进行CO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计算。</w:t>
      </w:r>
    </w:p>
    <w:p>
      <w:pPr>
        <w:pStyle w:val="51"/>
        <w:spacing w:after="0"/>
        <w:ind w:firstLine="0" w:firstLineChars="0"/>
        <w:outlineLvl w:val="3"/>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3.7.8.2碳排放量汇总</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根据上述计算，本项目碳排放量汇总可用公式（1）进行计算，本项目碳排放情况见下表3.7-24。</w:t>
      </w:r>
    </w:p>
    <w:p>
      <w:pPr>
        <w:pStyle w:val="41"/>
        <w:spacing w:line="360" w:lineRule="auto"/>
        <w:jc w:val="center"/>
        <w:rPr>
          <w:rFonts w:hint="default" w:ascii="Times New Roman" w:hAnsi="Times New Roman" w:cs="Times New Roman"/>
          <w:b/>
          <w:bCs/>
          <w:color w:val="auto"/>
          <w:sz w:val="21"/>
          <w:szCs w:val="18"/>
        </w:rPr>
      </w:pPr>
      <w:r>
        <w:rPr>
          <w:rFonts w:hint="default" w:ascii="Times New Roman" w:hAnsi="Times New Roman" w:cs="Times New Roman"/>
          <w:b/>
          <w:bCs/>
          <w:color w:val="auto"/>
          <w:sz w:val="21"/>
          <w:szCs w:val="18"/>
        </w:rPr>
        <w:t>表3.7-24  项目碳排放量汇总表</w:t>
      </w:r>
    </w:p>
    <w:tbl>
      <w:tblPr>
        <w:tblStyle w:val="31"/>
        <w:tblW w:w="85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710"/>
        <w:gridCol w:w="1710"/>
        <w:gridCol w:w="1698"/>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8" w:type="dxa"/>
            <w:tcBorders>
              <w:top w:val="single" w:color="auto" w:sz="4" w:space="0"/>
              <w:left w:val="single" w:color="auto" w:sz="4" w:space="0"/>
              <w:bottom w:val="single" w:color="auto" w:sz="4" w:space="0"/>
            </w:tcBorders>
            <w:vAlign w:val="center"/>
          </w:tcPr>
          <w:p>
            <w:pPr>
              <w:pStyle w:val="43"/>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1710" w:type="dxa"/>
            <w:tcBorders>
              <w:top w:val="single" w:color="auto" w:sz="4" w:space="0"/>
              <w:bottom w:val="single" w:color="auto" w:sz="4" w:space="0"/>
            </w:tcBorders>
            <w:vAlign w:val="center"/>
          </w:tcPr>
          <w:p>
            <w:pPr>
              <w:pStyle w:val="43"/>
              <w:rPr>
                <w:rFonts w:hint="default" w:ascii="Times New Roman" w:hAnsi="Times New Roman" w:cs="Times New Roman"/>
                <w:b/>
                <w:bCs/>
                <w:color w:val="auto"/>
                <w:szCs w:val="21"/>
              </w:rPr>
            </w:pPr>
            <w:r>
              <w:rPr>
                <w:rFonts w:hint="default" w:ascii="Times New Roman" w:hAnsi="Times New Roman" w:cs="Times New Roman"/>
                <w:b/>
                <w:bCs/>
                <w:i/>
                <w:iCs/>
                <w:color w:val="auto"/>
                <w:szCs w:val="21"/>
              </w:rPr>
              <w:t>E</w:t>
            </w:r>
            <w:r>
              <w:rPr>
                <w:rFonts w:hint="default" w:ascii="Times New Roman" w:hAnsi="Times New Roman" w:cs="Times New Roman"/>
                <w:b/>
                <w:bCs/>
                <w:i/>
                <w:iCs/>
                <w:color w:val="auto"/>
                <w:szCs w:val="21"/>
                <w:vertAlign w:val="subscript"/>
              </w:rPr>
              <w:t>CH4</w:t>
            </w:r>
            <w:r>
              <w:rPr>
                <w:rFonts w:hint="default" w:ascii="Times New Roman" w:hAnsi="Times New Roman" w:cs="Times New Roman"/>
                <w:b/>
                <w:bCs/>
                <w:color w:val="auto"/>
                <w:szCs w:val="21"/>
                <w:vertAlign w:val="subscript"/>
              </w:rPr>
              <w:t>_开采放空</w:t>
            </w:r>
          </w:p>
        </w:tc>
        <w:tc>
          <w:tcPr>
            <w:tcW w:w="1710" w:type="dxa"/>
            <w:tcBorders>
              <w:top w:val="single" w:color="auto" w:sz="4" w:space="0"/>
              <w:bottom w:val="single" w:color="auto" w:sz="4" w:space="0"/>
            </w:tcBorders>
            <w:vAlign w:val="center"/>
          </w:tcPr>
          <w:p>
            <w:pPr>
              <w:pStyle w:val="43"/>
              <w:rPr>
                <w:rFonts w:hint="default" w:ascii="Times New Roman" w:hAnsi="Times New Roman" w:cs="Times New Roman"/>
                <w:b/>
                <w:bCs/>
                <w:color w:val="auto"/>
                <w:szCs w:val="21"/>
              </w:rPr>
            </w:pPr>
            <w:r>
              <w:rPr>
                <w:rFonts w:hint="default" w:ascii="Times New Roman" w:hAnsi="Times New Roman" w:cs="Times New Roman"/>
                <w:b/>
                <w:bCs/>
                <w:i/>
                <w:iCs/>
                <w:color w:val="auto"/>
                <w:szCs w:val="21"/>
              </w:rPr>
              <w:t>E</w:t>
            </w:r>
            <w:r>
              <w:rPr>
                <w:rFonts w:hint="default" w:ascii="Times New Roman" w:hAnsi="Times New Roman" w:cs="Times New Roman"/>
                <w:b/>
                <w:bCs/>
                <w:i/>
                <w:iCs/>
                <w:color w:val="auto"/>
                <w:szCs w:val="21"/>
                <w:vertAlign w:val="subscript"/>
              </w:rPr>
              <w:t>CH4</w:t>
            </w:r>
            <w:r>
              <w:rPr>
                <w:rFonts w:hint="default" w:ascii="Times New Roman" w:hAnsi="Times New Roman" w:cs="Times New Roman"/>
                <w:b/>
                <w:bCs/>
                <w:color w:val="auto"/>
                <w:szCs w:val="21"/>
                <w:vertAlign w:val="subscript"/>
              </w:rPr>
              <w:t>_开采逃逸</w:t>
            </w:r>
          </w:p>
        </w:tc>
        <w:tc>
          <w:tcPr>
            <w:tcW w:w="1698" w:type="dxa"/>
            <w:tcBorders>
              <w:top w:val="single" w:color="auto" w:sz="4" w:space="0"/>
              <w:bottom w:val="single" w:color="auto" w:sz="4" w:space="0"/>
            </w:tcBorders>
            <w:vAlign w:val="center"/>
          </w:tcPr>
          <w:p>
            <w:pPr>
              <w:pStyle w:val="43"/>
              <w:rPr>
                <w:rFonts w:hint="default" w:ascii="Times New Roman" w:hAnsi="Times New Roman" w:cs="Times New Roman"/>
                <w:b/>
                <w:bCs/>
                <w:color w:val="auto"/>
                <w:szCs w:val="21"/>
              </w:rPr>
            </w:pPr>
            <w:r>
              <w:rPr>
                <w:rFonts w:hint="default" w:ascii="Times New Roman" w:hAnsi="Times New Roman" w:cs="Times New Roman"/>
                <w:b/>
                <w:bCs/>
                <w:i/>
                <w:iCs/>
                <w:color w:val="auto"/>
                <w:kern w:val="0"/>
                <w:szCs w:val="21"/>
              </w:rPr>
              <w:t>E</w:t>
            </w:r>
            <w:r>
              <w:rPr>
                <w:rFonts w:hint="default" w:ascii="Times New Roman" w:hAnsi="Times New Roman" w:cs="Times New Roman"/>
                <w:b/>
                <w:bCs/>
                <w:i/>
                <w:iCs/>
                <w:color w:val="auto"/>
                <w:kern w:val="0"/>
                <w:szCs w:val="21"/>
                <w:vertAlign w:val="subscript"/>
              </w:rPr>
              <w:t>CH4</w:t>
            </w:r>
            <w:r>
              <w:rPr>
                <w:rFonts w:hint="default" w:ascii="Times New Roman" w:hAnsi="Times New Roman" w:cs="Times New Roman"/>
                <w:b/>
                <w:bCs/>
                <w:color w:val="auto"/>
                <w:kern w:val="0"/>
                <w:szCs w:val="21"/>
                <w:vertAlign w:val="subscript"/>
              </w:rPr>
              <w:t>_油输逃逸</w:t>
            </w:r>
          </w:p>
        </w:tc>
        <w:tc>
          <w:tcPr>
            <w:tcW w:w="1833" w:type="dxa"/>
            <w:tcBorders>
              <w:top w:val="single" w:color="auto" w:sz="4" w:space="0"/>
              <w:bottom w:val="single" w:color="auto" w:sz="4" w:space="0"/>
              <w:right w:val="single" w:color="auto" w:sz="4" w:space="0"/>
            </w:tcBorders>
            <w:vAlign w:val="center"/>
          </w:tcPr>
          <w:p>
            <w:pPr>
              <w:pStyle w:val="43"/>
              <w:rPr>
                <w:rFonts w:hint="default" w:ascii="Times New Roman" w:hAnsi="Times New Roman" w:cs="Times New Roman"/>
                <w:b/>
                <w:bCs/>
                <w:color w:val="auto"/>
                <w:szCs w:val="21"/>
              </w:rPr>
            </w:pPr>
            <w:r>
              <w:rPr>
                <w:rFonts w:hint="default" w:ascii="Times New Roman" w:hAnsi="Times New Roman" w:cs="Times New Roman"/>
                <w:b/>
                <w:bCs/>
                <w:color w:val="auto"/>
                <w:szCs w:val="21"/>
              </w:rPr>
              <w:t>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8" w:type="dxa"/>
            <w:tcBorders>
              <w:top w:val="single" w:color="auto" w:sz="4" w:space="0"/>
              <w:left w:val="single" w:color="auto" w:sz="4" w:space="0"/>
              <w:bottom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710" w:type="dxa"/>
            <w:tcBorders>
              <w:top w:val="single" w:color="auto" w:sz="4" w:space="0"/>
              <w:bottom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szCs w:val="21"/>
              </w:rPr>
              <w:t>tCH</w:t>
            </w:r>
            <w:r>
              <w:rPr>
                <w:rFonts w:hint="default" w:ascii="Times New Roman" w:hAnsi="Times New Roman" w:cs="Times New Roman"/>
                <w:color w:val="auto"/>
                <w:szCs w:val="21"/>
                <w:vertAlign w:val="subscript"/>
              </w:rPr>
              <w:t>4</w:t>
            </w:r>
          </w:p>
        </w:tc>
        <w:tc>
          <w:tcPr>
            <w:tcW w:w="1710" w:type="dxa"/>
            <w:tcBorders>
              <w:top w:val="single" w:color="auto" w:sz="4" w:space="0"/>
              <w:bottom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szCs w:val="21"/>
              </w:rPr>
              <w:t>tCH</w:t>
            </w:r>
            <w:r>
              <w:rPr>
                <w:rFonts w:hint="default" w:ascii="Times New Roman" w:hAnsi="Times New Roman" w:cs="Times New Roman"/>
                <w:color w:val="auto"/>
                <w:szCs w:val="21"/>
                <w:vertAlign w:val="subscript"/>
              </w:rPr>
              <w:t>4</w:t>
            </w:r>
          </w:p>
        </w:tc>
        <w:tc>
          <w:tcPr>
            <w:tcW w:w="1698" w:type="dxa"/>
            <w:tcBorders>
              <w:top w:val="single" w:color="auto" w:sz="4" w:space="0"/>
              <w:bottom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szCs w:val="21"/>
              </w:rPr>
              <w:t>tCH</w:t>
            </w:r>
            <w:r>
              <w:rPr>
                <w:rFonts w:hint="default" w:ascii="Times New Roman" w:hAnsi="Times New Roman" w:cs="Times New Roman"/>
                <w:color w:val="auto"/>
                <w:szCs w:val="21"/>
                <w:vertAlign w:val="subscript"/>
              </w:rPr>
              <w:t>4</w:t>
            </w:r>
          </w:p>
        </w:tc>
        <w:tc>
          <w:tcPr>
            <w:tcW w:w="1833" w:type="dxa"/>
            <w:tcBorders>
              <w:top w:val="single" w:color="auto" w:sz="4" w:space="0"/>
              <w:bottom w:val="single" w:color="auto" w:sz="4" w:space="0"/>
              <w:right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szCs w:val="21"/>
              </w:rPr>
              <w:t>tCH</w:t>
            </w:r>
            <w:r>
              <w:rPr>
                <w:rFonts w:hint="default" w:ascii="Times New Roman" w:hAnsi="Times New Roman" w:cs="Times New Roman"/>
                <w:color w:val="auto"/>
                <w:szCs w:val="21"/>
                <w:vertAlign w:val="sub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8" w:type="dxa"/>
            <w:tcBorders>
              <w:top w:val="single" w:color="auto" w:sz="4" w:space="0"/>
              <w:left w:val="single" w:color="auto" w:sz="4" w:space="0"/>
              <w:bottom w:val="single" w:color="auto" w:sz="4" w:space="0"/>
            </w:tcBorders>
            <w:vAlign w:val="center"/>
          </w:tcPr>
          <w:p>
            <w:pPr>
              <w:pStyle w:val="43"/>
              <w:rPr>
                <w:rFonts w:hint="default" w:ascii="Times New Roman" w:hAnsi="Times New Roman" w:cs="Times New Roman"/>
                <w:color w:val="auto"/>
                <w:szCs w:val="21"/>
              </w:rPr>
            </w:pPr>
            <w:r>
              <w:rPr>
                <w:rFonts w:hint="default" w:ascii="Times New Roman" w:hAnsi="Times New Roman" w:cs="Times New Roman"/>
                <w:color w:val="auto"/>
                <w:szCs w:val="21"/>
              </w:rPr>
              <w:t>排放量</w:t>
            </w:r>
          </w:p>
        </w:tc>
        <w:tc>
          <w:tcPr>
            <w:tcW w:w="1710" w:type="dxa"/>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1710" w:type="dxa"/>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2.96</w:t>
            </w:r>
          </w:p>
        </w:tc>
        <w:tc>
          <w:tcPr>
            <w:tcW w:w="1698" w:type="dxa"/>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1833" w:type="dxa"/>
            <w:tcBorders>
              <w:top w:val="single" w:color="auto" w:sz="4" w:space="0"/>
              <w:bottom w:val="single" w:color="auto" w:sz="4" w:space="0"/>
              <w:right w:val="single" w:color="auto" w:sz="4" w:space="0"/>
            </w:tcBorders>
            <w:vAlign w:val="center"/>
          </w:tcPr>
          <w:p>
            <w:pPr>
              <w:pStyle w:val="43"/>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4.40</w:t>
            </w:r>
          </w:p>
        </w:tc>
      </w:tr>
    </w:tbl>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3.7.9非正常工况</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1）油井停运</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拟建项目为油田采掘类项目，油井投入生产后，一般情况下会一直处于运行状态，但为保证油井正常生产，需要对个别油井开展井下作业而使油井停运井下作业过程会产生井下作业废液、</w:t>
      </w:r>
      <w:r>
        <w:rPr>
          <w:rFonts w:ascii="Times New Roman" w:hAnsi="Times New Roman" w:eastAsia="宋体" w:cs="Times New Roman"/>
          <w:color w:val="auto"/>
          <w:sz w:val="24"/>
        </w:rPr>
        <w:t>落地油、</w:t>
      </w:r>
      <w:r>
        <w:rPr>
          <w:rFonts w:hint="default" w:ascii="Times New Roman" w:hAnsi="Times New Roman" w:eastAsia="宋体" w:cs="Times New Roman"/>
          <w:color w:val="auto"/>
          <w:sz w:val="24"/>
        </w:rPr>
        <w:t>噪声等环境污染问题，在运营期中已作介绍，此处不再赘述。当油井发生风险事故时，也会导致油井停运。</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陆梁油田作业区具备完善的事故应急预案及风险防范措施，并定期巡线。因此，发生事故的概率很低。</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2）管线泄漏事故</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行过程中，项目集输管线可能由于腐蚀、老化或其他原因破损泄漏，会对周围的土壤造成一定污染。发生事故后，应及时维修，并将被污染的土壤挖出作为落地油，委托有资质的单位进行处置。管线泄漏具体见5.3.4章节。</w:t>
      </w:r>
    </w:p>
    <w:p>
      <w:pPr>
        <w:pStyle w:val="3"/>
        <w:spacing w:before="10" w:after="10"/>
        <w:rPr>
          <w:rFonts w:hint="default" w:ascii="Times New Roman" w:hAnsi="Times New Roman" w:eastAsia="宋体" w:cs="Times New Roman"/>
          <w:color w:val="auto"/>
        </w:rPr>
      </w:pPr>
      <w:bookmarkStart w:id="218" w:name="_Toc9389"/>
      <w:bookmarkStart w:id="219" w:name="_Toc1321"/>
      <w:bookmarkStart w:id="220" w:name="_Toc44088068"/>
      <w:bookmarkStart w:id="221" w:name="_Hlk92733298"/>
      <w:r>
        <w:rPr>
          <w:rFonts w:hint="default" w:ascii="Times New Roman" w:hAnsi="Times New Roman" w:eastAsia="宋体" w:cs="Times New Roman"/>
          <w:color w:val="auto"/>
        </w:rPr>
        <w:t>3.8清洁生产分析</w:t>
      </w:r>
      <w:bookmarkEnd w:id="218"/>
      <w:bookmarkEnd w:id="219"/>
      <w:bookmarkEnd w:id="220"/>
    </w:p>
    <w:p>
      <w:pPr>
        <w:pStyle w:val="56"/>
        <w:spacing w:line="360" w:lineRule="auto"/>
        <w:rPr>
          <w:rFonts w:hint="default" w:ascii="Times New Roman" w:hAnsi="Times New Roman" w:cs="Times New Roman"/>
          <w:bCs w:val="0"/>
          <w:color w:val="auto"/>
          <w:sz w:val="24"/>
          <w:szCs w:val="24"/>
        </w:rPr>
      </w:pPr>
      <w:r>
        <w:rPr>
          <w:rFonts w:hint="default" w:ascii="Times New Roman" w:hAnsi="Times New Roman" w:cs="Times New Roman"/>
          <w:bCs w:val="0"/>
          <w:color w:val="auto"/>
          <w:sz w:val="24"/>
          <w:szCs w:val="24"/>
        </w:rPr>
        <w:t>本节对本项目钻井过程、运营期、原油集输及处理过程、管理等方面进行清洁生产分析。</w:t>
      </w:r>
    </w:p>
    <w:bookmarkEnd w:id="221"/>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3.8.1清洁生产技术和措施分析</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（1）钻井过程的清洁生产工艺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1）采取小井眼钻井工艺技术，减少固体废物的排放。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2）在钻井、注水、防砂等钻采工艺中，采取防渗漏措施（下入表层套管），防止钻井化学药剂对地下水的污染。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3）钻井过程中，采用钻井泥浆循环系统、泥浆泵冷却水循环系统、废油品回收专用罐、钻井废水循环回收罐等环保设施，最大限度减少污染物排放量。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4）作业井场采用泥浆循环系统、废油品回收专用罐等环保设施，泥浆循环利用率（重复利用）达到90%以上，最大限度地减少了废泥浆的产生量和污染物的排放量。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具体做法如下。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①通过完善和加强作业废液的循环利用系统，将作业井场的钻井废液回收入罐，并进行集中处理。对泥浆类废液经过简单的沉淀、过滤等</w:t>
      </w:r>
      <w:r>
        <w:rPr>
          <w:rFonts w:hint="eastAsia" w:cs="Times New Roman"/>
          <w:color w:val="auto"/>
          <w:sz w:val="24"/>
          <w:szCs w:val="24"/>
          <w:lang w:eastAsia="zh-CN"/>
        </w:rPr>
        <w:t>去</w:t>
      </w:r>
      <w:r>
        <w:rPr>
          <w:rFonts w:hint="default" w:ascii="Times New Roman" w:hAnsi="Times New Roman" w:cs="Times New Roman"/>
          <w:color w:val="auto"/>
          <w:sz w:val="24"/>
          <w:szCs w:val="24"/>
        </w:rPr>
        <w:t>除有机杂质后再进行利用，使其资源化。</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钻井过程中使用小循环，转换钻井泥浆及完井泥浆回收处理利用；井队充分回收利用污水，泥浆泵、水刹车的冷却水循环使用，冲洗钻台等污水经防渗污水池（防渗材料：采用土工膜）沉淀处理后，打入污水循环回收罐循环使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③配备先进完善的固控设备，并保证其运转使用率，努力控制钻井液中无用固相含量为最低，保证其性能优良，从而大大减少了废弃泥浆产生量。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④完井后的泥浆药品等泥浆材料全部回收，</w:t>
      </w:r>
      <w:r>
        <w:rPr>
          <w:rFonts w:hint="eastAsia" w:cs="Times New Roman"/>
          <w:color w:val="auto"/>
          <w:sz w:val="24"/>
          <w:szCs w:val="24"/>
          <w:lang w:eastAsia="zh-CN"/>
        </w:rPr>
        <w:t>废润滑油</w:t>
      </w:r>
      <w:r>
        <w:rPr>
          <w:rFonts w:hint="default" w:ascii="Times New Roman" w:hAnsi="Times New Roman" w:cs="Times New Roman"/>
          <w:color w:val="auto"/>
          <w:sz w:val="24"/>
          <w:szCs w:val="24"/>
        </w:rPr>
        <w:t>、洗件油及其他油品全部清理、回收处理，恢复地貌，做到“工完、料净、场地清”。</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5）采用低固相优质钻井液，尽量减少泥浆浸泡油层时间，保护储层。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6）设置井控装置（防喷器等），并采取了防止井喷和井漏的技术措施，以及防止井喷事故对环境造成污染影响。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7）钻井废水采用钻井废弃物不落地达标处理技术，以避免对土壤和地下水环境造成污染影响。</w:t>
      </w:r>
    </w:p>
    <w:p>
      <w:pPr>
        <w:pStyle w:val="56"/>
        <w:spacing w:line="360" w:lineRule="auto"/>
        <w:rPr>
          <w:rFonts w:cs="Times New Roman"/>
          <w:color w:val="auto"/>
          <w:sz w:val="24"/>
          <w:szCs w:val="24"/>
        </w:rPr>
      </w:pPr>
      <w:r>
        <w:rPr>
          <w:rFonts w:cs="Times New Roman"/>
          <w:color w:val="auto"/>
          <w:sz w:val="24"/>
          <w:szCs w:val="24"/>
        </w:rPr>
        <w:t>8）在勘探开发过程中，应防止产生落地原油。其中井下作业过程中应配备泄油器、刮油器等。落地原油应及时回收，落地原油回收率应达到100%。</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（2）原油集输及处理清洁生产工艺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采用功能较强的PLC系统对主要采油和集输工艺参数进行控制，能够提高管理水平，尽量简化工艺过程，减少操作人员，同时使集输系统的安全性、可靠性得到保证，实现集输生产过程少放空，减少天然气燃烧对环境的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2）系统采用气液混输工艺，简化流程，方便操作。全密闭混合输送工艺能够减少投资，避免含油污水分散处理。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3）油气集输采用密闭集输流程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集输方案的设计上进行了优化，充分考虑和利用油藏的自然能量，确定合理的采油方式和油井回压。在集输流程上，油气从井口至计量站，再输送至处理站，采用密闭流程，降低了油气的损耗，减少烃类物质的挥发量，从而节约了能源，降低了对大气环境的污染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4）优化布局，减少建设用地</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井场及站场按工艺流程进行优化组合，布置紧凑。在集油区将油、水、电、道路等沿地表自然走向敷设，最大限度地减少对自然环境和景观的破坏。为减少风季产生的风蚀作用，在集油支线、电力设施底部地面敷设的地表采用芦苇草方格固沙屏障。</w:t>
      </w:r>
    </w:p>
    <w:p>
      <w:pPr>
        <w:pStyle w:val="66"/>
        <w:spacing w:line="360" w:lineRule="auto"/>
        <w:ind w:firstLine="56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rPr>
        <w:t>（</w:t>
      </w:r>
      <w:r>
        <w:rPr>
          <w:rFonts w:hint="default" w:ascii="Times New Roman" w:hAnsi="Times New Roman" w:cs="Times New Roman"/>
          <w:color w:val="auto"/>
          <w:sz w:val="24"/>
          <w:szCs w:val="24"/>
        </w:rPr>
        <w:t>3）运营期井下作业清洁生产工艺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1）在井场加强油井井口的密闭，减少井口烃类的无组织挥发；计量撬、油泵等设备采用密闭性能可靠的装置，避免跑、冒、滴、漏现象发生。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2）原油生产过程中起下油管时，安装自封式封井器，避免原油、污水喷出。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3）采油井口的清蜡过程采用油罐车及时清理排出的油污及蜡块。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r>
        <w:rPr>
          <w:rFonts w:cs="Times New Roman"/>
          <w:color w:val="auto"/>
          <w:sz w:val="24"/>
          <w:szCs w:val="24"/>
        </w:rPr>
        <w:t>在井下作业过程中，对产生的井下作业废水采用循环作业罐（车）收集，运至陆梁集中处理站处理达标后</w:t>
      </w:r>
      <w:r>
        <w:rPr>
          <w:rFonts w:cs="Times New Roman"/>
          <w:snapToGrid w:val="0"/>
          <w:color w:val="auto"/>
          <w:sz w:val="24"/>
          <w:szCs w:val="24"/>
        </w:rPr>
        <w:t>回注油藏，</w:t>
      </w:r>
      <w:r>
        <w:rPr>
          <w:rFonts w:cs="Times New Roman"/>
          <w:color w:val="auto"/>
          <w:sz w:val="24"/>
          <w:szCs w:val="24"/>
        </w:rPr>
        <w:t>不外排；底泥交由</w:t>
      </w:r>
      <w:r>
        <w:rPr>
          <w:rFonts w:hint="default" w:ascii="Times New Roman" w:hAnsi="Times New Roman" w:eastAsia="宋体" w:cs="Times New Roman"/>
          <w:color w:val="auto"/>
          <w:kern w:val="0"/>
          <w:sz w:val="24"/>
        </w:rPr>
        <w:t>委托克拉玛依博达生态环保科技有限责任公司进行处置</w:t>
      </w:r>
      <w:r>
        <w:rPr>
          <w:rFonts w:cs="Times New Roman"/>
          <w:color w:val="auto"/>
          <w:sz w:val="24"/>
          <w:szCs w:val="24"/>
        </w:rPr>
        <w:t>；井下作业过程中铺膜防止原油落地，对作业过程中散落的落地油，及时收集清运，拉运至陆梁集中处理站进行处理</w:t>
      </w:r>
      <w:r>
        <w:rPr>
          <w:rFonts w:hint="default" w:ascii="Times New Roman" w:hAnsi="Times New Roman" w:cs="Times New Roman"/>
          <w:color w:val="auto"/>
          <w:sz w:val="24"/>
          <w:szCs w:val="24"/>
        </w:rPr>
        <w:t>。</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（4）节能及其他清洁生产措施分析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1）采用高压管道，可减少管网的维修，延长管道使用寿命。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2）选用节能型电气设备。站场的动力、供电等设备根据设计所确定的用电负荷，在保证安全要求的前提下，选择节能型的设备，防止造成大量能耗，从而降低生产成本。</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3）采用先进、可靠的自动控制技术，提高生产运行参数的安全性、准确性。集油区采用自动化管理，实现无人值守，提高了管理水平。</w:t>
      </w:r>
    </w:p>
    <w:p>
      <w:pPr>
        <w:pStyle w:val="66"/>
        <w:spacing w:line="360" w:lineRule="auto"/>
        <w:ind w:firstLine="480" w:firstLineChars="200"/>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（5）建立有效的环境管理制度</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本项目将环境管理和环境监测纳入</w:t>
      </w:r>
      <w:r>
        <w:rPr>
          <w:rFonts w:hint="default" w:ascii="Times New Roman" w:hAnsi="Times New Roman" w:cs="Times New Roman"/>
          <w:color w:val="auto"/>
          <w:kern w:val="0"/>
          <w:sz w:val="24"/>
          <w:szCs w:val="24"/>
        </w:rPr>
        <w:t>中国石油新疆油田分公司陆梁油田作业区</w:t>
      </w:r>
      <w:r>
        <w:rPr>
          <w:rFonts w:hint="default" w:ascii="Times New Roman" w:hAnsi="Times New Roman" w:cs="Times New Roman"/>
          <w:color w:val="auto"/>
          <w:sz w:val="24"/>
          <w:szCs w:val="24"/>
        </w:rPr>
        <w:t>安全环保部门负责，采用HSE管理模式，注重对员工进行培训，使员工自觉遵守HSE管理要求，保护自身的安全和健康。为减少和避免环境污染事故的发生，建立、健全管理规章制度，制定了详细的污染控制计划和实施方案，责任到人，指标到岗，实施监督；实行公平的奖惩制度，大力弘扬保护环境的行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本项目主要采取的环境管理措施如下：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1）落实环保目标责任制，坚持环保指标考核，推行清洁生产。</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2）在钻井生产过程中，防止泥浆、污水外溢，发生外溢时及时清理，并恢复原貌。泥浆药品按照标准化管理规定妥善存放，如在装卸过程中发生散落要及时清理回收。</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3）井下作业系统积极推行“铺膜”等无污染作业法；在采油过程中加强管理，对管线及井口设施定期检查，维修，减少或避免生产过程中的“跑、冒、滴、漏”现象发生。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以上分析可以看出，本项目无论是在生产工艺、设备的先进性、合理性，还是在原材料及能量的利用以及生产管理和员工的素质提高等各方面均考虑了清洁生产的要求，将清洁生产的技术运用到了开发生产的全过程中。特别是该项目注重源头控制污染物的产生量和废物的重复利用，充分利用了能源和资源，尽量减少或消除了污染物的产生，并使废物在生产过程中转化为可用资源，最大限度地降低了工程对环境造成的污染。</w:t>
      </w:r>
    </w:p>
    <w:p>
      <w:pPr>
        <w:tabs>
          <w:tab w:val="left" w:pos="3465"/>
        </w:tabs>
        <w:spacing w:line="360" w:lineRule="auto"/>
        <w:outlineLvl w:val="2"/>
        <w:rPr>
          <w:rFonts w:hint="default" w:ascii="Times New Roman" w:hAnsi="Times New Roman" w:eastAsia="宋体" w:cs="Times New Roman"/>
          <w:b/>
          <w:color w:val="auto"/>
          <w:sz w:val="30"/>
          <w:szCs w:val="30"/>
        </w:rPr>
      </w:pPr>
      <w:bookmarkStart w:id="222" w:name="_Hlk92733423"/>
      <w:r>
        <w:rPr>
          <w:rFonts w:hint="default" w:ascii="Times New Roman" w:hAnsi="Times New Roman" w:eastAsia="宋体" w:cs="Times New Roman"/>
          <w:b/>
          <w:color w:val="auto"/>
          <w:sz w:val="30"/>
          <w:szCs w:val="30"/>
        </w:rPr>
        <w:t>3.8.2清洁水平分析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（1）评价指标体系</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《石油和天然气开采行业 清洁生产评价指标体系》（试行）中规定的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定量指标和定性指标又分为一级指标和二级指标。一级指标为普遍性、概括性的指标；二级指标为反映油气勘探开发企业清洁生产各方面具有代表性的、易于评价考核的指标。定量评价的二级指标从其数值情况来看，可分为两类情况：一类是该指标的数值越低（小）越符合清洁生产要求（如常用纤维原料消耗量、取水量、综合能耗、污染物产生量等指标）；另一类是该指标的数值越高（大）越符合清洁生产要求（如水的循环利用率、碱回收率、固体废物综合利用率等指标）。因此，对二级指标的考核评分，根据其类别采用不同的计算模式。在行业评价指标项目、权重及基准值中未出现的指标，按照最高值进行确定，即清洁生产具有较高水平。</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清洁生产评价指标体系的各评价指标、评价基准值和权重值见</w:t>
      </w:r>
      <w:bookmarkStart w:id="223" w:name="_Hlk41383375"/>
      <w:r>
        <w:rPr>
          <w:rFonts w:hint="default" w:ascii="Times New Roman" w:hAnsi="Times New Roman" w:cs="Times New Roman"/>
          <w:color w:val="auto"/>
          <w:sz w:val="24"/>
          <w:szCs w:val="24"/>
        </w:rPr>
        <w:t>表3.</w:t>
      </w:r>
      <w:r>
        <w:rPr>
          <w:rFonts w:hint="eastAsia" w:cs="Times New Roman"/>
          <w:color w:val="auto"/>
          <w:sz w:val="24"/>
          <w:szCs w:val="24"/>
          <w:lang w:val="en-US" w:eastAsia="zh-CN"/>
        </w:rPr>
        <w:t>8</w:t>
      </w:r>
      <w:r>
        <w:rPr>
          <w:rFonts w:hint="default" w:ascii="Times New Roman" w:hAnsi="Times New Roman" w:cs="Times New Roman"/>
          <w:color w:val="auto"/>
          <w:sz w:val="24"/>
          <w:szCs w:val="24"/>
        </w:rPr>
        <w:t>-1～表3.</w:t>
      </w:r>
      <w:r>
        <w:rPr>
          <w:rFonts w:hint="eastAsia" w:cs="Times New Roman"/>
          <w:color w:val="auto"/>
          <w:sz w:val="24"/>
          <w:szCs w:val="24"/>
          <w:lang w:val="en-US" w:eastAsia="zh-CN"/>
        </w:rPr>
        <w:t>8</w:t>
      </w:r>
      <w:r>
        <w:rPr>
          <w:rFonts w:hint="default" w:ascii="Times New Roman" w:hAnsi="Times New Roman" w:cs="Times New Roman"/>
          <w:color w:val="auto"/>
          <w:sz w:val="24"/>
          <w:szCs w:val="24"/>
        </w:rPr>
        <w:t>-3。</w:t>
      </w:r>
      <w:bookmarkEnd w:id="223"/>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（2）评价指标体系计算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①定量评价指标的考核评分计算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定量评价考核总分值的计算公式为：</w:t>
      </w:r>
    </w:p>
    <w:p>
      <w:pPr>
        <w:snapToGrid w:val="0"/>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28"/>
          <w:sz w:val="24"/>
        </w:rPr>
        <w:object>
          <v:shape id="_x0000_i1026" o:spt="75" type="#_x0000_t75" style="height:45pt;width:79.5pt;" o:ole="t" filled="f" o:preferrelative="t" stroked="f" coordsize="21600,21600">
            <v:path/>
            <v:fill on="f" focussize="0,0"/>
            <v:stroke on="f" joinstyle="miter"/>
            <v:imagedata r:id="rId30" o:title=""/>
            <o:lock v:ext="edit" aspectratio="t"/>
            <w10:wrap type="none"/>
            <w10:anchorlock/>
          </v:shape>
          <o:OLEObject Type="Embed" ProgID="Equation.KSEE3" ShapeID="_x0000_i1026" DrawAspect="Content" ObjectID="_1468075726" r:id="rId29">
            <o:LockedField>false</o:LockedField>
          </o:OLEObject>
        </w:objec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color w:val="auto"/>
          <w:sz w:val="24"/>
          <w:szCs w:val="24"/>
        </w:rPr>
        <w:t>P</w:t>
      </w:r>
      <w:r>
        <w:rPr>
          <w:rFonts w:hint="default" w:ascii="Times New Roman" w:hAnsi="Times New Roman" w:cs="Times New Roman"/>
          <w:i/>
          <w:color w:val="auto"/>
          <w:sz w:val="24"/>
          <w:szCs w:val="24"/>
          <w:vertAlign w:val="subscript"/>
        </w:rPr>
        <w:t>1</w:t>
      </w:r>
      <w:r>
        <w:rPr>
          <w:rFonts w:hint="default" w:ascii="Times New Roman" w:hAnsi="Times New Roman" w:cs="Times New Roman"/>
          <w:color w:val="auto"/>
          <w:sz w:val="24"/>
          <w:szCs w:val="24"/>
        </w:rPr>
        <w:t>——定量评价考核总分值；</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n</w:t>
      </w:r>
      <w:r>
        <w:rPr>
          <w:rFonts w:hint="default" w:ascii="Times New Roman" w:hAnsi="Times New Roman" w:cs="Times New Roman"/>
          <w:color w:val="auto"/>
          <w:sz w:val="24"/>
          <w:szCs w:val="24"/>
        </w:rPr>
        <w:t>——参与定量评价考核的二级指标项目总数；</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Si</w:t>
      </w:r>
      <w:r>
        <w:rPr>
          <w:rFonts w:hint="default" w:ascii="Times New Roman" w:hAnsi="Times New Roman" w:cs="Times New Roman"/>
          <w:color w:val="auto"/>
          <w:sz w:val="24"/>
          <w:szCs w:val="24"/>
        </w:rPr>
        <w:t>——第</w:t>
      </w:r>
      <w:r>
        <w:rPr>
          <w:rFonts w:hint="default" w:ascii="Times New Roman" w:hAnsi="Times New Roman" w:cs="Times New Roman"/>
          <w:i/>
          <w:color w:val="auto"/>
          <w:sz w:val="24"/>
          <w:szCs w:val="24"/>
        </w:rPr>
        <w:t>i</w:t>
      </w:r>
      <w:r>
        <w:rPr>
          <w:rFonts w:hint="default" w:ascii="Times New Roman" w:hAnsi="Times New Roman" w:cs="Times New Roman"/>
          <w:color w:val="auto"/>
          <w:sz w:val="24"/>
          <w:szCs w:val="24"/>
        </w:rPr>
        <w:t>项评价指标的单项评价指数；</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Ki</w:t>
      </w:r>
      <w:r>
        <w:rPr>
          <w:rFonts w:hint="default" w:ascii="Times New Roman" w:hAnsi="Times New Roman" w:cs="Times New Roman"/>
          <w:color w:val="auto"/>
          <w:sz w:val="24"/>
          <w:szCs w:val="24"/>
        </w:rPr>
        <w:t>——第</w:t>
      </w:r>
      <w:r>
        <w:rPr>
          <w:rFonts w:hint="default" w:ascii="Times New Roman" w:hAnsi="Times New Roman" w:cs="Times New Roman"/>
          <w:i/>
          <w:color w:val="auto"/>
          <w:sz w:val="24"/>
          <w:szCs w:val="24"/>
        </w:rPr>
        <w:t>i</w:t>
      </w:r>
      <w:r>
        <w:rPr>
          <w:rFonts w:hint="default" w:ascii="Times New Roman" w:hAnsi="Times New Roman" w:cs="Times New Roman"/>
          <w:color w:val="auto"/>
          <w:sz w:val="24"/>
          <w:szCs w:val="24"/>
        </w:rPr>
        <w:t>项评价指标的权重值。</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②定性评价指标的考核评分计算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定性评价指标考核总分值的计算公式为：</w:t>
      </w:r>
    </w:p>
    <w:p>
      <w:pPr>
        <w:snapToGrid w:val="0"/>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28"/>
          <w:sz w:val="24"/>
        </w:rPr>
        <w:object>
          <v:shape id="_x0000_i1027" o:spt="75" type="#_x0000_t75" style="height:52.5pt;width:64.5pt;" o:ole="t" filled="f" o:preferrelative="t" stroked="f" coordsize="21600,21600">
            <v:path/>
            <v:fill on="f" focussize="0,0"/>
            <v:stroke on="f" joinstyle="miter"/>
            <v:imagedata r:id="rId32" o:title=""/>
            <o:lock v:ext="edit" aspectratio="t"/>
            <w10:wrap type="none"/>
            <w10:anchorlock/>
          </v:shape>
          <o:OLEObject Type="Embed" ProgID="Equation.KSEE3" ShapeID="_x0000_i1027" DrawAspect="Content" ObjectID="_1468075727" r:id="rId31">
            <o:LockedField>false</o:LockedField>
          </o:OLEObject>
        </w:objec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color w:val="auto"/>
          <w:sz w:val="24"/>
          <w:szCs w:val="24"/>
        </w:rPr>
        <w:t>P</w:t>
      </w:r>
      <w:r>
        <w:rPr>
          <w:rFonts w:hint="default" w:ascii="Times New Roman" w:hAnsi="Times New Roman" w:cs="Times New Roman"/>
          <w:i/>
          <w:color w:val="auto"/>
          <w:sz w:val="24"/>
          <w:szCs w:val="24"/>
          <w:vertAlign w:val="subscript"/>
        </w:rPr>
        <w:t>2</w:t>
      </w:r>
      <w:r>
        <w:rPr>
          <w:rFonts w:hint="default" w:ascii="Times New Roman" w:hAnsi="Times New Roman" w:cs="Times New Roman"/>
          <w:color w:val="auto"/>
          <w:sz w:val="24"/>
          <w:szCs w:val="24"/>
        </w:rPr>
        <w:t>——定性评价二级指标考核总分值；</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Fi</w:t>
      </w:r>
      <w:r>
        <w:rPr>
          <w:rFonts w:hint="default" w:ascii="Times New Roman" w:hAnsi="Times New Roman" w:cs="Times New Roman"/>
          <w:color w:val="auto"/>
          <w:sz w:val="24"/>
          <w:szCs w:val="24"/>
        </w:rPr>
        <w:t>——定性评价指标体系中第i项二级指标的得分值；</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n</w:t>
      </w:r>
      <w:r>
        <w:rPr>
          <w:rFonts w:hint="default" w:ascii="Times New Roman" w:hAnsi="Times New Roman" w:cs="Times New Roman"/>
          <w:color w:val="auto"/>
          <w:sz w:val="24"/>
          <w:szCs w:val="24"/>
        </w:rPr>
        <w:t>——参与考核的定性评价二级指标的项目总数。</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③综合评价指数考核评分计算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综合评价指数计算公式为：</w:t>
      </w:r>
    </w:p>
    <w:p>
      <w:pPr>
        <w:snapToGrid w:val="0"/>
        <w:spacing w:line="360" w:lineRule="auto"/>
        <w:ind w:firstLine="480"/>
        <w:jc w:val="center"/>
        <w:rPr>
          <w:rFonts w:hint="default" w:ascii="Times New Roman" w:hAnsi="Times New Roman" w:eastAsia="宋体" w:cs="Times New Roman"/>
          <w:i/>
          <w:color w:val="auto"/>
          <w:sz w:val="24"/>
          <w:vertAlign w:val="subscript"/>
        </w:rPr>
      </w:pPr>
      <w:r>
        <w:rPr>
          <w:rFonts w:hint="default" w:ascii="Times New Roman" w:hAnsi="Times New Roman" w:eastAsia="宋体" w:cs="Times New Roman"/>
          <w:i/>
          <w:color w:val="auto"/>
          <w:position w:val="-10"/>
          <w:sz w:val="24"/>
          <w:vertAlign w:val="subscript"/>
        </w:rPr>
        <w:object>
          <v:shape id="_x0000_i1028" o:spt="75" type="#_x0000_t75" style="height:19.5pt;width:136.5pt;" o:ole="t" filled="f" o:preferrelative="t" stroked="f" coordsize="21600,21600">
            <v:path/>
            <v:fill on="f" focussize="0,0"/>
            <v:stroke on="f" joinstyle="miter"/>
            <v:imagedata r:id="rId34" o:title=""/>
            <o:lock v:ext="edit" aspectratio="t"/>
            <w10:wrap type="none"/>
            <w10:anchorlock/>
          </v:shape>
          <o:OLEObject Type="Embed" ProgID="Equation.KSEE3" ShapeID="_x0000_i1028" DrawAspect="Content" ObjectID="_1468075728" r:id="rId33">
            <o:LockedField>false</o:LockedField>
          </o:OLEObject>
        </w:objec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color w:val="auto"/>
          <w:sz w:val="24"/>
          <w:szCs w:val="24"/>
        </w:rPr>
        <w:t>P</w:t>
      </w:r>
      <w:r>
        <w:rPr>
          <w:rFonts w:hint="default" w:ascii="Times New Roman" w:hAnsi="Times New Roman" w:cs="Times New Roman"/>
          <w:color w:val="auto"/>
          <w:sz w:val="24"/>
          <w:szCs w:val="24"/>
        </w:rPr>
        <w:t>——清洁生产综合评价指数；</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P</w:t>
      </w:r>
      <w:r>
        <w:rPr>
          <w:rFonts w:hint="default" w:ascii="Times New Roman" w:hAnsi="Times New Roman" w:cs="Times New Roman"/>
          <w:i/>
          <w:color w:val="auto"/>
          <w:sz w:val="24"/>
          <w:szCs w:val="24"/>
          <w:vertAlign w:val="subscript"/>
        </w:rPr>
        <w:t>1</w:t>
      </w:r>
      <w:r>
        <w:rPr>
          <w:rFonts w:hint="default" w:ascii="Times New Roman" w:hAnsi="Times New Roman" w:cs="Times New Roman"/>
          <w:color w:val="auto"/>
          <w:sz w:val="24"/>
          <w:szCs w:val="24"/>
        </w:rPr>
        <w:t>——定量评价指标考核总分值；</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P</w:t>
      </w:r>
      <w:r>
        <w:rPr>
          <w:rFonts w:hint="default" w:ascii="Times New Roman" w:hAnsi="Times New Roman" w:cs="Times New Roman"/>
          <w:i/>
          <w:color w:val="auto"/>
          <w:sz w:val="24"/>
          <w:szCs w:val="24"/>
          <w:vertAlign w:val="subscript"/>
        </w:rPr>
        <w:t>2</w:t>
      </w:r>
      <w:r>
        <w:rPr>
          <w:rFonts w:hint="default" w:ascii="Times New Roman" w:hAnsi="Times New Roman" w:cs="Times New Roman"/>
          <w:color w:val="auto"/>
          <w:sz w:val="24"/>
          <w:szCs w:val="24"/>
        </w:rPr>
        <w:t>——定性评价指标考核总分值。</w:t>
      </w:r>
    </w:p>
    <w:bookmarkEnd w:id="222"/>
    <w:p>
      <w:pPr>
        <w:widowControl/>
        <w:spacing w:line="360" w:lineRule="auto"/>
        <w:ind w:firstLine="480"/>
        <w:jc w:val="left"/>
        <w:rPr>
          <w:rFonts w:hint="default" w:ascii="Times New Roman" w:hAnsi="Times New Roman" w:eastAsia="宋体" w:cs="Times New Roman"/>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表3.8-1  钻井作业定量和定性评价指标项目、权重及基准值</w:t>
      </w:r>
    </w:p>
    <w:tbl>
      <w:tblPr>
        <w:tblStyle w:val="31"/>
        <w:tblW w:w="14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14"/>
        <w:gridCol w:w="246"/>
        <w:gridCol w:w="746"/>
        <w:gridCol w:w="117"/>
        <w:gridCol w:w="1584"/>
        <w:gridCol w:w="434"/>
        <w:gridCol w:w="3135"/>
        <w:gridCol w:w="900"/>
        <w:gridCol w:w="2118"/>
        <w:gridCol w:w="2925"/>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0694" w:type="dxa"/>
            <w:gridSpan w:val="9"/>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定量指标</w:t>
            </w:r>
          </w:p>
        </w:tc>
        <w:tc>
          <w:tcPr>
            <w:tcW w:w="348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一级指标</w:t>
            </w:r>
          </w:p>
        </w:tc>
        <w:tc>
          <w:tcPr>
            <w:tcW w:w="86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权重值</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二级指标</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权重分值</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评价基准值</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本工程指标</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（1）资源和能源消耗指标</w:t>
            </w:r>
          </w:p>
        </w:tc>
        <w:tc>
          <w:tcPr>
            <w:tcW w:w="86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占地面积</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hm</w:t>
            </w:r>
            <w:r>
              <w:rPr>
                <w:rFonts w:hint="default" w:ascii="Times New Roman" w:hAnsi="Times New Roman" w:cs="Times New Roman"/>
                <w:color w:val="auto"/>
                <w:vertAlign w:val="superscript"/>
              </w:rPr>
              <w:t>2</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符合行业标准要求</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9.72</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新鲜水消耗</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t/100m标准进尺</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≤25</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12.5</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（2）生产技术特征指标</w:t>
            </w:r>
          </w:p>
        </w:tc>
        <w:tc>
          <w:tcPr>
            <w:tcW w:w="86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固井质量合格率</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≥95</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95</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（3）资源综合利用指标</w:t>
            </w:r>
          </w:p>
        </w:tc>
        <w:tc>
          <w:tcPr>
            <w:tcW w:w="86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钻井液循环率</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井深：2000m以下；2000—3000m；</w:t>
            </w:r>
          </w:p>
          <w:p>
            <w:pPr>
              <w:pStyle w:val="47"/>
              <w:rPr>
                <w:rFonts w:hint="default" w:ascii="Times New Roman" w:hAnsi="Times New Roman" w:cs="Times New Roman"/>
                <w:color w:val="auto"/>
              </w:rPr>
            </w:pPr>
            <w:r>
              <w:rPr>
                <w:rFonts w:hint="default" w:ascii="Times New Roman" w:hAnsi="Times New Roman" w:cs="Times New Roman"/>
                <w:color w:val="auto"/>
              </w:rPr>
              <w:t>3000m以上</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≥40%；≥50%；≥60%</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本工程井深</w:t>
            </w:r>
            <w:r>
              <w:rPr>
                <w:rFonts w:hint="eastAsia" w:cs="Times New Roman"/>
                <w:color w:val="auto"/>
                <w:lang w:val="en-US" w:eastAsia="zh-CN"/>
              </w:rPr>
              <w:t>2015</w:t>
            </w:r>
            <w:r>
              <w:rPr>
                <w:rFonts w:hint="default" w:ascii="Times New Roman" w:hAnsi="Times New Roman" w:cs="Times New Roman"/>
                <w:color w:val="auto"/>
              </w:rPr>
              <w:t>m；钻井液循环率90%</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柴油机效率</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≥80</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85</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污油回收率</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（4）污染物指标</w:t>
            </w:r>
          </w:p>
        </w:tc>
        <w:tc>
          <w:tcPr>
            <w:tcW w:w="86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35</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钻井废水产生量</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t/100m标准进尺</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甲类区：≤30；</w:t>
            </w:r>
          </w:p>
          <w:p>
            <w:pPr>
              <w:pStyle w:val="47"/>
              <w:rPr>
                <w:rFonts w:hint="default" w:ascii="Times New Roman" w:hAnsi="Times New Roman" w:cs="Times New Roman"/>
                <w:color w:val="auto"/>
              </w:rPr>
            </w:pPr>
            <w:r>
              <w:rPr>
                <w:rFonts w:hint="default" w:ascii="Times New Roman" w:hAnsi="Times New Roman" w:cs="Times New Roman"/>
                <w:color w:val="auto"/>
              </w:rPr>
              <w:t>乙类区：≤35</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废弃钻井液产生量</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/100m标准进尺</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钻井液循环使用</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柴油机烟气排放浓度</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符合排放标准要求</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符合《大气污染物综合排放标准》（GB16297-1996）中新污染源无组织排放监控点浓度限值</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石油类排放浓度</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mg/L</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项目废水不外排</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COD排放浓度</w:t>
            </w:r>
          </w:p>
        </w:tc>
        <w:tc>
          <w:tcPr>
            <w:tcW w:w="31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mg/L</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11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甲类区：≤100；</w:t>
            </w:r>
          </w:p>
          <w:p>
            <w:pPr>
              <w:pStyle w:val="47"/>
              <w:rPr>
                <w:rFonts w:hint="default" w:ascii="Times New Roman" w:hAnsi="Times New Roman" w:cs="Times New Roman"/>
                <w:color w:val="auto"/>
              </w:rPr>
            </w:pPr>
            <w:r>
              <w:rPr>
                <w:rFonts w:hint="default" w:ascii="Times New Roman" w:hAnsi="Times New Roman" w:cs="Times New Roman"/>
                <w:color w:val="auto"/>
              </w:rPr>
              <w:t>乙类区：≤150</w:t>
            </w:r>
          </w:p>
        </w:tc>
        <w:tc>
          <w:tcPr>
            <w:tcW w:w="292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项目废水不外排</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8576" w:type="dxa"/>
            <w:gridSpan w:val="8"/>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定性指标</w:t>
            </w:r>
          </w:p>
        </w:tc>
        <w:tc>
          <w:tcPr>
            <w:tcW w:w="559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一级指标</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权重值</w:t>
            </w: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二级指标</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指标分值</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本工程指标</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（1）资源与能源消耗指标</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钻井液消毒</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可生物降解或无毒钻井液</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钾钙基有机盐钻井液体系</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柴油消耗</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具有节油措施</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具有节油措施</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（2）生产技术特征指标</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钻井设备</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国内领先</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国内领先</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压力平衡技术</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具备欠平衡技术</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具备欠平衡技术</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钻井液收集设施</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配有收集设施，且使钻井液不落地</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井下作业时带罐作业</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固控设备</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配备振动筛、除气器、除泥器、除砂器、离心机等固控设备</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配备了振动筛、除气器、除泥器、除砂器、离心机等固控设备</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井控措施</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有无防噪措施</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有</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有</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（3）管理体系建设及清洁生产审核</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35</w:t>
            </w: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建立HSE管理体系</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陆梁油田作业区建立有HSE管理体系</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开展清洁生产审核，并通过验收</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所属油田作业区已完成清洁生产审核</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lang w:eastAsia="zh-CN"/>
              </w:rPr>
              <w:t>制定</w:t>
            </w:r>
            <w:r>
              <w:rPr>
                <w:rFonts w:hint="default" w:ascii="Times New Roman" w:hAnsi="Times New Roman" w:cs="Times New Roman"/>
                <w:color w:val="auto"/>
              </w:rPr>
              <w:t>节能减排工作计划</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制定有节能减排工作计划</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（4）贯彻执行环境保护法规符合性</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废弃钻井泥浆处置措施满足法规要求</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废弃钻井泥浆采用钻井不落地技术收集，</w:t>
            </w:r>
            <w:r>
              <w:rPr>
                <w:rFonts w:hint="default" w:ascii="Times New Roman" w:hAnsi="Times New Roman" w:cs="Times New Roman"/>
                <w:bCs/>
                <w:color w:val="auto"/>
              </w:rPr>
              <w:t>本项目钻井期使用的泥浆为环保水基泥浆，未添加磺化物，为环境友好的钻井液，水基泥浆随钻井队用于后续钻井使用</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污染物排放总量控制与减排措施情况</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污染和排放满足总量控制和减排要求</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满足其他法律法规要求</w:t>
            </w:r>
          </w:p>
        </w:tc>
        <w:tc>
          <w:tcPr>
            <w:tcW w:w="90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满足</w:t>
            </w:r>
          </w:p>
        </w:tc>
        <w:tc>
          <w:tcPr>
            <w:tcW w:w="55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bl>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表3.8-2  井下作业定量和定性评价指标项目、权重及基准值</w:t>
      </w:r>
    </w:p>
    <w:tbl>
      <w:tblPr>
        <w:tblStyle w:val="31"/>
        <w:tblW w:w="14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76"/>
        <w:gridCol w:w="132"/>
        <w:gridCol w:w="723"/>
        <w:gridCol w:w="127"/>
        <w:gridCol w:w="2600"/>
        <w:gridCol w:w="90"/>
        <w:gridCol w:w="1124"/>
        <w:gridCol w:w="1098"/>
        <w:gridCol w:w="1177"/>
        <w:gridCol w:w="1620"/>
        <w:gridCol w:w="313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0367" w:type="dxa"/>
            <w:gridSpan w:val="10"/>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定量指标</w:t>
            </w:r>
          </w:p>
        </w:tc>
        <w:tc>
          <w:tcPr>
            <w:tcW w:w="380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一级指标</w:t>
            </w:r>
          </w:p>
        </w:tc>
        <w:tc>
          <w:tcPr>
            <w:tcW w:w="85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权重值</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二级指标</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权重分值</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评价基准值</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kern w:val="0"/>
              </w:rPr>
              <w:t>本工程指标</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（1）资源和能源消耗指标</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作业液消耗</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单位能耗</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行业基本水平</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符合</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新鲜水消耗</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（2）生产技术特征指标</w:t>
            </w:r>
          </w:p>
        </w:tc>
        <w:tc>
          <w:tcPr>
            <w:tcW w:w="85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压裂放喷返排入罐率</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（3）资源综合利用指标</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落地原油回收利用率</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生产过程排出物利用率</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（4）污染物产生指标</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作业废液排放量</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石油类排放浓度</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mg/L</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甲类区：≤10；乙类区：≤50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COD排放浓度</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mg/L</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甲类区：≤100；乙类区：≤150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含油污泥排放量</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甲类区：≤50；乙类区：≤70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一般固体废物（生活垃圾）</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符合环保要求</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符合</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0367" w:type="dxa"/>
            <w:gridSpan w:val="10"/>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定性指标</w:t>
            </w:r>
          </w:p>
        </w:tc>
        <w:tc>
          <w:tcPr>
            <w:tcW w:w="380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一级指标</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权重值</w:t>
            </w: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二级指标</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指标分值</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kern w:val="0"/>
              </w:rPr>
              <w:t>本工程指标</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kern w:val="0"/>
              </w:rPr>
            </w:pPr>
            <w:r>
              <w:rPr>
                <w:rFonts w:hint="default" w:ascii="Times New Roman" w:hAnsi="Times New Roman" w:cs="Times New Roman"/>
                <w:b/>
                <w:bCs/>
                <w:color w:val="auto"/>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（1）生产工艺及设备要求</w:t>
            </w:r>
          </w:p>
        </w:tc>
        <w:tc>
          <w:tcPr>
            <w:tcW w:w="85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40</w:t>
            </w: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防喷措施</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地面管线防刺防漏措施</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按标准试压</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按标准试压</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防溢设备（防溢池设置）</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防渗范围</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废水、使用液、原油等可能落地处</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废水、使用液、原油等可能落地处</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作业废液污染控制措施</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集中回收处理</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kern w:val="0"/>
              </w:rPr>
              <w:t>井下作业时带罐作业</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防止落地原油产生措施</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具备原油回收设施</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井下作业时要求带罐作业，落地油100%回收，回收后的落地油运至陆梁集中处理站处理</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（2）管理体系建设及清洁生产审核</w:t>
            </w:r>
          </w:p>
        </w:tc>
        <w:tc>
          <w:tcPr>
            <w:tcW w:w="85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40</w:t>
            </w: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建立HSE管理体系并通过认证</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陆梁油田作业区建立了HSE管理体系并通过认证</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开展清洁生产审核</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kern w:val="0"/>
              </w:rPr>
              <w:t>所属油田作业区已完成清洁生产审核</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制订节能减排工作计划</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kern w:val="0"/>
              </w:rPr>
              <w:t>制定有节能减排工作计划</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（3）贯彻执行环境保护法规符合性</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满足其他法律法规要求</w:t>
            </w:r>
          </w:p>
        </w:tc>
        <w:tc>
          <w:tcPr>
            <w:tcW w:w="162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313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满足其他法律法规要求</w:t>
            </w:r>
          </w:p>
        </w:tc>
        <w:tc>
          <w:tcPr>
            <w:tcW w:w="67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r>
    </w:tbl>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 xml:space="preserve">表3.8-3  </w:t>
      </w:r>
      <w:bookmarkStart w:id="224" w:name="_Hlk92733391"/>
      <w:r>
        <w:rPr>
          <w:rFonts w:hint="default" w:ascii="Times New Roman" w:hAnsi="Times New Roman" w:cs="Times New Roman"/>
          <w:b/>
          <w:color w:val="auto"/>
          <w:sz w:val="21"/>
          <w:szCs w:val="15"/>
        </w:rPr>
        <w:t>采油（气）作业</w:t>
      </w:r>
      <w:bookmarkEnd w:id="224"/>
      <w:r>
        <w:rPr>
          <w:rFonts w:hint="default" w:ascii="Times New Roman" w:hAnsi="Times New Roman" w:cs="Times New Roman"/>
          <w:b/>
          <w:color w:val="auto"/>
          <w:sz w:val="21"/>
          <w:szCs w:val="15"/>
        </w:rPr>
        <w:t>定量和定性评价指标项目、权重及基准值</w:t>
      </w:r>
    </w:p>
    <w:tbl>
      <w:tblPr>
        <w:tblStyle w:val="31"/>
        <w:tblW w:w="14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322"/>
        <w:gridCol w:w="194"/>
        <w:gridCol w:w="567"/>
        <w:gridCol w:w="440"/>
        <w:gridCol w:w="2690"/>
        <w:gridCol w:w="568"/>
        <w:gridCol w:w="429"/>
        <w:gridCol w:w="1241"/>
        <w:gridCol w:w="1437"/>
        <w:gridCol w:w="327"/>
        <w:gridCol w:w="572"/>
        <w:gridCol w:w="510"/>
        <w:gridCol w:w="1403"/>
        <w:gridCol w:w="821"/>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75" w:type="dxa"/>
            <w:gridSpan w:val="15"/>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定量指标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一级指标</w:t>
            </w:r>
          </w:p>
        </w:tc>
        <w:tc>
          <w:tcPr>
            <w:tcW w:w="1007"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权重值</w:t>
            </w:r>
          </w:p>
        </w:tc>
        <w:tc>
          <w:tcPr>
            <w:tcW w:w="3258"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二级指标</w:t>
            </w:r>
          </w:p>
        </w:tc>
        <w:tc>
          <w:tcPr>
            <w:tcW w:w="167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1437"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权重值</w:t>
            </w:r>
          </w:p>
        </w:tc>
        <w:tc>
          <w:tcPr>
            <w:tcW w:w="1409" w:type="dxa"/>
            <w:gridSpan w:val="3"/>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评价基准值</w:t>
            </w:r>
          </w:p>
        </w:tc>
        <w:tc>
          <w:tcPr>
            <w:tcW w:w="2878"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25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167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1437"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1409"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kern w:val="0"/>
              </w:rPr>
              <w:t>本工程指标</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（1）资源和能源消耗指标</w:t>
            </w:r>
          </w:p>
        </w:tc>
        <w:tc>
          <w:tcPr>
            <w:tcW w:w="1007"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综合能耗</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kg标煤/t采出液</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稀油：≤65</w:t>
            </w:r>
          </w:p>
          <w:p>
            <w:pPr>
              <w:pStyle w:val="47"/>
              <w:rPr>
                <w:rFonts w:hint="default" w:ascii="Times New Roman" w:hAnsi="Times New Roman" w:cs="Times New Roman"/>
                <w:color w:val="auto"/>
              </w:rPr>
            </w:pPr>
            <w:r>
              <w:rPr>
                <w:rFonts w:hint="default" w:ascii="Times New Roman" w:hAnsi="Times New Roman" w:cs="Times New Roman"/>
                <w:color w:val="auto"/>
              </w:rPr>
              <w:t>稠油：≤160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eastAsia" w:cs="Times New Roman"/>
                <w:color w:val="auto"/>
                <w:lang w:eastAsia="zh-CN"/>
              </w:rPr>
              <w:t>&lt;</w:t>
            </w:r>
            <w:r>
              <w:rPr>
                <w:rFonts w:hint="default" w:ascii="Times New Roman" w:hAnsi="Times New Roman" w:cs="Times New Roman"/>
                <w:color w:val="auto"/>
              </w:rPr>
              <w:t>65</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（2）资源综合利用指标</w:t>
            </w:r>
          </w:p>
        </w:tc>
        <w:tc>
          <w:tcPr>
            <w:tcW w:w="1007"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余热余能利用率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油井伴生气回收利用率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99</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含油污泥资源化利用率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（3）污染物产生指标</w:t>
            </w:r>
          </w:p>
        </w:tc>
        <w:tc>
          <w:tcPr>
            <w:tcW w:w="1007"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40</w:t>
            </w: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石油类</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mg/L</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COD</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mg/L</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乙类区：≤150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落地原油回收率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采油废水回用率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油井伴生气外排率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采出废水达标排放率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≥80</w:t>
            </w:r>
          </w:p>
        </w:tc>
        <w:tc>
          <w:tcPr>
            <w:tcW w:w="1403"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75" w:type="dxa"/>
            <w:gridSpan w:val="15"/>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定性指标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一级指标</w:t>
            </w:r>
          </w:p>
        </w:tc>
        <w:tc>
          <w:tcPr>
            <w:tcW w:w="76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指标</w:t>
            </w:r>
          </w:p>
          <w:p>
            <w:pPr>
              <w:pStyle w:val="47"/>
              <w:rPr>
                <w:rFonts w:hint="default" w:ascii="Times New Roman" w:hAnsi="Times New Roman" w:cs="Times New Roman"/>
                <w:b/>
                <w:bCs/>
                <w:color w:val="auto"/>
              </w:rPr>
            </w:pPr>
            <w:r>
              <w:rPr>
                <w:rFonts w:hint="default" w:ascii="Times New Roman" w:hAnsi="Times New Roman" w:cs="Times New Roman"/>
                <w:b/>
                <w:bCs/>
                <w:color w:val="auto"/>
              </w:rPr>
              <w:t>分值</w:t>
            </w:r>
          </w:p>
        </w:tc>
        <w:tc>
          <w:tcPr>
            <w:tcW w:w="7132" w:type="dxa"/>
            <w:gridSpan w:val="7"/>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二级指标</w:t>
            </w:r>
          </w:p>
        </w:tc>
        <w:tc>
          <w:tcPr>
            <w:tcW w:w="572"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指标</w:t>
            </w:r>
          </w:p>
          <w:p>
            <w:pPr>
              <w:pStyle w:val="47"/>
              <w:rPr>
                <w:rFonts w:hint="default" w:ascii="Times New Roman" w:hAnsi="Times New Roman" w:cs="Times New Roman"/>
                <w:b/>
                <w:bCs/>
                <w:color w:val="auto"/>
              </w:rPr>
            </w:pPr>
            <w:r>
              <w:rPr>
                <w:rFonts w:hint="default" w:ascii="Times New Roman" w:hAnsi="Times New Roman" w:cs="Times New Roman"/>
                <w:b/>
                <w:bCs/>
                <w:color w:val="auto"/>
              </w:rPr>
              <w:t>分值</w:t>
            </w:r>
          </w:p>
        </w:tc>
        <w:tc>
          <w:tcPr>
            <w:tcW w:w="3388"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132" w:type="dxa"/>
            <w:gridSpan w:val="7"/>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57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kern w:val="0"/>
              </w:rPr>
              <w:t>本工程指标</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（1）生产工艺及设备要求</w:t>
            </w:r>
          </w:p>
        </w:tc>
        <w:tc>
          <w:tcPr>
            <w:tcW w:w="76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45</w:t>
            </w:r>
          </w:p>
        </w:tc>
        <w:tc>
          <w:tcPr>
            <w:tcW w:w="3698"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井筒质量</w:t>
            </w:r>
          </w:p>
        </w:tc>
        <w:tc>
          <w:tcPr>
            <w:tcW w:w="3434"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井筒设施完好</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井筒设施完好</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采气</w:t>
            </w:r>
          </w:p>
        </w:tc>
        <w:tc>
          <w:tcPr>
            <w:tcW w:w="26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采气过程醇回收设施</w:t>
            </w:r>
          </w:p>
        </w:tc>
        <w:tc>
          <w:tcPr>
            <w:tcW w:w="56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429"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套管气回收装置</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有套管气回收装置</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440"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2690"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天然气净化设施先进、净化效率高</w:t>
            </w:r>
          </w:p>
        </w:tc>
        <w:tc>
          <w:tcPr>
            <w:tcW w:w="568"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429"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3005"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防止落地原油产生措施</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kern w:val="0"/>
              </w:rPr>
              <w:t>井下作业时带罐作业</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4127"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采油方式</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采油方式经过综合评价确定</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注水采油</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4127" w:type="dxa"/>
            <w:gridSpan w:val="4"/>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集输流程</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全密闭流程，并具有轻烃回收装置</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全密闭集输工艺</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（2）环境管理体系建设及清洁生产审核</w:t>
            </w:r>
          </w:p>
        </w:tc>
        <w:tc>
          <w:tcPr>
            <w:tcW w:w="76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35</w:t>
            </w: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建立HSE管理体系并通过认证</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陆梁油田作业区建立了HSE管理体系并通过认证</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开展清洁生产审核，并通过验收</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所属油田作业区已完成清洁生产审核</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制定节能减排工作计划</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kern w:val="0"/>
              </w:rPr>
              <w:t>制定有节能减排工作计划</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（3）贯彻执行环境保护政策法规的执行情况</w:t>
            </w:r>
          </w:p>
        </w:tc>
        <w:tc>
          <w:tcPr>
            <w:tcW w:w="76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建设项目环保“三同时”制度执行情况</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按要求执行</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建设项目环境影响评价制度执行情况</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按要求执行</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老污染源限期治理项目完成情况</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已完成</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污染物排放</w:t>
            </w:r>
            <w:r>
              <w:rPr>
                <w:rFonts w:hint="default" w:ascii="Times New Roman" w:hAnsi="Times New Roman" w:cs="Times New Roman"/>
                <w:color w:val="auto"/>
                <w:highlight w:val="none"/>
              </w:rPr>
              <w:t>总量控制</w:t>
            </w:r>
            <w:r>
              <w:rPr>
                <w:rFonts w:hint="default" w:ascii="Times New Roman" w:hAnsi="Times New Roman" w:cs="Times New Roman"/>
                <w:color w:val="auto"/>
              </w:rPr>
              <w:t>与减排指标完成情况</w:t>
            </w:r>
          </w:p>
        </w:tc>
        <w:tc>
          <w:tcPr>
            <w:tcW w:w="572"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kern w:val="0"/>
              </w:rPr>
              <w:t>污染和排放满足总量控制和减排要求</w:t>
            </w:r>
          </w:p>
        </w:tc>
        <w:tc>
          <w:tcPr>
            <w:tcW w:w="654"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w:t>
            </w:r>
          </w:p>
        </w:tc>
      </w:tr>
    </w:tbl>
    <w:p>
      <w:pPr>
        <w:pStyle w:val="56"/>
        <w:rPr>
          <w:rFonts w:hint="default" w:ascii="Times New Roman" w:hAnsi="Times New Roman" w:cs="Times New Roman"/>
          <w:color w:val="auto"/>
        </w:rPr>
      </w:pPr>
    </w:p>
    <w:p>
      <w:pPr>
        <w:pStyle w:val="56"/>
        <w:rPr>
          <w:rFonts w:hint="default" w:ascii="Times New Roman" w:hAnsi="Times New Roman" w:cs="Times New Roman"/>
          <w:color w:val="auto"/>
          <w:szCs w:val="24"/>
        </w:rPr>
      </w:pPr>
    </w:p>
    <w:p>
      <w:pPr>
        <w:widowControl/>
        <w:ind w:firstLine="480"/>
        <w:jc w:val="left"/>
        <w:rPr>
          <w:rFonts w:hint="default" w:ascii="Times New Roman" w:hAnsi="Times New Roman" w:eastAsia="宋体" w:cs="Times New Roman"/>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6"/>
        <w:spacing w:line="360" w:lineRule="auto"/>
        <w:rPr>
          <w:rFonts w:hint="default" w:ascii="Times New Roman" w:hAnsi="Times New Roman" w:cs="Times New Roman"/>
          <w:color w:val="auto"/>
          <w:szCs w:val="24"/>
        </w:rPr>
      </w:pPr>
      <w:r>
        <w:rPr>
          <w:rFonts w:hint="default" w:ascii="Times New Roman" w:hAnsi="Times New Roman" w:cs="Times New Roman"/>
          <w:color w:val="auto"/>
          <w:sz w:val="24"/>
          <w:szCs w:val="24"/>
        </w:rPr>
        <w:t>根据目前我国石油和天然气开采行业的实际情况，不同等级的清洁生产企业的综合评价指标见表3.8-4。</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表3.8-4  石油和天然气开采行业不同等级清洁生产企业综合评价指数</w:t>
      </w:r>
    </w:p>
    <w:tbl>
      <w:tblPr>
        <w:tblStyle w:val="31"/>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清洁生产企业等级</w:t>
            </w:r>
          </w:p>
        </w:tc>
        <w:tc>
          <w:tcPr>
            <w:tcW w:w="45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清洁生产综合评价指数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清洁生产先进企业</w:t>
            </w:r>
          </w:p>
        </w:tc>
        <w:tc>
          <w:tcPr>
            <w:tcW w:w="45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P≥90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36"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清洁生产企业</w:t>
            </w:r>
          </w:p>
        </w:tc>
        <w:tc>
          <w:tcPr>
            <w:tcW w:w="4535" w:type="dxa"/>
            <w:tcBorders>
              <w:top w:val="single" w:color="auto" w:sz="4" w:space="0"/>
              <w:left w:val="single" w:color="auto" w:sz="4" w:space="0"/>
              <w:bottom w:val="single" w:color="auto" w:sz="4" w:space="0"/>
              <w:right w:val="single" w:color="auto" w:sz="4" w:space="0"/>
            </w:tcBorders>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75≤P</w:t>
            </w:r>
            <w:r>
              <w:rPr>
                <w:rFonts w:hint="eastAsia" w:cs="Times New Roman"/>
                <w:color w:val="auto"/>
                <w:lang w:eastAsia="zh-CN"/>
              </w:rPr>
              <w:t>&lt;</w:t>
            </w:r>
            <w:r>
              <w:rPr>
                <w:rFonts w:hint="default" w:ascii="Times New Roman" w:hAnsi="Times New Roman" w:cs="Times New Roman"/>
                <w:color w:val="auto"/>
              </w:rPr>
              <w:t>90</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表3.8-1～表3.8-3计算得出：本工程钻井作业定量指标得分100分，定性指标得分100分，综合评价指数得分100分；井下作业定量指标得分100分，定性指标得分100分，综合评价指数得分100分；采油作业定量指标得分90分，定性指标得分100分，综合评价指数得分94分；综合评价指数平均得分98分，达到P≥90，属于清洁生产先进企业。</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3.8.3清洁生产建议</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本项目较好地考虑了清洁生产的要求，但为更好地、持续地进行清洁生产，针对钻井液循环率低的情况，提出以下建议。</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（1）采用闭合泥浆循环系统。对钻井液性能进行四级净化，避免钻井液的频繁稀释及反复加药，这样可以使钻井液体积减小，耗药量降低，从而使完井后的废钻井液处理量降低。</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（2）回收再利用：可以用机械方法将废弃泥浆转化为干粉再利用，主要回收加重剂和少量钻屑及膨润土。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（3）搞好固井，防止固井工程事故，而增加钻井废液的排放量。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提高钻井泥浆固相控制效率。钻井液密度是一项重要的性能指标，其必须控制在一定范围内。随着钻井液的重复使用，泥浆中的固相含量一般会逐渐升高，升至一定限度后必须加药加水重新调制，因此，提高钻井液固控系统的处理效率，控制钻井液中固相含量的升高，对减少钻井液的产生和排放量起着重要作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（5）提高钻井泥浆抑制能力，控制地层造浆。具体措施是采用具有抑制泥页岩水化作用的钻井液，抑制由于地层水向井筒浸渗而形成的表面造浆，从而减少在表层钻进时泥浆量的迅速增加。</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针对废洗井液产生指标高的情况，提出以下建议：利用井口出水压力将污水注入洗井车内进行净化处理，处理后的清水排入水箱，再用泵车注入井内，如此循环直至合格。</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3.8.4持续清洁生产</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清洁生产是一个相对的概念，推行清洁生产是一个不间断的过程。作为业主应成立相应的组织机构（或由环保、安全等部门牵头，其他部门参加），依据有关环保法规和节能、节水规定，在工程的开发建设和生产运营中，制定相应的预防污染计划和措施，并根据企业的经营发展情况，有组织、有计划地安排和协调，有序地实行清洁生产；广泛收集新的工艺信息，国内外先进技术信息，清洁生产技术信息，不断地开发研究和应用新的清洁生产技术；同时还要不断地对员工进行培训，以提高他们对清洁生产的认识和自觉推行清洁生产的意识，把清洁生产持续地推向各个生产岗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由于清洁生产是一个相对的动态过程，因此，保持清洁生产的P（计划）、D（实施）、C（检查）、A（改进）—持续改进是极其重要的。为了使清洁生产不间断地开展下去，必须做到以下几点：</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（1）建立和完善清洁生产组织；</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（2）建立和完善清洁生产管理制度；</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（3）制定持续清洁生产计划。</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企业要在生产运营中，制定相应的预防污染计划，有序地推行清洁生产，定期对清洁生产情况作出评价。</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①全面评价企业生产全过程及其各个过程单元或环节的运行管理现状，掌握运营过程的原材料、能源与产品、废物（污染物）的输入输出状况；</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②分析识别影响资源能源有效利用，造成废物产生，以及制约企业生产效率的原因或“瓶颈”问题；</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③产生并确定企业从产品、原材料、技术工艺、生产运行管理，以及废物循环利用等多途径进行综合污染预防的机会、方案与实施计划；</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④不断提高企业管理者与广大职工清洁生产的意识与参与程度，促进清洁生产在企业的持续改进。</w:t>
      </w:r>
    </w:p>
    <w:p>
      <w:pPr>
        <w:pStyle w:val="3"/>
        <w:spacing w:before="10" w:after="10"/>
        <w:rPr>
          <w:rFonts w:hint="default" w:ascii="Times New Roman" w:hAnsi="Times New Roman" w:eastAsia="宋体" w:cs="Times New Roman"/>
          <w:color w:val="auto"/>
        </w:rPr>
      </w:pPr>
      <w:bookmarkStart w:id="225" w:name="_Toc16963"/>
      <w:bookmarkStart w:id="226" w:name="_Toc30167"/>
      <w:r>
        <w:rPr>
          <w:rFonts w:hint="default" w:ascii="Times New Roman" w:hAnsi="Times New Roman" w:eastAsia="宋体" w:cs="Times New Roman"/>
          <w:color w:val="auto"/>
        </w:rPr>
        <w:t>3.9污染物排放总量控制</w:t>
      </w:r>
      <w:bookmarkEnd w:id="225"/>
      <w:bookmarkEnd w:id="226"/>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3.9.1总量控制原则</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3.9.2污染物总量控制因子</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根据国家环境保护总量控制要求，结合本项目污染特征，确定本项目总量控制及考核因子如下：</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（1）废气污染物</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本项目主要废气污染物为油气输送过程中无组织挥发的非甲烷总烃和伴生气燃烧废气。</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①总量控制指标：VOCs；</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②建议考核指标：非甲烷总烃；</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（2）废水污染物</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本项目生产过程产生的废水主要为采出水、井下作业废水、废洗井液，均由陆梁集中处理站进行处置，处理合格后用于油藏回注，不外排。</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3.9.3总量控制建议指标</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由于施工期的钻井作业集中于较短时间内，钻井期间排放的污染物将随钻井工程的结束而消亡，故不考虑对施工期间产生的污染物进行总量控制。</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（2）运营期</w:t>
      </w:r>
    </w:p>
    <w:p>
      <w:pPr>
        <w:spacing w:line="360" w:lineRule="auto"/>
        <w:ind w:firstLine="480" w:firstLineChars="200"/>
        <w:rPr>
          <w:rFonts w:hint="default" w:ascii="Times New Roman" w:hAnsi="Times New Roman" w:eastAsia="宋体" w:cs="Times New Roman"/>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Cs/>
          <w:color w:val="auto"/>
          <w:sz w:val="24"/>
        </w:rPr>
        <w:t>根据工程分析，本项目运营期废气污染物主要为非甲烷总烃</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硫化氢</w:t>
      </w:r>
      <w:r>
        <w:rPr>
          <w:rFonts w:hint="default" w:ascii="Times New Roman" w:hAnsi="Times New Roman" w:eastAsia="宋体" w:cs="Times New Roman"/>
          <w:bCs/>
          <w:color w:val="auto"/>
          <w:sz w:val="24"/>
        </w:rPr>
        <w:t>，均为无组织排放，非甲烷总烃排放量为</w:t>
      </w:r>
      <w:r>
        <w:rPr>
          <w:rFonts w:hint="eastAsia" w:ascii="Times New Roman" w:hAnsi="Times New Roman" w:eastAsia="宋体" w:cs="Times New Roman"/>
          <w:bCs/>
          <w:color w:val="auto"/>
          <w:sz w:val="24"/>
          <w:lang w:eastAsia="zh-CN"/>
        </w:rPr>
        <w:t>0.2714</w:t>
      </w:r>
      <w:r>
        <w:rPr>
          <w:rFonts w:hint="default" w:ascii="Times New Roman" w:hAnsi="Times New Roman" w:eastAsia="宋体" w:cs="Times New Roman"/>
          <w:bCs/>
          <w:color w:val="auto"/>
          <w:sz w:val="24"/>
        </w:rPr>
        <w:t>t/a。</w:t>
      </w:r>
      <w:bookmarkEnd w:id="81"/>
    </w:p>
    <w:p>
      <w:pPr>
        <w:pStyle w:val="2"/>
        <w:keepLines w:val="0"/>
        <w:pageBreakBefore/>
        <w:tabs>
          <w:tab w:val="center" w:pos="4252"/>
          <w:tab w:val="left" w:pos="6855"/>
        </w:tabs>
        <w:spacing w:beforeLines="100" w:afterLines="100"/>
        <w:ind w:left="431" w:hanging="431"/>
        <w:rPr>
          <w:rFonts w:hint="default" w:ascii="Times New Roman" w:hAnsi="Times New Roman" w:eastAsia="宋体" w:cs="Times New Roman"/>
          <w:bCs w:val="0"/>
          <w:snapToGrid w:val="0"/>
          <w:color w:val="auto"/>
          <w:kern w:val="0"/>
          <w:sz w:val="44"/>
        </w:rPr>
      </w:pPr>
      <w:bookmarkStart w:id="227" w:name="_Toc32467"/>
      <w:bookmarkStart w:id="228" w:name="_Toc21072"/>
      <w:r>
        <w:rPr>
          <w:rFonts w:hint="default" w:ascii="Times New Roman" w:hAnsi="Times New Roman" w:eastAsia="宋体" w:cs="Times New Roman"/>
          <w:bCs w:val="0"/>
          <w:snapToGrid w:val="0"/>
          <w:color w:val="auto"/>
          <w:kern w:val="0"/>
          <w:sz w:val="44"/>
        </w:rPr>
        <w:t>5环境影响预测与评价</w:t>
      </w:r>
      <w:bookmarkEnd w:id="227"/>
      <w:bookmarkEnd w:id="228"/>
    </w:p>
    <w:p>
      <w:pPr>
        <w:pStyle w:val="3"/>
        <w:spacing w:before="10" w:after="10"/>
        <w:rPr>
          <w:rFonts w:hint="default" w:ascii="Times New Roman" w:hAnsi="Times New Roman" w:eastAsia="宋体" w:cs="Times New Roman"/>
          <w:color w:val="auto"/>
        </w:rPr>
      </w:pPr>
      <w:bookmarkStart w:id="229" w:name="_Toc401860422"/>
      <w:bookmarkStart w:id="230" w:name="_Toc401859726"/>
      <w:bookmarkStart w:id="231" w:name="_Toc402632185"/>
      <w:bookmarkStart w:id="232" w:name="_Toc401913160"/>
      <w:bookmarkStart w:id="233" w:name="_Toc402631812"/>
      <w:bookmarkStart w:id="234" w:name="_Toc402632083"/>
      <w:bookmarkStart w:id="235" w:name="_Toc402631972"/>
      <w:bookmarkStart w:id="236" w:name="_Toc44088078"/>
      <w:bookmarkStart w:id="237" w:name="_Toc24942"/>
      <w:bookmarkStart w:id="238" w:name="_Toc35366475"/>
      <w:bookmarkStart w:id="239" w:name="_Toc10241"/>
      <w:bookmarkStart w:id="240" w:name="_Toc35366084"/>
      <w:bookmarkStart w:id="241" w:name="_Toc29390923"/>
      <w:r>
        <w:rPr>
          <w:rFonts w:hint="default" w:ascii="Times New Roman" w:hAnsi="Times New Roman" w:eastAsia="宋体" w:cs="Times New Roman"/>
          <w:color w:val="auto"/>
        </w:rPr>
        <w:t>5.1</w:t>
      </w:r>
      <w:bookmarkEnd w:id="229"/>
      <w:bookmarkEnd w:id="230"/>
      <w:bookmarkEnd w:id="231"/>
      <w:bookmarkEnd w:id="232"/>
      <w:bookmarkEnd w:id="233"/>
      <w:bookmarkEnd w:id="234"/>
      <w:bookmarkEnd w:id="235"/>
      <w:r>
        <w:rPr>
          <w:rFonts w:hint="default" w:ascii="Times New Roman" w:hAnsi="Times New Roman" w:eastAsia="宋体" w:cs="Times New Roman"/>
          <w:color w:val="auto"/>
        </w:rPr>
        <w:t>大气环境影响分析与评价</w:t>
      </w:r>
      <w:bookmarkEnd w:id="236"/>
      <w:bookmarkEnd w:id="237"/>
      <w:bookmarkEnd w:id="238"/>
      <w:bookmarkEnd w:id="239"/>
      <w:bookmarkEnd w:id="240"/>
      <w:bookmarkEnd w:id="241"/>
    </w:p>
    <w:p>
      <w:pPr>
        <w:tabs>
          <w:tab w:val="left" w:pos="3465"/>
        </w:tabs>
        <w:spacing w:line="360" w:lineRule="auto"/>
        <w:outlineLvl w:val="2"/>
        <w:rPr>
          <w:rFonts w:hint="default" w:ascii="Times New Roman" w:hAnsi="Times New Roman" w:eastAsia="宋体" w:cs="Times New Roman"/>
          <w:b/>
          <w:color w:val="auto"/>
          <w:sz w:val="30"/>
          <w:szCs w:val="30"/>
        </w:rPr>
      </w:pPr>
      <w:bookmarkStart w:id="242" w:name="_Hlk25311857"/>
      <w:r>
        <w:rPr>
          <w:rFonts w:hint="default" w:ascii="Times New Roman" w:hAnsi="Times New Roman" w:eastAsia="宋体" w:cs="Times New Roman"/>
          <w:b/>
          <w:color w:val="auto"/>
          <w:sz w:val="30"/>
          <w:szCs w:val="30"/>
        </w:rPr>
        <w:t>5.1.1施工期大气环境影响分析</w:t>
      </w:r>
      <w:bookmarkEnd w:id="242"/>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在施工期对环境空气的影响主要为：（1）井场建设、管线敷设在施工作业过程中产生的扬尘，如细小的建筑材料的飞扬，或土壤被扰动后导致的尘土飞扬等；（2）施工期钻井过程中产生的废气，主要来自柴油发电机运转时产生的烟气，其主要污染物为NOx、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、烃类等；（3）各种施工燃油机械及运输车辆的尾气。</w:t>
      </w:r>
    </w:p>
    <w:p>
      <w:pPr>
        <w:pStyle w:val="66"/>
        <w:rPr>
          <w:rFonts w:hint="default" w:ascii="Times New Roman" w:hAnsi="Times New Roman" w:cs="Times New Roman"/>
          <w:color w:val="auto"/>
        </w:rPr>
      </w:pPr>
      <w:r>
        <w:rPr>
          <w:rFonts w:hint="default" w:ascii="Times New Roman" w:hAnsi="Times New Roman" w:cs="Times New Roman"/>
          <w:color w:val="auto"/>
        </w:rPr>
        <w:t>5.1.1.1施工扬尘环境影响分析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本项目在井场建设、管道敷设过程中会产生扬尘。扬尘主要产生于钻井设备的运输、临时弃土和固体废物的堆积、搬运，水泥、石灰、沙石等材料的装卸、运输、拌合等过程。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湿度、施工机械和运输车辆行驶速度、近地面风速是影响道路扬尘污染强度的最主要因素，此外风速和风向还直接影响道路扬尘的污染范围。</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（1）风力扬尘</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建材的露天堆放、裸露场、施工作业产生的风力扬尘，这类扬尘的主要特点是受作业时风速的影响，一般情况下，施工工地在自然风作用下产生的扬尘所影响的范围在100m以内。</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堆场扬尘量的经验计算公式为：</w:t>
      </w:r>
    </w:p>
    <w:p>
      <w:pPr>
        <w:pStyle w:val="56"/>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object>
          <v:shape id="_x0000_i1029" o:spt="75" type="#_x0000_t75" style="height:22.5pt;width:121.5pt;" o:ole="t" filled="f" o:preferrelative="t" stroked="f" coordsize="21600,21600">
            <v:path/>
            <v:fill on="f" focussize="0,0"/>
            <v:stroke on="f" joinstyle="miter"/>
            <v:imagedata r:id="rId36" o:title=""/>
            <o:lock v:ext="edit" aspectratio="t"/>
            <w10:wrap type="none"/>
            <w10:anchorlock/>
          </v:shape>
          <o:OLEObject Type="Embed" ProgID="Equation.3" ShapeID="_x0000_i1029" DrawAspect="Content" ObjectID="_1468075729" r:id="rId35">
            <o:LockedField>false</o:LockedField>
          </o:OLEObject>
        </w:objec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式中：Q—起尘量，kg/吨.年；</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50</w:t>
      </w:r>
      <w:r>
        <w:rPr>
          <w:rFonts w:hint="default" w:ascii="Times New Roman" w:hAnsi="Times New Roman" w:cs="Times New Roman"/>
          <w:color w:val="auto"/>
          <w:sz w:val="24"/>
          <w:szCs w:val="24"/>
        </w:rPr>
        <w:t>—距地面50米处风速，m/s；</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—起尘风速，m/s；</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W—尘粒的含水量，%。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起尘风速与粒径和含水量有关，粉尘在空气中的扩散稀释与风速等气象条件有关，也与粉尘本身的沉降速度有关。不同粒径粉尘的沉降速度见表5.1-1。由表可知，粉尘的沉降速度随粒径的增大而迅速增大。当粒径为250微米时，沉降速度为1.005m/s，因此可认为当尘粒大于250微米时，主要影响范围在扬尘点下风向近距离范围内，而真正对外环境产生影响的是一些微小粒径的粉尘。</w:t>
      </w:r>
    </w:p>
    <w:p>
      <w:pPr>
        <w:pStyle w:val="48"/>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表5.1-1  不同粒径尘粒的沉降速度</w:t>
      </w:r>
    </w:p>
    <w:tbl>
      <w:tblPr>
        <w:tblStyle w:val="31"/>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951"/>
        <w:gridCol w:w="952"/>
        <w:gridCol w:w="952"/>
        <w:gridCol w:w="953"/>
        <w:gridCol w:w="952"/>
        <w:gridCol w:w="95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粉尘粒径（μm）</w:t>
            </w:r>
          </w:p>
        </w:tc>
        <w:tc>
          <w:tcPr>
            <w:tcW w:w="95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w:t>
            </w:r>
          </w:p>
        </w:tc>
        <w:tc>
          <w:tcPr>
            <w:tcW w:w="9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60</w:t>
            </w:r>
          </w:p>
        </w:tc>
        <w:tc>
          <w:tcPr>
            <w:tcW w:w="99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沉降速度（m/s）</w:t>
            </w:r>
          </w:p>
        </w:tc>
        <w:tc>
          <w:tcPr>
            <w:tcW w:w="95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0.003</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0.012</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0.027</w:t>
            </w:r>
          </w:p>
        </w:tc>
        <w:tc>
          <w:tcPr>
            <w:tcW w:w="9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0.048</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0.075</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0.108</w:t>
            </w:r>
          </w:p>
        </w:tc>
        <w:tc>
          <w:tcPr>
            <w:tcW w:w="99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粉尘粒径（μm）</w:t>
            </w:r>
          </w:p>
        </w:tc>
        <w:tc>
          <w:tcPr>
            <w:tcW w:w="95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c>
          <w:tcPr>
            <w:tcW w:w="9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250</w:t>
            </w:r>
          </w:p>
        </w:tc>
        <w:tc>
          <w:tcPr>
            <w:tcW w:w="99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沉降速度（m/s）</w:t>
            </w:r>
          </w:p>
        </w:tc>
        <w:tc>
          <w:tcPr>
            <w:tcW w:w="95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0.158</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0.170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0.182</w:t>
            </w:r>
          </w:p>
        </w:tc>
        <w:tc>
          <w:tcPr>
            <w:tcW w:w="9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0.239</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0.804</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1.005</w:t>
            </w:r>
          </w:p>
        </w:tc>
        <w:tc>
          <w:tcPr>
            <w:tcW w:w="99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粉尘粒径（μm）</w:t>
            </w:r>
          </w:p>
        </w:tc>
        <w:tc>
          <w:tcPr>
            <w:tcW w:w="95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450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550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650</w:t>
            </w:r>
          </w:p>
        </w:tc>
        <w:tc>
          <w:tcPr>
            <w:tcW w:w="9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850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950</w:t>
            </w:r>
          </w:p>
        </w:tc>
        <w:tc>
          <w:tcPr>
            <w:tcW w:w="99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沉降速度（m/s）</w:t>
            </w:r>
          </w:p>
        </w:tc>
        <w:tc>
          <w:tcPr>
            <w:tcW w:w="95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2.211</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2.614</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3.016</w:t>
            </w:r>
          </w:p>
        </w:tc>
        <w:tc>
          <w:tcPr>
            <w:tcW w:w="9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3.418</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3.820</w:t>
            </w:r>
          </w:p>
        </w:tc>
        <w:tc>
          <w:tcPr>
            <w:tcW w:w="95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4.222</w:t>
            </w:r>
          </w:p>
        </w:tc>
        <w:tc>
          <w:tcPr>
            <w:tcW w:w="99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4.624</w:t>
            </w:r>
          </w:p>
        </w:tc>
      </w:tr>
    </w:tbl>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场地扬尘对大气的影响范围主要在工地围墙外100m以内，由于距离的不同，其污染影响程度亦不同，在扬尘点下风向0～50m为重污染带，50～100m为较重污染带，100～200m为轻污染带，200m以外对大气影响甚微。据类比调查，在一般气象条</w:t>
      </w:r>
      <w:r>
        <w:rPr>
          <w:rFonts w:hint="eastAsia" w:cs="Times New Roman"/>
          <w:color w:val="auto"/>
          <w:sz w:val="24"/>
          <w:szCs w:val="24"/>
          <w:lang w:eastAsia="zh-CN"/>
        </w:rPr>
        <w:t>件下</w:t>
      </w:r>
      <w:r>
        <w:rPr>
          <w:rFonts w:hint="default" w:ascii="Times New Roman" w:hAnsi="Times New Roman" w:cs="Times New Roman"/>
          <w:color w:val="auto"/>
          <w:sz w:val="24"/>
          <w:szCs w:val="24"/>
        </w:rPr>
        <w:t>，施工扬尘的影响范围为其下风向150m内，被影响的地区TSP浓度平均值为0.49mg/m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左右。</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照同类施工场地的一般做法，施工场地可用塑料编织袋布置围栏，场地经常洒水保持表土湿润，物料运输车辆采用密闭的专用车辆等，在采取有效的防尘措施后，施工场地扬尘的影响范围基本可控制在50m范围内，随着距离的增加，浓度迅速减小。本项目距离周边敏感点较远，施工扬尘对周边居民影响很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（2）车辆行驶扬尘</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据文献报道，在施工过程中，车辆行驶产生的扬尘占总扬尘的60%以上。车辆行驶产生的扬尘，在完全干燥的情况，可按以下经验公式计算：</w:t>
      </w:r>
    </w:p>
    <w:p>
      <w:pPr>
        <w:pStyle w:val="56"/>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object>
          <v:shape id="_x0000_i1030" o:spt="75" type="#_x0000_t75" style="height:37.5pt;width:151.5pt;" o:ole="t" filled="f" o:preferrelative="t" stroked="f" coordsize="21600,21600">
            <v:path/>
            <v:fill on="f" focussize="0,0"/>
            <v:stroke on="f" joinstyle="miter"/>
            <v:imagedata r:id="rId38" o:title=""/>
            <o:lock v:ext="edit" aspectratio="t"/>
            <w10:wrap type="none"/>
            <w10:anchorlock/>
          </v:shape>
          <o:OLEObject Type="Embed" ProgID="Equation.3" ShapeID="_x0000_i1030" DrawAspect="Content" ObjectID="_1468075730" r:id="rId37">
            <o:LockedField>false</o:LockedField>
          </o:OLEObject>
        </w:objec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式中：Q—汽车行驶的扬尘量，kg/km·辆；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V—汽车速度，km/h；</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W—汽车载重量，吨；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P—道路表面粉尘量，kg/m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表5.1-2为一辆10吨卡车，通过一段长为1km的路面时，不同路面清洁程度，不同行驶速度情况下的扬尘量。</w:t>
      </w:r>
    </w:p>
    <w:p>
      <w:pPr>
        <w:pStyle w:val="56"/>
        <w:spacing w:line="360" w:lineRule="auto"/>
        <w:rPr>
          <w:rFonts w:hint="default" w:ascii="Times New Roman" w:hAnsi="Times New Roman" w:cs="Times New Roman"/>
          <w:color w:val="auto"/>
        </w:rPr>
      </w:pPr>
      <w:r>
        <w:rPr>
          <w:rFonts w:hint="default" w:ascii="Times New Roman" w:hAnsi="Times New Roman" w:cs="Times New Roman"/>
          <w:color w:val="auto"/>
          <w:sz w:val="24"/>
          <w:szCs w:val="24"/>
        </w:rPr>
        <w:t>从上面的公式以及表5.1-2可见，在同样的路面条件下，车速越快，扬尘量越大；在同样的车速情况下，路面越脏，扬尘量越大。</w:t>
      </w:r>
    </w:p>
    <w:p>
      <w:pPr>
        <w:pStyle w:val="48"/>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表5.1-2  不同车速和地面清洁程度的汽车扬尘量</w:t>
      </w:r>
      <w:r>
        <w:rPr>
          <w:rFonts w:hint="default" w:ascii="Times New Roman" w:hAnsi="Times New Roman" w:cs="Times New Roman"/>
          <w:color w:val="auto"/>
          <w:szCs w:val="21"/>
        </w:rPr>
        <w:t>（单位：kg/km·辆）</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113"/>
        <w:gridCol w:w="1128"/>
        <w:gridCol w:w="1214"/>
        <w:gridCol w:w="1215"/>
        <w:gridCol w:w="1215"/>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519" w:type="dxa"/>
            <w:tcBorders>
              <w:tl2br w:val="single" w:color="auto" w:sz="4" w:space="0"/>
            </w:tcBorders>
            <w:vAlign w:val="center"/>
          </w:tcPr>
          <w:p>
            <w:pPr>
              <w:pStyle w:val="47"/>
              <w:jc w:val="right"/>
              <w:rPr>
                <w:rFonts w:hint="default" w:ascii="Times New Roman" w:hAnsi="Times New Roman" w:cs="Times New Roman"/>
                <w:b/>
                <w:bCs/>
                <w:color w:val="auto"/>
              </w:rPr>
            </w:pPr>
            <w:r>
              <w:rPr>
                <w:rFonts w:hint="default" w:ascii="Times New Roman" w:hAnsi="Times New Roman" w:cs="Times New Roman"/>
                <w:b/>
                <w:bCs/>
                <w:color w:val="auto"/>
              </w:rPr>
              <w:t>清洁</w:t>
            </w:r>
          </w:p>
          <w:p>
            <w:pPr>
              <w:pStyle w:val="47"/>
              <w:jc w:val="left"/>
              <w:rPr>
                <w:rFonts w:hint="default" w:ascii="Times New Roman" w:hAnsi="Times New Roman" w:cs="Times New Roman"/>
                <w:b/>
                <w:bCs/>
                <w:color w:val="auto"/>
              </w:rPr>
            </w:pPr>
            <w:r>
              <w:rPr>
                <w:rFonts w:hint="default" w:ascii="Times New Roman" w:hAnsi="Times New Roman" w:cs="Times New Roman"/>
                <w:b/>
                <w:bCs/>
                <w:color w:val="auto"/>
              </w:rPr>
              <w:t>车速</w:t>
            </w:r>
          </w:p>
        </w:tc>
        <w:tc>
          <w:tcPr>
            <w:tcW w:w="111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0.1</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12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0.2</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p>
        </w:tc>
        <w:tc>
          <w:tcPr>
            <w:tcW w:w="1214"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0.3</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21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0.4</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21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0.5</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11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1.0</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1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5(km/h)</w:t>
            </w:r>
          </w:p>
        </w:tc>
        <w:tc>
          <w:tcPr>
            <w:tcW w:w="11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0.0511</w:t>
            </w:r>
          </w:p>
        </w:tc>
        <w:tc>
          <w:tcPr>
            <w:tcW w:w="11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0.0859</w:t>
            </w:r>
          </w:p>
        </w:tc>
        <w:tc>
          <w:tcPr>
            <w:tcW w:w="12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0.1164</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0.1444</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0.1707</w:t>
            </w:r>
          </w:p>
        </w:tc>
        <w:tc>
          <w:tcPr>
            <w:tcW w:w="11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1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10(km/h)</w:t>
            </w:r>
          </w:p>
        </w:tc>
        <w:tc>
          <w:tcPr>
            <w:tcW w:w="11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0.1021</w:t>
            </w:r>
          </w:p>
        </w:tc>
        <w:tc>
          <w:tcPr>
            <w:tcW w:w="11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0.1717</w:t>
            </w:r>
          </w:p>
        </w:tc>
        <w:tc>
          <w:tcPr>
            <w:tcW w:w="12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0.2328</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0.2888</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0.3414</w:t>
            </w:r>
          </w:p>
        </w:tc>
        <w:tc>
          <w:tcPr>
            <w:tcW w:w="11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1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15(km/h)</w:t>
            </w:r>
          </w:p>
        </w:tc>
        <w:tc>
          <w:tcPr>
            <w:tcW w:w="11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0.1532</w:t>
            </w:r>
          </w:p>
        </w:tc>
        <w:tc>
          <w:tcPr>
            <w:tcW w:w="11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0.2576</w:t>
            </w:r>
          </w:p>
        </w:tc>
        <w:tc>
          <w:tcPr>
            <w:tcW w:w="12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0.3491</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0.4332</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0.5121</w:t>
            </w:r>
          </w:p>
        </w:tc>
        <w:tc>
          <w:tcPr>
            <w:tcW w:w="11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1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25(km/h)</w:t>
            </w:r>
          </w:p>
        </w:tc>
        <w:tc>
          <w:tcPr>
            <w:tcW w:w="11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0.2553</w:t>
            </w:r>
          </w:p>
        </w:tc>
        <w:tc>
          <w:tcPr>
            <w:tcW w:w="11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0.4293</w:t>
            </w:r>
          </w:p>
        </w:tc>
        <w:tc>
          <w:tcPr>
            <w:tcW w:w="12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0.5819</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0.7220</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0.8536</w:t>
            </w:r>
          </w:p>
        </w:tc>
        <w:tc>
          <w:tcPr>
            <w:tcW w:w="11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1.4355</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施工材料运输车辆进出产生的扬尘量较小，只要控制车速，做到减速慢行，项目建设规模小，施工材料运输量不大，间断的运输车辆道路扬尘对周边环境敏感点环境空气影响总体小。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减少露天堆放和保证一定的含水率及减少裸露地面是减少风力起尘的有效手段。如果在施工期间对车辆行驶的路面实施洒水抑尘，每天洒水4～5次，可使扬尘减少70%左右。表5.1-3为施工场地洒水抑尘的实验结果，结果表明实施每天洒水4～5次进行抑尘，可有效地控制施工扬尘，可将TSP污染距离缩小到20～50m范围。</w:t>
      </w:r>
    </w:p>
    <w:p>
      <w:pPr>
        <w:pStyle w:val="48"/>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表5.1-3  施工场地洒水抑尘</w:t>
      </w:r>
      <w:r>
        <w:rPr>
          <w:rFonts w:hint="eastAsia" w:cs="Times New Roman"/>
          <w:color w:val="auto"/>
          <w:lang w:eastAsia="zh-CN"/>
        </w:rPr>
        <w:t>试验</w:t>
      </w:r>
      <w:r>
        <w:rPr>
          <w:rFonts w:hint="default" w:ascii="Times New Roman" w:hAnsi="Times New Roman" w:cs="Times New Roman"/>
          <w:color w:val="auto"/>
        </w:rPr>
        <w:t>结果</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988"/>
        <w:gridCol w:w="1414"/>
        <w:gridCol w:w="1418"/>
        <w:gridCol w:w="1418"/>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846" w:type="dxa"/>
            <w:gridSpan w:val="2"/>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距离（m）</w:t>
            </w:r>
          </w:p>
        </w:tc>
        <w:tc>
          <w:tcPr>
            <w:tcW w:w="1414"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5</w:t>
            </w:r>
          </w:p>
        </w:tc>
        <w:tc>
          <w:tcPr>
            <w:tcW w:w="141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20</w:t>
            </w:r>
          </w:p>
        </w:tc>
        <w:tc>
          <w:tcPr>
            <w:tcW w:w="141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50</w:t>
            </w:r>
          </w:p>
        </w:tc>
        <w:tc>
          <w:tcPr>
            <w:tcW w:w="142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5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TSP小时平均浓度（mg/</w:t>
            </w:r>
            <w:r>
              <w:rPr>
                <w:rFonts w:hint="default" w:ascii="Times New Roman" w:hAnsi="Times New Roman" w:cs="Times New Roman"/>
                <w:color w:val="auto"/>
                <w:kern w:val="0"/>
                <w:szCs w:val="28"/>
              </w:rPr>
              <w:t>m</w:t>
            </w:r>
            <w:r>
              <w:rPr>
                <w:rFonts w:hint="default" w:ascii="Times New Roman" w:hAnsi="Times New Roman" w:cs="Times New Roman"/>
                <w:color w:val="auto"/>
                <w:kern w:val="0"/>
                <w:szCs w:val="28"/>
                <w:vertAlign w:val="superscript"/>
              </w:rPr>
              <w:t>3</w:t>
            </w:r>
            <w:r>
              <w:rPr>
                <w:rFonts w:hint="default" w:ascii="Times New Roman" w:hAnsi="Times New Roman" w:cs="Times New Roman"/>
                <w:color w:val="auto"/>
              </w:rPr>
              <w:t>）</w:t>
            </w:r>
          </w:p>
        </w:tc>
        <w:tc>
          <w:tcPr>
            <w:tcW w:w="98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不洒水</w:t>
            </w:r>
          </w:p>
        </w:tc>
        <w:tc>
          <w:tcPr>
            <w:tcW w:w="14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10.14</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2.89</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1.15</w:t>
            </w:r>
          </w:p>
        </w:tc>
        <w:tc>
          <w:tcPr>
            <w:tcW w:w="142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58" w:type="dxa"/>
            <w:vMerge w:val="continue"/>
            <w:vAlign w:val="center"/>
          </w:tcPr>
          <w:p>
            <w:pPr>
              <w:pStyle w:val="47"/>
              <w:rPr>
                <w:rFonts w:hint="default" w:ascii="Times New Roman" w:hAnsi="Times New Roman" w:cs="Times New Roman"/>
                <w:color w:val="auto"/>
              </w:rPr>
            </w:pPr>
          </w:p>
        </w:tc>
        <w:tc>
          <w:tcPr>
            <w:tcW w:w="98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洒水</w:t>
            </w:r>
          </w:p>
        </w:tc>
        <w:tc>
          <w:tcPr>
            <w:tcW w:w="14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2.01</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1.40</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0.67</w:t>
            </w:r>
          </w:p>
        </w:tc>
        <w:tc>
          <w:tcPr>
            <w:tcW w:w="142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0.60</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因此</w:t>
      </w:r>
      <w:r>
        <w:rPr>
          <w:rFonts w:hint="default" w:ascii="Times New Roman" w:hAnsi="Times New Roman" w:cs="Times New Roman"/>
          <w:color w:val="auto"/>
          <w:sz w:val="24"/>
          <w:szCs w:val="24"/>
        </w:rPr>
        <w:t>，限速行驶及保持路面清洁，同时适当洒水是减少汽车扬尘的有效手段。</w:t>
      </w:r>
    </w:p>
    <w:p>
      <w:pPr>
        <w:pStyle w:val="66"/>
        <w:rPr>
          <w:rFonts w:hint="default" w:ascii="Times New Roman" w:hAnsi="Times New Roman" w:cs="Times New Roman"/>
          <w:color w:val="auto"/>
        </w:rPr>
      </w:pPr>
      <w:r>
        <w:rPr>
          <w:rFonts w:hint="default" w:ascii="Times New Roman" w:hAnsi="Times New Roman" w:cs="Times New Roman"/>
          <w:color w:val="auto"/>
        </w:rPr>
        <w:t>5.1.1.2钻井作业柴油发电机烟气排放环境影响分析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钻井作业柴油发电机烟气排放集中在钻井施工期的短暂时段，且平均日排放量不大，加之评价区范围内地域辽阔扩散条件较好。类比其他相似钻井井场，场界外各项污染物浓度均小于《大气污染物综合排放标准》（GB16297-1996）中新污染源无组织排放监控点浓度限值。因此，钻井作业柴油发电机烟气排放及总烃挥发对周围环境影响较小。</w:t>
      </w:r>
    </w:p>
    <w:p>
      <w:pPr>
        <w:pStyle w:val="66"/>
        <w:rPr>
          <w:rFonts w:hint="default" w:ascii="Times New Roman" w:hAnsi="Times New Roman" w:cs="Times New Roman"/>
          <w:color w:val="auto"/>
        </w:rPr>
      </w:pPr>
      <w:bookmarkStart w:id="243" w:name="_Hlk102745869"/>
      <w:r>
        <w:rPr>
          <w:rFonts w:hint="default" w:ascii="Times New Roman" w:hAnsi="Times New Roman" w:cs="Times New Roman"/>
          <w:color w:val="auto"/>
        </w:rPr>
        <w:t>5.1.1.3汽车尾气</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施工期施工作业机械有载重汽车、柴油动力机械等燃油机械，排放的污染物主要有CO、NO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。据类似工程监测，在距离现场50m处，CO、NO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1小时平均浓度分别为0.2mg/m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和0.13mg/m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，日平均浓度分别为0.13mg/m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和0.062mg/m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，均可达到《大气污染物综合排放标准》无组织排放监控浓度限值标准要求，其影响范围在200m以内的范围。</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同时，施工单位应使用符合</w:t>
      </w:r>
      <w:r>
        <w:rPr>
          <w:rFonts w:hint="eastAsia" w:cs="Times New Roman"/>
          <w:color w:val="auto"/>
          <w:sz w:val="24"/>
          <w:szCs w:val="24"/>
          <w:lang w:eastAsia="zh-CN"/>
        </w:rPr>
        <w:t>国五标准</w:t>
      </w:r>
      <w:r>
        <w:rPr>
          <w:rFonts w:hint="default" w:ascii="Times New Roman" w:hAnsi="Times New Roman" w:cs="Times New Roman"/>
          <w:color w:val="auto"/>
          <w:sz w:val="24"/>
          <w:szCs w:val="24"/>
        </w:rPr>
        <w:t>的柴油，其燃料属性符合《普通柴油》（GB252-2015）的标准要求，并定期对柴油发电机进行污染物排放检测，确保其污染物排放达到《非道路移动机械用柴油机排气污染物排放限值及测量方法（中国第三、四阶段）》（GB20891-2014）中的标准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施工期间排放的大气污染物将随钻井工程的结束而消失。</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综上，施工期大气污染源源强不大，而且施工期较短，施工扰动面积有限，污染属于阶段性的局部污染，施工结束后污染即消失，因此，本项目施工对周围大气环境影响较小。</w:t>
      </w:r>
    </w:p>
    <w:bookmarkEnd w:id="243"/>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5.1.2运营期环境影响分析</w:t>
      </w:r>
    </w:p>
    <w:p>
      <w:pPr>
        <w:spacing w:line="360" w:lineRule="auto"/>
        <w:rPr>
          <w:rFonts w:hint="default" w:ascii="Times New Roman" w:hAnsi="Times New Roman" w:eastAsia="宋体" w:cs="Times New Roman"/>
          <w:b w:val="0"/>
          <w:color w:val="auto"/>
          <w:kern w:val="2"/>
          <w:sz w:val="28"/>
          <w:szCs w:val="28"/>
          <w:lang w:val="en-US" w:eastAsia="zh-CN" w:bidi="ar-SA"/>
        </w:rPr>
      </w:pPr>
      <w:r>
        <w:rPr>
          <w:rFonts w:hint="default" w:ascii="Times New Roman" w:hAnsi="Times New Roman" w:eastAsia="宋体" w:cs="Times New Roman"/>
          <w:b w:val="0"/>
          <w:color w:val="auto"/>
          <w:kern w:val="2"/>
          <w:sz w:val="28"/>
          <w:szCs w:val="28"/>
          <w:lang w:val="en-US" w:eastAsia="zh-CN" w:bidi="ar-SA"/>
        </w:rPr>
        <w:t>5.1.2.1大气影响预测分析</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生产运营期的大气污染源主要是油气集输过程中的烃类挥发对大气环境的影响。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（1）预测模式</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本项目大气环境影响评价等级为二级，根据《环境影响评价技术导则 大气环境》（HJ2.2-2018）的相关规定：“二级评价项目不进行进一步预测，只对污染物排放量进行核算”。故本次只对采用AERSCREEN模式预测的结果进行评价，不进行进一步预测。</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（2）预测因子和预测源强</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在石油开采、集输过程中有无组织排放，故将非甲烷总烃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硫化氢</w:t>
      </w:r>
      <w:r>
        <w:rPr>
          <w:rFonts w:hint="default" w:ascii="Times New Roman" w:hAnsi="Times New Roman" w:eastAsia="宋体" w:cs="Times New Roman"/>
          <w:color w:val="auto"/>
          <w:sz w:val="24"/>
        </w:rPr>
        <w:t>作为预测因子。</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本项目主要污染源调查参数见表5.1-4。</w:t>
      </w:r>
    </w:p>
    <w:p>
      <w:pPr>
        <w:pStyle w:val="41"/>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sz w:val="21"/>
          <w:szCs w:val="18"/>
        </w:rPr>
        <w:t>表5.1-4  本项目运营期无组织排放污染源参数调查清单</w:t>
      </w:r>
    </w:p>
    <w:tbl>
      <w:tblPr>
        <w:tblStyle w:val="31"/>
        <w:tblW w:w="85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34"/>
        <w:gridCol w:w="1052"/>
        <w:gridCol w:w="844"/>
        <w:gridCol w:w="813"/>
        <w:gridCol w:w="944"/>
        <w:gridCol w:w="883"/>
        <w:gridCol w:w="844"/>
        <w:gridCol w:w="750"/>
        <w:gridCol w:w="878"/>
        <w:gridCol w:w="9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312" w:hRule="atLeast"/>
        </w:trPr>
        <w:tc>
          <w:tcPr>
            <w:tcW w:w="534" w:type="dxa"/>
            <w:vMerge w:val="restart"/>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052" w:type="dxa"/>
            <w:vMerge w:val="restart"/>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污染源名称</w:t>
            </w:r>
          </w:p>
        </w:tc>
        <w:tc>
          <w:tcPr>
            <w:tcW w:w="844" w:type="dxa"/>
            <w:vMerge w:val="restart"/>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海拔（m）</w:t>
            </w:r>
          </w:p>
        </w:tc>
        <w:tc>
          <w:tcPr>
            <w:tcW w:w="2640" w:type="dxa"/>
            <w:gridSpan w:val="3"/>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矩形面源</w:t>
            </w:r>
          </w:p>
        </w:tc>
        <w:tc>
          <w:tcPr>
            <w:tcW w:w="844" w:type="dxa"/>
            <w:vMerge w:val="restart"/>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年排放小时数/h</w:t>
            </w:r>
          </w:p>
        </w:tc>
        <w:tc>
          <w:tcPr>
            <w:tcW w:w="750" w:type="dxa"/>
            <w:vMerge w:val="restart"/>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排放工况</w:t>
            </w:r>
          </w:p>
        </w:tc>
        <w:tc>
          <w:tcPr>
            <w:tcW w:w="1855" w:type="dxa"/>
            <w:gridSpan w:val="2"/>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312" w:hRule="atLeast"/>
        </w:trPr>
        <w:tc>
          <w:tcPr>
            <w:tcW w:w="534" w:type="dxa"/>
            <w:vMerge w:val="continue"/>
            <w:vAlign w:val="center"/>
          </w:tcPr>
          <w:p>
            <w:pPr>
              <w:jc w:val="center"/>
              <w:rPr>
                <w:rFonts w:hint="default" w:ascii="Times New Roman" w:hAnsi="Times New Roman" w:eastAsia="宋体" w:cs="Times New Roman"/>
                <w:b/>
                <w:bCs/>
                <w:color w:val="auto"/>
                <w:szCs w:val="21"/>
              </w:rPr>
            </w:pPr>
          </w:p>
        </w:tc>
        <w:tc>
          <w:tcPr>
            <w:tcW w:w="1052" w:type="dxa"/>
            <w:vMerge w:val="continue"/>
            <w:vAlign w:val="center"/>
          </w:tcPr>
          <w:p>
            <w:pPr>
              <w:jc w:val="center"/>
              <w:rPr>
                <w:rFonts w:hint="default" w:ascii="Times New Roman" w:hAnsi="Times New Roman" w:eastAsia="宋体" w:cs="Times New Roman"/>
                <w:b/>
                <w:bCs/>
                <w:color w:val="auto"/>
                <w:szCs w:val="21"/>
              </w:rPr>
            </w:pPr>
          </w:p>
        </w:tc>
        <w:tc>
          <w:tcPr>
            <w:tcW w:w="844" w:type="dxa"/>
            <w:vMerge w:val="continue"/>
            <w:vAlign w:val="center"/>
          </w:tcPr>
          <w:p>
            <w:pPr>
              <w:jc w:val="center"/>
              <w:rPr>
                <w:rFonts w:hint="default" w:ascii="Times New Roman" w:hAnsi="Times New Roman" w:eastAsia="宋体" w:cs="Times New Roman"/>
                <w:b/>
                <w:bCs/>
                <w:color w:val="auto"/>
                <w:szCs w:val="21"/>
              </w:rPr>
            </w:pPr>
          </w:p>
        </w:tc>
        <w:tc>
          <w:tcPr>
            <w:tcW w:w="813"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长度（m）</w:t>
            </w:r>
          </w:p>
        </w:tc>
        <w:tc>
          <w:tcPr>
            <w:tcW w:w="944"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宽度（m）</w:t>
            </w:r>
          </w:p>
        </w:tc>
        <w:tc>
          <w:tcPr>
            <w:tcW w:w="883"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有效高度（m）</w:t>
            </w:r>
          </w:p>
        </w:tc>
        <w:tc>
          <w:tcPr>
            <w:tcW w:w="844" w:type="dxa"/>
            <w:vMerge w:val="continue"/>
            <w:vAlign w:val="center"/>
          </w:tcPr>
          <w:p>
            <w:pPr>
              <w:jc w:val="center"/>
              <w:rPr>
                <w:rFonts w:hint="default" w:ascii="Times New Roman" w:hAnsi="Times New Roman" w:eastAsia="宋体" w:cs="Times New Roman"/>
                <w:b/>
                <w:bCs/>
                <w:color w:val="auto"/>
                <w:szCs w:val="21"/>
              </w:rPr>
            </w:pPr>
          </w:p>
        </w:tc>
        <w:tc>
          <w:tcPr>
            <w:tcW w:w="750" w:type="dxa"/>
            <w:vMerge w:val="continue"/>
            <w:vAlign w:val="center"/>
          </w:tcPr>
          <w:p>
            <w:pPr>
              <w:jc w:val="center"/>
              <w:rPr>
                <w:rFonts w:hint="default" w:ascii="Times New Roman" w:hAnsi="Times New Roman" w:eastAsia="宋体" w:cs="Times New Roman"/>
                <w:b/>
                <w:bCs/>
                <w:color w:val="auto"/>
                <w:szCs w:val="21"/>
              </w:rPr>
            </w:pPr>
          </w:p>
        </w:tc>
        <w:tc>
          <w:tcPr>
            <w:tcW w:w="878"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977"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速率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309" w:hRule="atLeast"/>
        </w:trPr>
        <w:tc>
          <w:tcPr>
            <w:tcW w:w="534"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52"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单井井场</w:t>
            </w:r>
          </w:p>
        </w:tc>
        <w:tc>
          <w:tcPr>
            <w:tcW w:w="844"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503</w:t>
            </w:r>
          </w:p>
        </w:tc>
        <w:tc>
          <w:tcPr>
            <w:tcW w:w="813"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944"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88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844"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8760</w:t>
            </w:r>
          </w:p>
        </w:tc>
        <w:tc>
          <w:tcPr>
            <w:tcW w:w="75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正常</w:t>
            </w:r>
          </w:p>
        </w:tc>
        <w:tc>
          <w:tcPr>
            <w:tcW w:w="878"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NMHC</w:t>
            </w:r>
          </w:p>
        </w:tc>
        <w:tc>
          <w:tcPr>
            <w:tcW w:w="977"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0.00</w:t>
            </w:r>
            <w:r>
              <w:rPr>
                <w:rFonts w:hint="eastAsia" w:ascii="Times New Roman" w:hAnsi="Times New Roman" w:eastAsia="宋体" w:cs="Times New Roman"/>
                <w:color w:val="auto"/>
                <w:szCs w:val="21"/>
                <w:lang w:val="en-US" w:eastAsia="zh-CN"/>
              </w:rPr>
              <w:t>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156" w:hRule="atLeast"/>
        </w:trPr>
        <w:tc>
          <w:tcPr>
            <w:tcW w:w="534"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05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2井式井场</w:t>
            </w:r>
          </w:p>
        </w:tc>
        <w:tc>
          <w:tcPr>
            <w:tcW w:w="844"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505</w:t>
            </w:r>
          </w:p>
        </w:tc>
        <w:tc>
          <w:tcPr>
            <w:tcW w:w="813"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944"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883"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844"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8760</w:t>
            </w:r>
          </w:p>
        </w:tc>
        <w:tc>
          <w:tcPr>
            <w:tcW w:w="75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正常</w:t>
            </w:r>
          </w:p>
        </w:tc>
        <w:tc>
          <w:tcPr>
            <w:tcW w:w="878"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NMHC</w:t>
            </w:r>
          </w:p>
        </w:tc>
        <w:tc>
          <w:tcPr>
            <w:tcW w:w="977"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0.0</w:t>
            </w:r>
            <w:r>
              <w:rPr>
                <w:rFonts w:hint="eastAsia" w:ascii="Times New Roman" w:hAnsi="Times New Roman" w:eastAsia="宋体" w:cs="Times New Roman"/>
                <w:color w:val="auto"/>
                <w:szCs w:val="21"/>
                <w:lang w:val="en-US" w:eastAsia="zh-CN"/>
              </w:rPr>
              <w:t>104</w:t>
            </w:r>
          </w:p>
        </w:tc>
      </w:tr>
    </w:tbl>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（3）估算模型参数</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本项目估算模型参数见表5.1-5。</w:t>
      </w:r>
    </w:p>
    <w:p>
      <w:pPr>
        <w:pStyle w:val="88"/>
        <w:spacing w:line="360" w:lineRule="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表5.1-5  估算模型参数选择一览表</w:t>
      </w:r>
    </w:p>
    <w:tbl>
      <w:tblPr>
        <w:tblStyle w:val="31"/>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3"/>
        <w:gridCol w:w="3356"/>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5329" w:type="dxa"/>
            <w:gridSpan w:val="2"/>
            <w:vAlign w:val="center"/>
          </w:tcPr>
          <w:p>
            <w:pPr>
              <w:pStyle w:val="43"/>
              <w:rPr>
                <w:rFonts w:hint="default" w:ascii="Times New Roman" w:hAnsi="Times New Roman" w:cs="Times New Roman"/>
                <w:b/>
                <w:bCs/>
                <w:color w:val="auto"/>
              </w:rPr>
            </w:pPr>
            <w:r>
              <w:rPr>
                <w:rFonts w:hint="default" w:ascii="Times New Roman" w:hAnsi="Times New Roman" w:cs="Times New Roman"/>
                <w:b/>
                <w:bCs/>
                <w:color w:val="auto"/>
              </w:rPr>
              <w:t>参数</w:t>
            </w:r>
          </w:p>
        </w:tc>
        <w:tc>
          <w:tcPr>
            <w:tcW w:w="2985" w:type="dxa"/>
            <w:vAlign w:val="center"/>
          </w:tcPr>
          <w:p>
            <w:pPr>
              <w:pStyle w:val="43"/>
              <w:rPr>
                <w:rFonts w:hint="default" w:ascii="Times New Roman" w:hAnsi="Times New Roman" w:cs="Times New Roman"/>
                <w:b/>
                <w:bCs/>
                <w:color w:val="auto"/>
              </w:rPr>
            </w:pPr>
            <w:r>
              <w:rPr>
                <w:rFonts w:hint="default" w:ascii="Times New Roman" w:hAnsi="Times New Roman" w:cs="Times New Roman"/>
                <w:b/>
                <w:bCs/>
                <w:color w:val="auto"/>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973" w:type="dxa"/>
            <w:vMerge w:val="restart"/>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城市/农村选项</w:t>
            </w:r>
          </w:p>
        </w:tc>
        <w:tc>
          <w:tcPr>
            <w:tcW w:w="3356"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城市/农村</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973" w:type="dxa"/>
            <w:vMerge w:val="continue"/>
            <w:vAlign w:val="center"/>
          </w:tcPr>
          <w:p>
            <w:pPr>
              <w:pStyle w:val="43"/>
              <w:rPr>
                <w:rFonts w:hint="default" w:ascii="Times New Roman" w:hAnsi="Times New Roman" w:cs="Times New Roman"/>
                <w:color w:val="auto"/>
              </w:rPr>
            </w:pPr>
          </w:p>
        </w:tc>
        <w:tc>
          <w:tcPr>
            <w:tcW w:w="3356"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人口数（城市选项时）</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5329" w:type="dxa"/>
            <w:gridSpan w:val="2"/>
            <w:vAlign w:val="center"/>
          </w:tcPr>
          <w:p>
            <w:pPr>
              <w:pStyle w:val="43"/>
              <w:rPr>
                <w:rFonts w:hint="default" w:ascii="Times New Roman" w:hAnsi="Times New Roman" w:cs="Times New Roman"/>
                <w:color w:val="auto"/>
              </w:rPr>
            </w:pPr>
            <w:r>
              <w:rPr>
                <w:rFonts w:hint="default" w:ascii="Times New Roman" w:hAnsi="Times New Roman" w:cs="Times New Roman"/>
                <w:color w:val="auto"/>
              </w:rPr>
              <w:t>最高环境温度/℃</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5329" w:type="dxa"/>
            <w:gridSpan w:val="2"/>
            <w:vAlign w:val="center"/>
          </w:tcPr>
          <w:p>
            <w:pPr>
              <w:pStyle w:val="43"/>
              <w:rPr>
                <w:rFonts w:hint="default" w:ascii="Times New Roman" w:hAnsi="Times New Roman" w:cs="Times New Roman"/>
                <w:color w:val="auto"/>
              </w:rPr>
            </w:pPr>
            <w:r>
              <w:rPr>
                <w:rFonts w:hint="default" w:ascii="Times New Roman" w:hAnsi="Times New Roman" w:cs="Times New Roman"/>
                <w:color w:val="auto"/>
              </w:rPr>
              <w:t>最低环境温度/℃</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5329" w:type="dxa"/>
            <w:gridSpan w:val="2"/>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土地利用类型</w:t>
            </w:r>
          </w:p>
        </w:tc>
        <w:tc>
          <w:tcPr>
            <w:tcW w:w="2985" w:type="dxa"/>
            <w:vAlign w:val="center"/>
          </w:tcPr>
          <w:p>
            <w:pPr>
              <w:pStyle w:val="43"/>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沙地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5329" w:type="dxa"/>
            <w:gridSpan w:val="2"/>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区域湿度条件</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干燥气候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973" w:type="dxa"/>
            <w:vMerge w:val="restart"/>
            <w:vAlign w:val="center"/>
          </w:tcPr>
          <w:p>
            <w:pPr>
              <w:pStyle w:val="43"/>
              <w:rPr>
                <w:rFonts w:hint="default" w:ascii="Times New Roman" w:hAnsi="Times New Roman" w:cs="Times New Roman"/>
                <w:color w:val="auto"/>
              </w:rPr>
            </w:pPr>
            <w:r>
              <w:rPr>
                <w:rFonts w:hint="default" w:ascii="Times New Roman" w:hAnsi="Times New Roman" w:cs="Times New Roman"/>
                <w:color w:val="auto"/>
              </w:rPr>
              <w:t>是否考虑地形</w:t>
            </w:r>
          </w:p>
        </w:tc>
        <w:tc>
          <w:tcPr>
            <w:tcW w:w="3356"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考虑地形</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 xml:space="preserve">☑是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eq \o\ac(□)</w:instrText>
            </w:r>
            <w:r>
              <w:rPr>
                <w:rFonts w:hint="default" w:ascii="Times New Roman" w:hAnsi="Times New Roman" w:cs="Times New Roman"/>
                <w:color w:val="auto"/>
              </w:rPr>
              <w:fldChar w:fldCharType="end"/>
            </w: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973" w:type="dxa"/>
            <w:vMerge w:val="continue"/>
            <w:vAlign w:val="center"/>
          </w:tcPr>
          <w:p>
            <w:pPr>
              <w:pStyle w:val="43"/>
              <w:rPr>
                <w:rFonts w:hint="default" w:ascii="Times New Roman" w:hAnsi="Times New Roman" w:cs="Times New Roman"/>
                <w:color w:val="auto"/>
              </w:rPr>
            </w:pPr>
          </w:p>
        </w:tc>
        <w:tc>
          <w:tcPr>
            <w:tcW w:w="3356"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地形数据分辨率/m</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973" w:type="dxa"/>
            <w:vMerge w:val="restart"/>
            <w:vAlign w:val="center"/>
          </w:tcPr>
          <w:p>
            <w:pPr>
              <w:pStyle w:val="43"/>
              <w:rPr>
                <w:rFonts w:hint="default" w:ascii="Times New Roman" w:hAnsi="Times New Roman" w:cs="Times New Roman"/>
                <w:color w:val="auto"/>
              </w:rPr>
            </w:pPr>
            <w:r>
              <w:rPr>
                <w:rFonts w:hint="default" w:ascii="Times New Roman" w:hAnsi="Times New Roman" w:cs="Times New Roman"/>
                <w:color w:val="auto"/>
              </w:rPr>
              <w:t>是否考虑岸线熏烟</w:t>
            </w:r>
          </w:p>
        </w:tc>
        <w:tc>
          <w:tcPr>
            <w:tcW w:w="3356"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考虑岸线熏烟</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 xml:space="preserve">□是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eq \o\ac(□,√)</w:instrText>
            </w:r>
            <w:r>
              <w:rPr>
                <w:rFonts w:hint="default" w:ascii="Times New Roman" w:hAnsi="Times New Roman" w:cs="Times New Roman"/>
                <w:color w:val="auto"/>
              </w:rPr>
              <w:fldChar w:fldCharType="end"/>
            </w: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973" w:type="dxa"/>
            <w:vMerge w:val="continue"/>
            <w:vAlign w:val="center"/>
          </w:tcPr>
          <w:p>
            <w:pPr>
              <w:pStyle w:val="43"/>
              <w:rPr>
                <w:rFonts w:hint="default" w:ascii="Times New Roman" w:hAnsi="Times New Roman" w:cs="Times New Roman"/>
                <w:color w:val="auto"/>
              </w:rPr>
            </w:pPr>
          </w:p>
        </w:tc>
        <w:tc>
          <w:tcPr>
            <w:tcW w:w="3356"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岸线距离/km</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973" w:type="dxa"/>
            <w:vMerge w:val="continue"/>
            <w:vAlign w:val="center"/>
          </w:tcPr>
          <w:p>
            <w:pPr>
              <w:pStyle w:val="43"/>
              <w:rPr>
                <w:rFonts w:hint="default" w:ascii="Times New Roman" w:hAnsi="Times New Roman" w:cs="Times New Roman"/>
                <w:color w:val="auto"/>
              </w:rPr>
            </w:pPr>
          </w:p>
        </w:tc>
        <w:tc>
          <w:tcPr>
            <w:tcW w:w="3356"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岸线方向/°</w:t>
            </w:r>
          </w:p>
        </w:tc>
        <w:tc>
          <w:tcPr>
            <w:tcW w:w="2985"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w:t>
            </w:r>
          </w:p>
        </w:tc>
      </w:tr>
    </w:tbl>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（4）预计评价结果</w:t>
      </w:r>
    </w:p>
    <w:p>
      <w:pPr>
        <w:spacing w:line="360" w:lineRule="auto"/>
        <w:ind w:firstLine="480"/>
        <w:rPr>
          <w:rFonts w:hint="default" w:ascii="Times New Roman" w:hAnsi="Times New Roman" w:eastAsia="宋体" w:cs="Times New Roman"/>
          <w:b/>
          <w:color w:val="auto"/>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44" w:name="_Ref489632264"/>
      <w:r>
        <w:rPr>
          <w:rFonts w:hint="default" w:ascii="Times New Roman" w:hAnsi="Times New Roman" w:eastAsia="宋体" w:cs="Times New Roman"/>
          <w:color w:val="auto"/>
          <w:sz w:val="24"/>
        </w:rPr>
        <w:t>本项目油气集输无组织排放非甲烷总烃估算结果见表5.1-6。</w:t>
      </w:r>
      <w:r>
        <w:rPr>
          <w:rFonts w:hint="eastAsia" w:ascii="Times New Roman" w:hAnsi="Times New Roman" w:eastAsia="宋体" w:cs="Times New Roman"/>
          <w:b w:val="0"/>
          <w:bCs/>
          <w:color w:val="auto"/>
          <w:sz w:val="24"/>
          <w:szCs w:val="24"/>
          <w:lang w:val="en-US" w:eastAsia="zh-CN"/>
        </w:rPr>
        <w:t>无组织硫化氢估算结果见表5.1-7。</w:t>
      </w:r>
    </w:p>
    <w:p>
      <w:pPr>
        <w:spacing w:line="360" w:lineRule="auto"/>
        <w:ind w:firstLine="422" w:firstLineChars="20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 xml:space="preserve">表5.1-6  </w:t>
      </w:r>
      <w:r>
        <w:rPr>
          <w:rFonts w:hint="eastAsia" w:ascii="Times New Roman" w:hAnsi="Times New Roman" w:eastAsia="宋体" w:cs="Times New Roman"/>
          <w:b/>
          <w:color w:val="auto"/>
          <w:szCs w:val="21"/>
          <w:lang w:val="en-US" w:eastAsia="zh-CN"/>
        </w:rPr>
        <w:t>非甲烷总烃</w:t>
      </w:r>
      <w:r>
        <w:rPr>
          <w:rFonts w:hint="default" w:ascii="Times New Roman" w:hAnsi="Times New Roman" w:eastAsia="宋体" w:cs="Times New Roman"/>
          <w:b/>
          <w:color w:val="auto"/>
          <w:szCs w:val="21"/>
        </w:rPr>
        <w:t>预测结果表   单位：μg/m</w:t>
      </w:r>
      <w:r>
        <w:rPr>
          <w:rFonts w:hint="default" w:ascii="Times New Roman" w:hAnsi="Times New Roman" w:eastAsia="宋体" w:cs="Times New Roman"/>
          <w:b/>
          <w:color w:val="auto"/>
          <w:szCs w:val="21"/>
          <w:vertAlign w:val="superscript"/>
        </w:rPr>
        <w:t>3</w:t>
      </w:r>
    </w:p>
    <w:tbl>
      <w:tblPr>
        <w:tblStyle w:val="32"/>
        <w:tblW w:w="141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2772"/>
        <w:gridCol w:w="3265"/>
        <w:gridCol w:w="2996"/>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Merge w:val="restart"/>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下风向距离/m</w:t>
            </w:r>
          </w:p>
        </w:tc>
        <w:tc>
          <w:tcPr>
            <w:tcW w:w="6037" w:type="dxa"/>
            <w:gridSpan w:val="2"/>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单井井场</w:t>
            </w:r>
          </w:p>
        </w:tc>
        <w:tc>
          <w:tcPr>
            <w:tcW w:w="6043" w:type="dxa"/>
            <w:gridSpan w:val="2"/>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2井式井场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Merge w:val="continue"/>
            <w:vAlign w:val="center"/>
          </w:tcPr>
          <w:p>
            <w:pPr>
              <w:jc w:val="center"/>
              <w:rPr>
                <w:rFonts w:hint="default" w:ascii="Times New Roman" w:hAnsi="Times New Roman" w:eastAsia="宋体" w:cs="Times New Roman"/>
                <w:b/>
                <w:color w:val="auto"/>
                <w:szCs w:val="21"/>
              </w:rPr>
            </w:pPr>
          </w:p>
        </w:tc>
        <w:tc>
          <w:tcPr>
            <w:tcW w:w="2772" w:type="dxa"/>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预测质量浓度</w:t>
            </w:r>
          </w:p>
        </w:tc>
        <w:tc>
          <w:tcPr>
            <w:tcW w:w="3265" w:type="dxa"/>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占标率/%</w:t>
            </w:r>
          </w:p>
        </w:tc>
        <w:tc>
          <w:tcPr>
            <w:tcW w:w="2996"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预测质量浓度</w:t>
            </w:r>
          </w:p>
        </w:tc>
        <w:tc>
          <w:tcPr>
            <w:tcW w:w="304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
                <w:color w:val="auto"/>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7.153</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3.57650E-001</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13.478</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6.73900E-001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25</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10.715</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5.35750E-001</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19.604</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9.80200E-001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7.0091</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3.50455E-001</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14.309</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7.15450E-001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75</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4.429</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2.21450E-001</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9.145</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4.57250E-001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2.946</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1.47300E-001</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6.0654</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3.03270E-001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1.5891</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7.94550E-002</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3.2558</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1.62790E-001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200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1.0169</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5.08450E-002</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2.0794</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1.03970E-001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500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0.25299</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1.26495E-002</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0.51591</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2.57955E-002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1000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0.09174</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4.58700E-003</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0.18708</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9.35400E-003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1500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0.051416</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2.57080E-003</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0.10485</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5.24250E-003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2000</w:t>
            </w:r>
          </w:p>
        </w:tc>
        <w:tc>
          <w:tcPr>
            <w:tcW w:w="2772"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0.034866</w:t>
            </w:r>
          </w:p>
        </w:tc>
        <w:tc>
          <w:tcPr>
            <w:tcW w:w="3265"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1.74330E-003</w:t>
            </w:r>
          </w:p>
        </w:tc>
        <w:tc>
          <w:tcPr>
            <w:tcW w:w="2996"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0.069852</w:t>
            </w:r>
          </w:p>
        </w:tc>
        <w:tc>
          <w:tcPr>
            <w:tcW w:w="3047" w:type="dxa"/>
            <w:vAlign w:val="center"/>
          </w:tcPr>
          <w:p>
            <w:pPr>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3.49260E-003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下风向最大质量浓度及占标率</w:t>
            </w:r>
          </w:p>
        </w:tc>
        <w:tc>
          <w:tcPr>
            <w:tcW w:w="2772" w:type="dxa"/>
            <w:shd w:val="clear" w:color="auto" w:fill="auto"/>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10.844</w:t>
            </w:r>
          </w:p>
        </w:tc>
        <w:tc>
          <w:tcPr>
            <w:tcW w:w="3265" w:type="dxa"/>
            <w:shd w:val="clear" w:color="auto" w:fill="auto"/>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5.42200E-001</w:t>
            </w:r>
          </w:p>
        </w:tc>
        <w:tc>
          <w:tcPr>
            <w:tcW w:w="2996" w:type="dxa"/>
            <w:shd w:val="clear" w:color="auto" w:fill="auto"/>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20.009</w:t>
            </w:r>
          </w:p>
        </w:tc>
        <w:tc>
          <w:tcPr>
            <w:tcW w:w="3047" w:type="dxa"/>
            <w:shd w:val="clear" w:color="auto" w:fill="auto"/>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1.00045E+000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D10%最远距离/m</w:t>
            </w:r>
          </w:p>
        </w:tc>
        <w:tc>
          <w:tcPr>
            <w:tcW w:w="6037" w:type="dxa"/>
            <w:gridSpan w:val="2"/>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c>
          <w:tcPr>
            <w:tcW w:w="6043" w:type="dxa"/>
            <w:gridSpan w:val="2"/>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85"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最大浓度落地点距离/m</w:t>
            </w:r>
          </w:p>
        </w:tc>
        <w:tc>
          <w:tcPr>
            <w:tcW w:w="6037" w:type="dxa"/>
            <w:gridSpan w:val="2"/>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40</w:t>
            </w:r>
          </w:p>
        </w:tc>
        <w:tc>
          <w:tcPr>
            <w:tcW w:w="6043" w:type="dxa"/>
            <w:gridSpan w:val="2"/>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27</w:t>
            </w:r>
          </w:p>
        </w:tc>
      </w:tr>
    </w:tbl>
    <w:p>
      <w:pPr>
        <w:spacing w:line="360" w:lineRule="auto"/>
        <w:ind w:firstLine="480" w:firstLineChars="200"/>
        <w:rPr>
          <w:rFonts w:hint="default" w:ascii="Times New Roman" w:hAnsi="Times New Roman" w:eastAsia="宋体" w:cs="Times New Roman"/>
          <w:bCs/>
          <w:color w:val="auto"/>
          <w:sz w:val="24"/>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根据表5.1-6预测结果可知，</w:t>
      </w:r>
      <w:r>
        <w:rPr>
          <w:rFonts w:hint="eastAsia" w:ascii="Times New Roman" w:hAnsi="Times New Roman" w:eastAsia="宋体" w:cs="Times New Roman"/>
          <w:bCs/>
          <w:color w:val="auto"/>
          <w:sz w:val="24"/>
          <w:lang w:val="en-US" w:eastAsia="zh-CN"/>
        </w:rPr>
        <w:t>单井井场</w:t>
      </w:r>
      <w:r>
        <w:rPr>
          <w:rFonts w:hint="default" w:ascii="Times New Roman" w:hAnsi="Times New Roman" w:eastAsia="宋体" w:cs="Times New Roman"/>
          <w:bCs/>
          <w:color w:val="auto"/>
          <w:sz w:val="24"/>
        </w:rPr>
        <w:t>非甲烷总烃最大落地浓度为</w:t>
      </w:r>
      <w:r>
        <w:rPr>
          <w:rFonts w:hint="eastAsia" w:ascii="Times New Roman" w:hAnsi="Times New Roman" w:eastAsia="宋体" w:cs="Times New Roman"/>
          <w:bCs/>
          <w:color w:val="auto"/>
          <w:sz w:val="24"/>
          <w:lang w:val="en-US" w:eastAsia="zh-CN"/>
        </w:rPr>
        <w:t>10.0844</w:t>
      </w:r>
      <w:r>
        <w:rPr>
          <w:rFonts w:hint="default" w:ascii="Times New Roman" w:hAnsi="Times New Roman" w:eastAsia="宋体" w:cs="Times New Roman"/>
          <w:bCs/>
          <w:color w:val="auto"/>
          <w:sz w:val="24"/>
        </w:rPr>
        <w:t>μg/m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，最大浓度出现的距离为下风向</w:t>
      </w:r>
      <w:r>
        <w:rPr>
          <w:rFonts w:hint="eastAsia" w:ascii="Times New Roman" w:hAnsi="Times New Roman" w:eastAsia="宋体" w:cs="Times New Roman"/>
          <w:bCs/>
          <w:color w:val="auto"/>
          <w:sz w:val="24"/>
          <w:lang w:val="en-US" w:eastAsia="zh-CN"/>
        </w:rPr>
        <w:t>27</w:t>
      </w:r>
      <w:r>
        <w:rPr>
          <w:rFonts w:hint="default" w:ascii="Times New Roman" w:hAnsi="Times New Roman" w:eastAsia="宋体" w:cs="Times New Roman"/>
          <w:bCs/>
          <w:color w:val="auto"/>
          <w:sz w:val="24"/>
        </w:rPr>
        <w:t>m，最大占标率为</w:t>
      </w:r>
      <w:r>
        <w:rPr>
          <w:rFonts w:hint="eastAsia" w:ascii="Times New Roman" w:hAnsi="Times New Roman" w:eastAsia="宋体" w:cs="Times New Roman"/>
          <w:bCs/>
          <w:color w:val="auto"/>
          <w:sz w:val="24"/>
          <w:lang w:val="en-US" w:eastAsia="zh-CN"/>
        </w:rPr>
        <w:t>0.542</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2井式平台井井场</w:t>
      </w:r>
      <w:r>
        <w:rPr>
          <w:rFonts w:hint="default" w:ascii="Times New Roman" w:hAnsi="Times New Roman" w:eastAsia="宋体" w:cs="Times New Roman"/>
          <w:bCs/>
          <w:color w:val="auto"/>
          <w:sz w:val="24"/>
        </w:rPr>
        <w:t>非甲烷总烃最大落地浓度为</w:t>
      </w:r>
      <w:r>
        <w:rPr>
          <w:rFonts w:hint="eastAsia" w:ascii="Times New Roman" w:hAnsi="Times New Roman" w:eastAsia="宋体" w:cs="Times New Roman"/>
          <w:bCs/>
          <w:color w:val="auto"/>
          <w:sz w:val="24"/>
          <w:lang w:val="en-US" w:eastAsia="zh-CN"/>
        </w:rPr>
        <w:t>20.009</w:t>
      </w:r>
      <w:r>
        <w:rPr>
          <w:rFonts w:hint="default" w:ascii="Times New Roman" w:hAnsi="Times New Roman" w:eastAsia="宋体" w:cs="Times New Roman"/>
          <w:bCs/>
          <w:color w:val="auto"/>
          <w:sz w:val="24"/>
        </w:rPr>
        <w:t>μg/m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，最大浓度出现的距离为下风向</w:t>
      </w:r>
      <w:r>
        <w:rPr>
          <w:rFonts w:hint="eastAsia" w:ascii="Times New Roman" w:hAnsi="Times New Roman" w:eastAsia="宋体" w:cs="Times New Roman"/>
          <w:bCs/>
          <w:color w:val="auto"/>
          <w:sz w:val="24"/>
          <w:lang w:val="en-US" w:eastAsia="zh-CN"/>
        </w:rPr>
        <w:t>27</w:t>
      </w:r>
      <w:r>
        <w:rPr>
          <w:rFonts w:hint="default" w:ascii="Times New Roman" w:hAnsi="Times New Roman" w:eastAsia="宋体" w:cs="Times New Roman"/>
          <w:bCs/>
          <w:color w:val="auto"/>
          <w:sz w:val="24"/>
        </w:rPr>
        <w:t>m，最大占标率为</w:t>
      </w:r>
      <w:r>
        <w:rPr>
          <w:rFonts w:hint="eastAsia" w:ascii="Times New Roman" w:hAnsi="Times New Roman" w:eastAsia="宋体" w:cs="Times New Roman"/>
          <w:bCs/>
          <w:color w:val="auto"/>
          <w:sz w:val="24"/>
          <w:lang w:val="en-US" w:eastAsia="zh-CN"/>
        </w:rPr>
        <w:t>1.000</w:t>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sz w:val="24"/>
        </w:rPr>
        <w:t>非甲烷总烃满足《陆上石油天然气开采工业大气污染物排放标准》（GB39728-2020）中企业边界污染物控制要求（4.0mg/m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），井区内非甲烷总烃可以实现达标排放。</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综上所述，项目正常排放的大气污染物对评价区域大气环境质量均不会产生明显影响，不会使区域环境空气质量发生明显改变，且项目区地域空旷，周边无固定人群居住，对区域大气环境影响较小。</w:t>
      </w:r>
    </w:p>
    <w:bookmarkEnd w:id="244"/>
    <w:p>
      <w:pPr>
        <w:pStyle w:val="66"/>
        <w:rPr>
          <w:rFonts w:hint="default" w:ascii="Times New Roman" w:hAnsi="Times New Roman" w:cs="Times New Roman"/>
          <w:color w:val="auto"/>
        </w:rPr>
      </w:pPr>
      <w:r>
        <w:rPr>
          <w:rFonts w:hint="default" w:ascii="Times New Roman" w:hAnsi="Times New Roman" w:cs="Times New Roman"/>
          <w:color w:val="auto"/>
        </w:rPr>
        <w:t>5.1.2.</w:t>
      </w:r>
      <w:r>
        <w:rPr>
          <w:rFonts w:hint="default" w:ascii="Times New Roman" w:hAnsi="Times New Roman" w:cs="Times New Roman"/>
          <w:color w:val="auto"/>
          <w:lang w:val="en-US" w:eastAsia="zh-CN"/>
        </w:rPr>
        <w:t>2</w:t>
      </w:r>
      <w:r>
        <w:rPr>
          <w:rFonts w:hint="default" w:ascii="Times New Roman" w:hAnsi="Times New Roman" w:cs="Times New Roman"/>
          <w:color w:val="auto"/>
        </w:rPr>
        <w:t>大气污染物排放量核算</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本项目无组织排放量核算情况详见表5.1-7。</w:t>
      </w:r>
    </w:p>
    <w:p>
      <w:pPr>
        <w:spacing w:line="360" w:lineRule="auto"/>
        <w:ind w:firstLine="422" w:firstLineChars="20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表5.1-7  大气污染物无组织排放量核算结果</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133"/>
        <w:gridCol w:w="1135"/>
        <w:gridCol w:w="1123"/>
        <w:gridCol w:w="2438"/>
        <w:gridCol w:w="1143"/>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42" w:type="dxa"/>
            <w:vMerge w:val="restart"/>
            <w:vAlign w:val="center"/>
          </w:tcPr>
          <w:p>
            <w:pPr>
              <w:pStyle w:val="43"/>
              <w:ind w:left="0" w:firstLine="0"/>
              <w:jc w:val="both"/>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133" w:type="dxa"/>
            <w:vMerge w:val="restart"/>
            <w:vAlign w:val="center"/>
          </w:tcPr>
          <w:p>
            <w:pPr>
              <w:pStyle w:val="43"/>
              <w:rPr>
                <w:rFonts w:hint="default" w:ascii="Times New Roman" w:hAnsi="Times New Roman" w:cs="Times New Roman"/>
                <w:b/>
                <w:bCs/>
                <w:color w:val="auto"/>
              </w:rPr>
            </w:pPr>
            <w:r>
              <w:rPr>
                <w:rFonts w:hint="default" w:ascii="Times New Roman" w:hAnsi="Times New Roman" w:cs="Times New Roman"/>
                <w:b/>
                <w:bCs/>
                <w:color w:val="auto"/>
              </w:rPr>
              <w:t>产污环节</w:t>
            </w:r>
          </w:p>
        </w:tc>
        <w:tc>
          <w:tcPr>
            <w:tcW w:w="1135" w:type="dxa"/>
            <w:vMerge w:val="restart"/>
            <w:vAlign w:val="center"/>
          </w:tcPr>
          <w:p>
            <w:pPr>
              <w:pStyle w:val="43"/>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1123" w:type="dxa"/>
            <w:vMerge w:val="restart"/>
            <w:vAlign w:val="center"/>
          </w:tcPr>
          <w:p>
            <w:pPr>
              <w:pStyle w:val="43"/>
              <w:ind w:left="0" w:firstLine="0"/>
              <w:jc w:val="both"/>
              <w:rPr>
                <w:rFonts w:hint="default" w:ascii="Times New Roman" w:hAnsi="Times New Roman" w:cs="Times New Roman"/>
                <w:b/>
                <w:bCs/>
                <w:color w:val="auto"/>
              </w:rPr>
            </w:pPr>
            <w:r>
              <w:rPr>
                <w:rFonts w:hint="default" w:ascii="Times New Roman" w:hAnsi="Times New Roman" w:cs="Times New Roman"/>
                <w:b/>
                <w:bCs/>
                <w:color w:val="auto"/>
              </w:rPr>
              <w:t>主要污染防治措施</w:t>
            </w:r>
          </w:p>
        </w:tc>
        <w:tc>
          <w:tcPr>
            <w:tcW w:w="3581" w:type="dxa"/>
            <w:gridSpan w:val="2"/>
            <w:tcBorders>
              <w:bottom w:val="single" w:color="auto" w:sz="6" w:space="0"/>
            </w:tcBorders>
            <w:vAlign w:val="center"/>
          </w:tcPr>
          <w:p>
            <w:pPr>
              <w:pStyle w:val="43"/>
              <w:rPr>
                <w:rFonts w:hint="default" w:ascii="Times New Roman" w:hAnsi="Times New Roman" w:cs="Times New Roman"/>
                <w:b/>
                <w:bCs/>
                <w:color w:val="auto"/>
              </w:rPr>
            </w:pPr>
            <w:r>
              <w:rPr>
                <w:rFonts w:hint="default" w:ascii="Times New Roman" w:hAnsi="Times New Roman" w:cs="Times New Roman"/>
                <w:b/>
                <w:bCs/>
                <w:color w:val="auto"/>
              </w:rPr>
              <w:t>污染物排放标准</w:t>
            </w:r>
          </w:p>
        </w:tc>
        <w:tc>
          <w:tcPr>
            <w:tcW w:w="1005" w:type="dxa"/>
            <w:vMerge w:val="restart"/>
            <w:vAlign w:val="center"/>
          </w:tcPr>
          <w:p>
            <w:pPr>
              <w:pStyle w:val="43"/>
              <w:ind w:left="0" w:firstLine="0"/>
              <w:jc w:val="both"/>
              <w:rPr>
                <w:rFonts w:hint="default" w:ascii="Times New Roman" w:hAnsi="Times New Roman" w:cs="Times New Roman"/>
                <w:b/>
                <w:bCs/>
                <w:color w:val="auto"/>
              </w:rPr>
            </w:pPr>
            <w:r>
              <w:rPr>
                <w:rFonts w:hint="default" w:ascii="Times New Roman" w:hAnsi="Times New Roman" w:cs="Times New Roman"/>
                <w:b/>
                <w:bCs/>
                <w:color w:val="auto"/>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42" w:type="dxa"/>
            <w:vMerge w:val="continue"/>
            <w:vAlign w:val="center"/>
          </w:tcPr>
          <w:p>
            <w:pPr>
              <w:pStyle w:val="43"/>
              <w:rPr>
                <w:rFonts w:hint="default" w:ascii="Times New Roman" w:hAnsi="Times New Roman" w:cs="Times New Roman"/>
                <w:color w:val="auto"/>
              </w:rPr>
            </w:pPr>
          </w:p>
        </w:tc>
        <w:tc>
          <w:tcPr>
            <w:tcW w:w="1133" w:type="dxa"/>
            <w:vMerge w:val="continue"/>
            <w:vAlign w:val="center"/>
          </w:tcPr>
          <w:p>
            <w:pPr>
              <w:pStyle w:val="43"/>
              <w:rPr>
                <w:rFonts w:hint="default" w:ascii="Times New Roman" w:hAnsi="Times New Roman" w:cs="Times New Roman"/>
                <w:color w:val="auto"/>
              </w:rPr>
            </w:pPr>
          </w:p>
        </w:tc>
        <w:tc>
          <w:tcPr>
            <w:tcW w:w="1135" w:type="dxa"/>
            <w:vMerge w:val="continue"/>
            <w:vAlign w:val="center"/>
          </w:tcPr>
          <w:p>
            <w:pPr>
              <w:pStyle w:val="43"/>
              <w:rPr>
                <w:rFonts w:hint="default" w:ascii="Times New Roman" w:hAnsi="Times New Roman" w:cs="Times New Roman"/>
                <w:color w:val="auto"/>
              </w:rPr>
            </w:pPr>
          </w:p>
        </w:tc>
        <w:tc>
          <w:tcPr>
            <w:tcW w:w="1123" w:type="dxa"/>
            <w:vMerge w:val="continue"/>
            <w:vAlign w:val="center"/>
          </w:tcPr>
          <w:p>
            <w:pPr>
              <w:pStyle w:val="43"/>
              <w:rPr>
                <w:rFonts w:hint="default" w:ascii="Times New Roman" w:hAnsi="Times New Roman" w:cs="Times New Roman"/>
                <w:color w:val="auto"/>
              </w:rPr>
            </w:pPr>
          </w:p>
        </w:tc>
        <w:tc>
          <w:tcPr>
            <w:tcW w:w="2438" w:type="dxa"/>
            <w:tcBorders>
              <w:top w:val="single" w:color="auto" w:sz="6" w:space="0"/>
            </w:tcBorders>
            <w:vAlign w:val="center"/>
          </w:tcPr>
          <w:p>
            <w:pPr>
              <w:pStyle w:val="43"/>
              <w:rPr>
                <w:rFonts w:hint="default" w:ascii="Times New Roman" w:hAnsi="Times New Roman" w:cs="Times New Roman"/>
                <w:b/>
                <w:bCs/>
                <w:color w:val="auto"/>
              </w:rPr>
            </w:pPr>
            <w:r>
              <w:rPr>
                <w:rFonts w:hint="default" w:ascii="Times New Roman" w:hAnsi="Times New Roman" w:cs="Times New Roman"/>
                <w:b/>
                <w:bCs/>
                <w:color w:val="auto"/>
              </w:rPr>
              <w:t>标准名称</w:t>
            </w:r>
          </w:p>
        </w:tc>
        <w:tc>
          <w:tcPr>
            <w:tcW w:w="1143" w:type="dxa"/>
            <w:tcBorders>
              <w:top w:val="single" w:color="auto" w:sz="6" w:space="0"/>
            </w:tcBorders>
            <w:vAlign w:val="center"/>
          </w:tcPr>
          <w:p>
            <w:pPr>
              <w:pStyle w:val="43"/>
              <w:rPr>
                <w:rFonts w:hint="default" w:ascii="Times New Roman" w:hAnsi="Times New Roman" w:cs="Times New Roman"/>
                <w:b/>
                <w:bCs/>
                <w:color w:val="auto"/>
              </w:rPr>
            </w:pPr>
            <w:r>
              <w:rPr>
                <w:rFonts w:hint="default" w:ascii="Times New Roman" w:hAnsi="Times New Roman" w:cs="Times New Roman"/>
                <w:b/>
                <w:bCs/>
                <w:color w:val="auto"/>
              </w:rPr>
              <w:t>浓度限值</w:t>
            </w:r>
          </w:p>
        </w:tc>
        <w:tc>
          <w:tcPr>
            <w:tcW w:w="1005" w:type="dxa"/>
            <w:vMerge w:val="continue"/>
            <w:vAlign w:val="center"/>
          </w:tcPr>
          <w:p>
            <w:pPr>
              <w:pStyle w:val="43"/>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42"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1</w:t>
            </w:r>
          </w:p>
        </w:tc>
        <w:tc>
          <w:tcPr>
            <w:tcW w:w="1133"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油气集输</w:t>
            </w:r>
          </w:p>
        </w:tc>
        <w:tc>
          <w:tcPr>
            <w:tcW w:w="1135" w:type="dxa"/>
            <w:vAlign w:val="center"/>
          </w:tcPr>
          <w:p>
            <w:pPr>
              <w:pStyle w:val="43"/>
              <w:ind w:left="0" w:firstLine="0"/>
              <w:rPr>
                <w:rFonts w:hint="default" w:ascii="Times New Roman" w:hAnsi="Times New Roman" w:cs="Times New Roman"/>
                <w:color w:val="auto"/>
              </w:rPr>
            </w:pPr>
            <w:r>
              <w:rPr>
                <w:rFonts w:hint="default" w:ascii="Times New Roman" w:hAnsi="Times New Roman" w:cs="Times New Roman"/>
                <w:color w:val="auto"/>
              </w:rPr>
              <w:t>非甲烷总烃</w:t>
            </w:r>
          </w:p>
        </w:tc>
        <w:tc>
          <w:tcPr>
            <w:tcW w:w="1123" w:type="dxa"/>
            <w:vAlign w:val="center"/>
          </w:tcPr>
          <w:p>
            <w:pPr>
              <w:pStyle w:val="43"/>
              <w:ind w:left="0" w:firstLine="0"/>
              <w:rPr>
                <w:rFonts w:hint="default" w:ascii="Times New Roman" w:hAnsi="Times New Roman" w:cs="Times New Roman"/>
                <w:color w:val="auto"/>
              </w:rPr>
            </w:pPr>
            <w:r>
              <w:rPr>
                <w:rFonts w:hint="default" w:ascii="Times New Roman" w:hAnsi="Times New Roman" w:cs="Times New Roman"/>
                <w:color w:val="auto"/>
              </w:rPr>
              <w:t>采用密闭集输流程</w:t>
            </w:r>
          </w:p>
        </w:tc>
        <w:tc>
          <w:tcPr>
            <w:tcW w:w="2438"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《陆上石油天然气开采工业大气污染物排放标准》（GB39728-2020）</w:t>
            </w:r>
          </w:p>
        </w:tc>
        <w:tc>
          <w:tcPr>
            <w:tcW w:w="1143" w:type="dxa"/>
            <w:vAlign w:val="center"/>
          </w:tcPr>
          <w:p>
            <w:pPr>
              <w:pStyle w:val="43"/>
              <w:rPr>
                <w:rFonts w:hint="default" w:ascii="Times New Roman" w:hAnsi="Times New Roman" w:cs="Times New Roman"/>
                <w:color w:val="auto"/>
              </w:rPr>
            </w:pPr>
            <w:r>
              <w:rPr>
                <w:rFonts w:hint="default" w:ascii="Times New Roman" w:hAnsi="Times New Roman" w:cs="Times New Roman"/>
                <w:color w:val="auto"/>
              </w:rPr>
              <w:t>4.0mg/m</w:t>
            </w:r>
            <w:r>
              <w:rPr>
                <w:rFonts w:hint="default" w:ascii="Times New Roman" w:hAnsi="Times New Roman" w:cs="Times New Roman"/>
                <w:color w:val="auto"/>
                <w:vertAlign w:val="superscript"/>
              </w:rPr>
              <w:t>3</w:t>
            </w:r>
          </w:p>
        </w:tc>
        <w:tc>
          <w:tcPr>
            <w:tcW w:w="1005" w:type="dxa"/>
            <w:vAlign w:val="center"/>
          </w:tcPr>
          <w:p>
            <w:pPr>
              <w:pStyle w:val="43"/>
              <w:rPr>
                <w:rFonts w:hint="default" w:ascii="Times New Roman" w:hAnsi="Times New Roman" w:cs="Times New Roman"/>
                <w:color w:val="auto"/>
              </w:rPr>
            </w:pPr>
            <w:r>
              <w:rPr>
                <w:rFonts w:hint="eastAsia" w:ascii="Times New Roman" w:hAnsi="Times New Roman" w:cs="Times New Roman"/>
                <w:color w:val="auto"/>
                <w:lang w:eastAsia="zh-CN"/>
              </w:rPr>
              <w:t>0.2714</w:t>
            </w:r>
            <w:r>
              <w:rPr>
                <w:rFonts w:hint="default" w:ascii="Times New Roman" w:hAnsi="Times New Roman" w:cs="Times New Roman"/>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42" w:type="dxa"/>
            <w:vAlign w:val="center"/>
          </w:tcPr>
          <w:p>
            <w:pPr>
              <w:pStyle w:val="43"/>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w:t>
            </w:r>
          </w:p>
        </w:tc>
        <w:tc>
          <w:tcPr>
            <w:tcW w:w="1133" w:type="dxa"/>
            <w:vAlign w:val="center"/>
          </w:tcPr>
          <w:p>
            <w:pPr>
              <w:pStyle w:val="43"/>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油气开采</w:t>
            </w:r>
          </w:p>
        </w:tc>
        <w:tc>
          <w:tcPr>
            <w:tcW w:w="1135" w:type="dxa"/>
            <w:vAlign w:val="center"/>
          </w:tcPr>
          <w:p>
            <w:pPr>
              <w:pStyle w:val="43"/>
              <w:ind w:left="0" w:firstLine="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硫化氢</w:t>
            </w:r>
          </w:p>
        </w:tc>
        <w:tc>
          <w:tcPr>
            <w:tcW w:w="1123" w:type="dxa"/>
            <w:vAlign w:val="center"/>
          </w:tcPr>
          <w:p>
            <w:pPr>
              <w:pStyle w:val="43"/>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olor w:val="auto"/>
              </w:rPr>
              <w:t>/</w:t>
            </w:r>
          </w:p>
        </w:tc>
        <w:tc>
          <w:tcPr>
            <w:tcW w:w="2438" w:type="dxa"/>
            <w:vAlign w:val="center"/>
          </w:tcPr>
          <w:p>
            <w:pPr>
              <w:pStyle w:val="43"/>
              <w:ind w:left="0" w:leftChars="0" w:firstLine="0" w:firstLineChars="0"/>
              <w:rPr>
                <w:rFonts w:hint="default" w:ascii="Times New Roman" w:hAnsi="Times New Roman" w:eastAsia="宋体" w:cs="Times New Roman"/>
                <w:color w:val="auto"/>
                <w:kern w:val="2"/>
                <w:sz w:val="21"/>
                <w:szCs w:val="24"/>
                <w:lang w:val="en-US" w:eastAsia="zh-CN" w:bidi="ar-SA"/>
              </w:rPr>
            </w:pPr>
            <w:r>
              <w:rPr>
                <w:rFonts w:ascii="Times New Roman" w:hAnsi="Times New Roman"/>
                <w:color w:val="auto"/>
              </w:rPr>
              <w:t>《恶臭污染物排放标准》（GB 14554-93）</w:t>
            </w:r>
          </w:p>
        </w:tc>
        <w:tc>
          <w:tcPr>
            <w:tcW w:w="1143" w:type="dxa"/>
            <w:vAlign w:val="center"/>
          </w:tcPr>
          <w:p>
            <w:pPr>
              <w:pStyle w:val="43"/>
              <w:ind w:left="198" w:leftChars="0" w:hanging="198" w:firstLineChars="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bCs/>
                <w:color w:val="auto"/>
                <w:szCs w:val="21"/>
              </w:rPr>
              <w:t>0.06</w:t>
            </w:r>
            <w:r>
              <w:rPr>
                <w:rFonts w:ascii="Times New Roman" w:hAnsi="Times New Roman"/>
                <w:color w:val="auto"/>
                <w:szCs w:val="21"/>
              </w:rPr>
              <w:t>mg/m</w:t>
            </w:r>
            <w:r>
              <w:rPr>
                <w:rFonts w:ascii="Times New Roman" w:hAnsi="Times New Roman"/>
                <w:color w:val="auto"/>
                <w:szCs w:val="21"/>
                <w:vertAlign w:val="superscript"/>
              </w:rPr>
              <w:t>3</w:t>
            </w:r>
          </w:p>
        </w:tc>
        <w:tc>
          <w:tcPr>
            <w:tcW w:w="1005" w:type="dxa"/>
            <w:vAlign w:val="center"/>
          </w:tcPr>
          <w:p>
            <w:pPr>
              <w:pStyle w:val="43"/>
              <w:ind w:left="198" w:leftChars="0" w:hanging="198" w:firstLineChars="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w:t>
            </w:r>
          </w:p>
        </w:tc>
      </w:tr>
    </w:tbl>
    <w:p>
      <w:pPr>
        <w:pStyle w:val="66"/>
        <w:rPr>
          <w:rFonts w:hint="default" w:ascii="Times New Roman" w:hAnsi="Times New Roman" w:cs="Times New Roman"/>
          <w:color w:val="auto"/>
        </w:rPr>
      </w:pPr>
      <w:r>
        <w:rPr>
          <w:rFonts w:hint="default" w:ascii="Times New Roman" w:hAnsi="Times New Roman" w:cs="Times New Roman"/>
          <w:color w:val="auto"/>
        </w:rPr>
        <w:t>5.1.2.</w:t>
      </w:r>
      <w:r>
        <w:rPr>
          <w:rFonts w:hint="default" w:ascii="Times New Roman" w:hAnsi="Times New Roman" w:cs="Times New Roman"/>
          <w:color w:val="auto"/>
          <w:lang w:val="en-US" w:eastAsia="zh-CN"/>
        </w:rPr>
        <w:t>3</w:t>
      </w:r>
      <w:r>
        <w:rPr>
          <w:rFonts w:hint="default" w:ascii="Times New Roman" w:hAnsi="Times New Roman" w:cs="Times New Roman"/>
          <w:color w:val="auto"/>
        </w:rPr>
        <w:t>运营期大气环境影响分析结论</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烃类无组织排放是影响油气田区域环境空气的主要污染源之一，本项目采用密闭流程，井口密封并设紧急切断阀，可有效减少烃类气体的排放量。根据现状监测结果，区域环境空气中非甲烷总烃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硫化氢</w:t>
      </w:r>
      <w:r>
        <w:rPr>
          <w:rFonts w:hint="default" w:ascii="Times New Roman" w:hAnsi="Times New Roman" w:eastAsia="宋体" w:cs="Times New Roman"/>
          <w:color w:val="auto"/>
          <w:sz w:val="24"/>
        </w:rPr>
        <w:t>满足标准限值要求。</w:t>
      </w:r>
    </w:p>
    <w:p>
      <w:pPr>
        <w:pStyle w:val="66"/>
        <w:rPr>
          <w:rFonts w:hint="default" w:ascii="Times New Roman" w:hAnsi="Times New Roman" w:cs="Times New Roman"/>
          <w:color w:val="auto"/>
        </w:rPr>
      </w:pPr>
      <w:r>
        <w:rPr>
          <w:rFonts w:hint="default" w:ascii="Times New Roman" w:hAnsi="Times New Roman" w:cs="Times New Roman"/>
          <w:color w:val="auto"/>
        </w:rPr>
        <w:t>5.1.2.</w:t>
      </w:r>
      <w:r>
        <w:rPr>
          <w:rFonts w:hint="default" w:ascii="Times New Roman" w:hAnsi="Times New Roman" w:cs="Times New Roman"/>
          <w:color w:val="auto"/>
          <w:lang w:val="en-US" w:eastAsia="zh-CN"/>
        </w:rPr>
        <w:t>4</w:t>
      </w:r>
      <w:r>
        <w:rPr>
          <w:rFonts w:hint="default" w:ascii="Times New Roman" w:hAnsi="Times New Roman" w:cs="Times New Roman"/>
          <w:color w:val="auto"/>
        </w:rPr>
        <w:t>大气环境影响评价自查表</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项目大气环境影响自查表见表5.1-8。</w:t>
      </w:r>
    </w:p>
    <w:p>
      <w:pPr>
        <w:pStyle w:val="41"/>
        <w:spacing w:line="360" w:lineRule="auto"/>
        <w:jc w:val="center"/>
        <w:rPr>
          <w:rFonts w:hint="default" w:ascii="Times New Roman" w:hAnsi="Times New Roman" w:cs="Times New Roman"/>
          <w:b/>
          <w:bCs/>
          <w:color w:val="auto"/>
          <w:sz w:val="21"/>
          <w:szCs w:val="15"/>
        </w:rPr>
      </w:pPr>
      <w:r>
        <w:rPr>
          <w:rFonts w:hint="default" w:ascii="Times New Roman" w:hAnsi="Times New Roman" w:cs="Times New Roman"/>
          <w:b/>
          <w:bCs/>
          <w:color w:val="auto"/>
          <w:sz w:val="21"/>
          <w:szCs w:val="15"/>
        </w:rPr>
        <w:t>表5.1-8  大气环境影响评价自查表</w:t>
      </w:r>
    </w:p>
    <w:tbl>
      <w:tblPr>
        <w:tblStyle w:val="31"/>
        <w:tblW w:w="852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05"/>
        <w:gridCol w:w="1197"/>
        <w:gridCol w:w="850"/>
        <w:gridCol w:w="82"/>
        <w:gridCol w:w="324"/>
        <w:gridCol w:w="536"/>
        <w:gridCol w:w="347"/>
        <w:gridCol w:w="387"/>
        <w:gridCol w:w="280"/>
        <w:gridCol w:w="528"/>
        <w:gridCol w:w="114"/>
        <w:gridCol w:w="385"/>
        <w:gridCol w:w="90"/>
        <w:gridCol w:w="470"/>
        <w:gridCol w:w="548"/>
        <w:gridCol w:w="177"/>
        <w:gridCol w:w="511"/>
        <w:gridCol w:w="5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302" w:type="dxa"/>
            <w:gridSpan w:val="2"/>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工作内容</w:t>
            </w:r>
          </w:p>
        </w:tc>
        <w:tc>
          <w:tcPr>
            <w:tcW w:w="6220" w:type="dxa"/>
            <w:gridSpan w:val="16"/>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自查项目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评价等级与范围</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评价等级</w:t>
            </w:r>
          </w:p>
        </w:tc>
        <w:tc>
          <w:tcPr>
            <w:tcW w:w="1792"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w:t>
            </w:r>
          </w:p>
        </w:tc>
        <w:tc>
          <w:tcPr>
            <w:tcW w:w="2041"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评价范围</w:t>
            </w:r>
          </w:p>
        </w:tc>
        <w:tc>
          <w:tcPr>
            <w:tcW w:w="1792"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边长=50km□</w:t>
            </w:r>
          </w:p>
        </w:tc>
        <w:tc>
          <w:tcPr>
            <w:tcW w:w="2041"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边长5～50km□</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边长=5km☑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评价因子</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x</w:t>
            </w:r>
            <w:r>
              <w:rPr>
                <w:rFonts w:hint="default" w:ascii="Times New Roman" w:hAnsi="Times New Roman" w:eastAsia="宋体" w:cs="Times New Roman"/>
                <w:color w:val="auto"/>
                <w:szCs w:val="21"/>
              </w:rPr>
              <w:t>排放量</w:t>
            </w:r>
          </w:p>
        </w:tc>
        <w:tc>
          <w:tcPr>
            <w:tcW w:w="1792"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≥2000t/a□</w:t>
            </w:r>
          </w:p>
        </w:tc>
        <w:tc>
          <w:tcPr>
            <w:tcW w:w="2041"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2000t/a□</w:t>
            </w:r>
          </w:p>
        </w:tc>
        <w:tc>
          <w:tcPr>
            <w:tcW w:w="2387" w:type="dxa"/>
            <w:gridSpan w:val="6"/>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&lt;</w:t>
            </w:r>
            <w:r>
              <w:rPr>
                <w:rFonts w:hint="default" w:ascii="Times New Roman" w:hAnsi="Times New Roman" w:eastAsia="宋体" w:cs="Times New Roman"/>
                <w:color w:val="auto"/>
                <w:szCs w:val="21"/>
              </w:rPr>
              <w:t>500t/a□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评价因子</w:t>
            </w:r>
          </w:p>
        </w:tc>
        <w:tc>
          <w:tcPr>
            <w:tcW w:w="3833" w:type="dxa"/>
            <w:gridSpan w:val="1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基本污染物（）</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其他污染物（非甲烷总烃）</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包括二次PM</w:t>
            </w:r>
            <w:r>
              <w:rPr>
                <w:rFonts w:hint="default" w:ascii="Times New Roman" w:hAnsi="Times New Roman" w:eastAsia="宋体" w:cs="Times New Roman"/>
                <w:color w:val="auto"/>
                <w:szCs w:val="21"/>
                <w:vertAlign w:val="subscript"/>
              </w:rPr>
              <w:t>2.5</w:t>
            </w:r>
            <w:r>
              <w:rPr>
                <w:rFonts w:hint="default" w:ascii="Times New Roman" w:hAnsi="Times New Roman" w:eastAsia="宋体" w:cs="Times New Roman"/>
                <w:color w:val="auto"/>
                <w:szCs w:val="21"/>
              </w:rPr>
              <w:t>□</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不包括二次PM</w:t>
            </w:r>
            <w:r>
              <w:rPr>
                <w:rFonts w:hint="default" w:ascii="Times New Roman" w:hAnsi="Times New Roman" w:eastAsia="宋体" w:cs="Times New Roman"/>
                <w:color w:val="auto"/>
                <w:szCs w:val="21"/>
                <w:vertAlign w:val="subscript"/>
              </w:rPr>
              <w:t>2.5</w:t>
            </w:r>
            <w:r>
              <w:rPr>
                <w:rFonts w:hint="default" w:ascii="Times New Roman" w:hAnsi="Times New Roman" w:eastAsia="宋体" w:cs="Times New Roman"/>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评价标准</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评价标准</w:t>
            </w:r>
          </w:p>
        </w:tc>
        <w:tc>
          <w:tcPr>
            <w:tcW w:w="1256"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国家标准☑</w:t>
            </w:r>
          </w:p>
        </w:tc>
        <w:tc>
          <w:tcPr>
            <w:tcW w:w="1270"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地方标准□</w:t>
            </w:r>
          </w:p>
        </w:tc>
        <w:tc>
          <w:tcPr>
            <w:tcW w:w="1867" w:type="dxa"/>
            <w:gridSpan w:val="6"/>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附录D</w:t>
            </w:r>
            <w:r>
              <w:rPr>
                <w:rFonts w:hint="eastAsia" w:ascii="Times New Roman" w:hAnsi="Times New Roman" w:eastAsia="宋体" w:cs="Times New Roman"/>
                <w:color w:val="auto"/>
                <w:szCs w:val="21"/>
                <w:lang w:eastAsia="zh-CN"/>
              </w:rPr>
              <w:t>☑</w:t>
            </w:r>
          </w:p>
        </w:tc>
        <w:tc>
          <w:tcPr>
            <w:tcW w:w="1827"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现状评价</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环境功能区</w:t>
            </w:r>
          </w:p>
        </w:tc>
        <w:tc>
          <w:tcPr>
            <w:tcW w:w="1792"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一类区□</w:t>
            </w:r>
          </w:p>
        </w:tc>
        <w:tc>
          <w:tcPr>
            <w:tcW w:w="2041"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二类区☑</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一类区和二类区□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评价基准年</w:t>
            </w:r>
          </w:p>
        </w:tc>
        <w:tc>
          <w:tcPr>
            <w:tcW w:w="6220" w:type="dxa"/>
            <w:gridSpan w:val="1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环境空气质量现状调查数据来源</w:t>
            </w:r>
          </w:p>
        </w:tc>
        <w:tc>
          <w:tcPr>
            <w:tcW w:w="1792"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长期例行监测数据□</w:t>
            </w:r>
          </w:p>
        </w:tc>
        <w:tc>
          <w:tcPr>
            <w:tcW w:w="2041"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主管部门发布的数据☑</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现状补充监测☑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现状评价</w:t>
            </w:r>
          </w:p>
        </w:tc>
        <w:tc>
          <w:tcPr>
            <w:tcW w:w="3833" w:type="dxa"/>
            <w:gridSpan w:val="1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达标区☑</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不达标区□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调查</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调查内容</w:t>
            </w:r>
          </w:p>
        </w:tc>
        <w:tc>
          <w:tcPr>
            <w:tcW w:w="2139" w:type="dxa"/>
            <w:gridSpan w:val="5"/>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本项目正常排放源☑</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本项目非正常排放源□</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现有污染源□</w:t>
            </w:r>
          </w:p>
        </w:tc>
        <w:tc>
          <w:tcPr>
            <w:tcW w:w="1195"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拟替代的污染源□</w:t>
            </w:r>
          </w:p>
        </w:tc>
        <w:tc>
          <w:tcPr>
            <w:tcW w:w="1784"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其他在建、拟建项目污染源□</w:t>
            </w:r>
          </w:p>
        </w:tc>
        <w:tc>
          <w:tcPr>
            <w:tcW w:w="1102"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区域污染源□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大气环境影响预测与评价</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预测模型</w:t>
            </w:r>
          </w:p>
        </w:tc>
        <w:tc>
          <w:tcPr>
            <w:tcW w:w="932"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AERMOD□</w:t>
            </w:r>
          </w:p>
        </w:tc>
        <w:tc>
          <w:tcPr>
            <w:tcW w:w="86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ADMS□</w:t>
            </w:r>
          </w:p>
        </w:tc>
        <w:tc>
          <w:tcPr>
            <w:tcW w:w="1014"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AUSTAL2000□</w:t>
            </w:r>
          </w:p>
        </w:tc>
        <w:tc>
          <w:tcPr>
            <w:tcW w:w="1117"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EDMS/AEDT□</w:t>
            </w:r>
          </w:p>
        </w:tc>
        <w:tc>
          <w:tcPr>
            <w:tcW w:w="1018"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CALPUFF□</w:t>
            </w:r>
          </w:p>
        </w:tc>
        <w:tc>
          <w:tcPr>
            <w:tcW w:w="688"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网格模型□</w:t>
            </w:r>
          </w:p>
        </w:tc>
        <w:tc>
          <w:tcPr>
            <w:tcW w:w="59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预测范围</w:t>
            </w:r>
          </w:p>
        </w:tc>
        <w:tc>
          <w:tcPr>
            <w:tcW w:w="1792"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边长≥50km□</w:t>
            </w:r>
          </w:p>
        </w:tc>
        <w:tc>
          <w:tcPr>
            <w:tcW w:w="2041"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边长5～50km□</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边长=5km☑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预测因子</w:t>
            </w:r>
          </w:p>
        </w:tc>
        <w:tc>
          <w:tcPr>
            <w:tcW w:w="3833" w:type="dxa"/>
            <w:gridSpan w:val="1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预测因子（非甲烷总烃）</w:t>
            </w:r>
          </w:p>
        </w:tc>
        <w:tc>
          <w:tcPr>
            <w:tcW w:w="2387" w:type="dxa"/>
            <w:gridSpan w:val="6"/>
            <w:vAlign w:val="center"/>
          </w:tcPr>
          <w:p>
            <w:pPr>
              <w:jc w:val="center"/>
              <w:rPr>
                <w:rFonts w:hint="default" w:ascii="Times New Roman" w:hAnsi="Times New Roman" w:eastAsia="宋体" w:cs="Times New Roman"/>
                <w:b/>
                <w:color w:val="auto"/>
                <w:szCs w:val="21"/>
              </w:rPr>
            </w:pPr>
            <w:r>
              <w:rPr>
                <w:rFonts w:hint="default" w:ascii="Times New Roman" w:hAnsi="Times New Roman" w:eastAsia="宋体" w:cs="Times New Roman"/>
                <w:color w:val="auto"/>
                <w:szCs w:val="21"/>
              </w:rPr>
              <w:t>包括二次PM</w:t>
            </w:r>
            <w:r>
              <w:rPr>
                <w:rFonts w:hint="default" w:ascii="Times New Roman" w:hAnsi="Times New Roman" w:eastAsia="宋体" w:cs="Times New Roman"/>
                <w:color w:val="auto"/>
                <w:szCs w:val="21"/>
                <w:vertAlign w:val="subscript"/>
              </w:rPr>
              <w:t>2.5</w:t>
            </w:r>
            <w:r>
              <w:rPr>
                <w:rFonts w:hint="default" w:ascii="Times New Roman" w:hAnsi="Times New Roman" w:eastAsia="宋体" w:cs="Times New Roman"/>
                <w:color w:val="auto"/>
                <w:szCs w:val="21"/>
              </w:rPr>
              <w:t>□</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不包括二次PM</w:t>
            </w:r>
            <w:r>
              <w:rPr>
                <w:rFonts w:hint="default" w:ascii="Times New Roman" w:hAnsi="Times New Roman" w:eastAsia="宋体" w:cs="Times New Roman"/>
                <w:color w:val="auto"/>
                <w:szCs w:val="21"/>
                <w:vertAlign w:val="subscript"/>
              </w:rPr>
              <w:t>2.5</w:t>
            </w:r>
            <w:r>
              <w:rPr>
                <w:rFonts w:hint="default" w:ascii="Times New Roman" w:hAnsi="Times New Roman" w:eastAsia="宋体" w:cs="Times New Roman"/>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正常排放短期浓度贡献值</w:t>
            </w:r>
          </w:p>
        </w:tc>
        <w:tc>
          <w:tcPr>
            <w:tcW w:w="3833" w:type="dxa"/>
            <w:gridSpan w:val="1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本项目</w:t>
            </w:r>
            <w:r>
              <w:rPr>
                <w:rFonts w:hint="default" w:ascii="Times New Roman" w:hAnsi="Times New Roman" w:eastAsia="宋体" w:cs="Times New Roman"/>
                <w:color w:val="auto"/>
                <w:szCs w:val="21"/>
              </w:rPr>
              <w:t>最大占标率≤100%☑</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本项目</w:t>
            </w:r>
            <w:r>
              <w:rPr>
                <w:rFonts w:hint="default" w:ascii="Times New Roman" w:hAnsi="Times New Roman" w:eastAsia="宋体" w:cs="Times New Roman"/>
                <w:color w:val="auto"/>
                <w:szCs w:val="21"/>
              </w:rPr>
              <w:t>最大占标率＞100%□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正常排放年均浓度贡献值</w:t>
            </w:r>
          </w:p>
        </w:tc>
        <w:tc>
          <w:tcPr>
            <w:tcW w:w="85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一类区</w:t>
            </w:r>
          </w:p>
        </w:tc>
        <w:tc>
          <w:tcPr>
            <w:tcW w:w="2983" w:type="dxa"/>
            <w:gridSpan w:val="9"/>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本项目</w:t>
            </w:r>
            <w:r>
              <w:rPr>
                <w:rFonts w:hint="default" w:ascii="Times New Roman" w:hAnsi="Times New Roman" w:eastAsia="宋体" w:cs="Times New Roman"/>
                <w:color w:val="auto"/>
                <w:szCs w:val="21"/>
              </w:rPr>
              <w:t>最大占标率≤10%□</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本项目</w:t>
            </w:r>
            <w:r>
              <w:rPr>
                <w:rFonts w:hint="default" w:ascii="Times New Roman" w:hAnsi="Times New Roman" w:eastAsia="宋体" w:cs="Times New Roman"/>
                <w:color w:val="auto"/>
                <w:szCs w:val="21"/>
              </w:rPr>
              <w:t>最大占标率＞10%□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Merge w:val="continue"/>
            <w:vAlign w:val="center"/>
          </w:tcPr>
          <w:p>
            <w:pPr>
              <w:jc w:val="center"/>
              <w:rPr>
                <w:rFonts w:hint="default" w:ascii="Times New Roman" w:hAnsi="Times New Roman" w:eastAsia="宋体" w:cs="Times New Roman"/>
                <w:color w:val="auto"/>
                <w:szCs w:val="21"/>
              </w:rPr>
            </w:pPr>
          </w:p>
        </w:tc>
        <w:tc>
          <w:tcPr>
            <w:tcW w:w="85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二类区</w:t>
            </w:r>
          </w:p>
        </w:tc>
        <w:tc>
          <w:tcPr>
            <w:tcW w:w="2983" w:type="dxa"/>
            <w:gridSpan w:val="9"/>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本项目</w:t>
            </w:r>
            <w:r>
              <w:rPr>
                <w:rFonts w:hint="default" w:ascii="Times New Roman" w:hAnsi="Times New Roman" w:eastAsia="宋体" w:cs="Times New Roman"/>
                <w:color w:val="auto"/>
                <w:szCs w:val="21"/>
              </w:rPr>
              <w:t>最大占标率≤30%☑</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本项目</w:t>
            </w:r>
            <w:r>
              <w:rPr>
                <w:rFonts w:hint="default" w:ascii="Times New Roman" w:hAnsi="Times New Roman" w:eastAsia="宋体" w:cs="Times New Roman"/>
                <w:color w:val="auto"/>
                <w:szCs w:val="21"/>
              </w:rPr>
              <w:t>最大占标率＞30%□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非正常排放1h浓度贡献值</w:t>
            </w:r>
          </w:p>
        </w:tc>
        <w:tc>
          <w:tcPr>
            <w:tcW w:w="1792"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非正常持续时长</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t>
            </w:r>
          </w:p>
        </w:tc>
        <w:tc>
          <w:tcPr>
            <w:tcW w:w="2041"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非正常</w:t>
            </w:r>
            <w:r>
              <w:rPr>
                <w:rFonts w:hint="default" w:ascii="Times New Roman" w:hAnsi="Times New Roman" w:eastAsia="宋体" w:cs="Times New Roman"/>
                <w:color w:val="auto"/>
                <w:szCs w:val="21"/>
              </w:rPr>
              <w:t>占标率≤100%□</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非正常</w:t>
            </w:r>
            <w:r>
              <w:rPr>
                <w:rFonts w:hint="default" w:ascii="Times New Roman" w:hAnsi="Times New Roman" w:eastAsia="宋体" w:cs="Times New Roman"/>
                <w:color w:val="auto"/>
                <w:szCs w:val="21"/>
              </w:rPr>
              <w:t>占标率＞100%□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保证率日平均浓度和年平均浓度叠加值</w:t>
            </w:r>
          </w:p>
        </w:tc>
        <w:tc>
          <w:tcPr>
            <w:tcW w:w="3833" w:type="dxa"/>
            <w:gridSpan w:val="1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叠加</w:t>
            </w:r>
            <w:r>
              <w:rPr>
                <w:rFonts w:hint="default" w:ascii="Times New Roman" w:hAnsi="Times New Roman" w:eastAsia="宋体" w:cs="Times New Roman"/>
                <w:color w:val="auto"/>
                <w:szCs w:val="21"/>
              </w:rPr>
              <w:t>达标□</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w:t>
            </w:r>
            <w:r>
              <w:rPr>
                <w:rFonts w:hint="default" w:ascii="Times New Roman" w:hAnsi="Times New Roman" w:eastAsia="宋体" w:cs="Times New Roman"/>
                <w:color w:val="auto"/>
                <w:szCs w:val="21"/>
                <w:vertAlign w:val="subscript"/>
              </w:rPr>
              <w:t>叠加</w:t>
            </w:r>
            <w:r>
              <w:rPr>
                <w:rFonts w:hint="default" w:ascii="Times New Roman" w:hAnsi="Times New Roman" w:eastAsia="宋体" w:cs="Times New Roman"/>
                <w:color w:val="auto"/>
                <w:szCs w:val="21"/>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区域环境质量的整体变化情况</w:t>
            </w:r>
          </w:p>
        </w:tc>
        <w:tc>
          <w:tcPr>
            <w:tcW w:w="3833" w:type="dxa"/>
            <w:gridSpan w:val="1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k≤-20%□</w:t>
            </w:r>
          </w:p>
        </w:tc>
        <w:tc>
          <w:tcPr>
            <w:tcW w:w="2387"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k</w:t>
            </w:r>
            <w:r>
              <w:rPr>
                <w:rFonts w:hint="eastAsia" w:ascii="Times New Roman" w:hAnsi="Times New Roman" w:eastAsia="宋体" w:cs="Times New Roman"/>
                <w:color w:val="auto"/>
                <w:szCs w:val="21"/>
                <w:lang w:eastAsia="zh-CN"/>
              </w:rPr>
              <w:t>&gt;</w:t>
            </w:r>
            <w:r>
              <w:rPr>
                <w:rFonts w:hint="default" w:ascii="Times New Roman" w:hAnsi="Times New Roman" w:eastAsia="宋体" w:cs="Times New Roman"/>
                <w:color w:val="auto"/>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环境监测计划</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污染源监测</w:t>
            </w:r>
          </w:p>
        </w:tc>
        <w:tc>
          <w:tcPr>
            <w:tcW w:w="2806" w:type="dxa"/>
            <w:gridSpan w:val="7"/>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监测因子：（非甲烷总烃、硫化氢）</w:t>
            </w:r>
          </w:p>
        </w:tc>
        <w:tc>
          <w:tcPr>
            <w:tcW w:w="2135"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有组织废气监测□</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无组织废气监测☑</w:t>
            </w:r>
          </w:p>
        </w:tc>
        <w:tc>
          <w:tcPr>
            <w:tcW w:w="1279"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环境质量</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tc>
        <w:tc>
          <w:tcPr>
            <w:tcW w:w="2806" w:type="dxa"/>
            <w:gridSpan w:val="7"/>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监测因子：（非甲烷总烃、硫化氢）</w:t>
            </w:r>
          </w:p>
        </w:tc>
        <w:tc>
          <w:tcPr>
            <w:tcW w:w="2135" w:type="dxa"/>
            <w:gridSpan w:val="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监测点位数（</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w:t>
            </w:r>
          </w:p>
        </w:tc>
        <w:tc>
          <w:tcPr>
            <w:tcW w:w="1279" w:type="dxa"/>
            <w:gridSpan w:val="3"/>
            <w:vAlign w:val="center"/>
          </w:tcPr>
          <w:p>
            <w:pPr>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无监测</w:t>
            </w:r>
            <w:r>
              <w:rPr>
                <w:rFonts w:hint="eastAsia" w:ascii="Times New Roman" w:hAnsi="Times New Roman" w:eastAsia="宋体" w:cs="Times New Roman"/>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评价结论</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环境影响</w:t>
            </w:r>
          </w:p>
        </w:tc>
        <w:tc>
          <w:tcPr>
            <w:tcW w:w="6220" w:type="dxa"/>
            <w:gridSpan w:val="1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可以接受☑     不可以接受□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大气环境防护距离</w:t>
            </w:r>
          </w:p>
        </w:tc>
        <w:tc>
          <w:tcPr>
            <w:tcW w:w="6220" w:type="dxa"/>
            <w:gridSpan w:val="16"/>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距（）厂界最远（0）m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05" w:type="dxa"/>
            <w:vMerge w:val="continue"/>
            <w:vAlign w:val="center"/>
          </w:tcPr>
          <w:p>
            <w:pPr>
              <w:jc w:val="center"/>
              <w:rPr>
                <w:rFonts w:hint="default" w:ascii="Times New Roman" w:hAnsi="Times New Roman" w:eastAsia="宋体" w:cs="Times New Roman"/>
                <w:color w:val="auto"/>
                <w:szCs w:val="21"/>
              </w:rPr>
            </w:pP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污染源年排放量</w:t>
            </w:r>
          </w:p>
        </w:tc>
        <w:tc>
          <w:tcPr>
            <w:tcW w:w="1792"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：（0）t/a</w:t>
            </w:r>
          </w:p>
        </w:tc>
        <w:tc>
          <w:tcPr>
            <w:tcW w:w="1656" w:type="dxa"/>
            <w:gridSpan w:val="5"/>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x</w:t>
            </w:r>
            <w:r>
              <w:rPr>
                <w:rFonts w:hint="default" w:ascii="Times New Roman" w:hAnsi="Times New Roman" w:eastAsia="宋体" w:cs="Times New Roman"/>
                <w:color w:val="auto"/>
                <w:szCs w:val="21"/>
              </w:rPr>
              <w:t>：（0）t/a</w:t>
            </w:r>
          </w:p>
        </w:tc>
        <w:tc>
          <w:tcPr>
            <w:tcW w:w="1493" w:type="dxa"/>
            <w:gridSpan w:val="4"/>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颗粒物：（0）t/a</w:t>
            </w:r>
          </w:p>
        </w:tc>
        <w:tc>
          <w:tcPr>
            <w:tcW w:w="1279"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VOCs：（</w:t>
            </w:r>
            <w:r>
              <w:rPr>
                <w:rFonts w:hint="eastAsia" w:ascii="Times New Roman" w:hAnsi="Times New Roman" w:eastAsia="宋体" w:cs="Times New Roman"/>
                <w:color w:val="auto"/>
                <w:szCs w:val="21"/>
                <w:lang w:eastAsia="zh-CN"/>
              </w:rPr>
              <w:t>0.2714</w:t>
            </w:r>
            <w:r>
              <w:rPr>
                <w:rFonts w:hint="default" w:ascii="Times New Roman" w:hAnsi="Times New Roman" w:eastAsia="宋体" w:cs="Times New Roman"/>
                <w:color w:val="auto"/>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22" w:type="dxa"/>
            <w:gridSpan w:val="18"/>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注：“□”为勾选项，填“√”；“（）”为内容填写项</w:t>
            </w:r>
          </w:p>
        </w:tc>
      </w:tr>
    </w:tbl>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5.1.3退役期大气环境影响分析</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油井退役后各种相关辅助工作均停止，采油造成的环境空气污染源将消失，油井停止后将进行一系列清理工作，包括地面设施拆除、封井、井场清理等，将会产生少量扬尘。与当地自然条件导致的风沙相比较，清理过程中扬尘造成的环境影响是暂时的，且该区域内人群活动较少，主要为井场清理的油田工作人员。</w:t>
      </w:r>
    </w:p>
    <w:p>
      <w:pPr>
        <w:pStyle w:val="3"/>
        <w:spacing w:before="10" w:after="10"/>
        <w:rPr>
          <w:rFonts w:hint="default" w:ascii="Times New Roman" w:hAnsi="Times New Roman" w:eastAsia="宋体" w:cs="Times New Roman"/>
          <w:color w:val="auto"/>
        </w:rPr>
      </w:pPr>
      <w:bookmarkStart w:id="245" w:name="_Toc313911373"/>
      <w:bookmarkStart w:id="246" w:name="_Toc35366085"/>
      <w:bookmarkStart w:id="247" w:name="_Toc3789"/>
      <w:bookmarkStart w:id="248" w:name="_Toc330457846"/>
      <w:bookmarkStart w:id="249" w:name="_Toc312149058"/>
      <w:bookmarkStart w:id="250" w:name="_Toc44088079"/>
      <w:bookmarkStart w:id="251" w:name="_Toc15586"/>
      <w:bookmarkStart w:id="252" w:name="_Toc35366476"/>
      <w:r>
        <w:rPr>
          <w:rFonts w:hint="default" w:ascii="Times New Roman" w:hAnsi="Times New Roman" w:eastAsia="宋体" w:cs="Times New Roman"/>
          <w:color w:val="auto"/>
        </w:rPr>
        <w:t>5.2地表水环境影响分析</w:t>
      </w:r>
      <w:bookmarkEnd w:id="245"/>
      <w:bookmarkEnd w:id="246"/>
      <w:bookmarkEnd w:id="247"/>
      <w:bookmarkEnd w:id="248"/>
      <w:bookmarkEnd w:id="249"/>
      <w:bookmarkEnd w:id="250"/>
      <w:bookmarkEnd w:id="251"/>
      <w:bookmarkEnd w:id="252"/>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5.2.1施工期废水影响分析</w:t>
      </w:r>
    </w:p>
    <w:p>
      <w:pPr>
        <w:pStyle w:val="89"/>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施工期废水主要为：钻井废水、管道试压废水。</w:t>
      </w:r>
    </w:p>
    <w:p>
      <w:pPr>
        <w:pStyle w:val="89"/>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（1）钻井废水</w:t>
      </w:r>
    </w:p>
    <w:p>
      <w:pPr>
        <w:pStyle w:val="89"/>
        <w:spacing w:line="360" w:lineRule="auto"/>
        <w:rPr>
          <w:rFonts w:hint="default" w:ascii="Times New Roman" w:hAnsi="Times New Roman" w:cs="Times New Roman"/>
          <w:color w:val="auto"/>
          <w:sz w:val="24"/>
        </w:rPr>
      </w:pPr>
      <w:r>
        <w:rPr>
          <w:rFonts w:hint="default" w:ascii="Times New Roman" w:hAnsi="Times New Roman" w:cs="Times New Roman"/>
          <w:color w:val="auto"/>
          <w:sz w:val="24"/>
          <w:szCs w:val="24"/>
        </w:rPr>
        <w:t>钻井废水采用临时罐体收集，按泥浆体系不同阶段用于配制相应体系泥浆，在钻井期间综合利用，不外排；钻井阶段结束后以废弃泥浆的形式产生，进入钻井废弃物不落地系统，在钻井废弃物不落地系统中处理实现固液分离，分离后的液相回用于钻井液配备，剩余少量液相拉由钻井队</w:t>
      </w:r>
      <w:r>
        <w:rPr>
          <w:rFonts w:hint="default" w:ascii="Times New Roman" w:hAnsi="Times New Roman" w:cs="Times New Roman"/>
          <w:b w:val="0"/>
          <w:bCs w:val="0"/>
          <w:color w:val="auto"/>
          <w:sz w:val="24"/>
          <w:lang w:val="en-US" w:eastAsia="zh-CN"/>
        </w:rPr>
        <w:t>委托</w:t>
      </w:r>
      <w:r>
        <w:rPr>
          <w:rFonts w:hint="default" w:ascii="Times New Roman" w:hAnsi="Times New Roman" w:cs="Times New Roman"/>
          <w:b w:val="0"/>
          <w:bCs w:val="0"/>
          <w:color w:val="auto"/>
          <w:sz w:val="24"/>
        </w:rPr>
        <w:t>岩屑处置单位</w:t>
      </w:r>
      <w:r>
        <w:rPr>
          <w:rFonts w:hint="default" w:ascii="Times New Roman" w:hAnsi="Times New Roman" w:cs="Times New Roman"/>
          <w:b w:val="0"/>
          <w:bCs w:val="0"/>
          <w:color w:val="auto"/>
          <w:sz w:val="24"/>
          <w:lang w:val="en-US" w:eastAsia="zh-CN"/>
        </w:rPr>
        <w:t>进行处置</w:t>
      </w:r>
      <w:r>
        <w:rPr>
          <w:rFonts w:hint="default" w:ascii="Times New Roman" w:hAnsi="Times New Roman" w:cs="Times New Roman"/>
          <w:color w:val="auto"/>
          <w:sz w:val="24"/>
          <w:szCs w:val="24"/>
        </w:rPr>
        <w:t>，不会对周边环境产生明显影响。</w:t>
      </w:r>
    </w:p>
    <w:p>
      <w:pPr>
        <w:pStyle w:val="89"/>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（2）管道试压废水</w:t>
      </w:r>
    </w:p>
    <w:p>
      <w:pPr>
        <w:pStyle w:val="89"/>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w:t>
      </w:r>
      <w:r>
        <w:rPr>
          <w:rFonts w:hint="eastAsia" w:ascii="Times New Roman" w:hAnsi="Times New Roman" w:cs="Times New Roman"/>
          <w:color w:val="auto"/>
          <w:sz w:val="24"/>
          <w:szCs w:val="24"/>
          <w:lang w:eastAsia="zh-CN"/>
        </w:rPr>
        <w:t>新鲜水</w:t>
      </w:r>
      <w:r>
        <w:rPr>
          <w:rFonts w:hint="default" w:ascii="Times New Roman" w:hAnsi="Times New Roman" w:cs="Times New Roman"/>
          <w:color w:val="auto"/>
          <w:sz w:val="24"/>
          <w:szCs w:val="24"/>
        </w:rPr>
        <w:t>，管道试压分段进行，外输管线试压水排出后进入下一段管线循环使用，试压结束后用于区域绿化和洒水抑尘，不外排，不会对周边环境产生明显影响。</w:t>
      </w:r>
    </w:p>
    <w:p>
      <w:pPr>
        <w:pStyle w:val="56"/>
        <w:spacing w:line="360" w:lineRule="auto"/>
        <w:rPr>
          <w:rFonts w:hint="default" w:ascii="Times New Roman" w:hAnsi="Times New Roman" w:cs="Times New Roman"/>
          <w:color w:val="auto"/>
        </w:rPr>
      </w:pPr>
      <w:r>
        <w:rPr>
          <w:rFonts w:hint="default" w:ascii="Times New Roman" w:hAnsi="Times New Roman" w:cs="Times New Roman"/>
          <w:color w:val="auto"/>
          <w:sz w:val="24"/>
          <w:szCs w:val="24"/>
        </w:rPr>
        <w:t>综上，施工期的废水对环境的影响较小，并且随着施工期的结束而消失。</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5.2.2运营期废水影响分析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（1）正常状况</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在运营期内，项目产生的采出水、井下作业废水经</w:t>
      </w:r>
      <w:r>
        <w:rPr>
          <w:rFonts w:hint="default" w:ascii="Times New Roman" w:hAnsi="Times New Roman" w:cs="Times New Roman"/>
          <w:color w:val="auto"/>
          <w:sz w:val="24"/>
        </w:rPr>
        <w:t>陆梁集中处理站</w:t>
      </w:r>
      <w:r>
        <w:rPr>
          <w:rFonts w:hint="default" w:ascii="Times New Roman" w:hAnsi="Times New Roman" w:cs="Times New Roman"/>
          <w:color w:val="auto"/>
          <w:sz w:val="24"/>
          <w:szCs w:val="24"/>
        </w:rPr>
        <w:t>处理后，水质达到</w:t>
      </w:r>
      <w:r>
        <w:rPr>
          <w:rFonts w:hint="default" w:ascii="Times New Roman" w:hAnsi="Times New Roman" w:cs="Times New Roman"/>
          <w:color w:val="auto"/>
          <w:sz w:val="24"/>
        </w:rPr>
        <w:t>《碎屑岩油藏注水水质指标技术要求及分析方法》</w:t>
      </w:r>
      <w:r>
        <w:rPr>
          <w:rFonts w:hint="eastAsia" w:cs="Times New Roman"/>
          <w:color w:val="auto"/>
          <w:sz w:val="24"/>
          <w:lang w:eastAsia="zh-CN"/>
        </w:rPr>
        <w:t>（</w:t>
      </w:r>
      <w:r>
        <w:rPr>
          <w:rFonts w:hint="default" w:ascii="Times New Roman" w:hAnsi="Times New Roman" w:cs="Times New Roman"/>
          <w:color w:val="auto"/>
          <w:sz w:val="24"/>
        </w:rPr>
        <w:t>SY/T5329-2022</w:t>
      </w:r>
      <w:r>
        <w:rPr>
          <w:rFonts w:hint="eastAsia" w:cs="Times New Roman"/>
          <w:color w:val="auto"/>
          <w:sz w:val="24"/>
          <w:lang w:eastAsia="zh-CN"/>
        </w:rPr>
        <w:t>）</w:t>
      </w:r>
      <w:r>
        <w:rPr>
          <w:rFonts w:hint="default" w:ascii="Times New Roman" w:hAnsi="Times New Roman" w:cs="Times New Roman"/>
          <w:color w:val="auto"/>
          <w:sz w:val="24"/>
        </w:rPr>
        <w:t>标准后回注油藏，不外排</w:t>
      </w:r>
      <w:r>
        <w:rPr>
          <w:rFonts w:hint="default" w:ascii="Times New Roman" w:hAnsi="Times New Roman" w:cs="Times New Roman"/>
          <w:color w:val="auto"/>
          <w:sz w:val="24"/>
          <w:szCs w:val="24"/>
        </w:rPr>
        <w:t>，不与地表水产生水力联系。正常情况下本项目产生的废水不会对地表水产生不利影响。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（2）事故状况</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对于本项目来说，可能对地表水环境产生影响的事故为原油泄漏。对地表水的影响一般有两种途径：</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一种是泄漏的油品直接进入地表水体。本项目周围无地表水存在，因此，不存在泄漏的油品直接进入地表水的可能。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另一种是油品或含油污水泄漏于地表，由降雨形成的地表径流将落地油或受污染的土壤带入水体。本区域降水较少，通过对泄漏油品及受污染土壤的及时、彻底回收，可截断这一污染途径。该区域发生洪水的可能较小，且已采取了防洪措施并制订防洪防汛应急预案，不会因洪水将油类带入地表水造成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如发生油品泄漏事故，应立即对泄漏点采取措施。由于本项目的集输管道受自动控制系统监控，一旦发生泄漏能够及时发现，通过关闭已设置的各阀池中的阀门，可减少泄漏油量，并且根据油田公司的环保要求，井下作业带罐作业，</w:t>
      </w:r>
      <w:r>
        <w:rPr>
          <w:rFonts w:cs="Times New Roman"/>
          <w:color w:val="auto"/>
          <w:sz w:val="24"/>
          <w:szCs w:val="24"/>
        </w:rPr>
        <w:t>落地油100%回收，</w:t>
      </w:r>
      <w:r>
        <w:rPr>
          <w:rFonts w:hint="default" w:ascii="Times New Roman" w:hAnsi="Times New Roman" w:cs="Times New Roman"/>
          <w:color w:val="auto"/>
          <w:sz w:val="24"/>
          <w:szCs w:val="24"/>
        </w:rPr>
        <w:t>通过采取各种措施，可最大限度防止泄漏事故的发生，使事故后的影响降至最低程度。</w:t>
      </w:r>
    </w:p>
    <w:p>
      <w:pPr>
        <w:pStyle w:val="3"/>
        <w:spacing w:before="10" w:after="10"/>
        <w:rPr>
          <w:rFonts w:hint="default" w:ascii="Times New Roman" w:hAnsi="Times New Roman" w:eastAsia="宋体" w:cs="Times New Roman"/>
          <w:color w:val="auto"/>
        </w:rPr>
      </w:pPr>
      <w:bookmarkStart w:id="253" w:name="_Toc19789"/>
      <w:bookmarkStart w:id="254" w:name="_Toc35366086"/>
      <w:bookmarkStart w:id="255" w:name="_Toc2260"/>
      <w:bookmarkStart w:id="256" w:name="_Toc29390924"/>
      <w:bookmarkStart w:id="257" w:name="_Toc44088080"/>
      <w:bookmarkStart w:id="258" w:name="_Toc35366477"/>
      <w:r>
        <w:rPr>
          <w:rFonts w:hint="default" w:ascii="Times New Roman" w:hAnsi="Times New Roman" w:eastAsia="宋体" w:cs="Times New Roman"/>
          <w:color w:val="auto"/>
        </w:rPr>
        <w:t>5.3地下水环境影响分析与评价</w:t>
      </w:r>
      <w:bookmarkEnd w:id="253"/>
      <w:bookmarkEnd w:id="254"/>
      <w:bookmarkEnd w:id="255"/>
      <w:bookmarkEnd w:id="256"/>
      <w:bookmarkEnd w:id="257"/>
      <w:bookmarkEnd w:id="258"/>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5.3.1评价区域水文地质特征</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（1）水文</w:t>
      </w:r>
    </w:p>
    <w:p>
      <w:pPr>
        <w:spacing w:line="360" w:lineRule="auto"/>
        <w:ind w:firstLine="480" w:firstLineChars="200"/>
        <w:rPr>
          <w:rFonts w:hint="default"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lang w:eastAsia="zh-CN"/>
        </w:rPr>
        <w:t>陆136井区</w:t>
      </w:r>
      <w:r>
        <w:rPr>
          <w:rFonts w:hint="default" w:ascii="Times New Roman" w:hAnsi="Times New Roman" w:eastAsia="宋体" w:cs="Times New Roman"/>
          <w:color w:val="auto"/>
          <w:sz w:val="24"/>
          <w:szCs w:val="22"/>
        </w:rPr>
        <w:t>开发建设地区无地表水资源。与该地区有补给关系的准噶尔盆地边缘发育有多条河流，这些河流的径流特点均由盆地外围水资源形成的山区河流经盆地边缘汇流至盆地中心—玛纳斯湖。但是实际上，由于各流域灌区的大量引水灌溉，加上沿程河道渗漏和蒸发，现已无地表水流入玛纳斯湖。基本上是以地下径流（方式）汇入盆地，最终流向盆地最低处—玛纳斯湖。</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（2）水文地质概况</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①区域地质构造</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准噶尔盆地在地质构造上是一个古老的陆台，其边缘界线与古代褶皱山脉和断裂线的方向一致，基本是一个被海西、加里东褶皱山系所围绕的盆地。海西运动以后、天山、阿尔泰地槽体系几乎全部褶皱隆起成山变为陆地，盆地在此时初步形成，并成为一个单独的构造单元。后来盆地发生了隆起，海水退出，气候变得干燥，仅在盆地南缘山前拗陷带保存了三叠纪的湖区，继续进行着沉积作用，其它地区则为剧烈的侵蚀和剥蚀区，大量的砾岩、砂岩与泥岩堆积在山前凹地中。喜马拉雅运动，尤其是晚第三纪末的垂直上升运动，使盆地周围在中生代还是隆起平原或丘陵的地区再度上升，形成现代天山和阿尔泰山山系，山前拗陷带中的中新生代地带随之褶皱隆起，形成与山系大致平行的背向斜构造。</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开发区范围内广泛分布有厚度0m～100m的第四纪沉积物，以风积物、冲积物为主，兼有湖形冲积物，残积风积物和化学沉积物等，岩性主要为松散的细砂层或亚砂土层，由北向南，第四系沉积厚度逐渐增大。</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②区域水文地质条件</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评价区地处准噶尔盆地的腹地，玛纳斯湖东侧的隆起区。远离盆地南部的天山山脉，也远离盆地北部的谢米斯赛山、阿勒泰山脉，同时也远离南部天山山脉的山前冲洪积平原，因此区内水文地质条件相对复杂。</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玛纳斯湖是区内浅层地下水的排泄基准面，从区域上分析，注入玛纳斯湖的地表水系主要有玛纳斯河和布克尔河。</w:t>
      </w:r>
      <w:r>
        <w:rPr>
          <w:rFonts w:hint="default" w:ascii="Times New Roman" w:hAnsi="Times New Roman" w:eastAsia="宋体" w:cs="Times New Roman"/>
          <w:color w:val="auto"/>
          <w:sz w:val="24"/>
          <w:szCs w:val="22"/>
          <w:lang w:eastAsia="zh-CN"/>
        </w:rPr>
        <w:t>发源</w:t>
      </w:r>
      <w:r>
        <w:rPr>
          <w:rFonts w:hint="default" w:ascii="Times New Roman" w:hAnsi="Times New Roman" w:eastAsia="宋体" w:cs="Times New Roman"/>
          <w:color w:val="auto"/>
          <w:sz w:val="24"/>
          <w:szCs w:val="22"/>
        </w:rPr>
        <w:t>于天山山脉北麓的玛纳斯河汇集了玛纳斯河、安集海河、金沟河、塔西河、呼图壁河，这些河流由南向北径流，在泉水地—莫索湾地区转向西径流，而在小拐地区汇合后折向北流入玛纳斯湖地区。这些河流径流方向的改变，主要是由于地质历史条件的改变引起的，即地质构造作用和玛纳斯湖沉积中心的不断变迁引起的。同时，随着人类活动的加强，以玛纳斯河为主的南部河流的地表径流量在不断减少，输送到河流下游的地表径流日益减少，使河流下游的河床干枯裸露，因而在莫索湾—小拐地区分布有大量干枯的故河道。而在距离石南油田较近的莫索湾地区的北部沙漠地带，沙漠下也覆盖了无数的故河道，从以往的资料表明这些故河道就是早期呼图壁河、塔西河及部分玛纳斯河通向盆地腹地的古河道。由此表明，在莫索湾及其以北地区曾经是南部天山山脉北麓地表径流的汇集地带，当时地表水对该地区地下水的补给是相对强烈的</w:t>
      </w:r>
      <w:r>
        <w:rPr>
          <w:rFonts w:hint="default" w:ascii="Times New Roman" w:hAnsi="Times New Roman" w:eastAsia="宋体" w:cs="Times New Roman"/>
          <w:color w:val="auto"/>
          <w:sz w:val="24"/>
          <w:szCs w:val="22"/>
          <w:lang w:eastAsia="zh-CN"/>
        </w:rPr>
        <w:t>，而且</w:t>
      </w:r>
      <w:r>
        <w:rPr>
          <w:rFonts w:hint="default" w:ascii="Times New Roman" w:hAnsi="Times New Roman" w:eastAsia="宋体" w:cs="Times New Roman"/>
          <w:color w:val="auto"/>
          <w:sz w:val="24"/>
          <w:szCs w:val="22"/>
        </w:rPr>
        <w:t>目前来看，这种补给仍有存在的可能。</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在石南油田的西侧、北侧，属于白杨河与和布克尔河流域。白杨河从西侧汇流到艾里克湖</w:t>
      </w:r>
      <w:r>
        <w:rPr>
          <w:rFonts w:hint="default" w:ascii="Times New Roman" w:hAnsi="Times New Roman" w:eastAsia="宋体" w:cs="Times New Roman"/>
          <w:color w:val="auto"/>
          <w:sz w:val="24"/>
          <w:szCs w:val="22"/>
          <w:lang w:eastAsia="zh-CN"/>
        </w:rPr>
        <w:t>和</w:t>
      </w:r>
      <w:r>
        <w:rPr>
          <w:rFonts w:hint="default" w:ascii="Times New Roman" w:hAnsi="Times New Roman" w:eastAsia="宋体" w:cs="Times New Roman"/>
          <w:color w:val="auto"/>
          <w:sz w:val="24"/>
          <w:szCs w:val="22"/>
        </w:rPr>
        <w:t>布克尔河从北侧汇入玛纳斯湖，在玛纳斯湖的西侧与北侧形成了白杨河冲洪积扇</w:t>
      </w:r>
      <w:r>
        <w:rPr>
          <w:rFonts w:hint="default" w:ascii="Times New Roman" w:hAnsi="Times New Roman" w:eastAsia="宋体" w:cs="Times New Roman"/>
          <w:color w:val="auto"/>
          <w:sz w:val="24"/>
          <w:szCs w:val="22"/>
          <w:lang w:eastAsia="zh-CN"/>
        </w:rPr>
        <w:t>和</w:t>
      </w:r>
      <w:r>
        <w:rPr>
          <w:rFonts w:hint="default" w:ascii="Times New Roman" w:hAnsi="Times New Roman" w:eastAsia="宋体" w:cs="Times New Roman"/>
          <w:color w:val="auto"/>
          <w:sz w:val="24"/>
          <w:szCs w:val="22"/>
        </w:rPr>
        <w:t>布克尔河冲洪积扇。近一个世纪来，在农业开发与其他人类活动影响下，白杨河及和布克尔河地表径流不能到达玛纳斯湖，玛纳斯湖面的日渐萎缩使玛纳斯湖到石南地区成为宽阔的荒漠及沙漠地区。本项目所在区域水文地质图见图5.3-1和区域水文地质柱状图5.3-2。</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③地下水类型，含水层及富水特征</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评价区位于准噶尔盆地的腹地，玛纳斯湖东侧的隆起区，出露地层岩性多为第三系粉砂岩、细砂岩，局部地段表层覆盖有厚度较小的第四系洪积、风积堆积层。根据地下水赋存条件、水力性质及水利特征，将评价区内地下水划分为第三系碎屑岩类裂隙孔隙层间承压水，具有双层或多层结构。其中浅层承压水含水层顶板埋深＜50m，含水层为第三系粉砂岩、细砂岩；深部承压水含水层的顶板埋深一般＞100m，含水层岩性为砂岩、砾质砂岩夹薄层砂质泥岩。根据区内已施工的供水井资料，单井涌水量均在500～1000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/d，属于中等富水。地下水矿化度较高，一般在10g/L左右。本项目开采油藏层位在地下1600</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2100m范围内，远超出项目区地下水含水层深度。</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④地下水补给、径流、排泄条件</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受区域水文地质条件控制，评价区浅层承压水主要接受盆地北部山区、山前冲洪积扇地下水、地表径流垂向渗漏补给，同时向深部承压水进行越流补给。浅层地下水的总体径流方向由西北向东南，浅层承压水的径流强度比深部地下承压水的径流强度要大。深部承压水还可能接受盆地南部补给，无论是来自北部和南部的补给，汇集于此的深部承压水径流速度缓慢，几乎处于滞缓状态。由于气候干燥，浅层的地下水由水平运动转化为垂直运动，大量的消耗、蒸发排泄。盆地边缘及河流沿线地下水汇流为盆地中部地下水的主要补给来源，同时，由于各河流距陆梁地区所在的盆地中部很远，接受补给的地下</w:t>
      </w:r>
      <w:r>
        <w:rPr>
          <w:rFonts w:hint="eastAsia" w:ascii="Times New Roman" w:hAnsi="Times New Roman" w:eastAsia="宋体" w:cs="Times New Roman"/>
          <w:color w:val="auto"/>
          <w:sz w:val="24"/>
          <w:szCs w:val="22"/>
          <w:lang w:eastAsia="zh-CN"/>
        </w:rPr>
        <w:t>含水层系</w:t>
      </w:r>
      <w:r>
        <w:rPr>
          <w:rFonts w:hint="default" w:ascii="Times New Roman" w:hAnsi="Times New Roman" w:eastAsia="宋体" w:cs="Times New Roman"/>
          <w:color w:val="auto"/>
          <w:sz w:val="24"/>
          <w:szCs w:val="22"/>
        </w:rPr>
        <w:t>主要是第三系或以下含水层，第四系含水层受地下水径流补给的可能性几乎不存在。</w:t>
      </w:r>
    </w:p>
    <w:p>
      <w:pPr>
        <w:spacing w:line="360" w:lineRule="auto"/>
        <w:ind w:firstLine="480" w:firstLineChars="200"/>
        <w:rPr>
          <w:rFonts w:hint="default" w:ascii="Times New Roman" w:hAnsi="Times New Roman" w:eastAsia="宋体" w:cs="Times New Roman"/>
          <w:color w:val="auto"/>
          <w:sz w:val="24"/>
          <w:szCs w:val="22"/>
        </w:rPr>
      </w:pPr>
      <w:bookmarkStart w:id="259" w:name="_Hlk98953460"/>
      <w:r>
        <w:rPr>
          <w:rFonts w:hint="default" w:ascii="Times New Roman" w:hAnsi="Times New Roman" w:eastAsia="宋体" w:cs="Times New Roman"/>
          <w:color w:val="auto"/>
          <w:sz w:val="24"/>
          <w:szCs w:val="22"/>
        </w:rPr>
        <w:t>油田开发及运营过程中地下水的开采是该区地下水重要的排泄</w:t>
      </w:r>
      <w:r>
        <w:rPr>
          <w:rFonts w:hint="eastAsia" w:ascii="Times New Roman" w:hAnsi="Times New Roman" w:eastAsia="宋体" w:cs="Times New Roman"/>
          <w:color w:val="auto"/>
          <w:sz w:val="24"/>
          <w:szCs w:val="22"/>
          <w:lang w:eastAsia="zh-CN"/>
        </w:rPr>
        <w:t>项目</w:t>
      </w:r>
      <w:r>
        <w:rPr>
          <w:rFonts w:hint="default" w:ascii="Times New Roman" w:hAnsi="Times New Roman" w:eastAsia="宋体" w:cs="Times New Roman"/>
          <w:color w:val="auto"/>
          <w:sz w:val="24"/>
          <w:szCs w:val="22"/>
        </w:rPr>
        <w:t>，地下水补给丰富或开采量不大时，地下水在该区形成的汇流仍可能以径流方式向深层（盆地中心）排泄。</w:t>
      </w:r>
    </w:p>
    <w:bookmarkEnd w:id="259"/>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⑤地下水化学特征</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由于越靠近盆地的腹地，气候干燥，地下水补给总体上来源匮乏，蒸发浓缩作用强烈，加之径流速度也缓慢，导致其矿化度逐渐升高、地下水质逐渐变差，地下水多为半咸水及咸水。区内地下水水化学特征水平方向上变化很小，但在垂向上，无论是矿化度还是水化学类型均存在一定的变化。在垂向上，地下水化学类型由浅部的Cl-Na型过渡到Cl•SO</w:t>
      </w:r>
      <w:r>
        <w:rPr>
          <w:rFonts w:hint="default" w:ascii="Times New Roman" w:hAnsi="Times New Roman" w:eastAsia="宋体" w:cs="Times New Roman"/>
          <w:color w:val="auto"/>
          <w:sz w:val="24"/>
          <w:szCs w:val="22"/>
          <w:vertAlign w:val="subscript"/>
        </w:rPr>
        <w:t>4</w:t>
      </w:r>
      <w:r>
        <w:rPr>
          <w:rFonts w:hint="default" w:ascii="Times New Roman" w:hAnsi="Times New Roman" w:eastAsia="宋体" w:cs="Times New Roman"/>
          <w:color w:val="auto"/>
          <w:sz w:val="24"/>
          <w:szCs w:val="22"/>
        </w:rPr>
        <w:t>-Na型；浅层承压水矿化度向深层承压水的矿化度逐渐</w:t>
      </w:r>
      <w:r>
        <w:rPr>
          <w:rFonts w:hint="eastAsia" w:ascii="Times New Roman" w:hAnsi="Times New Roman" w:eastAsia="宋体" w:cs="Times New Roman"/>
          <w:color w:val="auto"/>
          <w:sz w:val="24"/>
          <w:szCs w:val="22"/>
          <w:lang w:eastAsia="zh-CN"/>
        </w:rPr>
        <w:t>减少</w:t>
      </w:r>
      <w:r>
        <w:rPr>
          <w:rFonts w:hint="default" w:ascii="Times New Roman" w:hAnsi="Times New Roman" w:eastAsia="宋体" w:cs="Times New Roman"/>
          <w:color w:val="auto"/>
          <w:sz w:val="24"/>
          <w:szCs w:val="22"/>
        </w:rPr>
        <w:t>，地下水矿化度从＞10000mg/L变化到5000～10000mg/L左右，在石南21井区及麦特根哈拉托洛盖一带的浅部地下水矿化度在10000mg/L左右，而在陆水23号供水井区（井深&gt;400m），矿化度在7000mg/L左右。</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本区域内有供水意义的水文地质单元极匮乏，属于地下水资源极贫乏区，地下水的形成严格受到山区地下水和地表水的控制，同时受到大气降水的影响，山区地下水资源类型主要是古生界基岩裂隙水，平原区地下水资源类型主要是松散岩类孔隙水、碎屑岩类孔隙水。井区地下水资源总量为2.3187×10</w:t>
      </w:r>
      <w:r>
        <w:rPr>
          <w:rFonts w:hint="default" w:ascii="Times New Roman" w:hAnsi="Times New Roman" w:eastAsia="宋体" w:cs="Times New Roman"/>
          <w:color w:val="auto"/>
          <w:sz w:val="24"/>
          <w:szCs w:val="22"/>
          <w:vertAlign w:val="superscript"/>
        </w:rPr>
        <w:t>8</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/a，可开采量为1.3906×10</w:t>
      </w:r>
      <w:r>
        <w:rPr>
          <w:rFonts w:hint="default" w:ascii="Times New Roman" w:hAnsi="Times New Roman" w:eastAsia="宋体" w:cs="Times New Roman"/>
          <w:color w:val="auto"/>
          <w:sz w:val="24"/>
          <w:szCs w:val="22"/>
          <w:vertAlign w:val="superscript"/>
        </w:rPr>
        <w:t>8</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地下水的补给主要来源于山区河流渗漏补给、山前侧向渗漏补给、大气降水直接渗入补给以及水库渠系渗漏补给及田间灌溉补给。地下水埋藏深浅不一，贮藏量不均，流向自东南向西北。水质方面基本上是从东南向西北水质由好变差，潜水埋藏较浅，由淡水逐渐变为咸水，矿化度由低到高。</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⑥地下水分布</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和布克赛尔蒙古自治县地下水可开采量0.78×10</w:t>
      </w:r>
      <w:r>
        <w:rPr>
          <w:rFonts w:hint="default" w:ascii="Times New Roman" w:hAnsi="Times New Roman" w:eastAsia="宋体" w:cs="Times New Roman"/>
          <w:color w:val="auto"/>
          <w:sz w:val="24"/>
          <w:szCs w:val="22"/>
          <w:vertAlign w:val="superscript"/>
        </w:rPr>
        <w:t>8</w:t>
      </w:r>
      <w:r>
        <w:rPr>
          <w:rFonts w:hint="default" w:ascii="Times New Roman" w:hAnsi="Times New Roman" w:eastAsia="宋体" w:cs="Times New Roman"/>
          <w:color w:val="auto"/>
          <w:sz w:val="24"/>
          <w:szCs w:val="22"/>
        </w:rPr>
        <w:t>m³，因地质条件复杂，开采难度较大，利用量少。地下水根据水理性质及含水层时代划分为</w:t>
      </w:r>
      <w:bookmarkStart w:id="260" w:name="_Hlk98953406"/>
      <w:r>
        <w:rPr>
          <w:rFonts w:hint="default" w:ascii="Times New Roman" w:hAnsi="Times New Roman" w:eastAsia="宋体" w:cs="Times New Roman"/>
          <w:color w:val="auto"/>
          <w:sz w:val="24"/>
          <w:szCs w:val="22"/>
        </w:rPr>
        <w:t>第四系孔隙潜水、第三系孔隙潜水和第三系孔隙承压水。</w:t>
      </w:r>
      <w:bookmarkEnd w:id="260"/>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第三系碎屑岩类孔隙水：陆梁油田水源地主要含水层为第三系孔隙承压含水层。承压含水层</w:t>
      </w:r>
      <w:r>
        <w:rPr>
          <w:rFonts w:hint="default" w:ascii="Times New Roman" w:hAnsi="Times New Roman" w:eastAsia="宋体" w:cs="Times New Roman"/>
          <w:color w:val="auto"/>
          <w:sz w:val="24"/>
          <w:szCs w:val="22"/>
          <w:lang w:eastAsia="zh-CN"/>
        </w:rPr>
        <w:t>顶板</w:t>
      </w:r>
      <w:r>
        <w:rPr>
          <w:rFonts w:hint="default" w:ascii="Times New Roman" w:hAnsi="Times New Roman" w:eastAsia="宋体" w:cs="Times New Roman"/>
          <w:color w:val="auto"/>
          <w:sz w:val="24"/>
          <w:szCs w:val="22"/>
        </w:rPr>
        <w:t>埋深在50m</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100m，单井涌水量100m³/d~1000m³/d，地下水矿化度一般为3g/L~10g/L，属半咸水，水化学类型为Cl•SO</w:t>
      </w:r>
      <w:r>
        <w:rPr>
          <w:rFonts w:hint="default" w:ascii="Times New Roman" w:hAnsi="Times New Roman" w:eastAsia="宋体" w:cs="Times New Roman"/>
          <w:color w:val="auto"/>
          <w:sz w:val="24"/>
          <w:szCs w:val="22"/>
          <w:vertAlign w:val="superscript"/>
        </w:rPr>
        <w:t>4-</w:t>
      </w:r>
      <w:r>
        <w:rPr>
          <w:rFonts w:hint="default" w:ascii="Times New Roman" w:hAnsi="Times New Roman" w:eastAsia="宋体" w:cs="Times New Roman"/>
          <w:color w:val="auto"/>
          <w:sz w:val="24"/>
          <w:szCs w:val="22"/>
        </w:rPr>
        <w:t>Na或Cl•SO</w:t>
      </w:r>
      <w:r>
        <w:rPr>
          <w:rFonts w:hint="default" w:ascii="Times New Roman" w:hAnsi="Times New Roman" w:eastAsia="宋体" w:cs="Times New Roman"/>
          <w:color w:val="auto"/>
          <w:sz w:val="24"/>
          <w:szCs w:val="22"/>
          <w:vertAlign w:val="superscript"/>
        </w:rPr>
        <w:t>4-</w:t>
      </w:r>
      <w:r>
        <w:rPr>
          <w:rFonts w:hint="default" w:ascii="Times New Roman" w:hAnsi="Times New Roman" w:eastAsia="宋体" w:cs="Times New Roman"/>
          <w:color w:val="auto"/>
          <w:sz w:val="24"/>
          <w:szCs w:val="22"/>
        </w:rPr>
        <w:t>Na·Ca型水，是本区主要的开采目的层。</w:t>
      </w:r>
    </w:p>
    <w:p>
      <w:pPr>
        <w:tabs>
          <w:tab w:val="left" w:pos="3465"/>
        </w:tabs>
        <w:spacing w:line="360" w:lineRule="auto"/>
        <w:ind w:firstLine="480" w:firstLineChars="200"/>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color w:val="auto"/>
          <w:sz w:val="24"/>
          <w:szCs w:val="22"/>
        </w:rPr>
        <w:t>第四系松散岩类孔隙水：根据现有调查资料分析，第四系沉积物基本不含水或含少量水，地下水埋深浅则数米，深则数十米，其水质较差，不适于工、农业开发利用。另一方面，大部分地区，地下水位以上，降水入渗后被包气带地层阻隔，短期内形成局部上层滞水，地下水或以毛细水、结合水形式存在。</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5.3.2施工期地下水环境影响分析</w:t>
      </w:r>
    </w:p>
    <w:p>
      <w:pPr>
        <w:pStyle w:val="56"/>
        <w:spacing w:line="360" w:lineRule="auto"/>
        <w:rPr>
          <w:rFonts w:hint="default" w:ascii="Times New Roman" w:hAnsi="Times New Roman" w:cs="Times New Roman"/>
          <w:bCs w:val="0"/>
          <w:color w:val="auto"/>
          <w:spacing w:val="4"/>
          <w:sz w:val="24"/>
          <w:szCs w:val="24"/>
        </w:rPr>
      </w:pPr>
      <w:r>
        <w:rPr>
          <w:rFonts w:hint="default" w:ascii="Times New Roman" w:hAnsi="Times New Roman" w:cs="Times New Roman"/>
          <w:bCs w:val="0"/>
          <w:color w:val="auto"/>
          <w:spacing w:val="4"/>
          <w:sz w:val="24"/>
          <w:szCs w:val="24"/>
        </w:rPr>
        <w:t>本工程施工期对水环境的影响主要为钻井和管线施工对地下水的影响。</w:t>
      </w:r>
    </w:p>
    <w:p>
      <w:pPr>
        <w:pStyle w:val="66"/>
        <w:rPr>
          <w:rFonts w:hint="default" w:ascii="Times New Roman" w:hAnsi="Times New Roman" w:cs="Times New Roman"/>
          <w:color w:val="auto"/>
        </w:rPr>
      </w:pPr>
      <w:r>
        <w:rPr>
          <w:rFonts w:hint="default" w:ascii="Times New Roman" w:hAnsi="Times New Roman" w:cs="Times New Roman"/>
          <w:color w:val="auto"/>
        </w:rPr>
        <w:t>5.3.2.1钻井对地下水的影响</w:t>
      </w:r>
    </w:p>
    <w:p>
      <w:pPr>
        <w:pStyle w:val="86"/>
        <w:adjustRightInd/>
        <w:snapToGrid/>
        <w:ind w:firstLine="496"/>
        <w:jc w:val="both"/>
        <w:rPr>
          <w:rFonts w:hint="default" w:ascii="Times New Roman" w:hAnsi="Times New Roman" w:eastAsia="宋体" w:cs="Times New Roman"/>
          <w:bCs/>
          <w:color w:val="auto"/>
          <w:spacing w:val="4"/>
        </w:rPr>
      </w:pPr>
      <w:r>
        <w:rPr>
          <w:rFonts w:hint="default" w:ascii="Times New Roman" w:hAnsi="Times New Roman" w:eastAsia="宋体" w:cs="Times New Roman"/>
          <w:bCs/>
          <w:color w:val="auto"/>
          <w:spacing w:val="4"/>
        </w:rPr>
        <w:t>本项目钻井使用水基钻井液，钻井过程中采用套管与土壤隔离，并在套管与地层之间注入水泥进行固井，水泥浆返至地面，封隔疏松地层和水层；表层套管的下土深度可有效保护地下水环境不受污染；钻井目的层与地下水处于不同层系，远远超出本区域地下水含水层深度，钻井废水采用临时罐体收集，按泥浆体系不同阶段用于配制相应体系泥浆，在钻井期间综合利用，不外排。</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因此，钻井过程中不会对所在区域地下水产生影响。</w:t>
      </w:r>
    </w:p>
    <w:p>
      <w:pPr>
        <w:pStyle w:val="66"/>
        <w:rPr>
          <w:rFonts w:hint="default" w:ascii="Times New Roman" w:hAnsi="Times New Roman" w:cs="Times New Roman"/>
          <w:color w:val="auto"/>
        </w:rPr>
      </w:pPr>
      <w:r>
        <w:rPr>
          <w:rFonts w:hint="default" w:ascii="Times New Roman" w:hAnsi="Times New Roman" w:cs="Times New Roman"/>
          <w:color w:val="auto"/>
        </w:rPr>
        <w:t>5.3.2.2管线施工对地下水的影响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的管道敷设埋深为-1.7m~-1.8m，在施工过程中的辅料、废料等在降水的淋滤作用下产生的浸出液进入地下含水层，将对地下水造成不同程度的影响，其影响程度决定于下渗量及其饱和地带的厚度、岩性和对污染物的阻滞、吸附分解等自然净化能力。由于本区域降水少，且管道沿线表层土壤有一定的自然净化能力，所以管线施工对地下水的影响很小。因此，正常的管线埋设对地下水造成</w:t>
      </w:r>
      <w:r>
        <w:rPr>
          <w:rFonts w:hint="default" w:ascii="Times New Roman" w:hAnsi="Times New Roman" w:cs="Times New Roman"/>
          <w:color w:val="auto"/>
          <w:sz w:val="24"/>
          <w:szCs w:val="24"/>
          <w:lang w:eastAsia="zh-CN"/>
        </w:rPr>
        <w:t>影响</w:t>
      </w:r>
      <w:r>
        <w:rPr>
          <w:rFonts w:hint="default" w:ascii="Times New Roman" w:hAnsi="Times New Roman" w:cs="Times New Roman"/>
          <w:color w:val="auto"/>
          <w:sz w:val="24"/>
          <w:szCs w:val="24"/>
        </w:rPr>
        <w:t>很小。</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5.3.3运营期正常状况下对地下水环境影响分析</w:t>
      </w:r>
    </w:p>
    <w:p>
      <w:pPr>
        <w:pStyle w:val="66"/>
        <w:rPr>
          <w:rFonts w:hint="default" w:ascii="Times New Roman" w:hAnsi="Times New Roman" w:cs="Times New Roman"/>
          <w:color w:val="auto"/>
        </w:rPr>
      </w:pPr>
      <w:r>
        <w:rPr>
          <w:rFonts w:hint="default" w:ascii="Times New Roman" w:hAnsi="Times New Roman" w:cs="Times New Roman"/>
          <w:color w:val="auto"/>
        </w:rPr>
        <w:t>5.3.3.1井下作业废水对地下水的影响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陆梁油田作业区要求井下作业必须采取带罐作业，井下作业废水全部回收，采用专用废液收集罐收集后运至陆梁集中处理站污水处理系统进行处理。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综上所述，正常生产状况下，油田建设期和生产运行过程中废水不会对地下水环境产生影响。</w:t>
      </w:r>
    </w:p>
    <w:p>
      <w:pPr>
        <w:pStyle w:val="66"/>
        <w:rPr>
          <w:rFonts w:hint="default" w:ascii="Times New Roman" w:hAnsi="Times New Roman" w:cs="Times New Roman"/>
          <w:color w:val="auto"/>
        </w:rPr>
      </w:pPr>
      <w:bookmarkStart w:id="261" w:name="_Hlk25318328"/>
      <w:r>
        <w:rPr>
          <w:rFonts w:hint="default" w:ascii="Times New Roman" w:hAnsi="Times New Roman" w:cs="Times New Roman"/>
          <w:color w:val="auto"/>
        </w:rPr>
        <w:t>5.3.3.2油田采出水对地下水的影响</w:t>
      </w:r>
    </w:p>
    <w:bookmarkEnd w:id="261"/>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根据开发方案，本项目采出水进入陆梁集中处理站污水处理系统进行处理，处理达标的净化水用于回注油藏，不外排。</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陆梁集中处理站污水处理系统处理规模为20000m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/d，目前实际处理量约</w:t>
      </w:r>
      <w:r>
        <w:rPr>
          <w:rFonts w:hint="eastAsia" w:cs="Times New Roman"/>
          <w:color w:val="auto"/>
          <w:sz w:val="24"/>
          <w:szCs w:val="24"/>
          <w:lang w:eastAsia="zh-CN"/>
        </w:rPr>
        <w:t>19370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/d，本项目采出水产生量日最大为</w:t>
      </w:r>
      <w:r>
        <w:rPr>
          <w:rFonts w:hint="eastAsia" w:cs="Times New Roman"/>
          <w:color w:val="auto"/>
          <w:sz w:val="24"/>
          <w:szCs w:val="24"/>
          <w:lang w:eastAsia="zh-CN"/>
        </w:rPr>
        <w:t>109.1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，因此陆梁集中处理站可满足本区块新增采出废水处理要求，采出水经联合站处理达标后用于回注油藏，不排入外环境。</w:t>
      </w:r>
    </w:p>
    <w:p>
      <w:pPr>
        <w:pStyle w:val="66"/>
        <w:rPr>
          <w:rFonts w:hint="default" w:ascii="Times New Roman" w:hAnsi="Times New Roman" w:cs="Times New Roman"/>
          <w:color w:val="auto"/>
        </w:rPr>
      </w:pPr>
      <w:r>
        <w:rPr>
          <w:rFonts w:hint="default" w:ascii="Times New Roman" w:hAnsi="Times New Roman" w:cs="Times New Roman"/>
          <w:color w:val="auto"/>
        </w:rPr>
        <w:t>5.3.3.3落地油对地下水的影响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钻井过程中产生的落地原油及时回收，并根据油田环境保护的要求，对落地油必须进行100%的回收。本项目地处干旱少雨的荒漠地带，地表干燥，落地原油主要污染表层土壤。由于土壤对石油分子的吸附作用，土壤中石油类污染物大多集中在0～20cm的表层，最大下渗一般不会超过1m。油田区域的气候干旱少雨，不存在大量降水的淋滤作用，因此，落地原油没有进入地下水层的途径，不存在污染地下水的可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综上所述，正常生产状况下，项目施工期和运营期中落地原油不会对地下水环境产生影响，但考虑到长期积累情况下，可能存在影响，应加强收集措施及管理要求，确保落地原油100%回收。</w:t>
      </w:r>
    </w:p>
    <w:p>
      <w:pPr>
        <w:pStyle w:val="66"/>
        <w:rPr>
          <w:rFonts w:hint="default" w:ascii="Times New Roman" w:hAnsi="Times New Roman" w:cs="Times New Roman"/>
          <w:color w:val="auto"/>
        </w:rPr>
      </w:pPr>
      <w:r>
        <w:rPr>
          <w:rFonts w:hint="default" w:ascii="Times New Roman" w:hAnsi="Times New Roman" w:cs="Times New Roman"/>
          <w:color w:val="auto"/>
        </w:rPr>
        <w:t>5.3.3.4含油污泥对地下水的影响</w:t>
      </w:r>
    </w:p>
    <w:p>
      <w:pPr>
        <w:pStyle w:val="86"/>
        <w:rPr>
          <w:rFonts w:hint="default" w:ascii="Times New Roman" w:hAnsi="Times New Roman" w:eastAsia="宋体" w:cs="Times New Roman"/>
          <w:color w:val="auto"/>
        </w:rPr>
      </w:pPr>
      <w:r>
        <w:rPr>
          <w:rFonts w:ascii="Times New Roman" w:hAnsi="Times New Roman" w:eastAsia="宋体" w:cs="Times New Roman"/>
          <w:color w:val="auto"/>
        </w:rPr>
        <w:t>本项目产生的</w:t>
      </w:r>
      <w:r>
        <w:rPr>
          <w:rFonts w:ascii="Times New Roman" w:hAnsi="Times New Roman" w:cs="Times New Roman"/>
          <w:color w:val="auto"/>
        </w:rPr>
        <w:t>含油污</w:t>
      </w:r>
      <w:r>
        <w:rPr>
          <w:rFonts w:hint="default" w:ascii="Times New Roman" w:hAnsi="Times New Roman" w:cs="Times New Roman"/>
          <w:color w:val="auto"/>
        </w:rPr>
        <w:t>泥采用专用收集罐收集，</w:t>
      </w:r>
      <w:r>
        <w:rPr>
          <w:rFonts w:hint="default" w:ascii="Times New Roman" w:hAnsi="Times New Roman" w:cs="Times New Roman"/>
          <w:snapToGrid w:val="0"/>
          <w:color w:val="auto"/>
          <w:kern w:val="0"/>
        </w:rPr>
        <w:t>收集后暂存至陆梁油田作业区污泥暂存池，定期委托克拉玛依博达生态环保科技有限责任公司处置。</w:t>
      </w:r>
    </w:p>
    <w:p>
      <w:pPr>
        <w:pStyle w:val="8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cs="Times New Roman"/>
          <w:color w:val="auto"/>
          <w:sz w:val="24"/>
        </w:rPr>
        <w:t>陆梁油田作业区污泥暂存池贮存规模为10665m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，占地面积为9464m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，污泥暂存池</w:t>
      </w:r>
      <w:r>
        <w:rPr>
          <w:rFonts w:hint="default" w:ascii="Times New Roman" w:hAnsi="Times New Roman" w:cs="Times New Roman"/>
          <w:color w:val="auto"/>
          <w:sz w:val="24"/>
          <w:lang w:val="en-US" w:eastAsia="zh-CN"/>
        </w:rPr>
        <w:t>所采取的防渗措施符合</w:t>
      </w:r>
      <w:r>
        <w:rPr>
          <w:rFonts w:hint="default" w:ascii="Times New Roman" w:hAnsi="Times New Roman" w:cs="Times New Roman"/>
          <w:color w:val="auto"/>
          <w:sz w:val="24"/>
        </w:rPr>
        <w:t>《危险废物贮存污染控制标准》（GB18597-2023）</w:t>
      </w:r>
      <w:r>
        <w:rPr>
          <w:rFonts w:hint="default" w:ascii="Times New Roman" w:hAnsi="Times New Roman" w:cs="Times New Roman"/>
          <w:color w:val="auto"/>
          <w:sz w:val="24"/>
          <w:lang w:val="en-US" w:eastAsia="zh-CN"/>
        </w:rPr>
        <w:t>中要求，</w:t>
      </w:r>
      <w:r>
        <w:rPr>
          <w:rFonts w:hint="default" w:ascii="Times New Roman" w:hAnsi="Times New Roman" w:cs="Times New Roman"/>
          <w:color w:val="auto"/>
          <w:sz w:val="24"/>
        </w:rPr>
        <w:t>该贮存场不长期贮存含油污泥，克拉玛依博达生态环保科技有限责任公司定期对贮存场内危废进行清运</w:t>
      </w:r>
      <w:r>
        <w:rPr>
          <w:rFonts w:cs="Times New Roman"/>
          <w:color w:val="auto"/>
          <w:sz w:val="24"/>
        </w:rPr>
        <w:t>处置，同时本项目分批实施，其产生量不会达到最大，贮存场可满足项目需求。</w:t>
      </w:r>
      <w:r>
        <w:rPr>
          <w:rFonts w:cs="Times New Roman"/>
          <w:color w:val="auto"/>
          <w:sz w:val="24"/>
          <w:szCs w:val="24"/>
        </w:rPr>
        <w:t>不会对当地地下水产生影响。</w:t>
      </w:r>
    </w:p>
    <w:p>
      <w:pPr>
        <w:pStyle w:val="66"/>
        <w:rPr>
          <w:rFonts w:hint="default" w:ascii="Times New Roman" w:hAnsi="Times New Roman" w:cs="Times New Roman"/>
          <w:color w:val="auto"/>
        </w:rPr>
      </w:pPr>
      <w:bookmarkStart w:id="262" w:name="_Hlk41321062"/>
      <w:r>
        <w:rPr>
          <w:rFonts w:hint="default" w:ascii="Times New Roman" w:hAnsi="Times New Roman" w:cs="Times New Roman"/>
          <w:color w:val="auto"/>
        </w:rPr>
        <w:t>5.3.3.5开采前后对地下水流场的影响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油井在施工过程中采用两层套管序列井身结构，采用下套管注水泥固井完井方式进行了水泥固井。根据地下水资料可知，评价区为第三系碎屑岩类裂隙孔隙层间承压水，具有双层或多层结构。其中浅层承压水含水层顶板埋深＜50m，深部承压水含水层的顶板埋深一般＞100m，对</w:t>
      </w:r>
      <w:bookmarkStart w:id="263" w:name="_Hlk91759960"/>
      <w:r>
        <w:rPr>
          <w:rFonts w:hint="default" w:ascii="Times New Roman" w:hAnsi="Times New Roman" w:cs="Times New Roman"/>
          <w:color w:val="auto"/>
          <w:sz w:val="24"/>
          <w:szCs w:val="24"/>
        </w:rPr>
        <w:t>潜水层</w:t>
      </w:r>
      <w:bookmarkEnd w:id="263"/>
      <w:r>
        <w:rPr>
          <w:rFonts w:hint="default" w:ascii="Times New Roman" w:hAnsi="Times New Roman" w:cs="Times New Roman"/>
          <w:color w:val="auto"/>
          <w:sz w:val="24"/>
          <w:szCs w:val="24"/>
        </w:rPr>
        <w:t>以及承压水层所在地层进行了固封处理，可以确保井壁不会发生侧漏，有效隔离含水层与井内泥浆的交换，有效保护地下水层。因此，项目开采前后不会对项目区域地下水流场产生影响。</w:t>
      </w:r>
    </w:p>
    <w:p>
      <w:pPr>
        <w:pStyle w:val="56"/>
        <w:spacing w:line="360" w:lineRule="auto"/>
        <w:ind w:firstLine="0"/>
        <w:rPr>
          <w:rFonts w:hint="default" w:ascii="Times New Roman" w:hAnsi="Times New Roman" w:cs="Times New Roman"/>
          <w:bCs w:val="0"/>
          <w:color w:val="auto"/>
          <w:sz w:val="28"/>
          <w:szCs w:val="28"/>
        </w:rPr>
      </w:pPr>
      <w:r>
        <w:rPr>
          <w:rFonts w:hint="default" w:ascii="Times New Roman" w:hAnsi="Times New Roman" w:cs="Times New Roman"/>
          <w:bCs w:val="0"/>
          <w:color w:val="auto"/>
          <w:sz w:val="28"/>
          <w:szCs w:val="28"/>
        </w:rPr>
        <w:t>5.3.3.6回注水对地下水的影响</w:t>
      </w:r>
    </w:p>
    <w:p>
      <w:pPr>
        <w:pStyle w:val="5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本工程回注的水来自经陆梁集中处理站污水处理系统处理后的水，满足</w:t>
      </w:r>
      <w:r>
        <w:rPr>
          <w:rFonts w:hint="default" w:ascii="Times New Roman" w:hAnsi="Times New Roman" w:cs="Times New Roman"/>
          <w:color w:val="auto"/>
          <w:sz w:val="24"/>
        </w:rPr>
        <w:t>《碎屑岩油</w:t>
      </w:r>
      <w:r>
        <w:rPr>
          <w:rFonts w:hint="default" w:ascii="Times New Roman" w:hAnsi="Times New Roman" w:eastAsia="宋体" w:cs="Times New Roman"/>
          <w:color w:val="auto"/>
          <w:sz w:val="24"/>
          <w:szCs w:val="24"/>
        </w:rPr>
        <w:t>藏注水水质指标技术要求及分析方法》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SY/T5329-2022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标准。</w:t>
      </w:r>
    </w:p>
    <w:p>
      <w:pPr>
        <w:pStyle w:val="56"/>
        <w:spacing w:line="360" w:lineRule="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采出净化水回注层位与地下水处于不同层系，远远超出区域地下水含水层的深度。根据项目区水文地质资料可知，项目区地下水有多层分布，主要分为上覆含水层组和供水目的层含水层组，浅层承压水含水层顶板埋深小于50m，含水层为第三系粉砂岩、细砂岩；深部承压水含水层的顶板埋深一般大于100m，而陆136井区处理达标后的采出水回注层位油藏埋深在1250～2700m，与地下水各含水层处于不同层系，远远超出本区域地下水含水层深度，且回注井在钻井过程中对潜水所在的地层进行了水泥浆固井，在固井质量良好的情况下可以确保井壁不会发生侧漏，且固井深度远远超过了含水层埋深，有效隔离含水层与井内采出液的交换，有效保护地下水层。因此，运营期废水不会对地下水产生不利影响。</w:t>
      </w:r>
    </w:p>
    <w:bookmarkEnd w:id="262"/>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5.3.4事故工况下对地下水的影响分析</w:t>
      </w:r>
    </w:p>
    <w:p>
      <w:pPr>
        <w:pStyle w:val="66"/>
        <w:rPr>
          <w:rFonts w:hint="default" w:ascii="Times New Roman" w:hAnsi="Times New Roman" w:cs="Times New Roman"/>
          <w:color w:val="auto"/>
        </w:rPr>
      </w:pPr>
      <w:r>
        <w:rPr>
          <w:rFonts w:hint="default" w:ascii="Times New Roman" w:hAnsi="Times New Roman" w:cs="Times New Roman"/>
          <w:color w:val="auto"/>
        </w:rPr>
        <w:t>5.3.4.1井漏事故的泥浆对地下水的影响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井漏事故对地下水的污染是钻井泥浆漏失于地下水含水层中，由于其含Ca、Na等离子，且pH、盐分较多，易造成地下含水层水质污染。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评价区内从南向北分布多层结构的潜水—承压水含水层，纵向上，上部为潜水含水层，埋深＜50m；下部为承压含水层，第一层埋深在100m左右。</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采油目的层深约2340m，采油目的层与地下水处于不同层系，远远超出本区域地下水含水层深度。钻井施工过程中采用下套管注水泥固井完井方式进行了水泥固井，对含水层进行了固封处理，可以确保井壁不会发生侧漏，有效隔离含水层与井内泥浆的交换，有效保护地下水层。因此不存在污染地下水的可能，不会对地下水产生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因此，在采取严格要求套管下入深度、严格执行固井设计等措施后，可以有效控制钻井液在地层中的漏失。</w:t>
      </w:r>
    </w:p>
    <w:p>
      <w:pPr>
        <w:pStyle w:val="66"/>
        <w:rPr>
          <w:rFonts w:hint="default" w:ascii="Times New Roman" w:hAnsi="Times New Roman" w:cs="Times New Roman"/>
          <w:color w:val="auto"/>
        </w:rPr>
      </w:pPr>
      <w:r>
        <w:rPr>
          <w:rFonts w:hint="default" w:ascii="Times New Roman" w:hAnsi="Times New Roman" w:cs="Times New Roman"/>
          <w:color w:val="auto"/>
        </w:rPr>
        <w:t>5.3.4.2油水窜层对地下水的污染影响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钻井完井后原油窜层污染（包括生产井的窜层）的主要原因是：①下入的表层套管未封住含水层；②固井质量差；③工艺措施不合理或未实施。因此，为预防污染的发生和污染源的形成，表层套管必须严格封闭含水层，固井质量应符合环保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废弃的油井、套管被腐蚀破坏而污染到地下水的现象，在前期不会发生，待油田开发到中后期时，废弃的油井、套管被腐蚀破坏，才可能会对地下水有影响：废弃油井在长期闲置过程中，在地下各种复合作用下，固井水泥被腐蚀，套管被腐蚀穿孔，加上只封死井口，原油物质失去了释放通道，会通过越流管道进入潜水含水层，参与地下水循环。虽然此时油层几乎没有多少压力，原油不大可能进入到含水层污染地下水，但这一现象仍应引起重视，评价区内的废弃井应全部打水泥塞，并经严格的试压以防窜漏污染地下水。</w:t>
      </w:r>
    </w:p>
    <w:p>
      <w:pPr>
        <w:pStyle w:val="66"/>
        <w:rPr>
          <w:rFonts w:hint="default" w:ascii="Times New Roman" w:hAnsi="Times New Roman" w:cs="Times New Roman"/>
          <w:color w:val="auto"/>
        </w:rPr>
      </w:pPr>
      <w:r>
        <w:rPr>
          <w:rFonts w:hint="default" w:ascii="Times New Roman" w:hAnsi="Times New Roman" w:cs="Times New Roman"/>
          <w:color w:val="auto"/>
        </w:rPr>
        <w:t>5.3.4.3井喷事故对地下水的污染影响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井喷事故一旦发生，大量的油气喷出井口，散落于井场周围，除造成重大经济损失外，还会造成严重的环境污染。根据测算，井喷发生后，一般需要1～2d才能得以控制。</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据类比资料显示，井喷污染范围在半径约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水环境的影响主要表现为对其周围土壤的影响，对地下水体有一定的影响，若及时采取有效措施治理污染，井喷对地下水的影响极小。</w:t>
      </w:r>
    </w:p>
    <w:p>
      <w:pPr>
        <w:pStyle w:val="66"/>
        <w:rPr>
          <w:rFonts w:hint="default" w:ascii="Times New Roman" w:hAnsi="Times New Roman" w:cs="Times New Roman"/>
          <w:color w:val="auto"/>
        </w:rPr>
      </w:pPr>
      <w:bookmarkStart w:id="264" w:name="_Hlk28442406"/>
      <w:r>
        <w:rPr>
          <w:rFonts w:hint="default" w:ascii="Times New Roman" w:hAnsi="Times New Roman" w:cs="Times New Roman"/>
          <w:color w:val="auto"/>
        </w:rPr>
        <w:t>5.3.4.4原油泄漏对地下水的影响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泄漏于土体中的原油可以同时向表面溢出和向地下渗透，并选择疏松位置运移。如果有足够多的原油泄漏到疏松的土体中，就有可能下渗至潜水带并在潜水带顶面扩展而形成“油饼”。通常原油泄漏产生的污染物以点源形式通过土壤表层下渗进入地下含水层。因而原油泄漏事故对地下水环境的影响程度主要取决于原油的物理性质、泄漏量、泄漏方式、多孔介质特征及地下水位埋深等因素。</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原油属疏水性有机污染物，难溶于水且容易被土壤吸附。泄漏后首先被表层的土壤吸附截留，</w:t>
      </w:r>
      <w:r>
        <w:rPr>
          <w:rFonts w:hint="eastAsia" w:cs="Times New Roman"/>
          <w:color w:val="auto"/>
          <w:sz w:val="24"/>
          <w:szCs w:val="24"/>
          <w:lang w:eastAsia="zh-CN"/>
        </w:rPr>
        <w:t>进入</w:t>
      </w:r>
      <w:r>
        <w:rPr>
          <w:rFonts w:hint="default" w:ascii="Times New Roman" w:hAnsi="Times New Roman" w:cs="Times New Roman"/>
          <w:color w:val="auto"/>
          <w:sz w:val="24"/>
          <w:szCs w:val="24"/>
        </w:rPr>
        <w:t>潜水后，原油将随着地下水运移和衰减。考虑最不利情况，结合项目特征及风险物质特征、装置情况以及项目区水文地质条件，本次评价对泄漏的原油全部经过包气带并进入含水层中进行简单预测分析。渗漏污染物通过饱水包气带全部进入浅层地下水。</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油品泄漏为偶然事故，符合自然衰减规律，根据《石油类有机物对地下水污染的模拟分析》（葛春等，天津市环境保护开发中心），在常温下，石油类溶解度为10mg/L，设为石油类在地下水的源强浓度。由于《地下水质量标准》（GB/T14848-2017）Ⅲ类标准中没有对石油类进行说明，参照《地表水环境质量标准》（GB3838-2002）Ⅲ类标准，将石油类污染物浓度标准定为0.05mg/L。</w:t>
      </w:r>
    </w:p>
    <w:p>
      <w:pPr>
        <w:pStyle w:val="65"/>
        <w:spacing w:line="360" w:lineRule="auto"/>
        <w:ind w:left="48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①泄漏源强</w:t>
      </w:r>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A.管线输送全管径</w:t>
      </w:r>
      <w:r>
        <w:rPr>
          <w:rFonts w:hint="eastAsia" w:ascii="Times New Roman" w:hAnsi="Times New Roman" w:eastAsia="宋体" w:cs="Times New Roman"/>
          <w:color w:val="auto"/>
          <w:lang w:eastAsia="zh-CN"/>
        </w:rPr>
        <w:t>泄漏</w:t>
      </w:r>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本项目自动控制系统采用SCADA系统，系统采用全线调控中心控制级、站场控制级和就地控制级三级控制方式，并对沿线站场及监控阀室实施远距离的数据采集、监视控制、安全保护和统一调度管理。</w:t>
      </w:r>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经和本工程设计单位充分沟通，并结合建设单位多年来同类管道的运营经验，一旦发生漏油事故，供油及加压泵站立即关闭，管内压力减小，各截断阀可以确保在30min内响应并关闭，管道断裂处油品继续泄漏，当与外界压力平衡时，泄漏终止。本次评价以泄漏事故发生至关闭阀门时间30min考虑。</w:t>
      </w:r>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管道泄漏时，选取最不利情形即管道断裂进行评价。通常按美国矿业管理部（MMS）管道油品泄漏量估算导则（MMS2002-033）给出的估算模式计算原油的泄漏量，该模式由两部分组成，一部分是阀门关闭后至压力平衡前的泄漏量，另一部分是关闭阀门前的泄漏量，两项之和即为总泄漏量，计算式为：</w:t>
      </w:r>
    </w:p>
    <w:p>
      <w:pPr>
        <w:pStyle w:val="65"/>
        <w:spacing w:line="360" w:lineRule="auto"/>
        <w:ind w:firstLine="480"/>
        <w:jc w:val="center"/>
        <w:rPr>
          <w:rFonts w:hint="default" w:ascii="Times New Roman" w:hAnsi="Times New Roman" w:eastAsia="宋体" w:cs="Times New Roman"/>
          <w:color w:val="auto"/>
        </w:rPr>
      </w:pPr>
      <m:oMath>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V</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rel</m:t>
            </m:r>
            <m:ctrlPr>
              <w:rPr>
                <w:rFonts w:hint="default" w:ascii="Cambria Math" w:hAnsi="Cambria Math" w:eastAsia="宋体" w:cs="Times New Roman"/>
                <w:color w:val="auto"/>
              </w:rPr>
            </m:ctrlPr>
          </m:sub>
        </m:sSub>
        <m:r>
          <m:rPr>
            <m:sty m:val="p"/>
          </m:rPr>
          <w:rPr>
            <w:rFonts w:hint="default" w:ascii="Cambria Math" w:hAnsi="Cambria Math" w:eastAsia="宋体" w:cs="Times New Roman"/>
            <w:color w:val="auto"/>
          </w:rPr>
          <m:t>=0</m:t>
        </m:r>
      </m:oMath>
      <w:r>
        <w:rPr>
          <w:rFonts w:hint="default" w:ascii="Times New Roman" w:hAnsi="Times New Roman" w:eastAsia="宋体" w:cs="Times New Roman"/>
          <w:color w:val="auto"/>
        </w:rPr>
        <w:t>.1781</w:t>
      </w:r>
      <m:oMath>
        <m:r>
          <m:rPr>
            <m:sty m:val="p"/>
          </m:rPr>
          <w:rPr>
            <w:rFonts w:hint="default" w:ascii="Cambria Math" w:hAnsi="Cambria Math" w:eastAsia="宋体" w:cs="Times New Roman"/>
            <w:color w:val="auto"/>
          </w:rPr>
          <m:t>×</m:t>
        </m:r>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V</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pipe</m:t>
            </m:r>
            <m:ctrlPr>
              <w:rPr>
                <w:rFonts w:hint="default" w:ascii="Cambria Math" w:hAnsi="Cambria Math" w:eastAsia="宋体" w:cs="Times New Roman"/>
                <w:color w:val="auto"/>
              </w:rPr>
            </m:ctrlPr>
          </m:sub>
        </m:sSub>
        <m:r>
          <m:rPr>
            <m:sty m:val="p"/>
          </m:rPr>
          <w:rPr>
            <w:rFonts w:hint="default" w:ascii="Cambria Math" w:hAnsi="Cambria Math" w:eastAsia="宋体" w:cs="Times New Roman"/>
            <w:color w:val="auto"/>
          </w:rPr>
          <m:t>×</m:t>
        </m:r>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f</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rel</m:t>
            </m:r>
            <m:ctrlPr>
              <w:rPr>
                <w:rFonts w:hint="default" w:ascii="Cambria Math" w:hAnsi="Cambria Math" w:eastAsia="宋体" w:cs="Times New Roman"/>
                <w:color w:val="auto"/>
              </w:rPr>
            </m:ctrlPr>
          </m:sub>
        </m:sSub>
        <m:r>
          <m:rPr>
            <m:sty m:val="p"/>
          </m:rPr>
          <w:rPr>
            <w:rFonts w:hint="default" w:ascii="Cambria Math" w:hAnsi="Cambria Math" w:eastAsia="宋体" w:cs="Times New Roman"/>
            <w:color w:val="auto"/>
          </w:rPr>
          <m:t>×</m:t>
        </m:r>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f</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GOR</m:t>
            </m:r>
            <m:ctrlPr>
              <w:rPr>
                <w:rFonts w:hint="default" w:ascii="Cambria Math" w:hAnsi="Cambria Math" w:eastAsia="宋体" w:cs="Times New Roman"/>
                <w:color w:val="auto"/>
              </w:rPr>
            </m:ctrlPr>
          </m:sub>
        </m:sSub>
        <m:r>
          <m:rPr>
            <m:sty m:val="p"/>
          </m:rPr>
          <w:rPr>
            <w:rFonts w:hint="default" w:ascii="Cambria Math" w:hAnsi="Cambria Math" w:eastAsia="宋体" w:cs="Times New Roman"/>
            <w:color w:val="auto"/>
          </w:rPr>
          <m:t>+</m:t>
        </m:r>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V</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pre−shut</m:t>
            </m:r>
            <m:ctrlPr>
              <w:rPr>
                <w:rFonts w:hint="default" w:ascii="Cambria Math" w:hAnsi="Cambria Math" w:eastAsia="宋体" w:cs="Times New Roman"/>
                <w:color w:val="auto"/>
              </w:rPr>
            </m:ctrlPr>
          </m:sub>
        </m:sSub>
      </m:oMath>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w:t>
      </w:r>
      <w:r>
        <w:rPr>
          <w:rFonts w:hint="default" w:ascii="Times New Roman" w:hAnsi="Times New Roman" w:eastAsia="宋体" w:cs="Times New Roman"/>
          <w:i/>
          <w:iCs/>
          <w:color w:val="auto"/>
        </w:rPr>
        <w:t>V</w:t>
      </w:r>
      <w:r>
        <w:rPr>
          <w:rFonts w:hint="default" w:ascii="Times New Roman" w:hAnsi="Times New Roman" w:eastAsia="宋体" w:cs="Times New Roman"/>
          <w:i/>
          <w:iCs/>
          <w:color w:val="auto"/>
          <w:vertAlign w:val="subscript"/>
        </w:rPr>
        <w:t>rel</w:t>
      </w:r>
      <w:r>
        <w:rPr>
          <w:rFonts w:hint="default" w:ascii="Times New Roman" w:hAnsi="Times New Roman" w:eastAsia="宋体" w:cs="Times New Roman"/>
          <w:color w:val="auto"/>
        </w:rPr>
        <w:t>—集输管线油品泄漏量，bbl（1桶=0.14吨）；</w:t>
      </w:r>
    </w:p>
    <w:p>
      <w:pPr>
        <w:pStyle w:val="65"/>
        <w:spacing w:line="360" w:lineRule="auto"/>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i/>
          <w:iCs/>
          <w:color w:val="auto"/>
        </w:rPr>
        <w:t>V</w:t>
      </w:r>
      <w:r>
        <w:rPr>
          <w:rFonts w:hint="default" w:ascii="Times New Roman" w:hAnsi="Times New Roman" w:eastAsia="宋体" w:cs="Times New Roman"/>
          <w:i/>
          <w:iCs/>
          <w:color w:val="auto"/>
          <w:vertAlign w:val="subscript"/>
        </w:rPr>
        <w:t>pipe</w:t>
      </w:r>
      <w:r>
        <w:rPr>
          <w:rFonts w:hint="default" w:ascii="Times New Roman" w:hAnsi="Times New Roman" w:eastAsia="宋体" w:cs="Times New Roman"/>
          <w:color w:val="auto"/>
        </w:rPr>
        <w:t>—管段体积，ft</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（1ft</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=0.0283m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），按最大计算，r取0.025m，长度取</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km；</w:t>
      </w:r>
    </w:p>
    <w:p>
      <w:pPr>
        <w:pStyle w:val="65"/>
        <w:spacing w:line="360" w:lineRule="auto"/>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i/>
          <w:iCs/>
          <w:color w:val="auto"/>
        </w:rPr>
        <w:t>f</w:t>
      </w:r>
      <w:r>
        <w:rPr>
          <w:rFonts w:hint="default" w:ascii="Times New Roman" w:hAnsi="Times New Roman" w:eastAsia="宋体" w:cs="Times New Roman"/>
          <w:i/>
          <w:iCs/>
          <w:color w:val="auto"/>
          <w:vertAlign w:val="subscript"/>
        </w:rPr>
        <w:t>rel</w:t>
      </w:r>
      <w:r>
        <w:rPr>
          <w:rFonts w:hint="default" w:ascii="Times New Roman" w:hAnsi="Times New Roman" w:eastAsia="宋体" w:cs="Times New Roman"/>
          <w:color w:val="auto"/>
        </w:rPr>
        <w:t>—最大泄漏量，取0.2；</w:t>
      </w:r>
    </w:p>
    <w:p>
      <w:pPr>
        <w:pStyle w:val="65"/>
        <w:spacing w:line="360" w:lineRule="auto"/>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i/>
          <w:iCs/>
          <w:color w:val="auto"/>
        </w:rPr>
        <w:t>f</w:t>
      </w:r>
      <w:r>
        <w:rPr>
          <w:rFonts w:hint="default" w:ascii="Times New Roman" w:hAnsi="Times New Roman" w:eastAsia="宋体" w:cs="Times New Roman"/>
          <w:i/>
          <w:iCs/>
          <w:color w:val="auto"/>
          <w:vertAlign w:val="subscript"/>
        </w:rPr>
        <w:t>GOR</w:t>
      </w:r>
      <w:r>
        <w:rPr>
          <w:rFonts w:hint="default" w:ascii="Times New Roman" w:hAnsi="Times New Roman" w:eastAsia="宋体" w:cs="Times New Roman"/>
          <w:color w:val="auto"/>
        </w:rPr>
        <w:t>—压力衰减系数，取0.2；</w:t>
      </w:r>
    </w:p>
    <w:p>
      <w:pPr>
        <w:pStyle w:val="65"/>
        <w:spacing w:line="360" w:lineRule="auto"/>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i/>
          <w:iCs/>
          <w:color w:val="auto"/>
        </w:rPr>
        <w:t>V</w:t>
      </w:r>
      <w:r>
        <w:rPr>
          <w:rFonts w:hint="default" w:ascii="Times New Roman" w:hAnsi="Times New Roman" w:eastAsia="宋体" w:cs="Times New Roman"/>
          <w:i/>
          <w:iCs/>
          <w:color w:val="auto"/>
          <w:vertAlign w:val="subscript"/>
        </w:rPr>
        <w:t>pre-shut</w:t>
      </w:r>
      <w:r>
        <w:rPr>
          <w:rFonts w:hint="default" w:ascii="Times New Roman" w:hAnsi="Times New Roman" w:eastAsia="宋体" w:cs="Times New Roman"/>
          <w:color w:val="auto"/>
        </w:rPr>
        <w:t>—截断阀关闭前泄漏量，bbl。</w:t>
      </w:r>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其中管道截断阀关闭前泄漏量（Vpre-shut）计算公式如下：</w:t>
      </w:r>
    </w:p>
    <w:p>
      <w:pPr>
        <w:pStyle w:val="65"/>
        <w:spacing w:line="360" w:lineRule="auto"/>
        <w:ind w:firstLine="480"/>
        <w:rPr>
          <w:rFonts w:hint="default" w:ascii="Times New Roman" w:hAnsi="Times New Roman" w:eastAsia="宋体" w:cs="Times New Roman"/>
          <w:color w:val="auto"/>
        </w:rPr>
      </w:pPr>
      <m:oMathPara>
        <m:oMath>
          <m:sSub>
            <m:sSubPr>
              <m:ctrlPr>
                <w:rPr>
                  <w:rFonts w:hint="default" w:ascii="Cambria Math" w:hAnsi="Cambria Math" w:eastAsia="宋体" w:cs="Times New Roman"/>
                  <w:color w:val="auto"/>
                </w:rPr>
              </m:ctrlPr>
            </m:sSubPr>
            <m:e>
              <m:r>
                <m:rPr>
                  <m:sty m:val="p"/>
                </m:rPr>
                <w:rPr>
                  <w:rFonts w:hint="default" w:ascii="Cambria Math" w:hAnsi="Cambria Math" w:eastAsia="宋体" w:cs="Times New Roman"/>
                  <w:color w:val="auto"/>
                </w:rPr>
                <m:t>V</m:t>
              </m:r>
              <m:ctrlPr>
                <w:rPr>
                  <w:rFonts w:hint="default" w:ascii="Cambria Math" w:hAnsi="Cambria Math" w:eastAsia="宋体" w:cs="Times New Roman"/>
                  <w:color w:val="auto"/>
                </w:rPr>
              </m:ctrlPr>
            </m:e>
            <m:sub>
              <m:r>
                <m:rPr>
                  <m:sty m:val="p"/>
                </m:rPr>
                <w:rPr>
                  <w:rFonts w:hint="default" w:ascii="Cambria Math" w:hAnsi="Cambria Math" w:eastAsia="宋体" w:cs="Times New Roman"/>
                  <w:color w:val="auto"/>
                </w:rPr>
                <m:t>pre−shut</m:t>
              </m:r>
              <m:ctrlPr>
                <w:rPr>
                  <w:rFonts w:hint="default" w:ascii="Cambria Math" w:hAnsi="Cambria Math" w:eastAsia="宋体" w:cs="Times New Roman"/>
                  <w:color w:val="auto"/>
                </w:rPr>
              </m:ctrlPr>
            </m:sub>
          </m:sSub>
          <m:r>
            <m:rPr>
              <m:sty m:val="p"/>
            </m:rPr>
            <w:rPr>
              <w:rFonts w:hint="default" w:ascii="Cambria Math" w:hAnsi="Cambria Math" w:eastAsia="宋体" w:cs="Times New Roman"/>
              <w:color w:val="auto"/>
            </w:rPr>
            <m:t>=</m:t>
          </m:r>
          <m:f>
            <m:fPr>
              <m:ctrlPr>
                <w:rPr>
                  <w:rFonts w:hint="default" w:ascii="Cambria Math" w:hAnsi="Cambria Math" w:eastAsia="宋体" w:cs="Times New Roman"/>
                  <w:color w:val="auto"/>
                </w:rPr>
              </m:ctrlPr>
            </m:fPr>
            <m:num>
              <m:r>
                <m:rPr>
                  <m:sty m:val="p"/>
                </m:rPr>
                <w:rPr>
                  <w:rFonts w:hint="default" w:ascii="Cambria Math" w:hAnsi="Cambria Math" w:eastAsia="宋体" w:cs="Times New Roman"/>
                  <w:color w:val="auto"/>
                </w:rPr>
                <m:t>Q×t</m:t>
              </m:r>
              <m:ctrlPr>
                <w:rPr>
                  <w:rFonts w:hint="default" w:ascii="Cambria Math" w:hAnsi="Cambria Math" w:eastAsia="宋体" w:cs="Times New Roman"/>
                  <w:color w:val="auto"/>
                </w:rPr>
              </m:ctrlPr>
            </m:num>
            <m:den>
              <m:r>
                <m:rPr>
                  <m:sty m:val="p"/>
                </m:rPr>
                <w:rPr>
                  <w:rFonts w:hint="default" w:ascii="Cambria Math" w:hAnsi="Cambria Math" w:eastAsia="宋体" w:cs="Times New Roman"/>
                  <w:color w:val="auto"/>
                </w:rPr>
                <m:t>1440</m:t>
              </m:r>
              <m:ctrlPr>
                <w:rPr>
                  <w:rFonts w:hint="default" w:ascii="Cambria Math" w:hAnsi="Cambria Math" w:eastAsia="宋体" w:cs="Times New Roman"/>
                  <w:color w:val="auto"/>
                </w:rPr>
              </m:ctrlPr>
            </m:den>
          </m:f>
        </m:oMath>
      </m:oMathPara>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式中：Q—管道流量（标准桶/天），</w:t>
      </w:r>
      <w:r>
        <w:rPr>
          <w:rFonts w:hint="eastAsia" w:ascii="Times New Roman" w:hAnsi="Times New Roman" w:eastAsia="宋体" w:cs="Times New Roman"/>
          <w:color w:val="auto"/>
          <w:lang w:val="en-US" w:eastAsia="zh-CN"/>
        </w:rPr>
        <w:t>单井产能8t/d</w:t>
      </w:r>
      <w:r>
        <w:rPr>
          <w:rFonts w:hint="default" w:ascii="Times New Roman" w:hAnsi="Times New Roman" w:eastAsia="宋体" w:cs="Times New Roman"/>
          <w:color w:val="auto"/>
        </w:rPr>
        <w:t>；</w:t>
      </w:r>
    </w:p>
    <w:p>
      <w:pPr>
        <w:pStyle w:val="65"/>
        <w:spacing w:line="360" w:lineRule="auto"/>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rPr>
        <w:t>t—关闭阀门时间（分钟），取30min。</w:t>
      </w:r>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cs="Times New Roman"/>
          <w:color w:val="auto"/>
        </w:rPr>
        <w:t>根据上述公式计算得出</w:t>
      </w:r>
      <w:r>
        <w:rPr>
          <w:rFonts w:hint="default" w:ascii="Times New Roman" w:hAnsi="Times New Roman" w:eastAsia="宋体" w:cs="Times New Roman"/>
          <w:color w:val="auto"/>
        </w:rPr>
        <w:t>阀门关闭后至压力平衡前的泄漏量</w:t>
      </w:r>
      <w:r>
        <w:rPr>
          <w:rFonts w:hint="eastAsia" w:ascii="Times New Roman" w:hAnsi="Times New Roman" w:eastAsia="宋体" w:cs="Times New Roman"/>
          <w:color w:val="auto"/>
          <w:lang w:val="en-US" w:eastAsia="zh-CN"/>
        </w:rPr>
        <w:t>0.494</w:t>
      </w:r>
      <w:r>
        <w:rPr>
          <w:rFonts w:hint="eastAsia" w:ascii="Times New Roman" w:hAnsi="Times New Roman" w:cs="Times New Roman"/>
          <w:color w:val="auto"/>
          <w:lang w:val="en-US" w:eastAsia="zh-CN"/>
        </w:rPr>
        <w:t>bbl</w:t>
      </w:r>
      <w:r>
        <w:rPr>
          <w:rFonts w:hint="default" w:ascii="Times New Roman" w:hAnsi="Times New Roman" w:cs="Times New Roman"/>
          <w:color w:val="auto"/>
        </w:rPr>
        <w:t>，</w:t>
      </w:r>
      <w:r>
        <w:rPr>
          <w:rFonts w:hint="eastAsia" w:ascii="Times New Roman" w:hAnsi="Times New Roman" w:cs="Times New Roman"/>
          <w:color w:val="auto"/>
          <w:lang w:val="en-US" w:eastAsia="zh-CN"/>
        </w:rPr>
        <w:t>30</w:t>
      </w:r>
      <w:r>
        <w:rPr>
          <w:rFonts w:hint="default" w:ascii="Times New Roman" w:hAnsi="Times New Roman" w:cs="Times New Roman"/>
          <w:color w:val="auto"/>
        </w:rPr>
        <w:t>min</w:t>
      </w:r>
      <w:r>
        <w:rPr>
          <w:rFonts w:hint="default" w:ascii="Times New Roman" w:hAnsi="Times New Roman" w:eastAsia="宋体" w:cs="Times New Roman"/>
          <w:color w:val="auto"/>
        </w:rPr>
        <w:t>管道截断阀关闭前泄漏量</w:t>
      </w:r>
      <w:r>
        <w:rPr>
          <w:rFonts w:hint="eastAsia" w:ascii="Times New Roman" w:hAnsi="Times New Roman" w:cs="Times New Roman"/>
          <w:color w:val="auto"/>
          <w:lang w:val="en-US" w:eastAsia="zh-CN"/>
        </w:rPr>
        <w:t>1.19bbl</w:t>
      </w:r>
      <w:r>
        <w:rPr>
          <w:rFonts w:hint="default" w:ascii="Times New Roman" w:hAnsi="Times New Roman" w:cs="Times New Roman"/>
          <w:color w:val="auto"/>
        </w:rPr>
        <w:t>，</w:t>
      </w:r>
      <w:r>
        <w:rPr>
          <w:rFonts w:hint="eastAsia" w:ascii="Times New Roman" w:hAnsi="Times New Roman" w:cs="Times New Roman"/>
          <w:color w:val="auto"/>
          <w:lang w:val="en-US" w:eastAsia="zh-CN"/>
        </w:rPr>
        <w:t>合计1.684bbl</w:t>
      </w:r>
      <w:r>
        <w:rPr>
          <w:rFonts w:hint="default" w:ascii="Times New Roman" w:hAnsi="Times New Roman" w:cs="Times New Roman"/>
          <w:color w:val="auto"/>
        </w:rPr>
        <w:t>，</w:t>
      </w:r>
      <w:r>
        <w:rPr>
          <w:rFonts w:hint="eastAsia" w:ascii="Times New Roman" w:hAnsi="Times New Roman" w:cs="Times New Roman"/>
          <w:color w:val="auto"/>
          <w:lang w:val="en-US" w:eastAsia="zh-CN"/>
        </w:rPr>
        <w:t>合计</w:t>
      </w:r>
      <w:r>
        <w:rPr>
          <w:rFonts w:hint="default" w:ascii="Times New Roman" w:hAnsi="Times New Roman" w:cs="Times New Roman"/>
          <w:color w:val="auto"/>
        </w:rPr>
        <w:t>折算</w:t>
      </w:r>
      <w:r>
        <w:rPr>
          <w:rFonts w:hint="default" w:ascii="Times New Roman" w:hAnsi="Times New Roman" w:eastAsia="宋体" w:cs="Times New Roman"/>
          <w:color w:val="auto"/>
        </w:rPr>
        <w:t>原油的泄漏量</w:t>
      </w:r>
      <w:r>
        <w:rPr>
          <w:rFonts w:hint="eastAsia" w:ascii="Times New Roman" w:hAnsi="Times New Roman" w:eastAsia="宋体" w:cs="Times New Roman"/>
          <w:color w:val="auto"/>
          <w:lang w:val="en-US" w:eastAsia="zh-CN"/>
        </w:rPr>
        <w:t>为0.236t，</w:t>
      </w:r>
      <w:r>
        <w:rPr>
          <w:rFonts w:hint="default" w:ascii="Times New Roman" w:hAnsi="Times New Roman" w:eastAsia="宋体" w:cs="Times New Roman"/>
          <w:color w:val="auto"/>
        </w:rPr>
        <w:t>按照表层土壤对污染物截留率90%计算，进入含水层原油为0.</w:t>
      </w:r>
      <w:r>
        <w:rPr>
          <w:rFonts w:hint="eastAsia" w:ascii="Times New Roman" w:hAnsi="Times New Roman" w:eastAsia="宋体" w:cs="Times New Roman"/>
          <w:color w:val="auto"/>
          <w:lang w:val="en-US" w:eastAsia="zh-CN"/>
        </w:rPr>
        <w:t>024</w:t>
      </w:r>
      <w:r>
        <w:rPr>
          <w:rFonts w:hint="default" w:ascii="Times New Roman" w:hAnsi="Times New Roman" w:eastAsia="宋体" w:cs="Times New Roman"/>
          <w:color w:val="auto"/>
        </w:rPr>
        <w:t>t。</w:t>
      </w:r>
    </w:p>
    <w:p>
      <w:pPr>
        <w:pStyle w:val="86"/>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B.油井套管破损泄漏</w:t>
      </w:r>
    </w:p>
    <w:p>
      <w:pPr>
        <w:pStyle w:val="86"/>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假设油井套管破损发生泄漏，本项目单口油井最大产油量为</w:t>
      </w:r>
      <w:r>
        <w:rPr>
          <w:rFonts w:hint="eastAsia" w:ascii="Times New Roman" w:hAnsi="Times New Roman" w:eastAsia="宋体" w:cs="Times New Roman"/>
          <w:bCs/>
          <w:color w:val="auto"/>
          <w:kern w:val="0"/>
          <w:lang w:val="en-US" w:eastAsia="zh-CN"/>
        </w:rPr>
        <w:t>8</w:t>
      </w:r>
      <w:r>
        <w:rPr>
          <w:rFonts w:hint="default" w:ascii="Times New Roman" w:hAnsi="Times New Roman" w:eastAsia="宋体" w:cs="Times New Roman"/>
          <w:bCs/>
          <w:color w:val="auto"/>
          <w:kern w:val="0"/>
        </w:rPr>
        <w:t>t/d，根据陆梁油田作业区多年统计数据，泄漏源强以单井产油量的10%计，由于油井泄漏不能实时控制，因此，该泄漏是不易被发现的，只能在井下作业时对油井套管检测等措施进行控制，泄漏的原油量为</w:t>
      </w:r>
      <w:r>
        <w:rPr>
          <w:rFonts w:hint="eastAsia" w:ascii="Times New Roman" w:hAnsi="Times New Roman" w:eastAsia="宋体" w:cs="Times New Roman"/>
          <w:bCs/>
          <w:color w:val="auto"/>
          <w:kern w:val="0"/>
          <w:lang w:val="en-US" w:eastAsia="zh-CN"/>
        </w:rPr>
        <w:t>80</w:t>
      </w:r>
      <w:r>
        <w:rPr>
          <w:rFonts w:hint="default" w:ascii="Times New Roman" w:hAnsi="Times New Roman" w:eastAsia="宋体" w:cs="Times New Roman"/>
          <w:bCs/>
          <w:color w:val="auto"/>
          <w:kern w:val="0"/>
        </w:rPr>
        <w:t>0kg/d。</w:t>
      </w:r>
    </w:p>
    <w:p>
      <w:pPr>
        <w:pStyle w:val="86"/>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②预测因子</w:t>
      </w:r>
    </w:p>
    <w:p>
      <w:pPr>
        <w:pStyle w:val="86"/>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选取油田开发项目特征污染物石油类。</w:t>
      </w:r>
    </w:p>
    <w:p>
      <w:pPr>
        <w:pStyle w:val="86"/>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③预测模型</w:t>
      </w:r>
    </w:p>
    <w:p>
      <w:pPr>
        <w:pStyle w:val="86"/>
        <w:rPr>
          <w:rFonts w:hint="default" w:ascii="Times New Roman" w:hAnsi="Times New Roman" w:eastAsia="宋体" w:cs="Times New Roman"/>
          <w:bCs/>
          <w:color w:val="auto"/>
          <w:kern w:val="0"/>
        </w:rPr>
      </w:pPr>
      <w:r>
        <w:rPr>
          <w:rFonts w:hint="default" w:ascii="Times New Roman" w:hAnsi="Times New Roman" w:eastAsia="宋体" w:cs="Times New Roman"/>
          <w:bCs/>
          <w:color w:val="auto"/>
          <w:kern w:val="0"/>
        </w:rPr>
        <w:t>根据《环境影响评价技术导则 地下水环境》（HJ610-2016），本项目地下水评价</w:t>
      </w:r>
      <w:r>
        <w:rPr>
          <w:rFonts w:hint="default" w:ascii="Times New Roman" w:hAnsi="Times New Roman" w:eastAsia="宋体" w:cs="Times New Roman"/>
          <w:bCs/>
          <w:color w:val="auto"/>
          <w:kern w:val="0"/>
          <w:lang w:val="en-US" w:eastAsia="zh-CN"/>
        </w:rPr>
        <w:t>等级为</w:t>
      </w:r>
      <w:r>
        <w:rPr>
          <w:rFonts w:hint="default" w:ascii="Times New Roman" w:hAnsi="Times New Roman" w:eastAsia="宋体" w:cs="Times New Roman"/>
          <w:bCs/>
          <w:color w:val="auto"/>
          <w:kern w:val="0"/>
        </w:rPr>
        <w:t>二级，含水层的基本参数变化很小，因此可采用解析法进行预测，预测模型选择导则推荐的地下水溶质运移解析法中的一维稳定流动二维弥散点源模型进行预测。由于管线泄漏时可以及时发现并处理，因此按瞬时点源计算。</w:t>
      </w:r>
    </w:p>
    <w:p>
      <w:pPr>
        <w:adjustRightInd w:val="0"/>
        <w:snapToGrid w:val="0"/>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736850" cy="641350"/>
            <wp:effectExtent l="0" t="0" r="6350" b="6350"/>
            <wp:docPr id="1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
                    <pic:cNvPicPr>
                      <a:picLocks noChangeAspect="1"/>
                    </pic:cNvPicPr>
                  </pic:nvPicPr>
                  <pic:blipFill>
                    <a:blip r:embed="rId39" cstate="print"/>
                    <a:stretch>
                      <a:fillRect/>
                    </a:stretch>
                  </pic:blipFill>
                  <pic:spPr>
                    <a:xfrm>
                      <a:off x="0" y="0"/>
                      <a:ext cx="2736850" cy="641350"/>
                    </a:xfrm>
                    <a:prstGeom prst="rect">
                      <a:avLst/>
                    </a:prstGeom>
                    <a:noFill/>
                    <a:ln>
                      <a:noFill/>
                    </a:ln>
                  </pic:spPr>
                </pic:pic>
              </a:graphicData>
            </a:graphic>
          </wp:inline>
        </w:drawing>
      </w:r>
    </w:p>
    <w:p>
      <w:pPr>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式中：x、y—计算点处的位置坐标；</w:t>
      </w:r>
    </w:p>
    <w:p>
      <w:pPr>
        <w:adjustRightInd w:val="0"/>
        <w:snapToGrid w:val="0"/>
        <w:spacing w:line="360" w:lineRule="auto"/>
        <w:ind w:firstLine="1080" w:firstLineChars="45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t—时间（d）；</w:t>
      </w:r>
    </w:p>
    <w:p>
      <w:pPr>
        <w:adjustRightInd w:val="0"/>
        <w:snapToGrid w:val="0"/>
        <w:spacing w:line="360" w:lineRule="auto"/>
        <w:ind w:firstLine="1080" w:firstLineChars="450"/>
        <w:rPr>
          <w:rFonts w:hint="default" w:ascii="Times New Roman" w:hAnsi="Times New Roman" w:eastAsia="宋体" w:cs="Times New Roman"/>
          <w:color w:val="auto"/>
          <w:spacing w:val="-2"/>
          <w:kern w:val="0"/>
          <w:sz w:val="24"/>
        </w:rPr>
      </w:pPr>
      <w:r>
        <w:rPr>
          <w:rFonts w:hint="default" w:ascii="Times New Roman" w:hAnsi="Times New Roman" w:eastAsia="宋体" w:cs="Times New Roman"/>
          <w:color w:val="auto"/>
          <w:sz w:val="24"/>
        </w:rPr>
        <w:t>C(x,y,t)—t</w:t>
      </w:r>
      <w:r>
        <w:rPr>
          <w:rFonts w:hint="default" w:ascii="Times New Roman" w:hAnsi="Times New Roman" w:eastAsia="宋体" w:cs="Times New Roman"/>
          <w:color w:val="auto"/>
          <w:spacing w:val="-2"/>
          <w:sz w:val="24"/>
        </w:rPr>
        <w:t>时刻点</w:t>
      </w:r>
      <w:r>
        <w:rPr>
          <w:rFonts w:hint="default" w:ascii="Times New Roman" w:hAnsi="Times New Roman" w:eastAsia="宋体" w:cs="Times New Roman"/>
          <w:color w:val="auto"/>
          <w:sz w:val="24"/>
        </w:rPr>
        <w:t>x,y</w:t>
      </w:r>
      <w:r>
        <w:rPr>
          <w:rFonts w:hint="default" w:ascii="Times New Roman" w:hAnsi="Times New Roman" w:eastAsia="宋体" w:cs="Times New Roman"/>
          <w:color w:val="auto"/>
          <w:spacing w:val="-2"/>
          <w:sz w:val="24"/>
        </w:rPr>
        <w:t>处的示踪剂浓度（g/L）；</w:t>
      </w:r>
    </w:p>
    <w:p>
      <w:pPr>
        <w:adjustRightInd w:val="0"/>
        <w:snapToGrid w:val="0"/>
        <w:spacing w:line="360" w:lineRule="auto"/>
        <w:ind w:firstLine="1080" w:firstLineChars="4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M—含水层厚度（m）；</w:t>
      </w:r>
    </w:p>
    <w:p>
      <w:pPr>
        <w:adjustRightInd w:val="0"/>
        <w:snapToGrid w:val="0"/>
        <w:spacing w:line="360" w:lineRule="auto"/>
        <w:ind w:firstLine="1080" w:firstLineChars="45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position w:val="2"/>
          <w:sz w:val="24"/>
        </w:rPr>
        <w:t>m</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position w:val="2"/>
          <w:sz w:val="24"/>
        </w:rPr>
        <w:t>—瞬时注入的质量（kg）；</w:t>
      </w:r>
    </w:p>
    <w:p>
      <w:pPr>
        <w:adjustRightInd w:val="0"/>
        <w:snapToGrid w:val="0"/>
        <w:spacing w:line="360" w:lineRule="auto"/>
        <w:ind w:firstLine="1080" w:firstLineChars="4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U—水流速度（m/d）；</w:t>
      </w:r>
    </w:p>
    <w:p>
      <w:pPr>
        <w:adjustRightInd w:val="0"/>
        <w:snapToGrid w:val="0"/>
        <w:spacing w:line="360" w:lineRule="auto"/>
        <w:ind w:firstLine="1080" w:firstLineChars="45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position w:val="2"/>
          <w:sz w:val="24"/>
        </w:rPr>
        <w:t>n</w:t>
      </w:r>
      <w:r>
        <w:rPr>
          <w:rFonts w:hint="default" w:ascii="Times New Roman" w:hAnsi="Times New Roman" w:eastAsia="宋体" w:cs="Times New Roman"/>
          <w:color w:val="auto"/>
          <w:sz w:val="24"/>
          <w:vertAlign w:val="subscript"/>
        </w:rPr>
        <w:t>e</w:t>
      </w:r>
      <w:r>
        <w:rPr>
          <w:rFonts w:hint="default" w:ascii="Times New Roman" w:hAnsi="Times New Roman" w:eastAsia="宋体" w:cs="Times New Roman"/>
          <w:color w:val="auto"/>
          <w:position w:val="2"/>
          <w:sz w:val="24"/>
        </w:rPr>
        <w:t>—孔隙度，无量纲；</w:t>
      </w:r>
    </w:p>
    <w:p>
      <w:pPr>
        <w:adjustRightInd w:val="0"/>
        <w:snapToGrid w:val="0"/>
        <w:spacing w:line="360" w:lineRule="auto"/>
        <w:ind w:firstLine="1080" w:firstLineChars="450"/>
        <w:rPr>
          <w:rFonts w:hint="default" w:ascii="Times New Roman" w:hAnsi="Times New Roman" w:eastAsia="宋体" w:cs="Times New Roman"/>
          <w:color w:val="auto"/>
          <w:spacing w:val="-1"/>
          <w:sz w:val="24"/>
        </w:rPr>
      </w:pP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vertAlign w:val="subscript"/>
        </w:rPr>
        <w:t>L</w:t>
      </w:r>
      <w:r>
        <w:rPr>
          <w:rFonts w:hint="default" w:ascii="Times New Roman" w:hAnsi="Times New Roman" w:eastAsia="宋体" w:cs="Times New Roman"/>
          <w:color w:val="auto"/>
          <w:spacing w:val="-1"/>
          <w:sz w:val="24"/>
        </w:rPr>
        <w:t>—纵向弥散系数（m</w:t>
      </w:r>
      <w:r>
        <w:rPr>
          <w:rFonts w:hint="default" w:ascii="Times New Roman" w:hAnsi="Times New Roman" w:eastAsia="宋体" w:cs="Times New Roman"/>
          <w:color w:val="auto"/>
          <w:spacing w:val="-1"/>
          <w:sz w:val="24"/>
          <w:vertAlign w:val="superscript"/>
        </w:rPr>
        <w:t>2</w:t>
      </w:r>
      <w:r>
        <w:rPr>
          <w:rFonts w:hint="default" w:ascii="Times New Roman" w:hAnsi="Times New Roman" w:eastAsia="宋体" w:cs="Times New Roman"/>
          <w:color w:val="auto"/>
          <w:spacing w:val="-1"/>
          <w:sz w:val="24"/>
        </w:rPr>
        <w:t>/d）；</w:t>
      </w:r>
    </w:p>
    <w:p>
      <w:pPr>
        <w:adjustRightInd w:val="0"/>
        <w:snapToGrid w:val="0"/>
        <w:spacing w:line="360" w:lineRule="auto"/>
        <w:ind w:firstLine="1080" w:firstLineChars="450"/>
        <w:rPr>
          <w:rFonts w:hint="default" w:ascii="Times New Roman" w:hAnsi="Times New Roman" w:eastAsia="宋体" w:cs="Times New Roman"/>
          <w:color w:val="auto"/>
          <w:spacing w:val="-1"/>
          <w:sz w:val="24"/>
        </w:rPr>
      </w:pP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vertAlign w:val="subscript"/>
        </w:rPr>
        <w:t>t</w:t>
      </w:r>
      <w:r>
        <w:rPr>
          <w:rFonts w:hint="default" w:ascii="Times New Roman" w:hAnsi="Times New Roman" w:eastAsia="宋体" w:cs="Times New Roman"/>
          <w:color w:val="auto"/>
          <w:spacing w:val="-1"/>
          <w:sz w:val="24"/>
        </w:rPr>
        <w:t>—横向y方向的弥散系数（m</w:t>
      </w:r>
      <w:r>
        <w:rPr>
          <w:rFonts w:hint="default" w:ascii="Times New Roman" w:hAnsi="Times New Roman" w:eastAsia="宋体" w:cs="Times New Roman"/>
          <w:color w:val="auto"/>
          <w:spacing w:val="-1"/>
          <w:sz w:val="24"/>
          <w:vertAlign w:val="superscript"/>
        </w:rPr>
        <w:t>2</w:t>
      </w:r>
      <w:r>
        <w:rPr>
          <w:rFonts w:hint="default" w:ascii="Times New Roman" w:hAnsi="Times New Roman" w:eastAsia="宋体" w:cs="Times New Roman"/>
          <w:color w:val="auto"/>
          <w:spacing w:val="-1"/>
          <w:sz w:val="24"/>
        </w:rPr>
        <w:t>/d）；</w:t>
      </w:r>
    </w:p>
    <w:p>
      <w:pPr>
        <w:adjustRightInd w:val="0"/>
        <w:snapToGrid w:val="0"/>
        <w:spacing w:line="360" w:lineRule="auto"/>
        <w:ind w:firstLine="1071" w:firstLineChars="450"/>
        <w:rPr>
          <w:rFonts w:hint="default" w:ascii="Times New Roman" w:hAnsi="Times New Roman" w:eastAsia="宋体" w:cs="Times New Roman"/>
          <w:color w:val="auto"/>
          <w:spacing w:val="-1"/>
          <w:kern w:val="0"/>
          <w:sz w:val="24"/>
        </w:rPr>
      </w:pPr>
      <w:r>
        <w:rPr>
          <w:rFonts w:hint="default" w:ascii="Times New Roman" w:hAnsi="Times New Roman" w:eastAsia="宋体" w:cs="Times New Roman"/>
          <w:color w:val="auto"/>
          <w:spacing w:val="-1"/>
          <w:sz w:val="24"/>
        </w:rPr>
        <w:t>π—圆周率。</w:t>
      </w:r>
    </w:p>
    <w:p>
      <w:pPr>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④参数选取</w:t>
      </w:r>
    </w:p>
    <w:p>
      <w:pPr>
        <w:adjustRightInd w:val="0"/>
        <w:snapToGrid w:val="0"/>
        <w:spacing w:line="360" w:lineRule="auto"/>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根据水文地质资料，</w:t>
      </w:r>
      <w:r>
        <w:rPr>
          <w:rFonts w:hint="default" w:ascii="Times New Roman" w:hAnsi="Times New Roman" w:eastAsia="宋体" w:cs="Times New Roman"/>
          <w:color w:val="auto"/>
          <w:kern w:val="0"/>
          <w:sz w:val="24"/>
        </w:rPr>
        <w:t>模型中所需参数选取见表</w:t>
      </w:r>
      <w:r>
        <w:rPr>
          <w:rFonts w:hint="default" w:ascii="Times New Roman" w:hAnsi="Times New Roman" w:eastAsia="宋体" w:cs="Times New Roman"/>
          <w:color w:val="auto"/>
          <w:sz w:val="24"/>
        </w:rPr>
        <w:t>5.3-1</w:t>
      </w:r>
      <w:r>
        <w:rPr>
          <w:rFonts w:hint="default" w:ascii="Times New Roman" w:hAnsi="Times New Roman" w:eastAsia="宋体" w:cs="Times New Roman"/>
          <w:color w:val="auto"/>
          <w:kern w:val="0"/>
          <w:sz w:val="24"/>
        </w:rPr>
        <w:t>。</w:t>
      </w:r>
    </w:p>
    <w:p>
      <w:pPr>
        <w:spacing w:line="360" w:lineRule="auto"/>
        <w:ind w:firstLine="422"/>
        <w:jc w:val="center"/>
        <w:rPr>
          <w:rFonts w:hint="default" w:ascii="Times New Roman" w:hAnsi="Times New Roman" w:eastAsia="宋体" w:cs="Times New Roman"/>
          <w:b/>
          <w:bCs/>
          <w:snapToGrid w:val="0"/>
          <w:color w:val="auto"/>
          <w:szCs w:val="21"/>
        </w:rPr>
      </w:pPr>
      <w:r>
        <w:rPr>
          <w:rFonts w:hint="default" w:ascii="Times New Roman" w:hAnsi="Times New Roman" w:eastAsia="宋体" w:cs="Times New Roman"/>
          <w:b/>
          <w:bCs/>
          <w:color w:val="auto"/>
          <w:szCs w:val="21"/>
        </w:rPr>
        <w:t>表5.3-1</w:t>
      </w:r>
      <w:r>
        <w:rPr>
          <w:rFonts w:hint="default" w:ascii="Times New Roman" w:hAnsi="Times New Roman" w:eastAsia="宋体" w:cs="Times New Roman"/>
          <w:b/>
          <w:bCs/>
          <w:snapToGrid w:val="0"/>
          <w:color w:val="auto"/>
          <w:szCs w:val="21"/>
        </w:rPr>
        <w:t xml:space="preserve">  模型所需参数一览表</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060"/>
        <w:gridCol w:w="2175"/>
        <w:gridCol w:w="217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32" w:type="dxa"/>
          </w:tcPr>
          <w:p>
            <w:pPr>
              <w:pStyle w:val="43"/>
              <w:ind w:left="302" w:right="-120" w:hanging="422"/>
              <w:rPr>
                <w:rFonts w:hint="default" w:ascii="Times New Roman" w:hAnsi="Times New Roman" w:cs="Times New Roman"/>
                <w:b/>
                <w:color w:val="auto"/>
              </w:rPr>
            </w:pPr>
            <w:r>
              <w:rPr>
                <w:rFonts w:hint="default" w:ascii="Times New Roman" w:hAnsi="Times New Roman" w:cs="Times New Roman"/>
                <w:b/>
                <w:color w:val="auto"/>
              </w:rPr>
              <w:t>序号</w:t>
            </w:r>
          </w:p>
        </w:tc>
        <w:tc>
          <w:tcPr>
            <w:tcW w:w="1060" w:type="dxa"/>
          </w:tcPr>
          <w:p>
            <w:pPr>
              <w:pStyle w:val="43"/>
              <w:ind w:left="302" w:right="-120" w:hanging="422"/>
              <w:rPr>
                <w:rFonts w:hint="default" w:ascii="Times New Roman" w:hAnsi="Times New Roman" w:cs="Times New Roman"/>
                <w:b/>
                <w:color w:val="auto"/>
              </w:rPr>
            </w:pPr>
            <w:r>
              <w:rPr>
                <w:rFonts w:hint="default" w:ascii="Times New Roman" w:hAnsi="Times New Roman" w:cs="Times New Roman"/>
                <w:b/>
                <w:color w:val="auto"/>
              </w:rPr>
              <w:t>参数符号</w:t>
            </w:r>
          </w:p>
        </w:tc>
        <w:tc>
          <w:tcPr>
            <w:tcW w:w="2175" w:type="dxa"/>
          </w:tcPr>
          <w:p>
            <w:pPr>
              <w:pStyle w:val="43"/>
              <w:ind w:left="302" w:right="-120" w:hanging="422"/>
              <w:rPr>
                <w:rFonts w:hint="default" w:ascii="Times New Roman" w:hAnsi="Times New Roman" w:cs="Times New Roman"/>
                <w:b/>
                <w:color w:val="auto"/>
              </w:rPr>
            </w:pPr>
            <w:r>
              <w:rPr>
                <w:rFonts w:hint="default" w:ascii="Times New Roman" w:hAnsi="Times New Roman" w:cs="Times New Roman"/>
                <w:b/>
                <w:color w:val="auto"/>
              </w:rPr>
              <w:t>参数名称</w:t>
            </w:r>
          </w:p>
        </w:tc>
        <w:tc>
          <w:tcPr>
            <w:tcW w:w="2175" w:type="dxa"/>
          </w:tcPr>
          <w:p>
            <w:pPr>
              <w:pStyle w:val="43"/>
              <w:ind w:left="317" w:leftChars="-50" w:right="-105" w:rightChars="-50" w:hanging="422" w:hangingChars="200"/>
              <w:rPr>
                <w:rFonts w:hint="default" w:ascii="Times New Roman" w:hAnsi="Times New Roman" w:cs="Times New Roman"/>
                <w:b/>
                <w:color w:val="auto"/>
              </w:rPr>
            </w:pPr>
            <w:r>
              <w:rPr>
                <w:rFonts w:hint="default" w:ascii="Times New Roman" w:hAnsi="Times New Roman" w:cs="Times New Roman"/>
                <w:b/>
                <w:color w:val="auto"/>
              </w:rPr>
              <w:t>集输管线参考数值</w:t>
            </w:r>
          </w:p>
        </w:tc>
        <w:tc>
          <w:tcPr>
            <w:tcW w:w="2177" w:type="dxa"/>
          </w:tcPr>
          <w:p>
            <w:pPr>
              <w:pStyle w:val="43"/>
              <w:ind w:left="317" w:leftChars="-50" w:right="-105" w:rightChars="-50" w:hanging="422" w:hangingChars="200"/>
              <w:rPr>
                <w:rFonts w:hint="default" w:ascii="Times New Roman" w:hAnsi="Times New Roman" w:cs="Times New Roman"/>
                <w:b/>
                <w:color w:val="auto"/>
              </w:rPr>
            </w:pPr>
            <w:r>
              <w:rPr>
                <w:rFonts w:hint="default" w:ascii="Times New Roman" w:hAnsi="Times New Roman" w:cs="Times New Roman"/>
                <w:b/>
                <w:color w:val="auto"/>
              </w:rPr>
              <w:t>油井套管破损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32"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1</w:t>
            </w:r>
          </w:p>
        </w:tc>
        <w:tc>
          <w:tcPr>
            <w:tcW w:w="1060"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position w:val="2"/>
              </w:rPr>
              <w:t>m</w:t>
            </w:r>
            <w:r>
              <w:rPr>
                <w:rFonts w:hint="default" w:ascii="Times New Roman" w:hAnsi="Times New Roman" w:cs="Times New Roman"/>
                <w:color w:val="auto"/>
                <w:vertAlign w:val="subscript"/>
              </w:rPr>
              <w:t>M</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position w:val="2"/>
              </w:rPr>
              <w:t>瞬时注入的质量</w:t>
            </w:r>
          </w:p>
        </w:tc>
        <w:tc>
          <w:tcPr>
            <w:tcW w:w="2175" w:type="dxa"/>
          </w:tcPr>
          <w:p>
            <w:pPr>
              <w:pStyle w:val="43"/>
              <w:ind w:left="300" w:right="-120" w:hanging="420"/>
              <w:rPr>
                <w:rFonts w:hint="default" w:ascii="Times New Roman" w:hAnsi="Times New Roman" w:cs="Times New Roman"/>
                <w:color w:val="auto"/>
              </w:rPr>
            </w:pPr>
            <w:r>
              <w:rPr>
                <w:rFonts w:hint="eastAsia" w:ascii="Times New Roman" w:hAnsi="Times New Roman" w:cs="Times New Roman"/>
                <w:color w:val="auto"/>
                <w:lang w:val="en-US" w:eastAsia="zh-CN"/>
              </w:rPr>
              <w:t>24</w:t>
            </w:r>
            <w:r>
              <w:rPr>
                <w:rFonts w:hint="default" w:ascii="Times New Roman" w:hAnsi="Times New Roman" w:cs="Times New Roman"/>
                <w:color w:val="auto"/>
              </w:rPr>
              <w:t>kg</w:t>
            </w:r>
          </w:p>
        </w:tc>
        <w:tc>
          <w:tcPr>
            <w:tcW w:w="2177" w:type="dxa"/>
          </w:tcPr>
          <w:p>
            <w:pPr>
              <w:pStyle w:val="43"/>
              <w:ind w:left="300" w:right="-120" w:hanging="420"/>
              <w:rPr>
                <w:rFonts w:hint="default" w:ascii="Times New Roman" w:hAnsi="Times New Roman" w:cs="Times New Roman"/>
                <w:color w:val="auto"/>
              </w:rPr>
            </w:pPr>
            <w:r>
              <w:rPr>
                <w:rFonts w:hint="eastAsia" w:ascii="Times New Roman" w:hAnsi="Times New Roman" w:cs="Times New Roman"/>
                <w:color w:val="auto"/>
                <w:lang w:val="en-US" w:eastAsia="zh-CN"/>
              </w:rPr>
              <w:t>800</w:t>
            </w:r>
            <w:r>
              <w:rPr>
                <w:rFonts w:hint="default" w:ascii="Times New Roman" w:hAnsi="Times New Roman" w:cs="Times New Roman"/>
                <w:color w:val="auto"/>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32"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2</w:t>
            </w:r>
          </w:p>
        </w:tc>
        <w:tc>
          <w:tcPr>
            <w:tcW w:w="1060"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t</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时间</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100d、500d、1000d</w:t>
            </w:r>
          </w:p>
        </w:tc>
        <w:tc>
          <w:tcPr>
            <w:tcW w:w="2177"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100d、500d、1000d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32"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3</w:t>
            </w:r>
          </w:p>
        </w:tc>
        <w:tc>
          <w:tcPr>
            <w:tcW w:w="1060"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M</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含水层厚度</w:t>
            </w:r>
          </w:p>
        </w:tc>
        <w:tc>
          <w:tcPr>
            <w:tcW w:w="2175" w:type="dxa"/>
          </w:tcPr>
          <w:p>
            <w:pPr>
              <w:pStyle w:val="43"/>
              <w:ind w:left="300" w:right="-120" w:hanging="420"/>
              <w:rPr>
                <w:rFonts w:hint="default" w:ascii="Times New Roman" w:hAnsi="Times New Roman" w:cs="Times New Roman"/>
                <w:color w:val="auto"/>
              </w:rPr>
            </w:pPr>
            <w:r>
              <w:rPr>
                <w:rFonts w:hint="eastAsia" w:ascii="Times New Roman" w:hAnsi="Times New Roman" w:cs="Times New Roman"/>
                <w:color w:val="auto"/>
                <w:lang w:val="en-US" w:eastAsia="zh-CN"/>
              </w:rPr>
              <w:t>8</w:t>
            </w:r>
            <w:r>
              <w:rPr>
                <w:rFonts w:hint="default" w:ascii="Times New Roman" w:hAnsi="Times New Roman" w:cs="Times New Roman"/>
                <w:color w:val="auto"/>
              </w:rPr>
              <w:t>0m</w:t>
            </w:r>
          </w:p>
        </w:tc>
        <w:tc>
          <w:tcPr>
            <w:tcW w:w="2177" w:type="dxa"/>
          </w:tcPr>
          <w:p>
            <w:pPr>
              <w:pStyle w:val="43"/>
              <w:ind w:left="300" w:right="-120" w:hanging="420"/>
              <w:rPr>
                <w:rFonts w:hint="default" w:ascii="Times New Roman" w:hAnsi="Times New Roman" w:cs="Times New Roman"/>
                <w:color w:val="auto"/>
              </w:rPr>
            </w:pPr>
            <w:r>
              <w:rPr>
                <w:rFonts w:hint="eastAsia" w:ascii="Times New Roman" w:hAnsi="Times New Roman" w:cs="Times New Roman"/>
                <w:color w:val="auto"/>
                <w:lang w:val="en-US" w:eastAsia="zh-CN"/>
              </w:rPr>
              <w:t>8</w:t>
            </w:r>
            <w:r>
              <w:rPr>
                <w:rFonts w:hint="default" w:ascii="Times New Roman" w:hAnsi="Times New Roman" w:cs="Times New Roman"/>
                <w:color w:val="auto"/>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32"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4</w:t>
            </w:r>
          </w:p>
        </w:tc>
        <w:tc>
          <w:tcPr>
            <w:tcW w:w="1060"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u</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水流速度</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0.33m/d</w:t>
            </w:r>
          </w:p>
        </w:tc>
        <w:tc>
          <w:tcPr>
            <w:tcW w:w="2177"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0.33m/d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32"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5</w:t>
            </w:r>
          </w:p>
        </w:tc>
        <w:tc>
          <w:tcPr>
            <w:tcW w:w="1060"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vertAlign w:val="subscript"/>
              </w:rPr>
              <w:t>L</w:t>
            </w:r>
          </w:p>
        </w:tc>
        <w:tc>
          <w:tcPr>
            <w:tcW w:w="2175" w:type="dxa"/>
          </w:tcPr>
          <w:p>
            <w:pPr>
              <w:pStyle w:val="43"/>
              <w:ind w:left="296" w:right="-120" w:hanging="416"/>
              <w:rPr>
                <w:rFonts w:hint="default" w:ascii="Times New Roman" w:hAnsi="Times New Roman" w:cs="Times New Roman"/>
                <w:color w:val="auto"/>
              </w:rPr>
            </w:pPr>
            <w:r>
              <w:rPr>
                <w:rFonts w:hint="default" w:ascii="Times New Roman" w:hAnsi="Times New Roman" w:cs="Times New Roman"/>
                <w:color w:val="auto"/>
                <w:spacing w:val="-1"/>
              </w:rPr>
              <w:t>纵向弥散系数</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0.12m</w:t>
            </w:r>
            <w:r>
              <w:rPr>
                <w:rFonts w:hint="default" w:ascii="Times New Roman" w:hAnsi="Times New Roman" w:cs="Times New Roman"/>
                <w:color w:val="auto"/>
                <w:vertAlign w:val="superscript"/>
              </w:rPr>
              <w:t>2</w:t>
            </w:r>
            <w:r>
              <w:rPr>
                <w:rFonts w:hint="default" w:ascii="Times New Roman" w:hAnsi="Times New Roman" w:cs="Times New Roman"/>
                <w:color w:val="auto"/>
              </w:rPr>
              <w:t>/d</w:t>
            </w:r>
          </w:p>
        </w:tc>
        <w:tc>
          <w:tcPr>
            <w:tcW w:w="2177"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0.12m</w:t>
            </w:r>
            <w:r>
              <w:rPr>
                <w:rFonts w:hint="default" w:ascii="Times New Roman" w:hAnsi="Times New Roman" w:cs="Times New Roman"/>
                <w:color w:val="auto"/>
                <w:vertAlign w:val="superscript"/>
              </w:rPr>
              <w:t>2</w:t>
            </w:r>
            <w:r>
              <w:rPr>
                <w:rFonts w:hint="default" w:ascii="Times New Roman" w:hAnsi="Times New Roman" w:cs="Times New Roman"/>
                <w:color w:val="auto"/>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32"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6</w:t>
            </w:r>
          </w:p>
        </w:tc>
        <w:tc>
          <w:tcPr>
            <w:tcW w:w="1060"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vertAlign w:val="subscript"/>
              </w:rPr>
              <w:t>T</w:t>
            </w:r>
          </w:p>
        </w:tc>
        <w:tc>
          <w:tcPr>
            <w:tcW w:w="2175" w:type="dxa"/>
          </w:tcPr>
          <w:p>
            <w:pPr>
              <w:pStyle w:val="43"/>
              <w:ind w:left="296" w:right="-120" w:hanging="416"/>
              <w:rPr>
                <w:rFonts w:hint="default" w:ascii="Times New Roman" w:hAnsi="Times New Roman" w:cs="Times New Roman"/>
                <w:color w:val="auto"/>
              </w:rPr>
            </w:pPr>
            <w:r>
              <w:rPr>
                <w:rFonts w:hint="default" w:ascii="Times New Roman" w:hAnsi="Times New Roman" w:cs="Times New Roman"/>
                <w:color w:val="auto"/>
                <w:spacing w:val="-1"/>
              </w:rPr>
              <w:t>横向y方向的弥散系数</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0.012m</w:t>
            </w:r>
            <w:r>
              <w:rPr>
                <w:rFonts w:hint="default" w:ascii="Times New Roman" w:hAnsi="Times New Roman" w:cs="Times New Roman"/>
                <w:color w:val="auto"/>
                <w:vertAlign w:val="superscript"/>
              </w:rPr>
              <w:t>2</w:t>
            </w:r>
            <w:r>
              <w:rPr>
                <w:rFonts w:hint="default" w:ascii="Times New Roman" w:hAnsi="Times New Roman" w:cs="Times New Roman"/>
                <w:color w:val="auto"/>
              </w:rPr>
              <w:t>/d</w:t>
            </w:r>
          </w:p>
        </w:tc>
        <w:tc>
          <w:tcPr>
            <w:tcW w:w="2177"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0.012m</w:t>
            </w:r>
            <w:r>
              <w:rPr>
                <w:rFonts w:hint="default" w:ascii="Times New Roman" w:hAnsi="Times New Roman" w:cs="Times New Roman"/>
                <w:color w:val="auto"/>
                <w:vertAlign w:val="superscript"/>
              </w:rPr>
              <w:t>2</w:t>
            </w:r>
            <w:r>
              <w:rPr>
                <w:rFonts w:hint="default" w:ascii="Times New Roman" w:hAnsi="Times New Roman" w:cs="Times New Roman"/>
                <w:color w:val="auto"/>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32"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7</w:t>
            </w:r>
          </w:p>
        </w:tc>
        <w:tc>
          <w:tcPr>
            <w:tcW w:w="1060"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position w:val="2"/>
              </w:rPr>
              <w:t>n</w:t>
            </w:r>
            <w:r>
              <w:rPr>
                <w:rFonts w:hint="default" w:ascii="Times New Roman" w:hAnsi="Times New Roman" w:cs="Times New Roman"/>
                <w:color w:val="auto"/>
                <w:vertAlign w:val="subscript"/>
              </w:rPr>
              <w:t>e</w:t>
            </w:r>
          </w:p>
        </w:tc>
        <w:tc>
          <w:tcPr>
            <w:tcW w:w="2175" w:type="dxa"/>
          </w:tcPr>
          <w:p>
            <w:pPr>
              <w:pStyle w:val="43"/>
              <w:ind w:left="296" w:right="-120" w:hanging="416"/>
              <w:rPr>
                <w:rFonts w:hint="default" w:ascii="Times New Roman" w:hAnsi="Times New Roman" w:cs="Times New Roman"/>
                <w:color w:val="auto"/>
                <w:spacing w:val="-1"/>
              </w:rPr>
            </w:pPr>
            <w:r>
              <w:rPr>
                <w:rFonts w:hint="default" w:ascii="Times New Roman" w:hAnsi="Times New Roman" w:cs="Times New Roman"/>
                <w:color w:val="auto"/>
                <w:spacing w:val="-1"/>
              </w:rPr>
              <w:t>有效孔隙度</w:t>
            </w:r>
          </w:p>
        </w:tc>
        <w:tc>
          <w:tcPr>
            <w:tcW w:w="2175"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0.3</w:t>
            </w:r>
          </w:p>
        </w:tc>
        <w:tc>
          <w:tcPr>
            <w:tcW w:w="2177" w:type="dxa"/>
          </w:tcPr>
          <w:p>
            <w:pPr>
              <w:pStyle w:val="43"/>
              <w:ind w:left="300" w:right="-120" w:hanging="420"/>
              <w:rPr>
                <w:rFonts w:hint="default" w:ascii="Times New Roman" w:hAnsi="Times New Roman" w:cs="Times New Roman"/>
                <w:color w:val="auto"/>
              </w:rPr>
            </w:pPr>
            <w:r>
              <w:rPr>
                <w:rFonts w:hint="default" w:ascii="Times New Roman" w:hAnsi="Times New Roman" w:cs="Times New Roman"/>
                <w:color w:val="auto"/>
              </w:rPr>
              <w:t>0.3</w:t>
            </w:r>
          </w:p>
        </w:tc>
      </w:tr>
    </w:tbl>
    <w:p>
      <w:pPr>
        <w:pStyle w:val="56"/>
        <w:spacing w:line="360" w:lineRule="auto"/>
        <w:rPr>
          <w:rFonts w:hint="default" w:ascii="Times New Roman" w:hAnsi="Times New Roman" w:cs="Times New Roman"/>
          <w:color w:val="auto"/>
          <w:sz w:val="24"/>
          <w:szCs w:val="24"/>
        </w:rPr>
      </w:pPr>
      <w:bookmarkStart w:id="265" w:name="_Hlk102743859"/>
      <w:r>
        <w:rPr>
          <w:rFonts w:hint="default" w:ascii="Times New Roman" w:hAnsi="Times New Roman" w:cs="Times New Roman"/>
          <w:color w:val="auto"/>
          <w:sz w:val="24"/>
          <w:szCs w:val="24"/>
        </w:rPr>
        <w:t>（4）预测结果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w:t>
      </w:r>
      <w:r>
        <w:rPr>
          <w:rFonts w:hint="eastAsia" w:cs="Times New Roman"/>
          <w:color w:val="auto"/>
          <w:sz w:val="24"/>
          <w:szCs w:val="24"/>
          <w:lang w:val="en-US" w:eastAsia="zh-CN"/>
        </w:rPr>
        <w:t>单井</w:t>
      </w:r>
      <w:r>
        <w:rPr>
          <w:rFonts w:hint="default" w:ascii="Times New Roman" w:hAnsi="Times New Roman" w:cs="Times New Roman"/>
          <w:color w:val="auto"/>
          <w:sz w:val="24"/>
          <w:szCs w:val="24"/>
        </w:rPr>
        <w:t>管线发生全管径泄漏及油井井壁破裂发生泄漏时，石油类物质经过100d、500d和1000d后在地下水中的扩散结果分别见图5.3-</w:t>
      </w:r>
      <w:r>
        <w:rPr>
          <w:rFonts w:hint="eastAsia" w:cs="Times New Roman"/>
          <w:color w:val="auto"/>
          <w:sz w:val="24"/>
          <w:szCs w:val="24"/>
          <w:lang w:val="en-US" w:eastAsia="zh-CN"/>
        </w:rPr>
        <w:t>3</w:t>
      </w:r>
      <w:r>
        <w:rPr>
          <w:rFonts w:hint="default" w:ascii="Times New Roman" w:hAnsi="Times New Roman" w:cs="Times New Roman"/>
          <w:color w:val="auto"/>
          <w:sz w:val="24"/>
          <w:szCs w:val="24"/>
        </w:rPr>
        <w:t>～图5.3-</w:t>
      </w:r>
      <w:r>
        <w:rPr>
          <w:rFonts w:hint="eastAsia" w:cs="Times New Roman"/>
          <w:color w:val="auto"/>
          <w:sz w:val="24"/>
          <w:szCs w:val="24"/>
          <w:lang w:val="en-US" w:eastAsia="zh-CN"/>
        </w:rPr>
        <w:t>4</w:t>
      </w:r>
      <w:r>
        <w:rPr>
          <w:rFonts w:hint="default" w:ascii="Times New Roman" w:hAnsi="Times New Roman" w:cs="Times New Roman"/>
          <w:color w:val="auto"/>
          <w:sz w:val="24"/>
          <w:szCs w:val="24"/>
        </w:rPr>
        <w:t>。</w:t>
      </w:r>
    </w:p>
    <w:tbl>
      <w:tblPr>
        <w:tblStyle w:val="32"/>
        <w:tblW w:w="825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86" w:hRule="atLeast"/>
          <w:jc w:val="center"/>
        </w:trPr>
        <w:tc>
          <w:tcPr>
            <w:tcW w:w="8255" w:type="dxa"/>
          </w:tcPr>
          <w:p>
            <w:pPr>
              <w:pStyle w:val="86"/>
              <w:ind w:firstLine="0" w:firstLineChars="0"/>
              <w:jc w:val="center"/>
              <w:rPr>
                <w:rFonts w:hint="default" w:ascii="Times New Roman" w:hAnsi="Times New Roman" w:eastAsia="宋体" w:cs="Times New Roman"/>
                <w:color w:val="auto"/>
              </w:rPr>
            </w:pPr>
            <w:r>
              <w:rPr>
                <w:color w:val="auto"/>
              </w:rPr>
              <w:drawing>
                <wp:inline distT="0" distB="0" distL="114300" distR="114300">
                  <wp:extent cx="4691380" cy="2505075"/>
                  <wp:effectExtent l="4445" t="5080" r="9525" b="4445"/>
                  <wp:docPr id="16284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ind w:firstLine="422"/>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kern w:val="0"/>
                <w:szCs w:val="21"/>
              </w:rPr>
              <w:t>泄漏100d石油类浓度随距离的变化关系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pStyle w:val="86"/>
              <w:ind w:firstLine="0" w:firstLineChars="0"/>
              <w:jc w:val="center"/>
              <w:rPr>
                <w:rFonts w:hint="default" w:ascii="Times New Roman" w:hAnsi="Times New Roman" w:eastAsia="宋体" w:cs="Times New Roman"/>
                <w:b/>
                <w:bCs/>
                <w:color w:val="auto"/>
              </w:rPr>
            </w:pPr>
            <w:r>
              <w:rPr>
                <w:color w:val="auto"/>
              </w:rPr>
              <w:drawing>
                <wp:inline distT="0" distB="0" distL="114300" distR="114300">
                  <wp:extent cx="4692650" cy="2238375"/>
                  <wp:effectExtent l="4445" t="4445" r="8255" b="5080"/>
                  <wp:docPr id="1638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ind w:firstLine="422"/>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泄漏500d石油类浓度随距离的变化关系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pStyle w:val="86"/>
              <w:ind w:firstLine="0" w:firstLineChars="0"/>
              <w:jc w:val="center"/>
              <w:rPr>
                <w:rFonts w:hint="default" w:ascii="Times New Roman" w:hAnsi="Times New Roman" w:eastAsia="宋体" w:cs="Times New Roman"/>
                <w:color w:val="auto"/>
              </w:rPr>
            </w:pPr>
            <w:r>
              <w:rPr>
                <w:color w:val="auto"/>
              </w:rPr>
              <w:drawing>
                <wp:inline distT="0" distB="0" distL="114300" distR="114300">
                  <wp:extent cx="5101590" cy="2306955"/>
                  <wp:effectExtent l="4445" t="4445" r="18415" b="12700"/>
                  <wp:docPr id="1935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ind w:firstLine="422"/>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color w:val="auto"/>
                <w:kern w:val="0"/>
                <w:szCs w:val="21"/>
              </w:rPr>
              <w:t>泄漏1000d石油类浓度随距离的变化关系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spacing w:line="360" w:lineRule="auto"/>
              <w:ind w:firstLine="422"/>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图5.3-</w:t>
            </w:r>
            <w:r>
              <w:rPr>
                <w:rFonts w:hint="eastAsia" w:ascii="Times New Roman" w:hAnsi="Times New Roman" w:eastAsia="宋体" w:cs="Times New Roman"/>
                <w:b/>
                <w:bCs/>
                <w:color w:val="auto"/>
                <w:kern w:val="0"/>
                <w:szCs w:val="21"/>
                <w:lang w:val="en-US" w:eastAsia="zh-CN"/>
              </w:rPr>
              <w:t>3</w:t>
            </w:r>
            <w:r>
              <w:rPr>
                <w:rFonts w:hint="default" w:ascii="Times New Roman" w:hAnsi="Times New Roman" w:eastAsia="宋体" w:cs="Times New Roman"/>
                <w:b/>
                <w:bCs/>
                <w:color w:val="auto"/>
                <w:kern w:val="0"/>
                <w:szCs w:val="21"/>
              </w:rPr>
              <w:t xml:space="preserve">  输送管线发生泄漏时石油类浓度随距离的变化关系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86" w:hRule="atLeast"/>
          <w:jc w:val="center"/>
        </w:trPr>
        <w:tc>
          <w:tcPr>
            <w:tcW w:w="8255" w:type="dxa"/>
          </w:tcPr>
          <w:p>
            <w:pPr>
              <w:pStyle w:val="86"/>
              <w:ind w:firstLine="0" w:firstLineChars="0"/>
              <w:jc w:val="center"/>
              <w:rPr>
                <w:rFonts w:hint="default" w:ascii="Times New Roman" w:hAnsi="Times New Roman" w:eastAsia="宋体" w:cs="Times New Roman"/>
                <w:color w:val="auto"/>
              </w:rPr>
            </w:pPr>
            <w:r>
              <w:rPr>
                <w:color w:val="auto"/>
              </w:rPr>
              <w:drawing>
                <wp:inline distT="0" distB="0" distL="114300" distR="114300">
                  <wp:extent cx="4691380" cy="2505075"/>
                  <wp:effectExtent l="4445" t="5080" r="9525" b="4445"/>
                  <wp:docPr id="33076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ind w:firstLine="422"/>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kern w:val="0"/>
                <w:szCs w:val="21"/>
              </w:rPr>
              <w:t>泄漏100d石油类浓度随距离的变化关系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pStyle w:val="86"/>
              <w:ind w:firstLine="0" w:firstLineChars="0"/>
              <w:jc w:val="center"/>
              <w:rPr>
                <w:rFonts w:hint="default" w:ascii="Times New Roman" w:hAnsi="Times New Roman" w:eastAsia="宋体" w:cs="Times New Roman"/>
                <w:b/>
                <w:bCs/>
                <w:color w:val="auto"/>
              </w:rPr>
            </w:pPr>
            <w:r>
              <w:rPr>
                <w:color w:val="auto"/>
              </w:rPr>
              <w:drawing>
                <wp:inline distT="0" distB="0" distL="114300" distR="114300">
                  <wp:extent cx="4692650" cy="2238375"/>
                  <wp:effectExtent l="4445" t="4445" r="8255" b="5080"/>
                  <wp:docPr id="33280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6" w:hRule="atLeast"/>
          <w:jc w:val="center"/>
        </w:trPr>
        <w:tc>
          <w:tcPr>
            <w:tcW w:w="8255" w:type="dxa"/>
          </w:tcPr>
          <w:p>
            <w:pPr>
              <w:ind w:firstLine="422"/>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泄漏500d石油类浓度随距离的变化关系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pStyle w:val="86"/>
              <w:ind w:firstLine="0" w:firstLineChars="0"/>
              <w:jc w:val="center"/>
              <w:rPr>
                <w:rFonts w:hint="default" w:ascii="Times New Roman" w:hAnsi="Times New Roman" w:eastAsia="宋体" w:cs="Times New Roman"/>
                <w:color w:val="auto"/>
              </w:rPr>
            </w:pPr>
            <w:r>
              <w:rPr>
                <w:color w:val="auto"/>
              </w:rPr>
              <w:drawing>
                <wp:inline distT="0" distB="0" distL="114300" distR="114300">
                  <wp:extent cx="5101590" cy="2306955"/>
                  <wp:effectExtent l="4445" t="4445" r="18415" b="12700"/>
                  <wp:docPr id="33485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ind w:firstLine="422"/>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color w:val="auto"/>
                <w:kern w:val="0"/>
                <w:szCs w:val="21"/>
              </w:rPr>
              <w:t>泄漏1000d石油类浓度随距离的变化关系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255" w:type="dxa"/>
          </w:tcPr>
          <w:p>
            <w:pPr>
              <w:spacing w:line="360" w:lineRule="auto"/>
              <w:ind w:firstLine="422"/>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图5.3-</w:t>
            </w:r>
            <w:r>
              <w:rPr>
                <w:rFonts w:hint="eastAsia" w:ascii="Times New Roman" w:hAnsi="Times New Roman" w:eastAsia="宋体" w:cs="Times New Roman"/>
                <w:b/>
                <w:bCs/>
                <w:color w:val="auto"/>
                <w:kern w:val="0"/>
                <w:szCs w:val="21"/>
                <w:lang w:val="en-US" w:eastAsia="zh-CN"/>
              </w:rPr>
              <w:t>4</w:t>
            </w:r>
            <w:r>
              <w:rPr>
                <w:rFonts w:hint="default" w:ascii="Times New Roman" w:hAnsi="Times New Roman" w:eastAsia="宋体" w:cs="Times New Roman"/>
                <w:b/>
                <w:bCs/>
                <w:color w:val="auto"/>
                <w:kern w:val="0"/>
                <w:szCs w:val="21"/>
              </w:rPr>
              <w:t xml:space="preserve">  油井套管破损发生原油泄漏时石油类浓度随距离的变化关系</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从预测结果可知：随着时间的增加，污染范围有所增加，输送管线发生全管径泄漏</w:t>
      </w:r>
      <w:r>
        <w:rPr>
          <w:rFonts w:hint="default" w:ascii="Times New Roman" w:hAnsi="Times New Roman" w:cs="Times New Roman"/>
          <w:bCs w:val="0"/>
          <w:color w:val="auto"/>
          <w:sz w:val="24"/>
          <w:szCs w:val="24"/>
        </w:rPr>
        <w:t>和油井套管发生破损</w:t>
      </w:r>
      <w:r>
        <w:rPr>
          <w:rFonts w:hint="default" w:ascii="Times New Roman" w:hAnsi="Times New Roman" w:cs="Times New Roman"/>
          <w:color w:val="auto"/>
          <w:sz w:val="24"/>
          <w:szCs w:val="24"/>
        </w:rPr>
        <w:t>后100d、500d和1000d的污染物最大浓度对应运移距离分别为3</w:t>
      </w:r>
      <w:r>
        <w:rPr>
          <w:rFonts w:hint="eastAsia" w:cs="Times New Roman"/>
          <w:color w:val="auto"/>
          <w:sz w:val="24"/>
          <w:szCs w:val="24"/>
          <w:lang w:val="en-US" w:eastAsia="zh-CN"/>
        </w:rPr>
        <w:t>3</w:t>
      </w:r>
      <w:r>
        <w:rPr>
          <w:rFonts w:hint="default" w:ascii="Times New Roman" w:hAnsi="Times New Roman" w:cs="Times New Roman"/>
          <w:color w:val="auto"/>
          <w:sz w:val="24"/>
          <w:szCs w:val="24"/>
        </w:rPr>
        <w:t>m、1</w:t>
      </w:r>
      <w:r>
        <w:rPr>
          <w:rFonts w:hint="eastAsia" w:cs="Times New Roman"/>
          <w:color w:val="auto"/>
          <w:sz w:val="24"/>
          <w:szCs w:val="24"/>
          <w:lang w:val="en-US" w:eastAsia="zh-CN"/>
        </w:rPr>
        <w:t>65</w:t>
      </w:r>
      <w:r>
        <w:rPr>
          <w:rFonts w:hint="default" w:ascii="Times New Roman" w:hAnsi="Times New Roman" w:cs="Times New Roman"/>
          <w:color w:val="auto"/>
          <w:sz w:val="24"/>
          <w:szCs w:val="24"/>
        </w:rPr>
        <w:t>m、3</w:t>
      </w:r>
      <w:r>
        <w:rPr>
          <w:rFonts w:hint="eastAsia" w:cs="Times New Roman"/>
          <w:color w:val="auto"/>
          <w:sz w:val="24"/>
          <w:szCs w:val="24"/>
          <w:lang w:val="en-US" w:eastAsia="zh-CN"/>
        </w:rPr>
        <w:t>30</w:t>
      </w:r>
      <w:r>
        <w:rPr>
          <w:rFonts w:hint="default" w:ascii="Times New Roman" w:hAnsi="Times New Roman" w:cs="Times New Roman"/>
          <w:color w:val="auto"/>
          <w:sz w:val="24"/>
          <w:szCs w:val="24"/>
        </w:rPr>
        <w:t>m。随着时间增加，污染范围有所增加。</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采油废水中石油类污染物在土壤中的迁移规律研究》（岳战林等，009），土壤中原油基本上不随土壤水上下移动，毛细管作用也不活跃。石油对土壤的污染仅限于20cm表层，只有极少量的落地油最多可下渗到20cm。本项目区域浅层地下水深度在10m以下，泄漏的原油进入地下水的可能性很小。当发生泄漏事故后，在采取及时堵漏等风险应急措施的情况下，泄漏的原油虽然可能会对潜水含水层产生一定的影响，但受承压水隔水顶板的保护作用，基本不会对承压水含水层产生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要求建设单位定期对设备进行检修，将事故发生的概率降至最低，发生泄漏后做到及时发现、及时处理，彻底清除泄漏油品及被污染的土壤。</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综上，在发生泄漏后采取相应的措施后不会对地下水环境产生大的影响。</w:t>
      </w:r>
    </w:p>
    <w:bookmarkEnd w:id="264"/>
    <w:bookmarkEnd w:id="265"/>
    <w:p>
      <w:pPr>
        <w:tabs>
          <w:tab w:val="left" w:pos="3465"/>
        </w:tabs>
        <w:spacing w:line="360" w:lineRule="auto"/>
        <w:outlineLvl w:val="2"/>
        <w:rPr>
          <w:rFonts w:hint="default" w:ascii="Times New Roman" w:hAnsi="Times New Roman" w:eastAsia="宋体" w:cs="Times New Roman"/>
          <w:b/>
          <w:color w:val="auto"/>
          <w:sz w:val="30"/>
          <w:szCs w:val="30"/>
        </w:rPr>
      </w:pPr>
      <w:bookmarkStart w:id="266" w:name="_Toc445996414"/>
      <w:bookmarkStart w:id="267" w:name="_Toc445842092"/>
      <w:bookmarkStart w:id="268" w:name="_Toc25766"/>
      <w:r>
        <w:rPr>
          <w:rFonts w:hint="default" w:ascii="Times New Roman" w:hAnsi="Times New Roman" w:eastAsia="宋体" w:cs="Times New Roman"/>
          <w:b/>
          <w:color w:val="auto"/>
          <w:sz w:val="30"/>
          <w:szCs w:val="30"/>
        </w:rPr>
        <w:t>5.3.5地下水环境影响评价结论</w:t>
      </w:r>
      <w:bookmarkEnd w:id="266"/>
      <w:bookmarkEnd w:id="267"/>
      <w:bookmarkEnd w:id="268"/>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运营期产生的井下作业废水拉运至陆梁集中处理站污水处理系统处理，采出水管输至陆梁集中处理站污水处理系统处理，处理达标后用于回注油藏，不外排；管道的选材有效防止管线腐蚀穿孔，</w:t>
      </w:r>
      <w:r>
        <w:rPr>
          <w:rFonts w:hint="eastAsia" w:cs="Times New Roman"/>
          <w:color w:val="auto"/>
          <w:sz w:val="24"/>
          <w:szCs w:val="24"/>
          <w:lang w:eastAsia="zh-CN"/>
        </w:rPr>
        <w:t>防止</w:t>
      </w:r>
      <w:r>
        <w:rPr>
          <w:rFonts w:hint="default" w:ascii="Times New Roman" w:hAnsi="Times New Roman" w:cs="Times New Roman"/>
          <w:color w:val="auto"/>
          <w:sz w:val="24"/>
          <w:szCs w:val="24"/>
        </w:rPr>
        <w:t>管道泄漏等事故的发生；正常情况下不会对地下水环境产生影响。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期间对地下水可能产生不利影响的主要是突发事件，包括集输管线、缓冲罐发生原油泄漏，若及时采取有效措施治理污染，避免对地下水污染。综上所述，本工程运营期只要建设方严格按照拟定的环保措施进行，对生产废水进行妥善处置，对地下水环境造成的影响很小。</w:t>
      </w:r>
    </w:p>
    <w:p>
      <w:pPr>
        <w:pStyle w:val="3"/>
        <w:spacing w:before="10" w:after="10"/>
        <w:rPr>
          <w:rFonts w:hint="default" w:ascii="Times New Roman" w:hAnsi="Times New Roman" w:eastAsia="宋体" w:cs="Times New Roman"/>
          <w:color w:val="auto"/>
        </w:rPr>
      </w:pPr>
      <w:bookmarkStart w:id="269" w:name="_Toc35366087"/>
      <w:bookmarkStart w:id="270" w:name="_Toc15397"/>
      <w:bookmarkStart w:id="271" w:name="_Toc35366478"/>
      <w:bookmarkStart w:id="272" w:name="_Toc29390925"/>
      <w:bookmarkStart w:id="273" w:name="_Toc44088081"/>
      <w:bookmarkStart w:id="274" w:name="_Toc20267"/>
      <w:r>
        <w:rPr>
          <w:rFonts w:hint="default" w:ascii="Times New Roman" w:hAnsi="Times New Roman" w:eastAsia="宋体" w:cs="Times New Roman"/>
          <w:color w:val="auto"/>
        </w:rPr>
        <w:t>5.4声环境影响分析与评价</w:t>
      </w:r>
      <w:bookmarkEnd w:id="269"/>
      <w:bookmarkEnd w:id="270"/>
      <w:bookmarkEnd w:id="271"/>
      <w:bookmarkEnd w:id="272"/>
      <w:bookmarkEnd w:id="273"/>
      <w:bookmarkEnd w:id="274"/>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5.4.1施工期声环境影响分析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的噪声主要为钻井过程中钻机、柴油机、泥浆泵和柴油发电机等发出的噪声，发电机、泥浆泵、钻机和柴油发电机的声压级一般在80~110dB(A)，地面工程建设过程中推土机、挖掘机等机械噪声，声压级一般在80~100dB(A)。</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在环境噪声预测中各噪声源作为点声源处理，选用“无指向性点声源几何发散衰减”预测模式，具体计算公式如下：</w:t>
      </w:r>
    </w:p>
    <w:p>
      <w:pPr>
        <w:pStyle w:val="56"/>
        <w:spacing w:line="360" w:lineRule="auto"/>
        <w:ind w:firstLine="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object>
          <v:shape id="_x0000_i1031" o:spt="75" type="#_x0000_t75" style="height:22.5pt;width:131pt;" o:ole="t" filled="f" o:preferrelative="t" stroked="f" coordsize="21600,21600">
            <v:path/>
            <v:fill on="f" focussize="0,0"/>
            <v:stroke on="f" joinstyle="miter"/>
            <v:imagedata r:id="rId47" o:title=""/>
            <o:lock v:ext="edit" aspectratio="t"/>
            <w10:wrap type="none"/>
            <w10:anchorlock/>
          </v:shape>
          <o:OLEObject Type="Embed" ProgID="Equation.3" ShapeID="_x0000_i1031" DrawAspect="Content" ObjectID="_1468075731" r:id="rId46">
            <o:LockedField>false</o:LockedField>
          </o:OLEObject>
        </w:objec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w:t>
      </w:r>
      <w:r>
        <w:rPr>
          <w:rFonts w:hint="default" w:ascii="Times New Roman" w:hAnsi="Times New Roman" w:cs="Times New Roman"/>
          <w:color w:val="auto"/>
          <w:sz w:val="24"/>
          <w:szCs w:val="24"/>
        </w:rPr>
        <w:t>(r)—距离声源r处的倍频带声压级；</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w:t>
      </w:r>
      <w:r>
        <w:rPr>
          <w:rFonts w:hint="default" w:ascii="Times New Roman" w:hAnsi="Times New Roman" w:cs="Times New Roman"/>
          <w:color w:val="auto"/>
          <w:sz w:val="24"/>
          <w:szCs w:val="24"/>
        </w:rPr>
        <w:t>(r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)—参考位置r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处的倍频带声压级；</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r—预测点距离声源的距离（m）；</w:t>
      </w:r>
    </w:p>
    <w:p>
      <w:pPr>
        <w:pStyle w:val="56"/>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—参考位置距离声源的距离（m）；</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预测结果见表5.4-1。</w:t>
      </w:r>
    </w:p>
    <w:p>
      <w:pPr>
        <w:pStyle w:val="48"/>
        <w:spacing w:line="360" w:lineRule="auto"/>
        <w:rPr>
          <w:rFonts w:hint="default" w:ascii="Times New Roman" w:hAnsi="Times New Roman" w:cs="Times New Roman"/>
          <w:color w:val="auto"/>
        </w:rPr>
      </w:pPr>
      <w:bookmarkStart w:id="275" w:name="_Ref490511177"/>
      <w:r>
        <w:rPr>
          <w:rFonts w:hint="default" w:ascii="Times New Roman" w:hAnsi="Times New Roman" w:cs="Times New Roman"/>
          <w:color w:val="auto"/>
        </w:rPr>
        <w:t>表</w:t>
      </w:r>
      <w:bookmarkEnd w:id="275"/>
      <w:r>
        <w:rPr>
          <w:rFonts w:hint="default" w:ascii="Times New Roman" w:hAnsi="Times New Roman" w:cs="Times New Roman"/>
          <w:color w:val="auto"/>
        </w:rPr>
        <w:t>5.4-1  距钻井井场场界不同距离处的噪声预测值</w:t>
      </w:r>
    </w:p>
    <w:tbl>
      <w:tblPr>
        <w:tblStyle w:val="31"/>
        <w:tblW w:w="8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3"/>
        <w:gridCol w:w="824"/>
        <w:gridCol w:w="825"/>
        <w:gridCol w:w="825"/>
        <w:gridCol w:w="825"/>
        <w:gridCol w:w="825"/>
        <w:gridCol w:w="825"/>
        <w:gridCol w:w="825"/>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913" w:type="dxa"/>
            <w:tcBorders>
              <w:tl2br w:val="single" w:color="auto" w:sz="4" w:space="0"/>
            </w:tcBorders>
            <w:vAlign w:val="center"/>
          </w:tcPr>
          <w:p>
            <w:pPr>
              <w:pStyle w:val="47"/>
              <w:jc w:val="right"/>
              <w:rPr>
                <w:rFonts w:hint="default" w:ascii="Times New Roman" w:hAnsi="Times New Roman" w:cs="Times New Roman"/>
                <w:b/>
                <w:bCs/>
                <w:color w:val="auto"/>
              </w:rPr>
            </w:pPr>
            <w:r>
              <w:rPr>
                <w:rFonts w:hint="default" w:ascii="Times New Roman" w:hAnsi="Times New Roman" w:cs="Times New Roman"/>
                <w:b/>
                <w:bCs/>
                <w:color w:val="auto"/>
              </w:rPr>
              <w:t>距场界距离</w:t>
            </w:r>
          </w:p>
          <w:p>
            <w:pPr>
              <w:pStyle w:val="47"/>
              <w:jc w:val="left"/>
              <w:rPr>
                <w:rFonts w:hint="default" w:ascii="Times New Roman" w:hAnsi="Times New Roman" w:cs="Times New Roman"/>
                <w:b/>
                <w:bCs/>
                <w:color w:val="auto"/>
              </w:rPr>
            </w:pPr>
            <w:r>
              <w:rPr>
                <w:rFonts w:hint="default" w:ascii="Times New Roman" w:hAnsi="Times New Roman" w:cs="Times New Roman"/>
                <w:b/>
                <w:bCs/>
                <w:color w:val="auto"/>
              </w:rPr>
              <w:t>方位</w:t>
            </w:r>
          </w:p>
        </w:tc>
        <w:tc>
          <w:tcPr>
            <w:tcW w:w="824"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1m</w:t>
            </w:r>
          </w:p>
        </w:tc>
        <w:tc>
          <w:tcPr>
            <w:tcW w:w="82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10m</w:t>
            </w:r>
          </w:p>
        </w:tc>
        <w:tc>
          <w:tcPr>
            <w:tcW w:w="82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20m</w:t>
            </w:r>
          </w:p>
        </w:tc>
        <w:tc>
          <w:tcPr>
            <w:tcW w:w="82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30m</w:t>
            </w:r>
          </w:p>
        </w:tc>
        <w:tc>
          <w:tcPr>
            <w:tcW w:w="82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50m</w:t>
            </w:r>
          </w:p>
        </w:tc>
        <w:tc>
          <w:tcPr>
            <w:tcW w:w="82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100m</w:t>
            </w:r>
          </w:p>
        </w:tc>
        <w:tc>
          <w:tcPr>
            <w:tcW w:w="82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150m</w:t>
            </w:r>
          </w:p>
        </w:tc>
        <w:tc>
          <w:tcPr>
            <w:tcW w:w="82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东</w:t>
            </w:r>
          </w:p>
        </w:tc>
        <w:tc>
          <w:tcPr>
            <w:tcW w:w="82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80.67</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60.67</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54.65</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51.13</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46.69</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40.67</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37.15</w:t>
            </w:r>
          </w:p>
        </w:tc>
        <w:tc>
          <w:tcPr>
            <w:tcW w:w="8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西</w:t>
            </w:r>
          </w:p>
        </w:tc>
        <w:tc>
          <w:tcPr>
            <w:tcW w:w="82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80.67</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60.67</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54.65</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51.13</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46.69</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40.67</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37.15</w:t>
            </w:r>
          </w:p>
        </w:tc>
        <w:tc>
          <w:tcPr>
            <w:tcW w:w="8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南</w:t>
            </w:r>
          </w:p>
        </w:tc>
        <w:tc>
          <w:tcPr>
            <w:tcW w:w="82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88.18</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68.18</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62.16</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58.63</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54.2</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48.18</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44.66</w:t>
            </w:r>
          </w:p>
        </w:tc>
        <w:tc>
          <w:tcPr>
            <w:tcW w:w="8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北</w:t>
            </w:r>
          </w:p>
        </w:tc>
        <w:tc>
          <w:tcPr>
            <w:tcW w:w="82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75.92</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55.92</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49.90</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46.38</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41.94</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35.92</w:t>
            </w:r>
          </w:p>
        </w:tc>
        <w:tc>
          <w:tcPr>
            <w:tcW w:w="82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32.40</w:t>
            </w:r>
          </w:p>
        </w:tc>
        <w:tc>
          <w:tcPr>
            <w:tcW w:w="8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29.90</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由预测结果可以看出：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（1）钻井过程中所产生的噪声会对周围一定</w:t>
      </w:r>
      <w:r>
        <w:rPr>
          <w:rFonts w:hint="default" w:ascii="Times New Roman" w:hAnsi="Times New Roman" w:cs="Times New Roman"/>
          <w:color w:val="auto"/>
          <w:sz w:val="24"/>
          <w:szCs w:val="24"/>
          <w:lang w:eastAsia="zh-CN"/>
        </w:rPr>
        <w:t>区域</w:t>
      </w:r>
      <w:r>
        <w:rPr>
          <w:rFonts w:hint="default" w:ascii="Times New Roman" w:hAnsi="Times New Roman" w:cs="Times New Roman"/>
          <w:color w:val="auto"/>
          <w:sz w:val="24"/>
          <w:szCs w:val="24"/>
        </w:rPr>
        <w:t>造成影响。昼间距离井场10m处，夜间50m处噪声值可满足《建筑施工场界环境噪声排放标准》（GB12523-2011）中昼间70dB（A），夜间55dB（A）的要求。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昼间施工噪声在30m处，夜间施工噪声在100m处满足《声环境质量标准》（GB3096-2008）中2类标准要求。根据现场调查评价范围内没有自然保护区、风景旅游区、文物古迹等特殊敏感目标，没有集中固定居民居住，不产生噪声扰民现象，</w:t>
      </w:r>
      <w:r>
        <w:rPr>
          <w:rFonts w:hint="default" w:ascii="Times New Roman" w:hAnsi="Times New Roman" w:cs="Times New Roman"/>
          <w:color w:val="auto"/>
          <w:spacing w:val="4"/>
          <w:sz w:val="24"/>
          <w:szCs w:val="24"/>
        </w:rPr>
        <w:t>对局部环境的影响是暂时的，施工期间产生的噪声对周围环境的影响是可以接受的。</w:t>
      </w:r>
      <w:r>
        <w:rPr>
          <w:rFonts w:hint="default" w:ascii="Times New Roman" w:hAnsi="Times New Roman" w:cs="Times New Roman"/>
          <w:color w:val="auto"/>
          <w:sz w:val="24"/>
          <w:szCs w:val="24"/>
        </w:rPr>
        <w:t>施工期噪声的影响主要是对钻井队的施工人员的影响，因此必须做好劳动防护措施。</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5.4.2运营期声环境影响分析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本工程运营期噪声污染源主要为井场的各类机泵、井下作业设备噪声</w:t>
      </w:r>
      <w:r>
        <w:rPr>
          <w:rFonts w:hint="eastAsia" w:cs="Times New Roman"/>
          <w:color w:val="auto"/>
          <w:sz w:val="24"/>
          <w:szCs w:val="24"/>
          <w:lang w:val="en-US" w:eastAsia="zh-CN"/>
        </w:rPr>
        <w:t>和交通噪声</w:t>
      </w:r>
      <w:r>
        <w:rPr>
          <w:rFonts w:hint="default" w:ascii="Times New Roman" w:hAnsi="Times New Roman" w:cs="Times New Roman"/>
          <w:color w:val="auto"/>
          <w:sz w:val="24"/>
          <w:szCs w:val="24"/>
        </w:rPr>
        <w:t>。</w:t>
      </w:r>
    </w:p>
    <w:p>
      <w:pPr>
        <w:spacing w:line="360" w:lineRule="auto"/>
        <w:ind w:firstLine="482"/>
        <w:rPr>
          <w:rFonts w:hint="default" w:ascii="Times New Roman" w:hAnsi="Times New Roman" w:eastAsia="宋体" w:cs="Times New Roman"/>
          <w:color w:val="auto"/>
          <w:sz w:val="24"/>
        </w:rPr>
      </w:pPr>
      <w:bookmarkStart w:id="276" w:name="_Hlk41382621"/>
      <w:r>
        <w:rPr>
          <w:rFonts w:hint="default" w:ascii="Times New Roman" w:hAnsi="Times New Roman" w:eastAsia="宋体" w:cs="Times New Roman"/>
          <w:color w:val="auto"/>
          <w:sz w:val="24"/>
        </w:rPr>
        <w:t>（1）预测源强</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项目噪声源主要为井场机泵、井下作业，对运营期井场厂界噪声进行预测。单井机泵噪声源强在60～9</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dB（A）之间，设备选用低噪设备，并采取基础减振等措施，衰减量按25dB（A）计，其运行噪声不高于70dB（A）。项目工程主要噪声源强见表5.4-2。</w:t>
      </w:r>
    </w:p>
    <w:p>
      <w:pPr>
        <w:pStyle w:val="48"/>
        <w:spacing w:line="360" w:lineRule="auto"/>
        <w:rPr>
          <w:rFonts w:hint="default" w:ascii="Times New Roman" w:hAnsi="Times New Roman" w:cs="Times New Roman"/>
          <w:color w:val="auto"/>
          <w:sz w:val="24"/>
        </w:rPr>
      </w:pPr>
      <w:r>
        <w:rPr>
          <w:rFonts w:hint="default" w:ascii="Times New Roman" w:hAnsi="Times New Roman" w:cs="Times New Roman"/>
          <w:color w:val="auto"/>
          <w:szCs w:val="21"/>
        </w:rPr>
        <w:t>表5.4-2  项目主要噪声源强情况表（单位：dB(A)）</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41"/>
        <w:gridCol w:w="1011"/>
        <w:gridCol w:w="709"/>
        <w:gridCol w:w="769"/>
        <w:gridCol w:w="762"/>
        <w:gridCol w:w="1166"/>
        <w:gridCol w:w="2121"/>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50"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641"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位置</w:t>
            </w:r>
          </w:p>
        </w:tc>
        <w:tc>
          <w:tcPr>
            <w:tcW w:w="1011"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w:t>
            </w:r>
          </w:p>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源强</w:t>
            </w:r>
          </w:p>
        </w:tc>
        <w:tc>
          <w:tcPr>
            <w:tcW w:w="2240" w:type="dxa"/>
            <w:gridSpan w:val="3"/>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空间相对位置（m）</w:t>
            </w:r>
          </w:p>
        </w:tc>
        <w:tc>
          <w:tcPr>
            <w:tcW w:w="1166"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声源源强dB(A)</w:t>
            </w:r>
          </w:p>
        </w:tc>
        <w:tc>
          <w:tcPr>
            <w:tcW w:w="2121"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声源控制措施</w:t>
            </w:r>
          </w:p>
        </w:tc>
        <w:tc>
          <w:tcPr>
            <w:tcW w:w="890" w:type="dxa"/>
            <w:vMerge w:val="restart"/>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50"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0"/>
                <w:szCs w:val="21"/>
              </w:rPr>
            </w:pPr>
          </w:p>
        </w:tc>
        <w:tc>
          <w:tcPr>
            <w:tcW w:w="641"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0"/>
                <w:szCs w:val="21"/>
              </w:rPr>
            </w:pPr>
          </w:p>
        </w:tc>
        <w:tc>
          <w:tcPr>
            <w:tcW w:w="1011"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0"/>
                <w:szCs w:val="21"/>
              </w:rPr>
            </w:pPr>
          </w:p>
        </w:tc>
        <w:tc>
          <w:tcPr>
            <w:tcW w:w="709" w:type="dxa"/>
            <w:vAlign w:val="center"/>
          </w:tcPr>
          <w:p>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X</w:t>
            </w:r>
          </w:p>
        </w:tc>
        <w:tc>
          <w:tcPr>
            <w:tcW w:w="769" w:type="dxa"/>
            <w:vAlign w:val="center"/>
          </w:tcPr>
          <w:p>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Y</w:t>
            </w:r>
          </w:p>
        </w:tc>
        <w:tc>
          <w:tcPr>
            <w:tcW w:w="762" w:type="dxa"/>
            <w:vAlign w:val="center"/>
          </w:tcPr>
          <w:p>
            <w:pPr>
              <w:jc w:val="center"/>
              <w:rPr>
                <w:rFonts w:hint="default" w:ascii="Times New Roman" w:hAnsi="Times New Roman" w:eastAsia="宋体" w:cs="Times New Roman"/>
                <w:b/>
                <w:bCs/>
                <w:color w:val="auto"/>
                <w:szCs w:val="21"/>
                <w:lang w:bidi="zh-CN"/>
              </w:rPr>
            </w:pPr>
            <w:r>
              <w:rPr>
                <w:rFonts w:hint="default" w:ascii="Times New Roman" w:hAnsi="Times New Roman" w:eastAsia="宋体" w:cs="Times New Roman"/>
                <w:i/>
                <w:color w:val="auto"/>
                <w:szCs w:val="21"/>
                <w:lang w:val="zh-CN" w:bidi="zh-CN"/>
              </w:rPr>
              <w:t>Z</w:t>
            </w:r>
          </w:p>
        </w:tc>
        <w:tc>
          <w:tcPr>
            <w:tcW w:w="1166"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c>
          <w:tcPr>
            <w:tcW w:w="2121"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c>
          <w:tcPr>
            <w:tcW w:w="890" w:type="dxa"/>
            <w:vMerge w:val="continue"/>
            <w:vAlign w:val="center"/>
          </w:tcPr>
          <w:p>
            <w:pPr>
              <w:autoSpaceDE w:val="0"/>
              <w:autoSpaceDN w:val="0"/>
              <w:adjustRightInd w:val="0"/>
              <w:snapToGrid w:val="0"/>
              <w:jc w:val="center"/>
              <w:textAlignment w:val="center"/>
              <w:rPr>
                <w:rFonts w:hint="default" w:ascii="Times New Roman" w:hAnsi="Times New Roman" w:eastAsia="宋体" w:cs="Times New Roman"/>
                <w:b/>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50"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641" w:type="dxa"/>
            <w:vAlign w:val="center"/>
          </w:tcPr>
          <w:p>
            <w:pPr>
              <w:pStyle w:val="47"/>
              <w:rPr>
                <w:rFonts w:hint="default" w:ascii="Times New Roman" w:hAnsi="Times New Roman" w:cs="Times New Roman"/>
                <w:color w:val="auto"/>
                <w:kern w:val="0"/>
              </w:rPr>
            </w:pPr>
            <w:r>
              <w:rPr>
                <w:rFonts w:hint="eastAsia" w:cs="Times New Roman"/>
                <w:color w:val="auto"/>
                <w:lang w:val="en-US" w:eastAsia="zh-CN"/>
              </w:rPr>
              <w:t>单井</w:t>
            </w:r>
            <w:r>
              <w:rPr>
                <w:rFonts w:hint="default" w:ascii="Times New Roman" w:hAnsi="Times New Roman" w:cs="Times New Roman"/>
                <w:color w:val="auto"/>
              </w:rPr>
              <w:t>井场</w:t>
            </w:r>
          </w:p>
        </w:tc>
        <w:tc>
          <w:tcPr>
            <w:tcW w:w="1011" w:type="dxa"/>
            <w:vAlign w:val="center"/>
          </w:tcPr>
          <w:p>
            <w:pPr>
              <w:pStyle w:val="47"/>
              <w:rPr>
                <w:rFonts w:hint="default" w:ascii="Times New Roman" w:hAnsi="Times New Roman" w:cs="Times New Roman"/>
                <w:color w:val="auto"/>
              </w:rPr>
            </w:pPr>
            <w:r>
              <w:rPr>
                <w:rFonts w:hint="default" w:ascii="Times New Roman" w:hAnsi="Times New Roman" w:eastAsia="宋体" w:cs="Times New Roman"/>
                <w:color w:val="auto"/>
                <w:kern w:val="0"/>
                <w:sz w:val="21"/>
                <w:szCs w:val="18"/>
              </w:rPr>
              <w:t>10型抽油机</w:t>
            </w:r>
          </w:p>
        </w:tc>
        <w:tc>
          <w:tcPr>
            <w:tcW w:w="709"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w:t>
            </w:r>
          </w:p>
        </w:tc>
        <w:tc>
          <w:tcPr>
            <w:tcW w:w="769"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12.5</w:t>
            </w:r>
          </w:p>
        </w:tc>
        <w:tc>
          <w:tcPr>
            <w:tcW w:w="762"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1166" w:type="dxa"/>
            <w:vAlign w:val="center"/>
          </w:tcPr>
          <w:p>
            <w:pPr>
              <w:pStyle w:val="47"/>
              <w:rPr>
                <w:rFonts w:hint="default" w:ascii="Times New Roman" w:hAnsi="Times New Roman" w:cs="Times New Roman"/>
                <w:color w:val="auto"/>
                <w:kern w:val="0"/>
              </w:rPr>
            </w:pPr>
            <w:r>
              <w:rPr>
                <w:rFonts w:hint="default" w:ascii="Times New Roman" w:hAnsi="Times New Roman" w:cs="Times New Roman"/>
                <w:color w:val="auto"/>
              </w:rPr>
              <w:t>75~80</w:t>
            </w:r>
          </w:p>
        </w:tc>
        <w:tc>
          <w:tcPr>
            <w:tcW w:w="2121" w:type="dxa"/>
            <w:vAlign w:val="center"/>
          </w:tcPr>
          <w:p>
            <w:pPr>
              <w:pStyle w:val="47"/>
              <w:rPr>
                <w:rFonts w:hint="default" w:ascii="Times New Roman" w:hAnsi="Times New Roman" w:cs="Times New Roman"/>
                <w:color w:val="auto"/>
                <w:kern w:val="0"/>
              </w:rPr>
            </w:pPr>
            <w:r>
              <w:rPr>
                <w:rFonts w:hint="default" w:ascii="Times New Roman" w:hAnsi="Times New Roman" w:cs="Times New Roman"/>
                <w:color w:val="auto"/>
              </w:rPr>
              <w:t>采用低噪声设备，局部加装隔声罩</w:t>
            </w:r>
          </w:p>
        </w:tc>
        <w:tc>
          <w:tcPr>
            <w:tcW w:w="890" w:type="dxa"/>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50" w:type="dxa"/>
            <w:vAlign w:val="center"/>
          </w:tcPr>
          <w:p>
            <w:pPr>
              <w:autoSpaceDE w:val="0"/>
              <w:autoSpaceDN w:val="0"/>
              <w:adjustRightInd w:val="0"/>
              <w:snapToGrid w:val="0"/>
              <w:jc w:val="center"/>
              <w:textAlignment w:val="center"/>
              <w:rPr>
                <w:rFonts w:hint="eastAsia" w:ascii="Times New Roman" w:hAnsi="Times New Roman" w:eastAsia="宋体" w:cs="Times New Roman"/>
                <w:bCs/>
                <w:color w:val="auto"/>
                <w:kern w:val="0"/>
                <w:sz w:val="20"/>
                <w:szCs w:val="21"/>
                <w:lang w:eastAsia="zh-CN"/>
              </w:rPr>
            </w:pPr>
            <w:r>
              <w:rPr>
                <w:rFonts w:hint="eastAsia" w:ascii="Times New Roman" w:hAnsi="Times New Roman" w:eastAsia="宋体" w:cs="Times New Roman"/>
                <w:bCs/>
                <w:color w:val="auto"/>
                <w:kern w:val="0"/>
                <w:sz w:val="20"/>
                <w:szCs w:val="21"/>
                <w:lang w:val="en-US" w:eastAsia="zh-CN"/>
              </w:rPr>
              <w:t>2</w:t>
            </w:r>
          </w:p>
        </w:tc>
        <w:tc>
          <w:tcPr>
            <w:tcW w:w="641" w:type="dxa"/>
            <w:shd w:val="clear" w:color="auto" w:fill="auto"/>
            <w:vAlign w:val="center"/>
          </w:tcPr>
          <w:p>
            <w:pPr>
              <w:pStyle w:val="47"/>
              <w:rPr>
                <w:rFonts w:hint="default" w:ascii="Times New Roman" w:hAnsi="Times New Roman" w:eastAsia="宋体" w:cs="Times New Roman"/>
                <w:b w:val="0"/>
                <w:bCs w:val="0"/>
                <w:color w:val="auto"/>
                <w:kern w:val="0"/>
                <w:sz w:val="21"/>
                <w:szCs w:val="21"/>
                <w:lang w:val="en-US" w:eastAsia="zh-CN" w:bidi="ar-SA"/>
              </w:rPr>
            </w:pPr>
            <w:r>
              <w:rPr>
                <w:rFonts w:hint="eastAsia" w:cs="Times New Roman"/>
                <w:color w:val="auto"/>
                <w:lang w:val="en-US" w:eastAsia="zh-CN"/>
              </w:rPr>
              <w:t>2井式</w:t>
            </w:r>
            <w:r>
              <w:rPr>
                <w:rFonts w:hint="default" w:ascii="Times New Roman" w:hAnsi="Times New Roman" w:cs="Times New Roman"/>
                <w:color w:val="auto"/>
              </w:rPr>
              <w:t>井场</w:t>
            </w:r>
          </w:p>
        </w:tc>
        <w:tc>
          <w:tcPr>
            <w:tcW w:w="1011" w:type="dxa"/>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18"/>
              </w:rPr>
              <w:t>10型抽油机</w:t>
            </w:r>
          </w:p>
        </w:tc>
        <w:tc>
          <w:tcPr>
            <w:tcW w:w="709" w:type="dxa"/>
            <w:shd w:val="clear" w:color="auto" w:fill="auto"/>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20</w:t>
            </w:r>
          </w:p>
        </w:tc>
        <w:tc>
          <w:tcPr>
            <w:tcW w:w="769" w:type="dxa"/>
            <w:shd w:val="clear" w:color="auto" w:fill="auto"/>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12.5</w:t>
            </w:r>
          </w:p>
        </w:tc>
        <w:tc>
          <w:tcPr>
            <w:tcW w:w="762" w:type="dxa"/>
            <w:shd w:val="clear" w:color="auto" w:fill="auto"/>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10</w:t>
            </w:r>
          </w:p>
        </w:tc>
        <w:tc>
          <w:tcPr>
            <w:tcW w:w="1166" w:type="dxa"/>
            <w:shd w:val="clear" w:color="auto" w:fill="auto"/>
            <w:vAlign w:val="center"/>
          </w:tcPr>
          <w:p>
            <w:pPr>
              <w:pStyle w:val="47"/>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rPr>
              <w:t>75~80</w:t>
            </w:r>
          </w:p>
        </w:tc>
        <w:tc>
          <w:tcPr>
            <w:tcW w:w="2121" w:type="dxa"/>
            <w:shd w:val="clear" w:color="auto" w:fill="auto"/>
            <w:vAlign w:val="center"/>
          </w:tcPr>
          <w:p>
            <w:pPr>
              <w:pStyle w:val="47"/>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rPr>
              <w:t>采用低噪声设备，局部加装隔声罩</w:t>
            </w:r>
          </w:p>
        </w:tc>
        <w:tc>
          <w:tcPr>
            <w:tcW w:w="890" w:type="dxa"/>
            <w:shd w:val="clear" w:color="auto" w:fill="auto"/>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50" w:type="dxa"/>
            <w:vAlign w:val="center"/>
          </w:tcPr>
          <w:p>
            <w:pPr>
              <w:autoSpaceDE w:val="0"/>
              <w:autoSpaceDN w:val="0"/>
              <w:adjustRightInd w:val="0"/>
              <w:snapToGrid w:val="0"/>
              <w:jc w:val="center"/>
              <w:textAlignment w:val="center"/>
              <w:rPr>
                <w:rFonts w:hint="eastAsia" w:ascii="Times New Roman" w:hAnsi="Times New Roman" w:eastAsia="宋体" w:cs="Times New Roman"/>
                <w:bCs/>
                <w:color w:val="auto"/>
                <w:kern w:val="0"/>
                <w:sz w:val="20"/>
                <w:szCs w:val="21"/>
                <w:lang w:eastAsia="zh-CN"/>
              </w:rPr>
            </w:pPr>
            <w:r>
              <w:rPr>
                <w:rFonts w:hint="eastAsia" w:ascii="Times New Roman" w:hAnsi="Times New Roman" w:eastAsia="宋体" w:cs="Times New Roman"/>
                <w:bCs/>
                <w:color w:val="auto"/>
                <w:kern w:val="0"/>
                <w:sz w:val="20"/>
                <w:szCs w:val="21"/>
                <w:lang w:val="en-US" w:eastAsia="zh-CN"/>
              </w:rPr>
              <w:t>3</w:t>
            </w:r>
          </w:p>
        </w:tc>
        <w:tc>
          <w:tcPr>
            <w:tcW w:w="641" w:type="dxa"/>
            <w:shd w:val="clear" w:color="auto" w:fill="auto"/>
            <w:vAlign w:val="center"/>
          </w:tcPr>
          <w:p>
            <w:pPr>
              <w:pStyle w:val="47"/>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rPr>
              <w:t>交通噪声</w:t>
            </w:r>
          </w:p>
        </w:tc>
        <w:tc>
          <w:tcPr>
            <w:tcW w:w="1011" w:type="dxa"/>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巡检车辆</w:t>
            </w:r>
          </w:p>
        </w:tc>
        <w:tc>
          <w:tcPr>
            <w:tcW w:w="709" w:type="dxa"/>
            <w:shd w:val="clear" w:color="auto" w:fill="auto"/>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w:t>
            </w:r>
          </w:p>
        </w:tc>
        <w:tc>
          <w:tcPr>
            <w:tcW w:w="769" w:type="dxa"/>
            <w:shd w:val="clear" w:color="auto" w:fill="auto"/>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w:t>
            </w:r>
          </w:p>
        </w:tc>
        <w:tc>
          <w:tcPr>
            <w:tcW w:w="762" w:type="dxa"/>
            <w:shd w:val="clear" w:color="auto" w:fill="auto"/>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w:t>
            </w:r>
          </w:p>
        </w:tc>
        <w:tc>
          <w:tcPr>
            <w:tcW w:w="1166" w:type="dxa"/>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60~90</w:t>
            </w:r>
          </w:p>
        </w:tc>
        <w:tc>
          <w:tcPr>
            <w:tcW w:w="2121" w:type="dxa"/>
            <w:shd w:val="clear" w:color="auto" w:fill="auto"/>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Cs/>
                <w:color w:val="auto"/>
                <w:szCs w:val="32"/>
              </w:rPr>
              <w:t>限制车速、定期维护保养和禁止鸣笛等</w:t>
            </w:r>
          </w:p>
        </w:tc>
        <w:tc>
          <w:tcPr>
            <w:tcW w:w="890" w:type="dxa"/>
            <w:shd w:val="clear" w:color="auto" w:fill="auto"/>
            <w:vAlign w:val="center"/>
          </w:tcPr>
          <w:p>
            <w:pPr>
              <w:autoSpaceDE w:val="0"/>
              <w:autoSpaceDN w:val="0"/>
              <w:adjustRightInd w:val="0"/>
              <w:snapToGrid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间断</w:t>
            </w:r>
          </w:p>
        </w:tc>
      </w:tr>
    </w:tbl>
    <w:p>
      <w:pPr>
        <w:pStyle w:val="56"/>
        <w:spacing w:line="360" w:lineRule="auto"/>
        <w:ind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（2）预测评价标准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项目所在区域声环境功能区属于2类区。拟建项目东、西、南、北厂界噪声均执行《工业企业厂界环境噪声排放标准》（GB12348-2008）2类标准，即昼间60dB(A)，夜间50dB(A)。</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（3）预测模式</w:t>
      </w:r>
    </w:p>
    <w:p>
      <w:pPr>
        <w:spacing w:line="360" w:lineRule="auto"/>
        <w:ind w:firstLine="480"/>
        <w:rPr>
          <w:rFonts w:hint="default" w:ascii="Times New Roman" w:hAnsi="Times New Roman" w:eastAsia="宋体" w:cs="Times New Roman"/>
          <w:color w:val="auto"/>
          <w:sz w:val="24"/>
        </w:rPr>
      </w:pPr>
      <w:bookmarkStart w:id="277" w:name="_Toc489734603"/>
      <w:r>
        <w:rPr>
          <w:rFonts w:hint="default" w:ascii="Times New Roman" w:hAnsi="Times New Roman" w:eastAsia="宋体" w:cs="Times New Roman"/>
          <w:color w:val="auto"/>
          <w:sz w:val="24"/>
        </w:rPr>
        <w:t>本工程井场噪声源主要为井场的机泵和井下作业噪声，井场四周未设围栏，是开放式的，故只考虑传播距离引起的衰减，鉴于声源到厂界预测点的传播距离远大于声源长度，各噪声源均按点源计。计算模式采用《环境影响评价技术导则 声环境》（HJ2.4-2021）中所推荐的预测模式，计算</w:t>
      </w:r>
      <w:r>
        <w:rPr>
          <w:rFonts w:hint="default" w:ascii="Times New Roman" w:hAnsi="Times New Roman" w:eastAsia="宋体" w:cs="Times New Roman"/>
          <w:color w:val="auto"/>
          <w:sz w:val="24"/>
          <w:lang w:val="en-US" w:eastAsia="zh-CN"/>
        </w:rPr>
        <w:t>公</w:t>
      </w:r>
      <w:r>
        <w:rPr>
          <w:rFonts w:hint="default" w:ascii="Times New Roman" w:hAnsi="Times New Roman" w:eastAsia="宋体" w:cs="Times New Roman"/>
          <w:color w:val="auto"/>
          <w:sz w:val="24"/>
        </w:rPr>
        <w:t>式如下：</w:t>
      </w:r>
    </w:p>
    <w:p>
      <w:pPr>
        <w:adjustRightInd w:val="0"/>
        <w:snapToGrid w:val="0"/>
        <w:spacing w:line="360" w:lineRule="auto"/>
        <w:ind w:firstLine="48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w:t>
      </w:r>
      <w:r>
        <w:rPr>
          <w:rFonts w:hint="default" w:ascii="Times New Roman" w:hAnsi="Times New Roman" w:eastAsia="宋体" w:cs="Times New Roman"/>
          <w:color w:val="auto"/>
          <w:sz w:val="24"/>
          <w:vertAlign w:val="subscript"/>
        </w:rPr>
        <w:t>A</w:t>
      </w:r>
      <w:r>
        <w:rPr>
          <w:rFonts w:hint="default" w:ascii="Times New Roman" w:hAnsi="Times New Roman" w:eastAsia="宋体" w:cs="Times New Roman"/>
          <w:color w:val="auto"/>
          <w:sz w:val="24"/>
        </w:rPr>
        <w:t>（r）=L</w:t>
      </w:r>
      <w:r>
        <w:rPr>
          <w:rFonts w:hint="default" w:ascii="Times New Roman" w:hAnsi="Times New Roman" w:eastAsia="宋体" w:cs="Times New Roman"/>
          <w:color w:val="auto"/>
          <w:sz w:val="24"/>
          <w:vertAlign w:val="subscript"/>
        </w:rPr>
        <w:t>A</w:t>
      </w: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）-20lg（r/r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w:t>
      </w:r>
    </w:p>
    <w:p>
      <w:pPr>
        <w:tabs>
          <w:tab w:val="left" w:pos="525"/>
        </w:tabs>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式中：L</w:t>
      </w:r>
      <w:r>
        <w:rPr>
          <w:rFonts w:hint="default" w:ascii="Times New Roman" w:hAnsi="Times New Roman" w:eastAsia="宋体" w:cs="Times New Roman"/>
          <w:color w:val="auto"/>
          <w:sz w:val="24"/>
          <w:vertAlign w:val="subscript"/>
        </w:rPr>
        <w:t>A</w:t>
      </w:r>
      <w:r>
        <w:rPr>
          <w:rFonts w:hint="default" w:ascii="Times New Roman" w:hAnsi="Times New Roman" w:eastAsia="宋体" w:cs="Times New Roman"/>
          <w:color w:val="auto"/>
          <w:sz w:val="24"/>
        </w:rPr>
        <w:t>（r）—距声源r处的A声级；</w:t>
      </w:r>
    </w:p>
    <w:p>
      <w:pPr>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L</w:t>
      </w:r>
      <w:r>
        <w:rPr>
          <w:rFonts w:hint="default" w:ascii="Times New Roman" w:hAnsi="Times New Roman" w:eastAsia="宋体" w:cs="Times New Roman"/>
          <w:color w:val="auto"/>
          <w:sz w:val="24"/>
          <w:vertAlign w:val="subscript"/>
        </w:rPr>
        <w:t>A</w:t>
      </w: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）—参考位置r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处的A声级；</w:t>
      </w:r>
    </w:p>
    <w:p>
      <w:pPr>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r—预测点距声源距离，m；</w:t>
      </w:r>
    </w:p>
    <w:p>
      <w:pPr>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—参考位置距离声源距离，m。</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设第i个室外声源在预测点产生的A声级为LAin,i，在T时间内该声源工作时间为tin,i；第j个等效室外声源在预测点产生的A声级为LAout,j，在T时间内该声源工作时间为tout,j，则预测点的总等效声级为</w:t>
      </w:r>
    </w:p>
    <w:p>
      <w:pPr>
        <w:spacing w:beforeLines="50" w:afterLines="50" w:line="360" w:lineRule="auto"/>
        <w:ind w:firstLine="48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32"/>
          <w:sz w:val="24"/>
        </w:rPr>
        <w:drawing>
          <wp:inline distT="0" distB="0" distL="0" distR="0">
            <wp:extent cx="3105150" cy="457200"/>
            <wp:effectExtent l="0" t="0" r="0" b="0"/>
            <wp:docPr id="1648309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0950" name="图片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105150" cy="457200"/>
                    </a:xfrm>
                    <a:prstGeom prst="rect">
                      <a:avLst/>
                    </a:prstGeom>
                    <a:noFill/>
                    <a:ln>
                      <a:noFill/>
                    </a:ln>
                  </pic:spPr>
                </pic:pic>
              </a:graphicData>
            </a:graphic>
          </wp:inline>
        </w:drawing>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T——计算等效声级的时间；</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N——为室外声源个数；</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      M——为等效室外声源个数。</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预测点的预测等效声级（Leq）计算公式：</w:t>
      </w:r>
    </w:p>
    <w:p>
      <w:pPr>
        <w:spacing w:beforeLines="50" w:afterLines="50" w:line="360" w:lineRule="auto"/>
        <w:ind w:firstLine="48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4"/>
          <w:sz w:val="24"/>
        </w:rPr>
        <w:drawing>
          <wp:inline distT="0" distB="0" distL="0" distR="0">
            <wp:extent cx="1733550" cy="279400"/>
            <wp:effectExtent l="0" t="0" r="0" b="5715"/>
            <wp:docPr id="14008980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98054"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79400"/>
                    </a:xfrm>
                    <a:prstGeom prst="rect">
                      <a:avLst/>
                    </a:prstGeom>
                    <a:noFill/>
                    <a:ln>
                      <a:noFill/>
                    </a:ln>
                  </pic:spPr>
                </pic:pic>
              </a:graphicData>
            </a:graphic>
          </wp:inline>
        </w:drawing>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eqg</w:t>
      </w:r>
      <w:r>
        <w:rPr>
          <w:rFonts w:hint="default" w:ascii="Times New Roman" w:hAnsi="Times New Roman" w:eastAsia="宋体" w:cs="Times New Roman"/>
          <w:color w:val="auto"/>
          <w:sz w:val="24"/>
        </w:rPr>
        <w:t>——建设项目声源在预测点的等效声级贡献值，dB(A)；</w:t>
      </w:r>
    </w:p>
    <w:p>
      <w:pPr>
        <w:adjustRightInd w:val="0"/>
        <w:snapToGrid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 xml:space="preserve">      L</w:t>
      </w:r>
      <w:r>
        <w:rPr>
          <w:rFonts w:hint="default" w:ascii="Times New Roman" w:hAnsi="Times New Roman" w:eastAsia="宋体" w:cs="Times New Roman"/>
          <w:i/>
          <w:color w:val="auto"/>
          <w:sz w:val="24"/>
          <w:vertAlign w:val="subscript"/>
        </w:rPr>
        <w:t>eqb</w:t>
      </w:r>
      <w:r>
        <w:rPr>
          <w:rFonts w:hint="default" w:ascii="Times New Roman" w:hAnsi="Times New Roman" w:eastAsia="宋体" w:cs="Times New Roman"/>
          <w:color w:val="auto"/>
          <w:sz w:val="24"/>
        </w:rPr>
        <w:t>——预测点的背景值，dB(A)。</w:t>
      </w:r>
      <w:bookmarkEnd w:id="277"/>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（4）预测结果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项目建成后，正常工况下，井场场界噪声预测结果见表5.4-3。</w:t>
      </w:r>
    </w:p>
    <w:p>
      <w:pPr>
        <w:pStyle w:val="41"/>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表5.4-3  厂界噪声影响预测结果     单位：dB(A)</w:t>
      </w:r>
    </w:p>
    <w:tbl>
      <w:tblPr>
        <w:tblStyle w:val="31"/>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623"/>
        <w:gridCol w:w="910"/>
        <w:gridCol w:w="721"/>
        <w:gridCol w:w="793"/>
        <w:gridCol w:w="707"/>
        <w:gridCol w:w="760"/>
        <w:gridCol w:w="762"/>
        <w:gridCol w:w="776"/>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811" w:type="dxa"/>
            <w:vMerge w:val="restart"/>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预测点编号</w:t>
            </w:r>
          </w:p>
        </w:tc>
        <w:tc>
          <w:tcPr>
            <w:tcW w:w="1623" w:type="dxa"/>
            <w:vMerge w:val="restart"/>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测点位置</w:t>
            </w:r>
          </w:p>
        </w:tc>
        <w:tc>
          <w:tcPr>
            <w:tcW w:w="910" w:type="dxa"/>
            <w:vMerge w:val="restart"/>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固定声源距厂界距离/m</w:t>
            </w:r>
          </w:p>
        </w:tc>
        <w:tc>
          <w:tcPr>
            <w:tcW w:w="721" w:type="dxa"/>
            <w:vMerge w:val="restart"/>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贡献值</w:t>
            </w:r>
          </w:p>
        </w:tc>
        <w:tc>
          <w:tcPr>
            <w:tcW w:w="1500" w:type="dxa"/>
            <w:gridSpan w:val="2"/>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现状监测值</w:t>
            </w:r>
          </w:p>
        </w:tc>
        <w:tc>
          <w:tcPr>
            <w:tcW w:w="1522" w:type="dxa"/>
            <w:gridSpan w:val="2"/>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预测值</w:t>
            </w:r>
          </w:p>
        </w:tc>
        <w:tc>
          <w:tcPr>
            <w:tcW w:w="776" w:type="dxa"/>
            <w:vMerge w:val="restart"/>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评价标准</w:t>
            </w:r>
          </w:p>
        </w:tc>
        <w:tc>
          <w:tcPr>
            <w:tcW w:w="654" w:type="dxa"/>
            <w:vMerge w:val="restart"/>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11" w:type="dxa"/>
            <w:vMerge w:val="continue"/>
            <w:vAlign w:val="center"/>
          </w:tcPr>
          <w:p>
            <w:pPr>
              <w:pStyle w:val="44"/>
              <w:jc w:val="center"/>
              <w:rPr>
                <w:rFonts w:hint="default" w:ascii="Times New Roman" w:hAnsi="Times New Roman" w:cs="Times New Roman"/>
                <w:b w:val="0"/>
                <w:bCs/>
                <w:color w:val="auto"/>
                <w:kern w:val="2"/>
                <w:sz w:val="21"/>
                <w:szCs w:val="21"/>
                <w:lang w:val="en-US"/>
              </w:rPr>
            </w:pPr>
          </w:p>
        </w:tc>
        <w:tc>
          <w:tcPr>
            <w:tcW w:w="1623" w:type="dxa"/>
            <w:vMerge w:val="continue"/>
            <w:vAlign w:val="center"/>
          </w:tcPr>
          <w:p>
            <w:pPr>
              <w:pStyle w:val="44"/>
              <w:jc w:val="center"/>
              <w:rPr>
                <w:rFonts w:hint="default" w:ascii="Times New Roman" w:hAnsi="Times New Roman" w:cs="Times New Roman"/>
                <w:b w:val="0"/>
                <w:bCs/>
                <w:color w:val="auto"/>
                <w:kern w:val="2"/>
                <w:sz w:val="21"/>
                <w:szCs w:val="21"/>
                <w:lang w:val="en-US"/>
              </w:rPr>
            </w:pPr>
          </w:p>
        </w:tc>
        <w:tc>
          <w:tcPr>
            <w:tcW w:w="910" w:type="dxa"/>
            <w:vMerge w:val="continue"/>
            <w:vAlign w:val="center"/>
          </w:tcPr>
          <w:p>
            <w:pPr>
              <w:pStyle w:val="44"/>
              <w:jc w:val="center"/>
              <w:rPr>
                <w:rFonts w:hint="default" w:ascii="Times New Roman" w:hAnsi="Times New Roman" w:cs="Times New Roman"/>
                <w:b w:val="0"/>
                <w:bCs/>
                <w:color w:val="auto"/>
                <w:kern w:val="2"/>
                <w:sz w:val="21"/>
                <w:szCs w:val="21"/>
                <w:lang w:val="en-US"/>
              </w:rPr>
            </w:pPr>
          </w:p>
        </w:tc>
        <w:tc>
          <w:tcPr>
            <w:tcW w:w="721" w:type="dxa"/>
            <w:vMerge w:val="continue"/>
            <w:vAlign w:val="center"/>
          </w:tcPr>
          <w:p>
            <w:pPr>
              <w:pStyle w:val="44"/>
              <w:jc w:val="center"/>
              <w:rPr>
                <w:rFonts w:hint="default" w:ascii="Times New Roman" w:hAnsi="Times New Roman" w:cs="Times New Roman"/>
                <w:b w:val="0"/>
                <w:bCs/>
                <w:color w:val="auto"/>
                <w:kern w:val="2"/>
                <w:sz w:val="21"/>
                <w:szCs w:val="21"/>
                <w:lang w:val="en-US"/>
              </w:rPr>
            </w:pPr>
          </w:p>
        </w:tc>
        <w:tc>
          <w:tcPr>
            <w:tcW w:w="793" w:type="dxa"/>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昼间</w:t>
            </w:r>
          </w:p>
        </w:tc>
        <w:tc>
          <w:tcPr>
            <w:tcW w:w="707" w:type="dxa"/>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夜间</w:t>
            </w:r>
          </w:p>
        </w:tc>
        <w:tc>
          <w:tcPr>
            <w:tcW w:w="760" w:type="dxa"/>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昼间</w:t>
            </w:r>
          </w:p>
        </w:tc>
        <w:tc>
          <w:tcPr>
            <w:tcW w:w="762" w:type="dxa"/>
            <w:vAlign w:val="center"/>
          </w:tcPr>
          <w:p>
            <w:pPr>
              <w:pStyle w:val="44"/>
              <w:ind w:left="0" w:firstLine="0"/>
              <w:jc w:val="center"/>
              <w:rPr>
                <w:rFonts w:hint="default" w:ascii="Times New Roman" w:hAnsi="Times New Roman" w:cs="Times New Roman"/>
                <w:b/>
                <w:bCs w:val="0"/>
                <w:color w:val="auto"/>
                <w:kern w:val="2"/>
                <w:sz w:val="21"/>
                <w:szCs w:val="21"/>
                <w:lang w:val="en-US"/>
              </w:rPr>
            </w:pPr>
            <w:r>
              <w:rPr>
                <w:rFonts w:hint="default" w:ascii="Times New Roman" w:hAnsi="Times New Roman" w:cs="Times New Roman"/>
                <w:b/>
                <w:bCs w:val="0"/>
                <w:color w:val="auto"/>
                <w:kern w:val="2"/>
                <w:sz w:val="21"/>
                <w:szCs w:val="21"/>
                <w:lang w:val="en-US"/>
              </w:rPr>
              <w:t>夜间</w:t>
            </w:r>
          </w:p>
        </w:tc>
        <w:tc>
          <w:tcPr>
            <w:tcW w:w="776" w:type="dxa"/>
            <w:vMerge w:val="continue"/>
            <w:vAlign w:val="center"/>
          </w:tcPr>
          <w:p>
            <w:pPr>
              <w:pStyle w:val="44"/>
              <w:jc w:val="center"/>
              <w:rPr>
                <w:rFonts w:hint="default" w:ascii="Times New Roman" w:hAnsi="Times New Roman" w:cs="Times New Roman"/>
                <w:b w:val="0"/>
                <w:bCs/>
                <w:color w:val="auto"/>
                <w:kern w:val="2"/>
                <w:sz w:val="21"/>
                <w:szCs w:val="21"/>
                <w:lang w:val="en-US"/>
              </w:rPr>
            </w:pPr>
          </w:p>
        </w:tc>
        <w:tc>
          <w:tcPr>
            <w:tcW w:w="654" w:type="dxa"/>
            <w:vMerge w:val="continue"/>
            <w:vAlign w:val="center"/>
          </w:tcPr>
          <w:p>
            <w:pPr>
              <w:pStyle w:val="44"/>
              <w:jc w:val="center"/>
              <w:rPr>
                <w:rFonts w:hint="default" w:ascii="Times New Roman" w:hAnsi="Times New Roman" w:cs="Times New Roman"/>
                <w:b w:val="0"/>
                <w:bCs/>
                <w:color w:val="auto"/>
                <w:kern w:val="2"/>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11" w:type="dxa"/>
            <w:vMerge w:val="restart"/>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单口井</w:t>
            </w:r>
          </w:p>
        </w:tc>
        <w:tc>
          <w:tcPr>
            <w:tcW w:w="1623"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东侧外1m</w:t>
            </w:r>
          </w:p>
        </w:tc>
        <w:tc>
          <w:tcPr>
            <w:tcW w:w="910"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12.5</w:t>
            </w:r>
          </w:p>
        </w:tc>
        <w:tc>
          <w:tcPr>
            <w:tcW w:w="721"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38.1</w:t>
            </w:r>
          </w:p>
        </w:tc>
        <w:tc>
          <w:tcPr>
            <w:tcW w:w="793"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46</w:t>
            </w:r>
          </w:p>
        </w:tc>
        <w:tc>
          <w:tcPr>
            <w:tcW w:w="707"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40</w:t>
            </w:r>
          </w:p>
        </w:tc>
        <w:tc>
          <w:tcPr>
            <w:tcW w:w="760"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46.7</w:t>
            </w:r>
          </w:p>
        </w:tc>
        <w:tc>
          <w:tcPr>
            <w:tcW w:w="762"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42.2</w:t>
            </w:r>
          </w:p>
        </w:tc>
        <w:tc>
          <w:tcPr>
            <w:tcW w:w="776" w:type="dxa"/>
            <w:vMerge w:val="restart"/>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昼间60，夜间50</w:t>
            </w:r>
          </w:p>
        </w:tc>
        <w:tc>
          <w:tcPr>
            <w:tcW w:w="654" w:type="dxa"/>
            <w:vMerge w:val="restart"/>
            <w:vAlign w:val="center"/>
          </w:tcPr>
          <w:p>
            <w:pPr>
              <w:pStyle w:val="44"/>
              <w:ind w:left="0" w:firstLine="0"/>
              <w:jc w:val="both"/>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11" w:type="dxa"/>
            <w:vMerge w:val="continue"/>
            <w:vAlign w:val="center"/>
          </w:tcPr>
          <w:p>
            <w:pPr>
              <w:pStyle w:val="44"/>
              <w:jc w:val="center"/>
              <w:rPr>
                <w:rFonts w:hint="default" w:ascii="Times New Roman" w:hAnsi="Times New Roman" w:cs="Times New Roman"/>
                <w:b w:val="0"/>
                <w:bCs/>
                <w:color w:val="auto"/>
                <w:sz w:val="21"/>
                <w:szCs w:val="21"/>
              </w:rPr>
            </w:pPr>
          </w:p>
        </w:tc>
        <w:tc>
          <w:tcPr>
            <w:tcW w:w="1623"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南侧外1m</w:t>
            </w:r>
          </w:p>
        </w:tc>
        <w:tc>
          <w:tcPr>
            <w:tcW w:w="910"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15</w:t>
            </w:r>
          </w:p>
        </w:tc>
        <w:tc>
          <w:tcPr>
            <w:tcW w:w="721"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36.5</w:t>
            </w:r>
          </w:p>
        </w:tc>
        <w:tc>
          <w:tcPr>
            <w:tcW w:w="793"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46</w:t>
            </w:r>
          </w:p>
        </w:tc>
        <w:tc>
          <w:tcPr>
            <w:tcW w:w="707"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40</w:t>
            </w:r>
          </w:p>
        </w:tc>
        <w:tc>
          <w:tcPr>
            <w:tcW w:w="760"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46.5</w:t>
            </w:r>
          </w:p>
        </w:tc>
        <w:tc>
          <w:tcPr>
            <w:tcW w:w="762"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41.6</w:t>
            </w:r>
          </w:p>
        </w:tc>
        <w:tc>
          <w:tcPr>
            <w:tcW w:w="776" w:type="dxa"/>
            <w:vMerge w:val="continue"/>
            <w:vAlign w:val="center"/>
          </w:tcPr>
          <w:p>
            <w:pPr>
              <w:pStyle w:val="44"/>
              <w:jc w:val="center"/>
              <w:rPr>
                <w:rFonts w:hint="default" w:ascii="Times New Roman" w:hAnsi="Times New Roman" w:cs="Times New Roman"/>
                <w:b w:val="0"/>
                <w:bCs/>
                <w:color w:val="auto"/>
                <w:sz w:val="21"/>
                <w:szCs w:val="21"/>
              </w:rPr>
            </w:pPr>
          </w:p>
        </w:tc>
        <w:tc>
          <w:tcPr>
            <w:tcW w:w="654" w:type="dxa"/>
            <w:vMerge w:val="continue"/>
            <w:vAlign w:val="center"/>
          </w:tcPr>
          <w:p>
            <w:pPr>
              <w:pStyle w:val="44"/>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11" w:type="dxa"/>
            <w:vMerge w:val="continue"/>
            <w:vAlign w:val="center"/>
          </w:tcPr>
          <w:p>
            <w:pPr>
              <w:pStyle w:val="44"/>
              <w:jc w:val="center"/>
              <w:rPr>
                <w:rFonts w:hint="default" w:ascii="Times New Roman" w:hAnsi="Times New Roman" w:cs="Times New Roman"/>
                <w:b w:val="0"/>
                <w:bCs/>
                <w:color w:val="auto"/>
                <w:sz w:val="21"/>
                <w:szCs w:val="21"/>
              </w:rPr>
            </w:pPr>
          </w:p>
        </w:tc>
        <w:tc>
          <w:tcPr>
            <w:tcW w:w="1623"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西侧外1m</w:t>
            </w:r>
          </w:p>
        </w:tc>
        <w:tc>
          <w:tcPr>
            <w:tcW w:w="910"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12.5</w:t>
            </w:r>
          </w:p>
        </w:tc>
        <w:tc>
          <w:tcPr>
            <w:tcW w:w="721"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38.1</w:t>
            </w:r>
          </w:p>
        </w:tc>
        <w:tc>
          <w:tcPr>
            <w:tcW w:w="793"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46</w:t>
            </w:r>
          </w:p>
        </w:tc>
        <w:tc>
          <w:tcPr>
            <w:tcW w:w="707"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40</w:t>
            </w:r>
          </w:p>
        </w:tc>
        <w:tc>
          <w:tcPr>
            <w:tcW w:w="760"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46.7</w:t>
            </w:r>
          </w:p>
        </w:tc>
        <w:tc>
          <w:tcPr>
            <w:tcW w:w="762"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42.2</w:t>
            </w:r>
          </w:p>
        </w:tc>
        <w:tc>
          <w:tcPr>
            <w:tcW w:w="776" w:type="dxa"/>
            <w:vMerge w:val="continue"/>
            <w:vAlign w:val="center"/>
          </w:tcPr>
          <w:p>
            <w:pPr>
              <w:pStyle w:val="44"/>
              <w:jc w:val="center"/>
              <w:rPr>
                <w:rFonts w:hint="default" w:ascii="Times New Roman" w:hAnsi="Times New Roman" w:cs="Times New Roman"/>
                <w:b w:val="0"/>
                <w:bCs/>
                <w:color w:val="auto"/>
                <w:sz w:val="21"/>
                <w:szCs w:val="21"/>
              </w:rPr>
            </w:pPr>
          </w:p>
        </w:tc>
        <w:tc>
          <w:tcPr>
            <w:tcW w:w="654" w:type="dxa"/>
            <w:vMerge w:val="continue"/>
            <w:vAlign w:val="center"/>
          </w:tcPr>
          <w:p>
            <w:pPr>
              <w:pStyle w:val="44"/>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811" w:type="dxa"/>
            <w:vMerge w:val="continue"/>
            <w:vAlign w:val="center"/>
          </w:tcPr>
          <w:p>
            <w:pPr>
              <w:pStyle w:val="44"/>
              <w:jc w:val="center"/>
              <w:rPr>
                <w:rFonts w:hint="default" w:ascii="Times New Roman" w:hAnsi="Times New Roman" w:cs="Times New Roman"/>
                <w:b w:val="0"/>
                <w:bCs/>
                <w:color w:val="auto"/>
                <w:sz w:val="21"/>
                <w:szCs w:val="21"/>
              </w:rPr>
            </w:pPr>
          </w:p>
        </w:tc>
        <w:tc>
          <w:tcPr>
            <w:tcW w:w="1623"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北侧外1m</w:t>
            </w:r>
          </w:p>
        </w:tc>
        <w:tc>
          <w:tcPr>
            <w:tcW w:w="910"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15</w:t>
            </w:r>
          </w:p>
        </w:tc>
        <w:tc>
          <w:tcPr>
            <w:tcW w:w="721"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36.5</w:t>
            </w:r>
          </w:p>
        </w:tc>
        <w:tc>
          <w:tcPr>
            <w:tcW w:w="793"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46</w:t>
            </w:r>
          </w:p>
        </w:tc>
        <w:tc>
          <w:tcPr>
            <w:tcW w:w="707"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40</w:t>
            </w:r>
          </w:p>
        </w:tc>
        <w:tc>
          <w:tcPr>
            <w:tcW w:w="760"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46.5</w:t>
            </w:r>
          </w:p>
        </w:tc>
        <w:tc>
          <w:tcPr>
            <w:tcW w:w="762"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41.6</w:t>
            </w:r>
          </w:p>
        </w:tc>
        <w:tc>
          <w:tcPr>
            <w:tcW w:w="776" w:type="dxa"/>
            <w:vMerge w:val="continue"/>
            <w:vAlign w:val="center"/>
          </w:tcPr>
          <w:p>
            <w:pPr>
              <w:pStyle w:val="44"/>
              <w:jc w:val="center"/>
              <w:rPr>
                <w:rFonts w:hint="default" w:ascii="Times New Roman" w:hAnsi="Times New Roman" w:cs="Times New Roman"/>
                <w:b w:val="0"/>
                <w:bCs/>
                <w:color w:val="auto"/>
                <w:sz w:val="21"/>
                <w:szCs w:val="21"/>
              </w:rPr>
            </w:pPr>
          </w:p>
        </w:tc>
        <w:tc>
          <w:tcPr>
            <w:tcW w:w="654" w:type="dxa"/>
            <w:vMerge w:val="continue"/>
            <w:vAlign w:val="center"/>
          </w:tcPr>
          <w:p>
            <w:pPr>
              <w:pStyle w:val="44"/>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trPr>
        <w:tc>
          <w:tcPr>
            <w:tcW w:w="811" w:type="dxa"/>
            <w:vMerge w:val="restart"/>
            <w:vAlign w:val="center"/>
          </w:tcPr>
          <w:p>
            <w:pPr>
              <w:pStyle w:val="44"/>
              <w:ind w:left="0" w:firstLine="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b w:val="0"/>
                <w:bCs/>
                <w:color w:val="auto"/>
                <w:sz w:val="21"/>
                <w:szCs w:val="21"/>
                <w:lang w:val="en-US" w:eastAsia="zh-CN"/>
              </w:rPr>
              <w:t>2井式井场</w:t>
            </w:r>
          </w:p>
        </w:tc>
        <w:tc>
          <w:tcPr>
            <w:tcW w:w="1623"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东侧外1m</w:t>
            </w:r>
          </w:p>
        </w:tc>
        <w:tc>
          <w:tcPr>
            <w:tcW w:w="910"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12.5</w:t>
            </w:r>
          </w:p>
        </w:tc>
        <w:tc>
          <w:tcPr>
            <w:tcW w:w="721"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41.1</w:t>
            </w:r>
          </w:p>
        </w:tc>
        <w:tc>
          <w:tcPr>
            <w:tcW w:w="793"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47</w:t>
            </w:r>
          </w:p>
        </w:tc>
        <w:tc>
          <w:tcPr>
            <w:tcW w:w="707"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38</w:t>
            </w:r>
          </w:p>
        </w:tc>
        <w:tc>
          <w:tcPr>
            <w:tcW w:w="760"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48.0</w:t>
            </w:r>
          </w:p>
        </w:tc>
        <w:tc>
          <w:tcPr>
            <w:tcW w:w="762" w:type="dxa"/>
            <w:vAlign w:val="center"/>
          </w:tcPr>
          <w:p>
            <w:pPr>
              <w:pStyle w:val="44"/>
              <w:ind w:left="0" w:firstLine="0"/>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42.8</w:t>
            </w:r>
          </w:p>
        </w:tc>
        <w:tc>
          <w:tcPr>
            <w:tcW w:w="776" w:type="dxa"/>
            <w:vMerge w:val="continue"/>
            <w:vAlign w:val="center"/>
          </w:tcPr>
          <w:p>
            <w:pPr>
              <w:pStyle w:val="44"/>
              <w:jc w:val="center"/>
              <w:rPr>
                <w:rFonts w:hint="default" w:ascii="Times New Roman" w:hAnsi="Times New Roman" w:cs="Times New Roman"/>
                <w:b w:val="0"/>
                <w:bCs/>
                <w:color w:val="auto"/>
                <w:sz w:val="21"/>
                <w:szCs w:val="21"/>
              </w:rPr>
            </w:pPr>
          </w:p>
        </w:tc>
        <w:tc>
          <w:tcPr>
            <w:tcW w:w="654" w:type="dxa"/>
            <w:vMerge w:val="continue"/>
            <w:vAlign w:val="center"/>
          </w:tcPr>
          <w:p>
            <w:pPr>
              <w:pStyle w:val="44"/>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trPr>
        <w:tc>
          <w:tcPr>
            <w:tcW w:w="811" w:type="dxa"/>
            <w:vMerge w:val="continue"/>
            <w:vAlign w:val="center"/>
          </w:tcPr>
          <w:p>
            <w:pPr>
              <w:pStyle w:val="44"/>
              <w:jc w:val="center"/>
              <w:rPr>
                <w:rFonts w:hint="default" w:ascii="Times New Roman" w:hAnsi="Times New Roman" w:cs="Times New Roman"/>
                <w:b w:val="0"/>
                <w:bCs/>
                <w:color w:val="auto"/>
                <w:sz w:val="21"/>
                <w:szCs w:val="21"/>
              </w:rPr>
            </w:pPr>
          </w:p>
        </w:tc>
        <w:tc>
          <w:tcPr>
            <w:tcW w:w="1623"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南侧外1m</w:t>
            </w:r>
          </w:p>
        </w:tc>
        <w:tc>
          <w:tcPr>
            <w:tcW w:w="910" w:type="dxa"/>
            <w:vAlign w:val="center"/>
          </w:tcPr>
          <w:p>
            <w:pPr>
              <w:pStyle w:val="44"/>
              <w:ind w:left="0" w:leftChars="0" w:firstLine="0" w:firstLineChars="0"/>
              <w:jc w:val="center"/>
              <w:rPr>
                <w:rFonts w:hint="default" w:ascii="Times New Roman" w:hAnsi="Times New Roman" w:cs="Times New Roman"/>
                <w:b w:val="0"/>
                <w:bCs/>
                <w:color w:val="auto"/>
                <w:kern w:val="2"/>
                <w:sz w:val="21"/>
                <w:szCs w:val="21"/>
                <w:lang w:val="en-US"/>
              </w:rPr>
            </w:pPr>
            <w:r>
              <w:rPr>
                <w:rFonts w:hint="eastAsia" w:ascii="Times New Roman" w:hAnsi="Times New Roman" w:cs="Times New Roman"/>
                <w:b w:val="0"/>
                <w:bCs/>
                <w:color w:val="auto"/>
                <w:kern w:val="2"/>
                <w:sz w:val="21"/>
                <w:szCs w:val="21"/>
                <w:lang w:val="en-US" w:eastAsia="zh-CN"/>
              </w:rPr>
              <w:t>15</w:t>
            </w:r>
          </w:p>
        </w:tc>
        <w:tc>
          <w:tcPr>
            <w:tcW w:w="721" w:type="dxa"/>
            <w:vAlign w:val="center"/>
          </w:tcPr>
          <w:p>
            <w:pPr>
              <w:pStyle w:val="44"/>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39.5</w:t>
            </w:r>
          </w:p>
        </w:tc>
        <w:tc>
          <w:tcPr>
            <w:tcW w:w="793"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47</w:t>
            </w:r>
          </w:p>
        </w:tc>
        <w:tc>
          <w:tcPr>
            <w:tcW w:w="707"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38</w:t>
            </w:r>
          </w:p>
        </w:tc>
        <w:tc>
          <w:tcPr>
            <w:tcW w:w="760" w:type="dxa"/>
            <w:vAlign w:val="center"/>
          </w:tcPr>
          <w:p>
            <w:pPr>
              <w:pStyle w:val="44"/>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47.7</w:t>
            </w:r>
          </w:p>
        </w:tc>
        <w:tc>
          <w:tcPr>
            <w:tcW w:w="762" w:type="dxa"/>
            <w:vAlign w:val="center"/>
          </w:tcPr>
          <w:p>
            <w:pPr>
              <w:pStyle w:val="44"/>
              <w:jc w:val="center"/>
              <w:rPr>
                <w:rFonts w:hint="default" w:ascii="Times New Roman" w:hAnsi="Times New Roman" w:cs="Times New Roman" w:eastAsiaTheme="minorEastAsia"/>
                <w:b w:val="0"/>
                <w:bCs/>
                <w:color w:val="auto"/>
                <w:kern w:val="2"/>
                <w:sz w:val="21"/>
                <w:szCs w:val="21"/>
                <w:lang w:val="en-US" w:eastAsia="zh-CN"/>
              </w:rPr>
            </w:pPr>
            <w:r>
              <w:rPr>
                <w:rFonts w:hint="eastAsia" w:ascii="Times New Roman" w:hAnsi="Times New Roman" w:cs="Times New Roman"/>
                <w:b w:val="0"/>
                <w:bCs/>
                <w:color w:val="auto"/>
                <w:kern w:val="2"/>
                <w:sz w:val="21"/>
                <w:szCs w:val="21"/>
                <w:lang w:val="en-US" w:eastAsia="zh-CN"/>
              </w:rPr>
              <w:t>41.8</w:t>
            </w:r>
          </w:p>
        </w:tc>
        <w:tc>
          <w:tcPr>
            <w:tcW w:w="776" w:type="dxa"/>
            <w:vMerge w:val="continue"/>
            <w:vAlign w:val="center"/>
          </w:tcPr>
          <w:p>
            <w:pPr>
              <w:pStyle w:val="44"/>
              <w:jc w:val="center"/>
              <w:rPr>
                <w:rFonts w:hint="default" w:ascii="Times New Roman" w:hAnsi="Times New Roman" w:cs="Times New Roman"/>
                <w:color w:val="auto"/>
                <w:kern w:val="2"/>
                <w:sz w:val="21"/>
                <w:szCs w:val="21"/>
                <w:lang w:val="en-US"/>
              </w:rPr>
            </w:pPr>
          </w:p>
        </w:tc>
        <w:tc>
          <w:tcPr>
            <w:tcW w:w="654" w:type="dxa"/>
            <w:vMerge w:val="continue"/>
            <w:vAlign w:val="center"/>
          </w:tcPr>
          <w:p>
            <w:pPr>
              <w:pStyle w:val="44"/>
              <w:jc w:val="center"/>
              <w:rPr>
                <w:rFonts w:hint="default" w:ascii="Times New Roman" w:hAnsi="Times New Roman" w:cs="Times New Roman"/>
                <w:color w:val="auto"/>
                <w:kern w:val="2"/>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trPr>
        <w:tc>
          <w:tcPr>
            <w:tcW w:w="811" w:type="dxa"/>
            <w:vMerge w:val="continue"/>
            <w:vAlign w:val="center"/>
          </w:tcPr>
          <w:p>
            <w:pPr>
              <w:pStyle w:val="44"/>
              <w:jc w:val="center"/>
              <w:rPr>
                <w:rFonts w:hint="default" w:ascii="Times New Roman" w:hAnsi="Times New Roman" w:cs="Times New Roman"/>
                <w:b w:val="0"/>
                <w:bCs/>
                <w:color w:val="auto"/>
                <w:kern w:val="2"/>
                <w:sz w:val="21"/>
                <w:szCs w:val="21"/>
                <w:lang w:val="en-US"/>
              </w:rPr>
            </w:pPr>
          </w:p>
        </w:tc>
        <w:tc>
          <w:tcPr>
            <w:tcW w:w="1623"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西侧外1m</w:t>
            </w:r>
          </w:p>
        </w:tc>
        <w:tc>
          <w:tcPr>
            <w:tcW w:w="910" w:type="dxa"/>
            <w:vAlign w:val="center"/>
          </w:tcPr>
          <w:p>
            <w:pPr>
              <w:pStyle w:val="44"/>
              <w:ind w:left="0" w:leftChars="0" w:firstLine="0" w:firstLineChars="0"/>
              <w:jc w:val="center"/>
              <w:rPr>
                <w:rFonts w:hint="default" w:ascii="Times New Roman" w:hAnsi="Times New Roman" w:cs="Times New Roman"/>
                <w:b w:val="0"/>
                <w:bCs/>
                <w:color w:val="auto"/>
                <w:kern w:val="2"/>
                <w:sz w:val="21"/>
                <w:szCs w:val="21"/>
                <w:lang w:val="en-US"/>
              </w:rPr>
            </w:pPr>
            <w:r>
              <w:rPr>
                <w:rFonts w:hint="eastAsia" w:ascii="Times New Roman" w:hAnsi="Times New Roman" w:cs="Times New Roman"/>
                <w:b w:val="0"/>
                <w:bCs/>
                <w:color w:val="auto"/>
                <w:kern w:val="2"/>
                <w:sz w:val="21"/>
                <w:szCs w:val="21"/>
                <w:lang w:val="en-US" w:eastAsia="zh-CN"/>
              </w:rPr>
              <w:t>12.5</w:t>
            </w:r>
          </w:p>
        </w:tc>
        <w:tc>
          <w:tcPr>
            <w:tcW w:w="721"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41.1</w:t>
            </w:r>
          </w:p>
        </w:tc>
        <w:tc>
          <w:tcPr>
            <w:tcW w:w="793"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47</w:t>
            </w:r>
          </w:p>
        </w:tc>
        <w:tc>
          <w:tcPr>
            <w:tcW w:w="707"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38</w:t>
            </w:r>
          </w:p>
        </w:tc>
        <w:tc>
          <w:tcPr>
            <w:tcW w:w="760"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48.0</w:t>
            </w:r>
          </w:p>
        </w:tc>
        <w:tc>
          <w:tcPr>
            <w:tcW w:w="762"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42.8</w:t>
            </w:r>
          </w:p>
        </w:tc>
        <w:tc>
          <w:tcPr>
            <w:tcW w:w="776" w:type="dxa"/>
            <w:vMerge w:val="continue"/>
            <w:vAlign w:val="center"/>
          </w:tcPr>
          <w:p>
            <w:pPr>
              <w:pStyle w:val="44"/>
              <w:jc w:val="center"/>
              <w:rPr>
                <w:rFonts w:hint="default" w:ascii="Times New Roman" w:hAnsi="Times New Roman" w:cs="Times New Roman"/>
                <w:color w:val="auto"/>
                <w:kern w:val="2"/>
                <w:sz w:val="21"/>
                <w:szCs w:val="21"/>
                <w:lang w:val="en-US"/>
              </w:rPr>
            </w:pPr>
          </w:p>
        </w:tc>
        <w:tc>
          <w:tcPr>
            <w:tcW w:w="654" w:type="dxa"/>
            <w:vMerge w:val="continue"/>
            <w:vAlign w:val="center"/>
          </w:tcPr>
          <w:p>
            <w:pPr>
              <w:pStyle w:val="44"/>
              <w:jc w:val="center"/>
              <w:rPr>
                <w:rFonts w:hint="default" w:ascii="Times New Roman" w:hAnsi="Times New Roman" w:cs="Times New Roman"/>
                <w:color w:val="auto"/>
                <w:kern w:val="2"/>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trPr>
        <w:tc>
          <w:tcPr>
            <w:tcW w:w="811" w:type="dxa"/>
            <w:vMerge w:val="continue"/>
            <w:vAlign w:val="center"/>
          </w:tcPr>
          <w:p>
            <w:pPr>
              <w:pStyle w:val="44"/>
              <w:jc w:val="center"/>
              <w:rPr>
                <w:rFonts w:hint="default" w:ascii="Times New Roman" w:hAnsi="Times New Roman" w:cs="Times New Roman"/>
                <w:b w:val="0"/>
                <w:bCs/>
                <w:color w:val="auto"/>
                <w:kern w:val="2"/>
                <w:sz w:val="21"/>
                <w:szCs w:val="21"/>
                <w:lang w:val="en-US"/>
              </w:rPr>
            </w:pPr>
          </w:p>
        </w:tc>
        <w:tc>
          <w:tcPr>
            <w:tcW w:w="1623" w:type="dxa"/>
            <w:vAlign w:val="center"/>
          </w:tcPr>
          <w:p>
            <w:pPr>
              <w:pStyle w:val="44"/>
              <w:ind w:left="0" w:firstLine="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北侧外1m</w:t>
            </w:r>
          </w:p>
        </w:tc>
        <w:tc>
          <w:tcPr>
            <w:tcW w:w="910" w:type="dxa"/>
            <w:vAlign w:val="center"/>
          </w:tcPr>
          <w:p>
            <w:pPr>
              <w:pStyle w:val="44"/>
              <w:ind w:left="0" w:leftChars="0" w:firstLine="0" w:firstLineChars="0"/>
              <w:jc w:val="center"/>
              <w:rPr>
                <w:rFonts w:hint="default" w:ascii="Times New Roman" w:hAnsi="Times New Roman" w:cs="Times New Roman"/>
                <w:b w:val="0"/>
                <w:bCs/>
                <w:color w:val="auto"/>
                <w:kern w:val="2"/>
                <w:sz w:val="21"/>
                <w:szCs w:val="21"/>
                <w:lang w:val="en-US"/>
              </w:rPr>
            </w:pPr>
            <w:r>
              <w:rPr>
                <w:rFonts w:hint="default" w:ascii="Times New Roman" w:hAnsi="Times New Roman" w:cs="Times New Roman"/>
                <w:b w:val="0"/>
                <w:bCs/>
                <w:color w:val="auto"/>
                <w:kern w:val="2"/>
                <w:sz w:val="21"/>
                <w:szCs w:val="21"/>
                <w:lang w:val="en-US"/>
              </w:rPr>
              <w:t>15</w:t>
            </w:r>
          </w:p>
        </w:tc>
        <w:tc>
          <w:tcPr>
            <w:tcW w:w="721" w:type="dxa"/>
            <w:vAlign w:val="center"/>
          </w:tcPr>
          <w:p>
            <w:pPr>
              <w:pStyle w:val="44"/>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39.5</w:t>
            </w:r>
          </w:p>
        </w:tc>
        <w:tc>
          <w:tcPr>
            <w:tcW w:w="793"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47</w:t>
            </w:r>
          </w:p>
        </w:tc>
        <w:tc>
          <w:tcPr>
            <w:tcW w:w="707" w:type="dxa"/>
            <w:vAlign w:val="center"/>
          </w:tcPr>
          <w:p>
            <w:pPr>
              <w:pStyle w:val="44"/>
              <w:ind w:left="0" w:leftChars="0"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38</w:t>
            </w:r>
          </w:p>
        </w:tc>
        <w:tc>
          <w:tcPr>
            <w:tcW w:w="760" w:type="dxa"/>
            <w:vAlign w:val="center"/>
          </w:tcPr>
          <w:p>
            <w:pPr>
              <w:pStyle w:val="44"/>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47.7</w:t>
            </w:r>
          </w:p>
        </w:tc>
        <w:tc>
          <w:tcPr>
            <w:tcW w:w="762" w:type="dxa"/>
            <w:vAlign w:val="center"/>
          </w:tcPr>
          <w:p>
            <w:pPr>
              <w:pStyle w:val="44"/>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41.8</w:t>
            </w:r>
          </w:p>
        </w:tc>
        <w:tc>
          <w:tcPr>
            <w:tcW w:w="776" w:type="dxa"/>
            <w:vMerge w:val="continue"/>
            <w:vAlign w:val="center"/>
          </w:tcPr>
          <w:p>
            <w:pPr>
              <w:pStyle w:val="44"/>
              <w:jc w:val="center"/>
              <w:rPr>
                <w:rFonts w:hint="default" w:ascii="Times New Roman" w:hAnsi="Times New Roman" w:cs="Times New Roman"/>
                <w:color w:val="auto"/>
                <w:kern w:val="2"/>
                <w:sz w:val="21"/>
                <w:szCs w:val="21"/>
                <w:lang w:val="en-US"/>
              </w:rPr>
            </w:pPr>
          </w:p>
        </w:tc>
        <w:tc>
          <w:tcPr>
            <w:tcW w:w="654" w:type="dxa"/>
            <w:vMerge w:val="continue"/>
            <w:vAlign w:val="center"/>
          </w:tcPr>
          <w:p>
            <w:pPr>
              <w:pStyle w:val="44"/>
              <w:jc w:val="center"/>
              <w:rPr>
                <w:rFonts w:hint="default" w:ascii="Times New Roman" w:hAnsi="Times New Roman" w:cs="Times New Roman"/>
                <w:color w:val="auto"/>
                <w:kern w:val="2"/>
                <w:sz w:val="21"/>
                <w:szCs w:val="21"/>
                <w:lang w:val="en-US"/>
              </w:rPr>
            </w:pP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由预测结果可知，</w:t>
      </w:r>
      <w:bookmarkStart w:id="278" w:name="_Hlk29293295"/>
      <w:r>
        <w:rPr>
          <w:rFonts w:hint="default" w:ascii="Times New Roman" w:hAnsi="Times New Roman" w:cs="Times New Roman"/>
          <w:color w:val="auto"/>
          <w:sz w:val="24"/>
          <w:szCs w:val="24"/>
        </w:rPr>
        <w:t>运营期项目区厂界四周噪声值满足《声环境质量标准》（GB3096–2008）2类标准要求，</w:t>
      </w:r>
      <w:bookmarkEnd w:id="278"/>
      <w:r>
        <w:rPr>
          <w:rFonts w:hint="default" w:ascii="Times New Roman" w:hAnsi="Times New Roman" w:cs="Times New Roman"/>
          <w:color w:val="auto"/>
          <w:sz w:val="24"/>
          <w:szCs w:val="24"/>
        </w:rPr>
        <w:t>工程实施后不会对周围声环境产生明显影响。</w:t>
      </w:r>
    </w:p>
    <w:bookmarkEnd w:id="276"/>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（5）声环境影响评价自查表</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声环境影响评价自查表详见表5.4-4。</w:t>
      </w:r>
    </w:p>
    <w:p>
      <w:pPr>
        <w:pStyle w:val="48"/>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t>表5.4-4  声环境影响评价自查表</w:t>
      </w:r>
    </w:p>
    <w:tbl>
      <w:tblPr>
        <w:tblStyle w:val="3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62"/>
        <w:gridCol w:w="936"/>
        <w:gridCol w:w="539"/>
        <w:gridCol w:w="542"/>
        <w:gridCol w:w="1081"/>
        <w:gridCol w:w="1079"/>
        <w:gridCol w:w="540"/>
        <w:gridCol w:w="539"/>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8" w:type="dxa"/>
            <w:gridSpan w:val="2"/>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工作内容</w:t>
            </w:r>
          </w:p>
        </w:tc>
        <w:tc>
          <w:tcPr>
            <w:tcW w:w="6342" w:type="dxa"/>
            <w:gridSpan w:val="8"/>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916"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评价等级与范围</w:t>
            </w: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评价等级</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一级</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二级</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三级</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评价范围</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200m</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大于200m   小于200m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评价因子</w:t>
            </w: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评价因子</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等效连续A声级</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最大A声级</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计权等效连续感觉噪声级</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评价标准</w:t>
            </w: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评价标准</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国家标准</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地方标准</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国外标准</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现状评价</w:t>
            </w: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环境功能区</w:t>
            </w:r>
          </w:p>
        </w:tc>
        <w:tc>
          <w:tcPr>
            <w:tcW w:w="93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0类区</w:t>
            </w:r>
            <w:r>
              <w:rPr>
                <w:rFonts w:hint="default" w:ascii="Times New Roman" w:hAnsi="Times New Roman" w:cs="Times New Roman"/>
                <w:color w:val="auto"/>
              </w:rPr>
              <w:sym w:font="Wingdings" w:char="00A8"/>
            </w:r>
          </w:p>
        </w:tc>
        <w:tc>
          <w:tcPr>
            <w:tcW w:w="1081"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1类区</w:t>
            </w:r>
            <w:r>
              <w:rPr>
                <w:rFonts w:hint="default" w:ascii="Times New Roman" w:hAnsi="Times New Roman" w:cs="Times New Roman"/>
                <w:color w:val="auto"/>
              </w:rPr>
              <w:sym w:font="Wingdings" w:char="00A8"/>
            </w:r>
          </w:p>
        </w:tc>
        <w:tc>
          <w:tcPr>
            <w:tcW w:w="1081"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2类区</w:t>
            </w:r>
            <w:r>
              <w:rPr>
                <w:rFonts w:hint="default" w:ascii="Times New Roman" w:hAnsi="Times New Roman" w:cs="Times New Roman"/>
                <w:color w:val="auto"/>
              </w:rPr>
              <w:sym w:font="Wingdings" w:char="00FE"/>
            </w:r>
          </w:p>
        </w:tc>
        <w:tc>
          <w:tcPr>
            <w:tcW w:w="107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3类区</w:t>
            </w:r>
            <w:r>
              <w:rPr>
                <w:rFonts w:hint="default" w:ascii="Times New Roman" w:hAnsi="Times New Roman" w:cs="Times New Roman"/>
                <w:color w:val="auto"/>
              </w:rPr>
              <w:sym w:font="Wingdings" w:char="00A8"/>
            </w:r>
          </w:p>
        </w:tc>
        <w:tc>
          <w:tcPr>
            <w:tcW w:w="1079"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4a类区</w:t>
            </w:r>
            <w:r>
              <w:rPr>
                <w:rFonts w:hint="default" w:ascii="Times New Roman" w:hAnsi="Times New Roman" w:cs="Times New Roman"/>
                <w:color w:val="auto"/>
              </w:rPr>
              <w:sym w:font="Wingdings" w:char="00A8"/>
            </w:r>
          </w:p>
        </w:tc>
        <w:tc>
          <w:tcPr>
            <w:tcW w:w="108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4b类区</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评价年度</w:t>
            </w:r>
          </w:p>
        </w:tc>
        <w:tc>
          <w:tcPr>
            <w:tcW w:w="147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初期</w:t>
            </w:r>
            <w:r>
              <w:rPr>
                <w:rFonts w:hint="default" w:ascii="Times New Roman" w:hAnsi="Times New Roman" w:cs="Times New Roman"/>
                <w:color w:val="auto"/>
              </w:rPr>
              <w:sym w:font="Wingdings" w:char="00FE"/>
            </w:r>
          </w:p>
        </w:tc>
        <w:tc>
          <w:tcPr>
            <w:tcW w:w="1623"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近期</w:t>
            </w:r>
            <w:r>
              <w:rPr>
                <w:rFonts w:hint="default" w:ascii="Times New Roman" w:hAnsi="Times New Roman" w:cs="Times New Roman"/>
                <w:color w:val="auto"/>
              </w:rPr>
              <w:sym w:font="Wingdings" w:char="00A8"/>
            </w:r>
          </w:p>
        </w:tc>
        <w:tc>
          <w:tcPr>
            <w:tcW w:w="1619"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中期</w:t>
            </w:r>
            <w:r>
              <w:rPr>
                <w:rFonts w:hint="default" w:ascii="Times New Roman" w:hAnsi="Times New Roman" w:cs="Times New Roman"/>
                <w:color w:val="auto"/>
              </w:rPr>
              <w:sym w:font="Wingdings" w:char="00A8"/>
            </w:r>
          </w:p>
        </w:tc>
        <w:tc>
          <w:tcPr>
            <w:tcW w:w="1625"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远期</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现状调查方法</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现场实测法</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现场实测加模型计算法</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收集资料</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现状评价</w:t>
            </w:r>
          </w:p>
        </w:tc>
        <w:tc>
          <w:tcPr>
            <w:tcW w:w="3098" w:type="dxa"/>
            <w:gridSpan w:val="4"/>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达标百分比</w:t>
            </w:r>
          </w:p>
        </w:tc>
        <w:tc>
          <w:tcPr>
            <w:tcW w:w="3244" w:type="dxa"/>
            <w:gridSpan w:val="4"/>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噪声源调查</w:t>
            </w: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噪声源调查方法</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现场实测</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已有资料</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研究成果</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声环境影响预测与评价</w:t>
            </w: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预测模型</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导则推荐模型</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其他</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预测范围</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200m</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大于200m   小于200m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预测因子</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等效连续A声级</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最大A声级</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计权等效连续感觉噪声级</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厂界噪声贡献值</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达标</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不达标</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声环境保护目标处噪声值</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达标</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不达标</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环境监测计划</w:t>
            </w: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排放监测</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厂界监测</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固定位置监测</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自动监测</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手动监测</w:t>
            </w:r>
            <w:r>
              <w:rPr>
                <w:rFonts w:hint="default" w:ascii="Times New Roman" w:hAnsi="Times New Roman" w:cs="Times New Roman"/>
                <w:color w:val="auto"/>
              </w:rPr>
              <w:sym w:font="Wingdings" w:char="00A8"/>
            </w:r>
            <w:r>
              <w:rPr>
                <w:rFonts w:hint="default" w:ascii="Times New Roman" w:hAnsi="Times New Roman" w:cs="Times New Roman"/>
                <w:color w:val="auto"/>
              </w:rPr>
              <w:t xml:space="preserve"> 无监测</w:t>
            </w:r>
            <w:r>
              <w:rPr>
                <w:rFonts w:hint="default" w:ascii="Times New Roman" w:hAnsi="Times New Roman" w:cs="Times New Roman"/>
                <w:color w:val="auto"/>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Merge w:val="continue"/>
            <w:vAlign w:val="center"/>
          </w:tcPr>
          <w:p>
            <w:pPr>
              <w:pStyle w:val="47"/>
              <w:rPr>
                <w:rFonts w:hint="default" w:ascii="Times New Roman" w:hAnsi="Times New Roman" w:cs="Times New Roman"/>
                <w:color w:val="auto"/>
              </w:rPr>
            </w:pP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声环境保护目标处噪声监测</w:t>
            </w:r>
          </w:p>
        </w:tc>
        <w:tc>
          <w:tcPr>
            <w:tcW w:w="2017"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监测因子：（</w:t>
            </w:r>
            <w:r>
              <w:rPr>
                <w:rFonts w:hint="eastAsia" w:cs="Times New Roman"/>
                <w:color w:val="auto"/>
                <w:lang w:val="en-US" w:eastAsia="zh-CN"/>
              </w:rPr>
              <w:t>无</w:t>
            </w:r>
            <w:r>
              <w:rPr>
                <w:rFonts w:hint="default" w:ascii="Times New Roman" w:hAnsi="Times New Roman" w:cs="Times New Roman"/>
                <w:color w:val="auto"/>
              </w:rPr>
              <w:t>）</w:t>
            </w:r>
          </w:p>
        </w:tc>
        <w:tc>
          <w:tcPr>
            <w:tcW w:w="2160" w:type="dxa"/>
            <w:gridSpan w:val="2"/>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监测点位数（</w:t>
            </w:r>
            <w:r>
              <w:rPr>
                <w:rFonts w:hint="eastAsia" w:cs="Times New Roman"/>
                <w:color w:val="auto"/>
                <w:lang w:val="en-US" w:eastAsia="zh-CN"/>
              </w:rPr>
              <w:t>0</w:t>
            </w:r>
            <w:r>
              <w:rPr>
                <w:rFonts w:hint="default" w:ascii="Times New Roman" w:hAnsi="Times New Roman" w:cs="Times New Roman"/>
                <w:color w:val="auto"/>
              </w:rPr>
              <w:t>）</w:t>
            </w:r>
          </w:p>
        </w:tc>
        <w:tc>
          <w:tcPr>
            <w:tcW w:w="2165" w:type="dxa"/>
            <w:gridSpan w:val="3"/>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无监测</w:t>
            </w:r>
            <w:r>
              <w:rPr>
                <w:rFonts w:hint="default" w:ascii="Times New Roman" w:hAnsi="Times New Roman" w:cs="Times New Roman"/>
                <w:color w:val="auto"/>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评价结论</w:t>
            </w:r>
          </w:p>
        </w:tc>
        <w:tc>
          <w:tcPr>
            <w:tcW w:w="126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环境影响</w:t>
            </w:r>
          </w:p>
        </w:tc>
        <w:tc>
          <w:tcPr>
            <w:tcW w:w="6342" w:type="dxa"/>
            <w:gridSpan w:val="8"/>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可行</w:t>
            </w:r>
            <w:r>
              <w:rPr>
                <w:rFonts w:hint="default" w:ascii="Times New Roman" w:hAnsi="Times New Roman" w:cs="Times New Roman"/>
                <w:color w:val="auto"/>
              </w:rPr>
              <w:sym w:font="Wingdings" w:char="00FE"/>
            </w:r>
            <w:r>
              <w:rPr>
                <w:rFonts w:hint="default" w:ascii="Times New Roman" w:hAnsi="Times New Roman" w:cs="Times New Roman"/>
                <w:color w:val="auto"/>
              </w:rPr>
              <w:t xml:space="preserve">   不可行</w:t>
            </w:r>
            <w:r>
              <w:rPr>
                <w:rFonts w:hint="default" w:ascii="Times New Roman" w:hAnsi="Times New Roman" w:cs="Times New Roman"/>
                <w:color w:val="auto"/>
              </w:rPr>
              <w:sym w:font="Wingdings" w:char="00A8"/>
            </w:r>
          </w:p>
        </w:tc>
      </w:tr>
    </w:tbl>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5.4.3声环境影响评价小结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项目区施工期的这些噪声均为暂时性的，只在短时期对局部环境和施工人员造成影响，待施工结束后这种影响也随之消失。施工期噪声对周围环境造成的影响属可接受范围。</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噪声污染源主要为各类机泵及运输车辆噪声。经预测，运营期噪声源对背景噪声的贡献较小，厂界四周噪声值均满足《工业企业厂界环境噪声排放标准》（GB12348-2008）2类标准限值要求，且本项目位于戈壁荒漠，周边200m范围内无固定居民居住，故在运营期间本项目不会产生扰民现象，运营期噪声影响属于可接受范围内。</w:t>
      </w:r>
    </w:p>
    <w:p>
      <w:pPr>
        <w:pStyle w:val="3"/>
        <w:spacing w:before="10" w:after="10"/>
        <w:rPr>
          <w:rFonts w:hint="default" w:ascii="Times New Roman" w:hAnsi="Times New Roman" w:eastAsia="宋体" w:cs="Times New Roman"/>
          <w:color w:val="auto"/>
        </w:rPr>
      </w:pPr>
      <w:bookmarkStart w:id="279" w:name="_Toc29390926"/>
      <w:bookmarkStart w:id="280" w:name="_Toc35366088"/>
      <w:bookmarkStart w:id="281" w:name="_Toc13825"/>
      <w:bookmarkStart w:id="282" w:name="_Toc35366479"/>
      <w:bookmarkStart w:id="283" w:name="_Toc24531"/>
      <w:bookmarkStart w:id="284" w:name="_Toc44088082"/>
      <w:r>
        <w:rPr>
          <w:rFonts w:hint="default" w:ascii="Times New Roman" w:hAnsi="Times New Roman" w:eastAsia="宋体" w:cs="Times New Roman"/>
          <w:color w:val="auto"/>
        </w:rPr>
        <w:t>5.5固体废物影响分析</w:t>
      </w:r>
      <w:bookmarkEnd w:id="279"/>
      <w:bookmarkEnd w:id="280"/>
      <w:bookmarkEnd w:id="281"/>
      <w:bookmarkEnd w:id="282"/>
      <w:bookmarkEnd w:id="283"/>
      <w:bookmarkEnd w:id="284"/>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油田开发过程中产生的固体废物主要为：①施工期钻井过程中产生的钻井岩屑、施工弃土、机械设备废油、废弃防渗膜和少量的建筑垃圾及施工生活垃圾等；②运营期产生的含油污泥</w:t>
      </w:r>
      <w:r>
        <w:rPr>
          <w:rFonts w:cs="Times New Roman"/>
          <w:color w:val="auto"/>
          <w:sz w:val="24"/>
          <w:szCs w:val="24"/>
        </w:rPr>
        <w:t>、落地原油</w:t>
      </w:r>
      <w:r>
        <w:rPr>
          <w:rFonts w:hint="default" w:ascii="Times New Roman" w:hAnsi="Times New Roman" w:cs="Times New Roman"/>
          <w:color w:val="auto"/>
          <w:sz w:val="24"/>
          <w:szCs w:val="24"/>
        </w:rPr>
        <w:t>、清管废渣、废润滑油和废弃防渗膜等。</w:t>
      </w:r>
    </w:p>
    <w:p>
      <w:pPr>
        <w:tabs>
          <w:tab w:val="left" w:pos="3465"/>
        </w:tabs>
        <w:spacing w:line="360" w:lineRule="auto"/>
        <w:outlineLvl w:val="2"/>
        <w:rPr>
          <w:rFonts w:hint="default" w:ascii="Times New Roman" w:hAnsi="Times New Roman" w:eastAsia="宋体" w:cs="Times New Roman"/>
          <w:b/>
          <w:color w:val="auto"/>
          <w:sz w:val="30"/>
          <w:szCs w:val="30"/>
        </w:rPr>
      </w:pPr>
      <w:bookmarkStart w:id="285" w:name="_Hlk25320669"/>
      <w:r>
        <w:rPr>
          <w:rFonts w:hint="default" w:ascii="Times New Roman" w:hAnsi="Times New Roman" w:eastAsia="宋体" w:cs="Times New Roman"/>
          <w:b/>
          <w:color w:val="auto"/>
          <w:sz w:val="30"/>
          <w:szCs w:val="30"/>
        </w:rPr>
        <w:t>5.5.1施工期固体废物影响分析</w:t>
      </w:r>
    </w:p>
    <w:bookmarkEnd w:id="285"/>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（1）钻井岩屑</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岩屑经不落地系统收集暂存在水基岩屑暂存罐内，交由岩屑处置单位处理，经检测符合《油气田钻井固体废物综合利用污染控制要求》（DB65/T 3997-2017）中要求，可进行综合利用。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（2）机械设备废油、废弃防渗膜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油气井钻井过程中，井筒液柱压力大于地层孔隙压力（有时甚至低于地层孔隙压力），严禁地层流体进入井筒，因此钻井过程中无液体伴随井筒回到地面。项目钻井设备、试采设备、泥浆罐、储油罐下铺设HDPE土工膜，同时HDPE土工膜敷设外延0.5m以上，以防止落地油污染土壤环境，因此正常工况不会产生落地油。</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施工期间使用的机械设备运行过程中需进行维护、保养、维修等工作，以使其能正常运转，此过程中将产生少量的废油，如废润滑油、废机油、废弃防渗膜等，委托具有危险废物运输及处理资质的单位进行处置。</w:t>
      </w:r>
    </w:p>
    <w:p>
      <w:pPr>
        <w:pStyle w:val="56"/>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（3）施工土石方：</w:t>
      </w:r>
      <w:r>
        <w:rPr>
          <w:rFonts w:cs="Times New Roman"/>
          <w:color w:val="auto"/>
          <w:sz w:val="24"/>
          <w:szCs w:val="24"/>
        </w:rPr>
        <w:t>施工土方在管线</w:t>
      </w:r>
      <w:r>
        <w:rPr>
          <w:rFonts w:hint="eastAsia" w:cs="Times New Roman"/>
          <w:color w:val="auto"/>
          <w:sz w:val="24"/>
          <w:szCs w:val="24"/>
          <w:lang w:val="en-US" w:eastAsia="zh-CN"/>
        </w:rPr>
        <w:t>及输电线路杆塔</w:t>
      </w:r>
      <w:r>
        <w:rPr>
          <w:rFonts w:cs="Times New Roman"/>
          <w:color w:val="auto"/>
          <w:sz w:val="24"/>
          <w:szCs w:val="24"/>
        </w:rPr>
        <w:t>施工结束后全部</w:t>
      </w:r>
      <w:bookmarkStart w:id="286" w:name="_Hlk96090203"/>
      <w:r>
        <w:rPr>
          <w:rFonts w:cs="Times New Roman"/>
          <w:color w:val="auto"/>
          <w:sz w:val="24"/>
          <w:szCs w:val="24"/>
        </w:rPr>
        <w:t>用于回填管沟及场地平整</w:t>
      </w:r>
      <w:bookmarkEnd w:id="286"/>
      <w:r>
        <w:rPr>
          <w:rFonts w:cs="Times New Roman"/>
          <w:color w:val="auto"/>
          <w:sz w:val="24"/>
          <w:szCs w:val="24"/>
        </w:rPr>
        <w:t>，并实施压实平整水土保持措施。本项目不设置集中弃土场。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r>
        <w:rPr>
          <w:rFonts w:hint="default" w:ascii="Times New Roman" w:hAnsi="Times New Roman" w:eastAsia="宋体" w:cs="Times New Roman"/>
          <w:color w:val="auto"/>
          <w:sz w:val="24"/>
          <w:szCs w:val="24"/>
        </w:rPr>
        <w:t>建筑垃圾：</w:t>
      </w:r>
      <w:r>
        <w:rPr>
          <w:rFonts w:ascii="Times New Roman" w:hAnsi="Times New Roman" w:eastAsia="宋体" w:cs="Times New Roman"/>
          <w:color w:val="auto"/>
          <w:sz w:val="24"/>
          <w:szCs w:val="24"/>
        </w:rPr>
        <w:t>主</w:t>
      </w:r>
      <w:r>
        <w:rPr>
          <w:rFonts w:cs="Times New Roman"/>
          <w:color w:val="auto"/>
          <w:sz w:val="24"/>
          <w:szCs w:val="24"/>
        </w:rPr>
        <w:t>要包括土建工程垃圾、</w:t>
      </w:r>
      <w:r>
        <w:rPr>
          <w:rFonts w:hint="eastAsia" w:cs="Times New Roman"/>
          <w:color w:val="auto"/>
          <w:sz w:val="24"/>
          <w:szCs w:val="24"/>
          <w:lang w:val="en-US" w:eastAsia="zh-CN"/>
        </w:rPr>
        <w:t>供配电线路建筑材料包装、</w:t>
      </w:r>
      <w:r>
        <w:rPr>
          <w:rFonts w:cs="Times New Roman"/>
          <w:color w:val="auto"/>
          <w:sz w:val="24"/>
          <w:szCs w:val="24"/>
        </w:rPr>
        <w:t>安装工程的金属废料等，采取有效措施及时收集、清理。采取回收和综合利用等方法，充分利用资源；对不能再利用的建筑垃圾，可送当地建筑垃圾处理场处理。严禁随意丢弃、堆放，造成景观污染。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5</w:t>
      </w:r>
      <w:r>
        <w:rPr>
          <w:rFonts w:hint="default" w:ascii="Times New Roman" w:hAnsi="Times New Roman" w:cs="Times New Roman"/>
          <w:color w:val="auto"/>
          <w:sz w:val="24"/>
          <w:szCs w:val="24"/>
        </w:rPr>
        <w:t>）施工生活垃圾：项目建设施工期施工人员的生活垃圾利用垃圾箱（</w:t>
      </w:r>
      <w:r>
        <w:rPr>
          <w:rFonts w:hint="eastAsia" w:cs="Times New Roman"/>
          <w:color w:val="auto"/>
          <w:sz w:val="24"/>
          <w:szCs w:val="24"/>
          <w:lang w:eastAsia="zh-CN"/>
        </w:rPr>
        <w:t>桶</w:t>
      </w:r>
      <w:r>
        <w:rPr>
          <w:rFonts w:hint="default" w:ascii="Times New Roman" w:hAnsi="Times New Roman" w:cs="Times New Roman"/>
          <w:color w:val="auto"/>
          <w:sz w:val="24"/>
          <w:szCs w:val="24"/>
        </w:rPr>
        <w:t>）收集，清运至</w:t>
      </w:r>
      <w:r>
        <w:rPr>
          <w:rFonts w:hint="default" w:ascii="Times New Roman" w:hAnsi="Times New Roman" w:eastAsia="宋体" w:cs="Times New Roman"/>
          <w:color w:val="auto"/>
          <w:sz w:val="24"/>
          <w:szCs w:val="22"/>
          <w:lang w:val="en-US" w:eastAsia="zh-CN"/>
        </w:rPr>
        <w:t>陆梁油田</w:t>
      </w:r>
      <w:r>
        <w:rPr>
          <w:rFonts w:hint="default" w:ascii="Times New Roman" w:hAnsi="Times New Roman" w:cs="Times New Roman"/>
          <w:color w:val="auto"/>
          <w:sz w:val="24"/>
          <w:szCs w:val="24"/>
        </w:rPr>
        <w:t>生活垃圾填埋场进行卫生填埋。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综上，只要加强管理，并严格按照本评价提出的防范措施妥善处置施工期产生的固体废物，不会对周围环境产生明显影响。</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5.5.2运营期固体废物影响分析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（1）含油污泥</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sz w:val="24"/>
          <w:szCs w:val="24"/>
        </w:rPr>
        <w:t>该废物来自联合</w:t>
      </w:r>
      <w:r>
        <w:rPr>
          <w:rFonts w:hint="default" w:ascii="Times New Roman" w:hAnsi="Times New Roman" w:cs="Times New Roman"/>
          <w:color w:val="auto"/>
          <w:sz w:val="24"/>
          <w:szCs w:val="24"/>
          <w:lang w:eastAsia="zh-CN"/>
        </w:rPr>
        <w:t>站</w:t>
      </w:r>
      <w:r>
        <w:rPr>
          <w:rFonts w:hint="default" w:ascii="Times New Roman" w:hAnsi="Times New Roman" w:cs="Times New Roman"/>
          <w:color w:val="auto"/>
          <w:sz w:val="24"/>
          <w:szCs w:val="24"/>
        </w:rPr>
        <w:t>内压裂返排液除油预处理装置以及检修清罐等工艺</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对照《国家危险废物名录（202</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年版）》，含油污泥危险废物类别为HW08废矿物油与含矿物油废物中071-001-08石油开采和联合站贮存产生的油泥和油脚。含油污泥由专用运输车辆进行运输、转移，并严格按照《危险废物转移管理办法》（生态环境部、公安部、交通运输部令第23号），实施危险废物转移管理制度。本工程产生的含油污泥采用专用收集罐收集，收集后暂存至陆梁油田作业区污泥暂存池，定期委托克拉玛依博达生态环保科技有限责任公司或其他有危废处置资质单位接收处置，基本不会对环境产生不利影响。</w:t>
      </w:r>
    </w:p>
    <w:p>
      <w:pPr>
        <w:pStyle w:val="11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）落地原油</w:t>
      </w:r>
    </w:p>
    <w:p>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lang w:val="en-US" w:eastAsia="zh-CN"/>
        </w:rPr>
        <w:t>本项目运营期</w:t>
      </w:r>
      <w:r>
        <w:rPr>
          <w:rFonts w:hint="default" w:ascii="Times New Roman" w:hAnsi="Times New Roman" w:cs="Times New Roman"/>
          <w:color w:val="auto"/>
          <w:sz w:val="24"/>
          <w:szCs w:val="24"/>
          <w:highlight w:val="none"/>
        </w:rPr>
        <w:t>井下作业、修井作业时</w:t>
      </w:r>
      <w:r>
        <w:rPr>
          <w:rFonts w:hint="default" w:ascii="Times New Roman" w:hAnsi="Times New Roman" w:cs="Times New Roman"/>
          <w:color w:val="auto"/>
          <w:sz w:val="24"/>
          <w:szCs w:val="24"/>
          <w:highlight w:val="none"/>
          <w:lang w:val="en-US" w:eastAsia="zh-CN"/>
        </w:rPr>
        <w:t>会</w:t>
      </w:r>
      <w:r>
        <w:rPr>
          <w:rFonts w:hint="default" w:ascii="Times New Roman" w:hAnsi="Times New Roman" w:cs="Times New Roman"/>
          <w:color w:val="auto"/>
          <w:sz w:val="24"/>
          <w:szCs w:val="24"/>
          <w:highlight w:val="none"/>
        </w:rPr>
        <w:t>产生落地原油。</w:t>
      </w:r>
      <w:bookmarkStart w:id="287" w:name="OLE_LINK29"/>
      <w:r>
        <w:rPr>
          <w:rFonts w:hint="default" w:ascii="Times New Roman" w:hAnsi="Times New Roman" w:cs="Times New Roman"/>
          <w:color w:val="auto"/>
          <w:sz w:val="24"/>
          <w:szCs w:val="24"/>
          <w:highlight w:val="none"/>
          <w:lang w:val="en-US" w:eastAsia="zh-CN"/>
        </w:rPr>
        <w:t>经调查，</w:t>
      </w:r>
      <w:r>
        <w:rPr>
          <w:rFonts w:hint="default" w:ascii="Times New Roman" w:hAnsi="Times New Roman" w:cs="Times New Roman"/>
          <w:color w:val="auto"/>
          <w:sz w:val="24"/>
          <w:szCs w:val="24"/>
          <w:highlight w:val="none"/>
          <w:lang w:val="zh-CN"/>
        </w:rPr>
        <w:t>井下带罐作业，井口排出物全部进罐，</w:t>
      </w:r>
      <w:r>
        <w:rPr>
          <w:rFonts w:hint="default" w:ascii="Times New Roman" w:hAnsi="Times New Roman" w:cs="Times New Roman"/>
          <w:color w:val="auto"/>
          <w:sz w:val="24"/>
          <w:szCs w:val="24"/>
          <w:highlight w:val="none"/>
          <w:lang w:val="en-US" w:eastAsia="zh-CN"/>
        </w:rPr>
        <w:t>运营期</w:t>
      </w:r>
      <w:r>
        <w:rPr>
          <w:rFonts w:hint="default" w:ascii="Times New Roman" w:hAnsi="Times New Roman" w:cs="Times New Roman"/>
          <w:color w:val="auto"/>
          <w:sz w:val="24"/>
          <w:szCs w:val="24"/>
          <w:highlight w:val="none"/>
          <w:lang w:val="zh-CN"/>
        </w:rPr>
        <w:t>修井作业时用防渗膜铺垫井场，做到原油100%不落地，</w:t>
      </w:r>
      <w:r>
        <w:rPr>
          <w:rFonts w:hint="default" w:ascii="Times New Roman" w:hAnsi="Times New Roman" w:cs="Times New Roman"/>
          <w:color w:val="auto"/>
          <w:sz w:val="24"/>
          <w:szCs w:val="24"/>
          <w:highlight w:val="none"/>
        </w:rPr>
        <w:t>落地原油收集后</w:t>
      </w:r>
      <w:r>
        <w:rPr>
          <w:rFonts w:hint="default" w:ascii="Times New Roman" w:hAnsi="Times New Roman" w:cs="Times New Roman"/>
          <w:color w:val="auto"/>
          <w:sz w:val="24"/>
          <w:szCs w:val="24"/>
          <w:highlight w:val="none"/>
          <w:lang w:val="en-US" w:eastAsia="zh-CN"/>
        </w:rPr>
        <w:t>拉运至陆梁集中处理站原油处理系统处置。</w:t>
      </w:r>
    </w:p>
    <w:bookmarkEnd w:id="287"/>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（3）清管废渣</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集输管线清管作业产生清管废渣，每2年清管1次，清管废渣的主要成分为石油类、SS等，属于危险废物，在作业过程严格按危险废物相关技术要求和管理规定进行收集，委托有危废处置资质单位进行处置。</w:t>
      </w:r>
    </w:p>
    <w:p>
      <w:pPr>
        <w:pStyle w:val="11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（4）废润滑油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运营期井架及井下作业时各类机械设备需要定期保养和维护，会产生一定量的废润滑油，</w:t>
      </w:r>
      <w:r>
        <w:rPr>
          <w:rFonts w:hint="default" w:ascii="Times New Roman" w:hAnsi="Times New Roman" w:cs="Times New Roman"/>
          <w:color w:val="auto"/>
          <w:sz w:val="24"/>
          <w:highlight w:val="none"/>
          <w:lang w:eastAsia="zh-CN"/>
        </w:rPr>
        <w:t>废润滑油</w:t>
      </w:r>
      <w:r>
        <w:rPr>
          <w:rFonts w:hint="default" w:ascii="Times New Roman" w:hAnsi="Times New Roman" w:eastAsia="宋体" w:cs="Times New Roman"/>
          <w:color w:val="auto"/>
          <w:sz w:val="24"/>
          <w:highlight w:val="none"/>
          <w:lang w:eastAsia="zh-CN"/>
        </w:rPr>
        <w:t>成分为矿物油与原油成分相似，可进入陆梁集中处理站原油处理系统处置</w:t>
      </w:r>
      <w:r>
        <w:rPr>
          <w:rFonts w:hint="default" w:ascii="Times New Roman" w:hAnsi="Times New Roman" w:eastAsia="宋体" w:cs="Times New Roman"/>
          <w:color w:val="auto"/>
          <w:sz w:val="24"/>
          <w:highlight w:val="none"/>
        </w:rPr>
        <w:t>。</w:t>
      </w:r>
    </w:p>
    <w:p>
      <w:pPr>
        <w:pStyle w:val="115"/>
        <w:keepNext w:val="0"/>
        <w:keepLines w:val="0"/>
        <w:pageBreakBefore w:val="0"/>
        <w:widowControl w:val="0"/>
        <w:numPr>
          <w:ilvl w:val="0"/>
          <w:numId w:val="0"/>
        </w:numPr>
        <w:kinsoku/>
        <w:wordWrap/>
        <w:overflowPunct/>
        <w:topLinePunct w:val="0"/>
        <w:autoSpaceDE/>
        <w:autoSpaceDN/>
        <w:bidi w:val="0"/>
        <w:adjustRightInd/>
        <w:snapToGrid/>
        <w:ind w:left="480" w:left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（5）废弃防渗膜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运营期井下作业</w:t>
      </w:r>
      <w:r>
        <w:rPr>
          <w:rFonts w:hint="default" w:ascii="Times New Roman" w:hAnsi="Times New Roman" w:cs="Times New Roman"/>
          <w:color w:val="auto"/>
          <w:sz w:val="24"/>
          <w:highlight w:val="none"/>
        </w:rPr>
        <w:t>时，作业场地下方铺设防渗膜，产生的落地油直接落在防渗膜上，目前油田使用的防渗膜均可重复利用，平均重复利用1-2</w:t>
      </w:r>
      <w:r>
        <w:rPr>
          <w:rFonts w:hint="default" w:ascii="Times New Roman" w:hAnsi="Times New Roman" w:cs="Times New Roman"/>
          <w:color w:val="auto"/>
          <w:sz w:val="24"/>
          <w:highlight w:val="none"/>
          <w:lang w:eastAsia="zh-CN"/>
        </w:rPr>
        <w:t>年</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更换破损后的</w:t>
      </w:r>
      <w:r>
        <w:rPr>
          <w:rFonts w:hint="default" w:ascii="Times New Roman" w:hAnsi="Times New Roman" w:cs="Times New Roman"/>
          <w:color w:val="auto"/>
          <w:sz w:val="24"/>
          <w:highlight w:val="none"/>
        </w:rPr>
        <w:t>废弃防膜布属于危险废物，不在井场贮存，委托有危险废物</w:t>
      </w:r>
      <w:r>
        <w:rPr>
          <w:rFonts w:hint="default" w:ascii="Times New Roman" w:hAnsi="Times New Roman" w:cs="Times New Roman"/>
          <w:color w:val="auto"/>
          <w:sz w:val="24"/>
          <w:highlight w:val="none"/>
          <w:lang w:eastAsia="zh-CN"/>
        </w:rPr>
        <w:t>处置</w:t>
      </w:r>
      <w:r>
        <w:rPr>
          <w:rFonts w:hint="default" w:ascii="Times New Roman" w:hAnsi="Times New Roman" w:cs="Times New Roman"/>
          <w:color w:val="auto"/>
          <w:sz w:val="24"/>
          <w:highlight w:val="none"/>
        </w:rPr>
        <w:t>资质的单位拉运</w:t>
      </w:r>
      <w:r>
        <w:rPr>
          <w:rFonts w:hint="default" w:ascii="Times New Roman" w:hAnsi="Times New Roman" w:cs="Times New Roman"/>
          <w:color w:val="auto"/>
          <w:sz w:val="24"/>
          <w:highlight w:val="none"/>
          <w:lang w:eastAsia="zh-CN"/>
        </w:rPr>
        <w:t>处置</w:t>
      </w:r>
      <w:r>
        <w:rPr>
          <w:rFonts w:hint="default" w:ascii="Times New Roman" w:hAnsi="Times New Roman" w:cs="Times New Roman"/>
          <w:color w:val="auto"/>
          <w:sz w:val="24"/>
          <w:highlight w:val="none"/>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综上，通过采取切实可行的措施，并加强管理，本项目运营期的固体废物不会对周围环境产生影响。</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5.5.</w:t>
      </w:r>
      <w:r>
        <w:rPr>
          <w:rFonts w:hint="eastAsia" w:ascii="Times New Roman" w:hAnsi="Times New Roman" w:eastAsia="宋体" w:cs="Times New Roman"/>
          <w:b/>
          <w:color w:val="auto"/>
          <w:sz w:val="30"/>
          <w:szCs w:val="30"/>
          <w:lang w:val="en-US" w:eastAsia="zh-CN"/>
        </w:rPr>
        <w:t>3</w:t>
      </w:r>
      <w:r>
        <w:rPr>
          <w:rFonts w:hint="default" w:ascii="Times New Roman" w:hAnsi="Times New Roman" w:eastAsia="宋体" w:cs="Times New Roman"/>
          <w:b/>
          <w:color w:val="auto"/>
          <w:sz w:val="30"/>
          <w:szCs w:val="30"/>
        </w:rPr>
        <w:t>退役期固体废物影响分析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油井退役后地面设施拆除、井场清理等工作会产生部分废弃管线、废弃建筑残渣，对这些废弃管线、残渣将进行集中清理收集后外运。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地面设施拆除、井场清理等工作过程中被原油污染的土壤或油渣等危险固废，交由有资质的单位进行无害化处置，不会对周围环境产生影响。</w:t>
      </w:r>
    </w:p>
    <w:p>
      <w:pPr>
        <w:pStyle w:val="3"/>
        <w:spacing w:before="10" w:after="10"/>
        <w:rPr>
          <w:rFonts w:hint="default" w:ascii="Times New Roman" w:hAnsi="Times New Roman" w:eastAsia="宋体" w:cs="Times New Roman"/>
          <w:color w:val="auto"/>
        </w:rPr>
      </w:pPr>
      <w:bookmarkStart w:id="288" w:name="_Toc16386"/>
      <w:bookmarkStart w:id="289" w:name="_Toc44088083"/>
      <w:bookmarkStart w:id="290" w:name="_Toc35366089"/>
      <w:bookmarkStart w:id="291" w:name="_Toc35366480"/>
      <w:bookmarkStart w:id="292" w:name="_Toc16694"/>
      <w:r>
        <w:rPr>
          <w:rFonts w:hint="default" w:ascii="Times New Roman" w:hAnsi="Times New Roman" w:eastAsia="宋体" w:cs="Times New Roman"/>
          <w:color w:val="auto"/>
        </w:rPr>
        <w:t>5.6土壤环境影响分析</w:t>
      </w:r>
      <w:bookmarkEnd w:id="288"/>
      <w:bookmarkEnd w:id="289"/>
      <w:bookmarkEnd w:id="290"/>
      <w:bookmarkEnd w:id="291"/>
      <w:bookmarkEnd w:id="292"/>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5.6.1施工期土壤环境影响分析</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对土壤质量的影响主要为人为扰动、车辆行驶和机械施工、各种废弃物污染影响。</w:t>
      </w:r>
    </w:p>
    <w:p>
      <w:pPr>
        <w:pStyle w:val="66"/>
        <w:rPr>
          <w:rFonts w:hint="default" w:ascii="Times New Roman" w:hAnsi="Times New Roman" w:cs="Times New Roman"/>
          <w:color w:val="auto"/>
        </w:rPr>
      </w:pPr>
      <w:r>
        <w:rPr>
          <w:rFonts w:hint="default" w:ascii="Times New Roman" w:hAnsi="Times New Roman" w:cs="Times New Roman"/>
          <w:color w:val="auto"/>
        </w:rPr>
        <w:t>5.6.1.1人为扰动对土壤的影响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油田开发过程中，不可避免地要对土壤进行人为扰动，主要是管道沟埋大面积开挖和填埋土层，翻动土壤层次并破坏土壤结构。</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自然条件下，土壤形成了层状结构，表层是可以生长适宜的植被。土壤层次被翻动后，表层土被破坏，改变土壤质地。管道开挖和回填过程中，会对其土壤原有层次产生扰动和破坏，影响原有熟化土的肥力。在开挖的部位，土壤层次变动最为明显。</w:t>
      </w:r>
    </w:p>
    <w:p>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rPr>
        <w:t>根据国内外有关资料，管道工程对土壤养分的影响与土壤的理化性质和施工作业方式密切相关。在实行分层堆放，分层覆土的措施下，土壤的有机质将下降30%～40%，土壤养分将下降30%～50%，其中全氮下降43%左右，磷素下降40%，钾素下降43%。这说明即使是对表土层实行分层堆放和分层覆土，管道工程也难以保障覆土后表层土壤养分不被流失。</w:t>
      </w:r>
    </w:p>
    <w:p>
      <w:pPr>
        <w:pStyle w:val="66"/>
        <w:rPr>
          <w:rFonts w:hint="default" w:ascii="Times New Roman" w:hAnsi="Times New Roman" w:cs="Times New Roman"/>
          <w:color w:val="auto"/>
        </w:rPr>
      </w:pPr>
      <w:r>
        <w:rPr>
          <w:rFonts w:hint="default" w:ascii="Times New Roman" w:hAnsi="Times New Roman" w:cs="Times New Roman"/>
          <w:color w:val="auto"/>
        </w:rPr>
        <w:t>5.6.1.2车辆行驶和机械施工对土壤的影响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施工中，车辆行驶和机械作业时机械设备的碾压、施工人员的踩踏等都会对土壤的紧实度产生影响。机械碾压的结果使土壤紧实度增高，地表水入渗减少，土壤团粒结构遭到破坏，土壤养分流失，不利于植物生长。各种车辆（尤其是重型卡车）在荒漠上行驶将使经过的土壤变紧实，严重的经过多次碾压后植物很难再生长，甚至退化为沙地。井场和管道的施工场地等都存在这种影响。</w:t>
      </w:r>
    </w:p>
    <w:p>
      <w:pPr>
        <w:pStyle w:val="66"/>
        <w:rPr>
          <w:rFonts w:hint="default" w:ascii="Times New Roman" w:hAnsi="Times New Roman" w:cs="Times New Roman"/>
          <w:color w:val="auto"/>
        </w:rPr>
      </w:pPr>
      <w:r>
        <w:rPr>
          <w:rFonts w:hint="default" w:ascii="Times New Roman" w:hAnsi="Times New Roman" w:cs="Times New Roman"/>
          <w:color w:val="auto"/>
        </w:rPr>
        <w:t>5.6.1.3水土流失影响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油田工程建设对当地水土流失影响的方式包括扰动、损坏、开挖及破坏原地貌、地表土壤结构及植被。工程施工及占地呈线状分布，所造成的水土流失因管线所经过的区域不同而不同。建设期间，开挖管沟、土方排放、机械作业人员活动等都会加剧水土流失。</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车辆对地表的大面积碾压，使所经过地段的植被和地表结构遭到不同程度的破坏，使风蚀荒漠化的过程加剧；在管线的敷设过程中，最直接而且易引起水土流失的是施工过程中使影响范围内的地表保护层变得松散，增加风蚀量。临时占地范围内的土壤地表表层遭到破坏，下层的粉细物质暴露在地层表面，在风力的作用下，风蚀量会明显加大，这种影响在短时间内不会完全恢复。但随着时间的推移，风蚀量会随着地表新保护层的逐渐形成而减弱。油田各种管道的敷设均采用明沟开挖方式，管沟开挖土方在管道一侧临时堆放。施工期内，管沟边堆起一道临时土垄，在大风状态下易发生风力侵蚀，即使在堆土回填后风蚀量会有所减少，但地表仍为疏松地带，需要一个较长的恢复阶段。</w:t>
      </w:r>
    </w:p>
    <w:p>
      <w:pPr>
        <w:pStyle w:val="66"/>
        <w:rPr>
          <w:rFonts w:hint="default" w:ascii="Times New Roman" w:hAnsi="Times New Roman" w:cs="Times New Roman"/>
          <w:color w:val="auto"/>
        </w:rPr>
      </w:pPr>
      <w:r>
        <w:rPr>
          <w:rFonts w:hint="default" w:ascii="Times New Roman" w:hAnsi="Times New Roman" w:cs="Times New Roman"/>
          <w:color w:val="auto"/>
        </w:rPr>
        <w:t>5.6.1.4施工期污染影响途径</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项目建设活动中产生的废气和废渣等典型污染物质，会对土壤产生严重负面影响。主要以占用和污染两种方式污损土壤。</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污染影响形式为大气沉降、地面漫流和垂直入渗。</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期大气污染主要为施工扬尘和机械设备排放的尾气，而施工扬尘对环境的影响最为明显。由于施工场地设置围栏、洒水抑尘、覆盖防尘、限制车速、保持施工场地洁净、避免大风天气作业等防尘措施，且施工场地已经干化结实，起尘量很小。因此，本项目施工期产生的扬尘不会对土壤环境造成影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建设期固体废物主要为土地平整和施工产生的弃土，不含重金属和无机物、挥发性有机物、半挥发性有机物，弃土用于周边井场平整，因此本项目施工期产生的弃土不会对土壤环境造成影响。</w:t>
      </w:r>
    </w:p>
    <w:p>
      <w:pPr>
        <w:tabs>
          <w:tab w:val="left" w:pos="3465"/>
        </w:tabs>
        <w:spacing w:line="360" w:lineRule="auto"/>
        <w:outlineLvl w:val="2"/>
        <w:rPr>
          <w:rFonts w:hint="default" w:ascii="Times New Roman" w:hAnsi="Times New Roman" w:eastAsia="宋体" w:cs="Times New Roman"/>
          <w:b/>
          <w:color w:val="auto"/>
          <w:sz w:val="30"/>
          <w:szCs w:val="30"/>
          <w:lang w:val="zh-CN"/>
        </w:rPr>
      </w:pPr>
      <w:r>
        <w:rPr>
          <w:rFonts w:hint="default" w:ascii="Times New Roman" w:hAnsi="Times New Roman" w:eastAsia="宋体" w:cs="Times New Roman"/>
          <w:b/>
          <w:color w:val="auto"/>
          <w:sz w:val="30"/>
          <w:szCs w:val="30"/>
        </w:rPr>
        <w:t>5.6.2 运营期</w:t>
      </w:r>
      <w:r>
        <w:rPr>
          <w:rFonts w:hint="default" w:ascii="Times New Roman" w:hAnsi="Times New Roman" w:eastAsia="宋体" w:cs="Times New Roman"/>
          <w:b/>
          <w:color w:val="auto"/>
          <w:sz w:val="30"/>
          <w:szCs w:val="30"/>
          <w:lang w:val="zh-CN"/>
        </w:rPr>
        <w:t>土壤环境影响分析</w:t>
      </w:r>
    </w:p>
    <w:p>
      <w:pPr>
        <w:pStyle w:val="111"/>
        <w:numPr>
          <w:ilvl w:val="3"/>
          <w:numId w:val="0"/>
        </w:numPr>
        <w:spacing w:before="156" w:beforeLines="50" w:after="156" w:afterLines="50" w:line="360" w:lineRule="auto"/>
        <w:ind w:leftChars="0"/>
        <w:rPr>
          <w:rFonts w:hint="default" w:ascii="Times New Roman" w:hAnsi="Times New Roman" w:eastAsia="宋体" w:cs="Times New Roman"/>
          <w:b w:val="0"/>
          <w:color w:val="auto"/>
          <w:kern w:val="2"/>
          <w:sz w:val="28"/>
          <w:szCs w:val="28"/>
          <w:lang w:val="zh-CN" w:eastAsia="zh-CN" w:bidi="ar-SA"/>
        </w:rPr>
      </w:pPr>
      <w:r>
        <w:rPr>
          <w:rFonts w:hint="default" w:ascii="Times New Roman" w:hAnsi="Times New Roman" w:eastAsia="宋体" w:cs="Times New Roman"/>
          <w:b w:val="0"/>
          <w:color w:val="auto"/>
          <w:kern w:val="2"/>
          <w:sz w:val="28"/>
          <w:szCs w:val="28"/>
          <w:lang w:val="en-US" w:eastAsia="zh-CN" w:bidi="ar-SA"/>
        </w:rPr>
        <w:t>5.6.2.1</w:t>
      </w:r>
      <w:r>
        <w:rPr>
          <w:rFonts w:hint="default" w:ascii="Times New Roman" w:hAnsi="Times New Roman" w:eastAsia="宋体" w:cs="Times New Roman"/>
          <w:b w:val="0"/>
          <w:color w:val="auto"/>
          <w:kern w:val="2"/>
          <w:sz w:val="28"/>
          <w:szCs w:val="28"/>
          <w:lang w:val="zh-CN" w:eastAsia="zh-CN" w:bidi="ar-SA"/>
        </w:rPr>
        <w:t>环境影响识别</w:t>
      </w:r>
    </w:p>
    <w:p>
      <w:pPr>
        <w:pStyle w:val="86"/>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项目类型</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陆地石油天然气开发建设项目》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HJ349-2023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，拟建工程采油井场</w:t>
      </w:r>
      <w:r>
        <w:rPr>
          <w:rFonts w:hint="default" w:ascii="Times New Roman" w:hAnsi="Times New Roman" w:eastAsia="宋体" w:cs="Times New Roman"/>
          <w:color w:val="auto"/>
          <w:lang w:val="en-US" w:eastAsia="zh-CN"/>
        </w:rPr>
        <w:t>等地面设施</w:t>
      </w:r>
      <w:r>
        <w:rPr>
          <w:rFonts w:hint="default" w:ascii="Times New Roman" w:hAnsi="Times New Roman" w:eastAsia="宋体" w:cs="Times New Roman"/>
          <w:color w:val="auto"/>
        </w:rPr>
        <w:t>属于Ⅰ类项目，</w:t>
      </w:r>
      <w:r>
        <w:rPr>
          <w:rFonts w:hint="default" w:ascii="Times New Roman" w:hAnsi="Times New Roman" w:eastAsia="宋体" w:cs="Times New Roman"/>
          <w:color w:val="auto"/>
          <w:lang w:val="en-US" w:eastAsia="zh-CN"/>
        </w:rPr>
        <w:t>单井出油管线</w:t>
      </w:r>
      <w:r>
        <w:rPr>
          <w:rFonts w:hint="default" w:ascii="Times New Roman" w:hAnsi="Times New Roman" w:eastAsia="宋体" w:cs="Times New Roman"/>
          <w:color w:val="auto"/>
        </w:rPr>
        <w:t>属于Ⅱ类项目。</w:t>
      </w:r>
    </w:p>
    <w:p>
      <w:pPr>
        <w:pStyle w:val="86"/>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影响类型及途径</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拟建工程所处区域属于盐化区域，拟建工程土壤影响类型同时属于污染影响型和生态影响型。</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拟建工程</w:t>
      </w:r>
      <w:r>
        <w:rPr>
          <w:rFonts w:hint="default" w:ascii="Times New Roman" w:hAnsi="Times New Roman" w:eastAsia="宋体" w:cs="Times New Roman"/>
          <w:color w:val="auto"/>
          <w:lang w:val="en-US" w:eastAsia="zh-CN"/>
        </w:rPr>
        <w:t>运营期</w:t>
      </w:r>
      <w:r>
        <w:rPr>
          <w:rFonts w:hint="default" w:ascii="Times New Roman" w:hAnsi="Times New Roman" w:eastAsia="宋体" w:cs="Times New Roman"/>
          <w:color w:val="auto"/>
        </w:rPr>
        <w:t>废水主要为采出水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井下作业废水</w:t>
      </w:r>
      <w:r>
        <w:rPr>
          <w:rFonts w:hint="default" w:ascii="Times New Roman" w:hAnsi="Times New Roman" w:eastAsia="宋体" w:cs="Times New Roman"/>
          <w:color w:val="auto"/>
          <w:lang w:val="en-US" w:eastAsia="zh-CN"/>
        </w:rPr>
        <w:t>及井下作业废液</w:t>
      </w:r>
      <w:r>
        <w:rPr>
          <w:rFonts w:hint="default" w:ascii="Times New Roman" w:hAnsi="Times New Roman" w:eastAsia="宋体" w:cs="Times New Roman"/>
          <w:color w:val="auto"/>
        </w:rPr>
        <w:t>，未向外环境排放污水，不会造成废水地面漫流影响；非正常状况井场管线连接处出现泄漏，可能通过垂直入渗的形式对土壤造成影响。</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拟建工程井场建设及管道敷设过程中，不会造成区域土壤盐化、酸化、碱化，但管沟开挖过程中会对区域局部土壤造成扰动，导致土壤中盐分含量与周边区域不一致，在后续的自然恢复过程中，扰动区域受雨水、风沙作用将逐步与周边区域土壤保持一致。同时，拟建工程集输管线中采出液盐分含量较高，当出现泄漏时，采出液中的盐分将进入表层土壤中，遗留在土壤中，造成区域土壤盐分含量升高。影响类型见表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1。</w:t>
      </w:r>
    </w:p>
    <w:p>
      <w:pPr>
        <w:pStyle w:val="4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15"/>
        </w:rPr>
        <w:t>表5.</w:t>
      </w:r>
      <w:r>
        <w:rPr>
          <w:rFonts w:hint="default" w:ascii="Times New Roman" w:hAnsi="Times New Roman" w:eastAsia="宋体" w:cs="Times New Roman"/>
          <w:color w:val="auto"/>
          <w:sz w:val="21"/>
          <w:szCs w:val="15"/>
          <w:lang w:val="en-US" w:eastAsia="zh-CN"/>
        </w:rPr>
        <w:t>6</w:t>
      </w:r>
      <w:r>
        <w:rPr>
          <w:rFonts w:hint="default" w:ascii="Times New Roman" w:hAnsi="Times New Roman" w:eastAsia="宋体" w:cs="Times New Roman"/>
          <w:color w:val="auto"/>
          <w:sz w:val="21"/>
          <w:szCs w:val="15"/>
        </w:rPr>
        <w:t>-1建设项目</w:t>
      </w:r>
      <w:r>
        <w:rPr>
          <w:rFonts w:hint="default" w:ascii="Times New Roman" w:hAnsi="Times New Roman" w:eastAsia="宋体" w:cs="Times New Roman"/>
          <w:color w:val="auto"/>
          <w:sz w:val="21"/>
          <w:szCs w:val="15"/>
          <w:lang w:val="en-US" w:eastAsia="zh-CN"/>
        </w:rPr>
        <w:t>土壤环境影响类型与影响途径表</w:t>
      </w:r>
    </w:p>
    <w:tbl>
      <w:tblPr>
        <w:tblStyle w:val="110"/>
        <w:tblW w:w="8318"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8"/>
        <w:gridCol w:w="1151"/>
        <w:gridCol w:w="1151"/>
        <w:gridCol w:w="1151"/>
        <w:gridCol w:w="695"/>
        <w:gridCol w:w="695"/>
        <w:gridCol w:w="695"/>
        <w:gridCol w:w="695"/>
        <w:gridCol w:w="6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40" w:hRule="atLeast"/>
        </w:trPr>
        <w:tc>
          <w:tcPr>
            <w:tcW w:w="1388" w:type="dxa"/>
            <w:vMerge w:val="restart"/>
            <w:tcBorders>
              <w:bottom w:val="nil"/>
            </w:tcBorders>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6"/>
              </w:rPr>
              <w:t>不同时段</w:t>
            </w:r>
          </w:p>
        </w:tc>
        <w:tc>
          <w:tcPr>
            <w:tcW w:w="4148" w:type="dxa"/>
            <w:gridSpan w:val="4"/>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7"/>
              </w:rPr>
              <w:t>污染影响型</w:t>
            </w:r>
          </w:p>
        </w:tc>
        <w:tc>
          <w:tcPr>
            <w:tcW w:w="2782" w:type="dxa"/>
            <w:gridSpan w:val="4"/>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7"/>
              </w:rPr>
              <w:t>生态影响型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8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rPr>
            </w:pPr>
          </w:p>
        </w:tc>
        <w:tc>
          <w:tcPr>
            <w:tcW w:w="1151"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6"/>
              </w:rPr>
              <w:t>大气沉降</w:t>
            </w:r>
          </w:p>
        </w:tc>
        <w:tc>
          <w:tcPr>
            <w:tcW w:w="1151"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7"/>
              </w:rPr>
              <w:t>地面漫流</w:t>
            </w:r>
          </w:p>
        </w:tc>
        <w:tc>
          <w:tcPr>
            <w:tcW w:w="1151"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7"/>
              </w:rPr>
              <w:t>垂直入渗</w:t>
            </w:r>
          </w:p>
        </w:tc>
        <w:tc>
          <w:tcPr>
            <w:tcW w:w="695"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4"/>
              </w:rPr>
              <w:t>其它</w:t>
            </w:r>
          </w:p>
        </w:tc>
        <w:tc>
          <w:tcPr>
            <w:tcW w:w="695"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3"/>
              </w:rPr>
              <w:t>盐化</w:t>
            </w:r>
          </w:p>
        </w:tc>
        <w:tc>
          <w:tcPr>
            <w:tcW w:w="695"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5"/>
              </w:rPr>
              <w:t>碱化</w:t>
            </w:r>
          </w:p>
        </w:tc>
        <w:tc>
          <w:tcPr>
            <w:tcW w:w="695"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4"/>
              </w:rPr>
              <w:t>酸化</w:t>
            </w:r>
          </w:p>
        </w:tc>
        <w:tc>
          <w:tcPr>
            <w:tcW w:w="697"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4"/>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88"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6"/>
              </w:rPr>
              <w:t>建设期</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position w:val="-2"/>
                <w:sz w:val="20"/>
                <w:szCs w:val="20"/>
              </w:rPr>
              <w:t>--</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position w:val="-1"/>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88"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6"/>
              </w:rPr>
              <w:t>运营期</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position w:val="-2"/>
                <w:sz w:val="20"/>
                <w:szCs w:val="20"/>
              </w:rPr>
              <w:t>--</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position w:val="-1"/>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position w:val="-1"/>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88" w:type="dxa"/>
            <w:vAlign w:val="center"/>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8"/>
              </w:rPr>
              <w:t>服务期满后</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position w:val="-2"/>
                <w:sz w:val="20"/>
                <w:szCs w:val="20"/>
              </w:rPr>
              <w:t>--</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pacing w:val="1"/>
                <w:position w:val="-2"/>
                <w:sz w:val="20"/>
                <w:szCs w:val="20"/>
              </w:rPr>
              <w:t>--</w:t>
            </w:r>
          </w:p>
        </w:tc>
      </w:tr>
    </w:tbl>
    <w:p>
      <w:pPr>
        <w:pStyle w:val="86"/>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影响源及影响因子</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1）污染影响型</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拟建工程输送介质为采出液，管线连接处破裂时，采出液中的石油烃可能会下渗到土壤中，造成一定的影响。因此本评价选取石油烃作为代表性污染物进行预测。拟建工程土壤环境影响源及影响因子识别结果参见表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-2。</w:t>
      </w:r>
    </w:p>
    <w:p>
      <w:pPr>
        <w:pStyle w:val="4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表5.</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-2 污染影响型土壤环境影响源及影响因子识别表</w:t>
      </w:r>
    </w:p>
    <w:tbl>
      <w:tblPr>
        <w:tblStyle w:val="110"/>
        <w:tblW w:w="83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31"/>
        <w:gridCol w:w="2099"/>
        <w:gridCol w:w="1706"/>
        <w:gridCol w:w="14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031" w:type="dxa"/>
            <w:tcBorders>
              <w:top w:val="single" w:color="000000" w:sz="6" w:space="0"/>
              <w:left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污染源</w:t>
            </w:r>
          </w:p>
        </w:tc>
        <w:tc>
          <w:tcPr>
            <w:tcW w:w="2099" w:type="dxa"/>
            <w:tcBorders>
              <w:top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污染途径</w:t>
            </w:r>
          </w:p>
        </w:tc>
        <w:tc>
          <w:tcPr>
            <w:tcW w:w="1706" w:type="dxa"/>
            <w:tcBorders>
              <w:top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特征因子</w:t>
            </w:r>
          </w:p>
        </w:tc>
        <w:tc>
          <w:tcPr>
            <w:tcW w:w="1483" w:type="dxa"/>
            <w:tcBorders>
              <w:top w:val="single" w:color="000000" w:sz="6" w:space="0"/>
              <w:right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031" w:type="dxa"/>
            <w:tcBorders>
              <w:left w:val="single" w:color="000000" w:sz="6" w:space="0"/>
              <w:bottom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井场管线连接处</w:t>
            </w:r>
          </w:p>
        </w:tc>
        <w:tc>
          <w:tcPr>
            <w:tcW w:w="2099" w:type="dxa"/>
            <w:tcBorders>
              <w:bottom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垂直入渗</w:t>
            </w:r>
          </w:p>
        </w:tc>
        <w:tc>
          <w:tcPr>
            <w:tcW w:w="1706" w:type="dxa"/>
            <w:tcBorders>
              <w:bottom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石油烃</w:t>
            </w:r>
          </w:p>
        </w:tc>
        <w:tc>
          <w:tcPr>
            <w:tcW w:w="1483" w:type="dxa"/>
            <w:tcBorders>
              <w:bottom w:val="single" w:color="000000" w:sz="6" w:space="0"/>
              <w:right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事故工况</w:t>
            </w:r>
          </w:p>
        </w:tc>
      </w:tr>
    </w:tbl>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2）生态影响型</w:t>
      </w:r>
    </w:p>
    <w:p>
      <w:pPr>
        <w:pStyle w:val="86"/>
        <w:jc w:val="both"/>
        <w:rPr>
          <w:rFonts w:hint="default" w:ascii="Times New Roman" w:hAnsi="Times New Roman" w:eastAsia="宋体" w:cs="Times New Roman"/>
          <w:color w:val="auto"/>
        </w:rPr>
      </w:pPr>
      <w:r>
        <w:rPr>
          <w:rFonts w:hint="default" w:ascii="Times New Roman" w:hAnsi="Times New Roman" w:eastAsia="宋体" w:cs="Times New Roman"/>
          <w:color w:val="auto"/>
        </w:rPr>
        <w:t>考虑最不利情况，集输管道破裂</w:t>
      </w:r>
      <w:r>
        <w:rPr>
          <w:rFonts w:hint="default" w:ascii="Times New Roman" w:hAnsi="Times New Roman" w:eastAsia="宋体" w:cs="Times New Roman"/>
          <w:color w:val="auto"/>
          <w:lang w:val="en-US" w:eastAsia="zh-CN"/>
        </w:rPr>
        <w:t>以及采出水暂存池泄漏</w:t>
      </w:r>
      <w:r>
        <w:rPr>
          <w:rFonts w:hint="default" w:ascii="Times New Roman" w:hAnsi="Times New Roman" w:eastAsia="宋体" w:cs="Times New Roman"/>
          <w:color w:val="auto"/>
        </w:rPr>
        <w:t>导致其中含盐液体进入表层土壤中，造成土壤中盐分含量有一定程度的升高。本次评价选择盐分含量作为代表性因子进行预测。</w:t>
      </w:r>
    </w:p>
    <w:p>
      <w:pPr>
        <w:pStyle w:val="4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p>
      <w:pPr>
        <w:pStyle w:val="4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表5.</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-3  生态影响型土壤环境影响源及影响因子识别表</w:t>
      </w:r>
    </w:p>
    <w:tbl>
      <w:tblPr>
        <w:tblStyle w:val="110"/>
        <w:tblW w:w="8337"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25"/>
        <w:gridCol w:w="2415"/>
        <w:gridCol w:w="1710"/>
        <w:gridCol w:w="14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2725" w:type="dxa"/>
            <w:tcBorders>
              <w:top w:val="single" w:color="000000" w:sz="6" w:space="0"/>
              <w:left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污染源</w:t>
            </w:r>
          </w:p>
        </w:tc>
        <w:tc>
          <w:tcPr>
            <w:tcW w:w="2415" w:type="dxa"/>
            <w:tcBorders>
              <w:top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污染途径</w:t>
            </w:r>
          </w:p>
        </w:tc>
        <w:tc>
          <w:tcPr>
            <w:tcW w:w="1710" w:type="dxa"/>
            <w:tcBorders>
              <w:top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特征因子</w:t>
            </w:r>
          </w:p>
        </w:tc>
        <w:tc>
          <w:tcPr>
            <w:tcW w:w="1487" w:type="dxa"/>
            <w:tcBorders>
              <w:top w:val="single" w:color="000000" w:sz="6" w:space="0"/>
              <w:right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2725" w:type="dxa"/>
            <w:tcBorders>
              <w:left w:val="single" w:color="000000" w:sz="6" w:space="0"/>
              <w:bottom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lang w:eastAsia="zh-CN"/>
              </w:rPr>
            </w:pPr>
            <w:r>
              <w:rPr>
                <w:rFonts w:hint="default" w:ascii="Times New Roman" w:hAnsi="Times New Roman" w:eastAsia="宋体" w:cs="Times New Roman"/>
                <w:color w:val="auto"/>
                <w:spacing w:val="8"/>
              </w:rPr>
              <w:t>集输管道</w:t>
            </w:r>
          </w:p>
        </w:tc>
        <w:tc>
          <w:tcPr>
            <w:tcW w:w="2415" w:type="dxa"/>
            <w:tcBorders>
              <w:bottom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漫流</w:t>
            </w:r>
          </w:p>
        </w:tc>
        <w:tc>
          <w:tcPr>
            <w:tcW w:w="1710" w:type="dxa"/>
            <w:tcBorders>
              <w:bottom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盐分含量</w:t>
            </w:r>
          </w:p>
        </w:tc>
        <w:tc>
          <w:tcPr>
            <w:tcW w:w="1487" w:type="dxa"/>
            <w:tcBorders>
              <w:bottom w:val="single" w:color="000000" w:sz="6" w:space="0"/>
              <w:right w:val="single" w:color="000000" w:sz="6" w:space="0"/>
            </w:tcBorders>
            <w:vAlign w:val="top"/>
          </w:tcPr>
          <w:p>
            <w:pPr>
              <w:pStyle w:val="10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事故工况</w:t>
            </w:r>
          </w:p>
        </w:tc>
      </w:tr>
    </w:tbl>
    <w:p>
      <w:pPr>
        <w:pStyle w:val="66"/>
        <w:spacing w:line="360" w:lineRule="auto"/>
        <w:rPr>
          <w:rFonts w:hint="default" w:ascii="Times New Roman" w:hAnsi="Times New Roman" w:cs="Times New Roman"/>
          <w:b/>
          <w:bCs/>
          <w:color w:val="auto"/>
        </w:rPr>
      </w:pPr>
      <w:r>
        <w:rPr>
          <w:rFonts w:hint="default" w:ascii="Times New Roman" w:hAnsi="Times New Roman" w:cs="Times New Roman"/>
          <w:b/>
          <w:bCs/>
          <w:color w:val="auto"/>
        </w:rPr>
        <w:t>5.6.2.</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正常情况下对土壤环境的影响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本项目污染土壤的途径主要为液体物料、废水输送及处理过程中发生跑冒滴漏，渗入土壤对土壤产生影响危害土壤环境。</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本项目生产过程中液体物料</w:t>
      </w:r>
      <w:r>
        <w:rPr>
          <w:rFonts w:hint="eastAsia" w:ascii="Times New Roman" w:hAnsi="Times New Roman" w:eastAsia="宋体" w:cs="Times New Roman"/>
          <w:color w:val="auto"/>
          <w:sz w:val="24"/>
          <w:lang w:eastAsia="zh-CN"/>
        </w:rPr>
        <w:t>配制</w:t>
      </w:r>
      <w:r>
        <w:rPr>
          <w:rFonts w:hint="default" w:ascii="Times New Roman" w:hAnsi="Times New Roman" w:eastAsia="宋体" w:cs="Times New Roman"/>
          <w:color w:val="auto"/>
          <w:sz w:val="24"/>
        </w:rPr>
        <w:t>过程中均为密闭管路连接，不会出现溢出和泄漏情况，实现可视可控，且在管线上做好标识，如若出现泄漏等事故情况，可及时发现，及时处理。</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从源头控制液体物料、废水泄漏，同时采取可视可控措施，若发生泄漏可及时发现，对收集泄漏物的管沟、应急池等采取各项防渗措施，通过采取以上措施，液体物料、废水、废液等进入土壤的量很少，不会对周围土壤环境产生明显影响。</w:t>
      </w:r>
    </w:p>
    <w:p>
      <w:pPr>
        <w:pStyle w:val="66"/>
        <w:spacing w:line="360" w:lineRule="auto"/>
        <w:rPr>
          <w:rFonts w:hint="default" w:ascii="Times New Roman" w:hAnsi="Times New Roman" w:eastAsia="宋体" w:cs="Times New Roman"/>
          <w:b w:val="0"/>
          <w:color w:val="auto"/>
          <w:sz w:val="24"/>
        </w:rPr>
      </w:pPr>
      <w:r>
        <w:rPr>
          <w:rFonts w:hint="default" w:ascii="Times New Roman" w:hAnsi="Times New Roman" w:cs="Times New Roman"/>
          <w:b/>
          <w:bCs/>
          <w:color w:val="auto"/>
        </w:rPr>
        <w:t>5.6.2.</w:t>
      </w:r>
      <w:r>
        <w:rPr>
          <w:rFonts w:hint="default" w:ascii="Times New Roman" w:hAnsi="Times New Roman" w:cs="Times New Roman"/>
          <w:b/>
          <w:bCs/>
          <w:color w:val="auto"/>
          <w:lang w:val="en-US" w:eastAsia="zh-CN"/>
        </w:rPr>
        <w:t>3非正常工况下污染影响型土壤环境影响分析</w:t>
      </w:r>
    </w:p>
    <w:p>
      <w:pPr>
        <w:pStyle w:val="61"/>
        <w:spacing w:line="360" w:lineRule="auto"/>
        <w:ind w:firstLine="480" w:firstLineChars="200"/>
        <w:rPr>
          <w:rFonts w:hint="default" w:ascii="Times New Roman" w:hAnsi="Times New Roman" w:eastAsia="宋体" w:cs="Times New Roman"/>
          <w:b w:val="0"/>
          <w:color w:val="auto"/>
          <w:sz w:val="24"/>
        </w:rPr>
      </w:pPr>
      <w:r>
        <w:rPr>
          <w:rFonts w:hint="default" w:ascii="Times New Roman" w:hAnsi="Times New Roman" w:eastAsia="宋体" w:cs="Times New Roman"/>
          <w:b w:val="0"/>
          <w:color w:val="auto"/>
          <w:sz w:val="24"/>
        </w:rPr>
        <w:t>1）井喷对土壤环境的影响分析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喷持续时间越长，对土壤造成的污染越严重。《采油废水中石油类污染物在土壤中的迁移规律研究》中表明：岳战林对从新疆吐哈油田采集的风沙土、棕漠土、龟裂土、林灌草甸土、盐土均进行了土柱实验，结果证明风沙土、棕漠土渗透性较好，龟裂土、林灌草甸土渗透性很弱，盐土的渗透性非常小；风沙土颗粒较粗、结构较松散、孔隙比较大，向风沙土内输入石油类物质100d后，石油类集中分布在0~20cm表层土壤内，0~5cm土壤截留了约90%以上的输入原油，由此可以推断其他颗粒较细、质地比较</w:t>
      </w:r>
      <w:r>
        <w:rPr>
          <w:rFonts w:hint="eastAsia" w:cs="Times New Roman"/>
          <w:color w:val="auto"/>
          <w:sz w:val="24"/>
          <w:szCs w:val="24"/>
          <w:lang w:eastAsia="zh-CN"/>
        </w:rPr>
        <w:t>黏重</w:t>
      </w:r>
      <w:r>
        <w:rPr>
          <w:rFonts w:hint="default" w:ascii="Times New Roman" w:hAnsi="Times New Roman" w:cs="Times New Roman"/>
          <w:color w:val="auto"/>
          <w:sz w:val="24"/>
          <w:szCs w:val="24"/>
        </w:rPr>
        <w:t>的土壤类型，如盐土、林灌草甸土、龟裂土等，对石油类的截留作用更大，在相同实验条件下，石油类污染物在这些土壤中则更不易下渗迁移，其下渗迁移范围也不超过20cm。</w:t>
      </w:r>
    </w:p>
    <w:p>
      <w:pPr>
        <w:pStyle w:val="56"/>
        <w:spacing w:line="360" w:lineRule="auto"/>
        <w:ind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采油废水中石油类污染物在土壤中的迁移规律研究》（岳战林，2009）中的实验结果，土壤中原油基本上不随土壤水上下移动，毛细管作用也不活跃。石油对土壤的污染仅限于20cm表层土壤，只有极少量的落地油最多可下渗到20cm，对地表20cm以下深度的土壤影响不大。</w:t>
      </w:r>
    </w:p>
    <w:p>
      <w:pPr>
        <w:pStyle w:val="61"/>
        <w:spacing w:line="360" w:lineRule="auto"/>
        <w:ind w:firstLine="480" w:firstLineChars="200"/>
        <w:rPr>
          <w:rFonts w:hint="default" w:ascii="Times New Roman" w:hAnsi="Times New Roman" w:eastAsia="宋体" w:cs="Times New Roman"/>
          <w:b w:val="0"/>
          <w:color w:val="auto"/>
          <w:sz w:val="24"/>
        </w:rPr>
      </w:pPr>
      <w:r>
        <w:rPr>
          <w:rFonts w:hint="default" w:ascii="Times New Roman" w:hAnsi="Times New Roman" w:eastAsia="宋体" w:cs="Times New Roman"/>
          <w:b w:val="0"/>
          <w:color w:val="auto"/>
          <w:sz w:val="24"/>
        </w:rPr>
        <w:t>2）集输管线泄漏对土壤环境的影响分析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若本项目集输管道发生泄漏，泄漏点周围土壤将会遭受污染影响。泄漏时间越长，污染面积越大，对土壤的污染越严重。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根据实际情况分析，本次评价选择项目集输管线泄漏的石油类进行的土壤影响垂直入渗影响。</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土壤环境（试行）》（HJ964-2018），污染影响型建设项目，其评价工作等级为一级、二级的，预测方法可参见附录E或进行类比分析，本次评价采用类比分析。</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highlight w:val="none"/>
          <w:shd w:val="clear" w:color="auto" w:fill="auto"/>
        </w:rPr>
        <w:t>本次评价采用类比法对土壤影响进行分析，</w:t>
      </w:r>
      <w:r>
        <w:rPr>
          <w:rFonts w:hint="eastAsia" w:cs="Times New Roman"/>
          <w:color w:val="auto"/>
          <w:sz w:val="24"/>
          <w:szCs w:val="24"/>
          <w:highlight w:val="none"/>
          <w:shd w:val="clear" w:color="auto" w:fill="auto"/>
          <w:lang w:val="en-US" w:eastAsia="zh-CN"/>
        </w:rPr>
        <w:t>由于陆136井区开发年限较短，故本次收集距离本项目较近的陆11井区现有监测结果作为类比对象。本次</w:t>
      </w:r>
      <w:r>
        <w:rPr>
          <w:rFonts w:hint="default" w:ascii="Times New Roman" w:hAnsi="Times New Roman" w:eastAsia="宋体" w:cs="Times New Roman"/>
          <w:color w:val="auto"/>
          <w:sz w:val="24"/>
          <w:szCs w:val="24"/>
          <w:highlight w:val="none"/>
          <w:shd w:val="clear" w:color="auto" w:fill="auto"/>
        </w:rPr>
        <w:t>收集了《陆梁油田陆11井区侏罗系西山窑组油藏开发工程（第一批）竣工环境保护验收调查报告》中土壤质量现状监测数据</w:t>
      </w:r>
      <w:r>
        <w:rPr>
          <w:rFonts w:hint="default" w:ascii="Times New Roman" w:hAnsi="Times New Roman" w:eastAsia="宋体" w:cs="Times New Roman"/>
          <w:color w:val="auto"/>
          <w:sz w:val="24"/>
          <w:szCs w:val="24"/>
          <w:shd w:val="clear" w:color="auto" w:fill="auto"/>
        </w:rPr>
        <w:t>进行定性</w:t>
      </w:r>
      <w:r>
        <w:rPr>
          <w:rFonts w:hint="default" w:ascii="Times New Roman" w:hAnsi="Times New Roman" w:eastAsia="宋体" w:cs="Times New Roman"/>
          <w:color w:val="auto"/>
          <w:sz w:val="24"/>
          <w:szCs w:val="24"/>
          <w:shd w:val="clear" w:color="auto" w:fill="auto"/>
          <w:lang w:eastAsia="zh-CN"/>
        </w:rPr>
        <w:t>分析</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sz w:val="24"/>
          <w:szCs w:val="24"/>
          <w:highlight w:val="none"/>
          <w:shd w:val="clear" w:color="auto" w:fill="auto"/>
          <w:lang w:eastAsia="zh-CN"/>
        </w:rPr>
        <w:t>根据陆</w:t>
      </w:r>
      <w:r>
        <w:rPr>
          <w:rFonts w:hint="default" w:ascii="Times New Roman" w:hAnsi="Times New Roman" w:eastAsia="宋体" w:cs="Times New Roman"/>
          <w:color w:val="auto"/>
          <w:sz w:val="24"/>
          <w:szCs w:val="24"/>
          <w:highlight w:val="none"/>
          <w:shd w:val="clear" w:color="auto" w:fill="auto"/>
          <w:lang w:val="en-US" w:eastAsia="zh-CN"/>
        </w:rPr>
        <w:t>11井区</w:t>
      </w:r>
      <w:r>
        <w:rPr>
          <w:rFonts w:hint="default" w:ascii="Times New Roman" w:hAnsi="Times New Roman" w:eastAsia="宋体" w:cs="Times New Roman"/>
          <w:color w:val="auto"/>
          <w:sz w:val="24"/>
          <w:szCs w:val="24"/>
          <w:highlight w:val="none"/>
          <w:shd w:val="clear" w:color="auto" w:fill="auto"/>
        </w:rPr>
        <w:t>已开发多年，且近年来实际生产运行过程均未发生泄漏事故，</w:t>
      </w:r>
      <w:r>
        <w:rPr>
          <w:rFonts w:hint="default" w:ascii="Times New Roman" w:hAnsi="Times New Roman" w:eastAsia="宋体" w:cs="Times New Roman"/>
          <w:color w:val="auto"/>
          <w:sz w:val="24"/>
          <w:szCs w:val="24"/>
          <w:highlight w:val="none"/>
          <w:shd w:val="clear" w:color="auto" w:fill="auto"/>
          <w:lang w:eastAsia="zh-CN"/>
        </w:rPr>
        <w:t>根据验收监测结果</w:t>
      </w:r>
      <w:r>
        <w:rPr>
          <w:rFonts w:hint="default" w:ascii="Times New Roman" w:hAnsi="Times New Roman" w:eastAsia="宋体" w:cs="Times New Roman"/>
          <w:color w:val="auto"/>
          <w:sz w:val="24"/>
          <w:szCs w:val="24"/>
          <w:highlight w:val="none"/>
          <w:shd w:val="clear" w:color="auto" w:fill="auto"/>
        </w:rPr>
        <w:t>可以说</w:t>
      </w:r>
      <w:r>
        <w:rPr>
          <w:rFonts w:hint="default" w:ascii="Times New Roman" w:hAnsi="Times New Roman" w:eastAsia="宋体" w:cs="Times New Roman"/>
          <w:color w:val="auto"/>
          <w:sz w:val="24"/>
          <w:szCs w:val="24"/>
          <w:highlight w:val="none"/>
          <w:shd w:val="clear" w:color="auto" w:fill="auto"/>
          <w:lang w:eastAsia="zh-CN"/>
        </w:rPr>
        <w:t>油田</w:t>
      </w:r>
      <w:r>
        <w:rPr>
          <w:rFonts w:hint="default" w:ascii="Times New Roman" w:hAnsi="Times New Roman" w:eastAsia="宋体" w:cs="Times New Roman"/>
          <w:color w:val="auto"/>
          <w:sz w:val="24"/>
          <w:szCs w:val="24"/>
          <w:highlight w:val="none"/>
          <w:shd w:val="clear" w:color="auto" w:fill="auto"/>
        </w:rPr>
        <w:t>开发对土壤造成的</w:t>
      </w:r>
      <w:r>
        <w:rPr>
          <w:rFonts w:hint="default" w:ascii="Times New Roman" w:hAnsi="Times New Roman" w:eastAsia="宋体" w:cs="Times New Roman"/>
          <w:color w:val="auto"/>
          <w:sz w:val="24"/>
          <w:szCs w:val="24"/>
          <w:highlight w:val="none"/>
          <w:shd w:val="clear" w:color="auto" w:fill="auto"/>
          <w:lang w:eastAsia="zh-CN"/>
        </w:rPr>
        <w:t>污染</w:t>
      </w:r>
      <w:r>
        <w:rPr>
          <w:rFonts w:hint="default" w:ascii="Times New Roman" w:hAnsi="Times New Roman" w:eastAsia="宋体" w:cs="Times New Roman"/>
          <w:color w:val="auto"/>
          <w:sz w:val="24"/>
          <w:szCs w:val="24"/>
          <w:highlight w:val="none"/>
          <w:shd w:val="clear" w:color="auto" w:fill="auto"/>
        </w:rPr>
        <w:t>影响</w:t>
      </w:r>
      <w:r>
        <w:rPr>
          <w:rFonts w:hint="default" w:ascii="Times New Roman" w:hAnsi="Times New Roman" w:cs="Times New Roman"/>
          <w:color w:val="auto"/>
          <w:sz w:val="24"/>
          <w:szCs w:val="24"/>
        </w:rPr>
        <w:t>，详见下表。</w:t>
      </w:r>
    </w:p>
    <w:p>
      <w:pPr>
        <w:pStyle w:val="56"/>
        <w:spacing w:line="360" w:lineRule="auto"/>
        <w:ind w:firstLine="482"/>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表5.6-</w:t>
      </w:r>
      <w:r>
        <w:rPr>
          <w:rFonts w:hint="default" w:ascii="Times New Roman" w:hAnsi="Times New Roman" w:cs="Times New Roman"/>
          <w:b/>
          <w:bCs w:val="0"/>
          <w:color w:val="auto"/>
          <w:szCs w:val="21"/>
          <w:lang w:val="en-US" w:eastAsia="zh-CN"/>
        </w:rPr>
        <w:t>4</w:t>
      </w:r>
      <w:r>
        <w:rPr>
          <w:rFonts w:hint="default" w:ascii="Times New Roman" w:hAnsi="Times New Roman" w:cs="Times New Roman"/>
          <w:b/>
          <w:bCs w:val="0"/>
          <w:color w:val="auto"/>
          <w:szCs w:val="21"/>
        </w:rPr>
        <w:t xml:space="preserve"> </w:t>
      </w:r>
      <w:r>
        <w:rPr>
          <w:rFonts w:hint="default" w:ascii="Times New Roman" w:hAnsi="Times New Roman" w:cs="Times New Roman"/>
          <w:b/>
          <w:bCs w:val="0"/>
          <w:color w:val="auto"/>
          <w:szCs w:val="21"/>
          <w:lang w:eastAsia="zh-CN"/>
        </w:rPr>
        <w:t>陆</w:t>
      </w:r>
      <w:r>
        <w:rPr>
          <w:rFonts w:hint="default" w:ascii="Times New Roman" w:hAnsi="Times New Roman" w:cs="Times New Roman"/>
          <w:b/>
          <w:bCs w:val="0"/>
          <w:color w:val="auto"/>
          <w:szCs w:val="21"/>
          <w:lang w:val="en-US" w:eastAsia="zh-CN"/>
        </w:rPr>
        <w:t>11已实施井场、站场</w:t>
      </w:r>
      <w:r>
        <w:rPr>
          <w:rFonts w:hint="default" w:ascii="Times New Roman" w:hAnsi="Times New Roman" w:cs="Times New Roman"/>
          <w:b/>
          <w:bCs w:val="0"/>
          <w:color w:val="auto"/>
          <w:szCs w:val="21"/>
        </w:rPr>
        <w:t>土壤质量监测结果一览表  单位：mg/kg</w:t>
      </w:r>
    </w:p>
    <w:tbl>
      <w:tblPr>
        <w:tblStyle w:val="110"/>
        <w:tblW w:w="830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133"/>
        <w:gridCol w:w="653"/>
        <w:gridCol w:w="613"/>
        <w:gridCol w:w="681"/>
        <w:gridCol w:w="535"/>
        <w:gridCol w:w="477"/>
        <w:gridCol w:w="522"/>
        <w:gridCol w:w="646"/>
        <w:gridCol w:w="877"/>
        <w:gridCol w:w="557"/>
        <w:gridCol w:w="7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3" w:hRule="atLeast"/>
        </w:trPr>
        <w:tc>
          <w:tcPr>
            <w:tcW w:w="1995" w:type="dxa"/>
            <w:gridSpan w:val="2"/>
            <w:tcBorders>
              <w:tl2br w:val="single" w:color="000000" w:sz="4" w:space="0"/>
            </w:tcBorders>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right"/>
              <w:textAlignment w:val="auto"/>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监测因子</w:t>
            </w:r>
          </w:p>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left"/>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6"/>
                <w:sz w:val="21"/>
                <w:szCs w:val="21"/>
              </w:rPr>
              <w:t>监测点位</w:t>
            </w:r>
          </w:p>
        </w:tc>
        <w:tc>
          <w:tcPr>
            <w:tcW w:w="65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3"/>
                <w:sz w:val="21"/>
                <w:szCs w:val="21"/>
              </w:rPr>
              <w:t>汞</w:t>
            </w:r>
          </w:p>
        </w:tc>
        <w:tc>
          <w:tcPr>
            <w:tcW w:w="61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1"/>
                <w:sz w:val="21"/>
                <w:szCs w:val="21"/>
              </w:rPr>
              <w:t>砷</w:t>
            </w:r>
          </w:p>
        </w:tc>
        <w:tc>
          <w:tcPr>
            <w:tcW w:w="681"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2"/>
                <w:sz w:val="21"/>
                <w:szCs w:val="21"/>
              </w:rPr>
              <w:t>铜</w:t>
            </w:r>
          </w:p>
        </w:tc>
        <w:tc>
          <w:tcPr>
            <w:tcW w:w="535"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2"/>
                <w:sz w:val="21"/>
                <w:szCs w:val="21"/>
              </w:rPr>
              <w:t>铅</w:t>
            </w:r>
          </w:p>
        </w:tc>
        <w:tc>
          <w:tcPr>
            <w:tcW w:w="477"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1"/>
                <w:sz w:val="21"/>
                <w:szCs w:val="21"/>
              </w:rPr>
              <w:t>镍</w:t>
            </w:r>
          </w:p>
        </w:tc>
        <w:tc>
          <w:tcPr>
            <w:tcW w:w="522"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镉</w:t>
            </w:r>
          </w:p>
        </w:tc>
        <w:tc>
          <w:tcPr>
            <w:tcW w:w="646"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3"/>
                <w:sz w:val="21"/>
                <w:szCs w:val="21"/>
              </w:rPr>
              <w:t>六价</w:t>
            </w:r>
            <w:r>
              <w:rPr>
                <w:rFonts w:hint="default" w:ascii="Times New Roman" w:hAnsi="Times New Roman" w:cs="Times New Roman"/>
                <w:b/>
                <w:bCs/>
                <w:color w:val="auto"/>
                <w:spacing w:val="-1"/>
                <w:sz w:val="21"/>
                <w:szCs w:val="21"/>
              </w:rPr>
              <w:t>铬</w:t>
            </w:r>
          </w:p>
        </w:tc>
        <w:tc>
          <w:tcPr>
            <w:tcW w:w="877"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b/>
                <w:bCs/>
                <w:color w:val="auto"/>
                <w:spacing w:val="5"/>
                <w:sz w:val="21"/>
                <w:szCs w:val="21"/>
              </w:rPr>
              <w:t>石油烃</w:t>
            </w:r>
            <w:r>
              <w:rPr>
                <w:rFonts w:hint="default" w:ascii="Times New Roman" w:hAnsi="Times New Roman" w:eastAsia="Times New Roman" w:cs="Times New Roman"/>
                <w:b/>
                <w:bCs/>
                <w:color w:val="auto"/>
                <w:spacing w:val="3"/>
                <w:sz w:val="21"/>
                <w:szCs w:val="21"/>
              </w:rPr>
              <w:t>C</w:t>
            </w:r>
            <w:r>
              <w:rPr>
                <w:rFonts w:hint="default" w:ascii="Times New Roman" w:hAnsi="Times New Roman" w:eastAsia="Times New Roman" w:cs="Times New Roman"/>
                <w:b/>
                <w:bCs/>
                <w:color w:val="auto"/>
                <w:spacing w:val="3"/>
                <w:sz w:val="21"/>
                <w:szCs w:val="21"/>
                <w:vertAlign w:val="subscript"/>
              </w:rPr>
              <w:t>10</w:t>
            </w:r>
            <w:r>
              <w:rPr>
                <w:rFonts w:hint="default" w:ascii="Times New Roman" w:hAnsi="Times New Roman" w:eastAsia="Times New Roman" w:cs="Times New Roman"/>
                <w:b/>
                <w:bCs/>
                <w:color w:val="auto"/>
                <w:spacing w:val="3"/>
                <w:sz w:val="21"/>
                <w:szCs w:val="21"/>
              </w:rPr>
              <w:t>-C</w:t>
            </w:r>
            <w:r>
              <w:rPr>
                <w:rFonts w:hint="default" w:ascii="Times New Roman" w:hAnsi="Times New Roman" w:eastAsia="Times New Roman" w:cs="Times New Roman"/>
                <w:b/>
                <w:bCs/>
                <w:color w:val="auto"/>
                <w:spacing w:val="3"/>
                <w:sz w:val="21"/>
                <w:szCs w:val="21"/>
                <w:vertAlign w:val="subscript"/>
              </w:rPr>
              <w:t>40</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b/>
                <w:bCs/>
                <w:color w:val="auto"/>
                <w:spacing w:val="3"/>
                <w:sz w:val="21"/>
                <w:szCs w:val="21"/>
              </w:rPr>
              <w:t>pH</w:t>
            </w:r>
          </w:p>
        </w:tc>
        <w:tc>
          <w:tcPr>
            <w:tcW w:w="749"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4"/>
                <w:sz w:val="21"/>
                <w:szCs w:val="21"/>
              </w:rPr>
              <w:t>挥发</w:t>
            </w:r>
            <w:r>
              <w:rPr>
                <w:rFonts w:hint="default" w:ascii="Times New Roman" w:hAnsi="Times New Roman" w:cs="Times New Roman"/>
                <w:b/>
                <w:bCs/>
                <w:color w:val="auto"/>
                <w:spacing w:val="-2"/>
                <w:sz w:val="21"/>
                <w:szCs w:val="21"/>
              </w:rPr>
              <w:t>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LU</w:t>
            </w:r>
            <w:r>
              <w:rPr>
                <w:rFonts w:hint="default" w:ascii="Times New Roman" w:hAnsi="Times New Roman" w:eastAsia="Times New Roman" w:cs="Times New Roman"/>
                <w:color w:val="auto"/>
                <w:spacing w:val="7"/>
                <w:sz w:val="21"/>
                <w:szCs w:val="21"/>
              </w:rPr>
              <w:t>1614</w:t>
            </w: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井场内</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0.605</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4.11</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12</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1.8</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13</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0.02</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52</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8.72</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2"/>
                <w:sz w:val="21"/>
                <w:szCs w:val="21"/>
              </w:rPr>
              <w:t>井场外</w:t>
            </w:r>
            <w:r>
              <w:rPr>
                <w:rFonts w:hint="default" w:ascii="Times New Roman" w:hAnsi="Times New Roman" w:eastAsia="Times New Roman" w:cs="Times New Roman"/>
                <w:color w:val="auto"/>
                <w:spacing w:val="2"/>
                <w:sz w:val="21"/>
                <w:szCs w:val="21"/>
              </w:rPr>
              <w:t>10m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0.629</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4.27</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2.0</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12</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0.03</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26</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8.81</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5"/>
                <w:sz w:val="21"/>
                <w:szCs w:val="21"/>
              </w:rPr>
              <w:t>井场外</w:t>
            </w:r>
            <w:r>
              <w:rPr>
                <w:rFonts w:hint="default" w:ascii="Times New Roman" w:hAnsi="Times New Roman" w:eastAsia="Times New Roman" w:cs="Times New Roman"/>
                <w:color w:val="auto"/>
                <w:spacing w:val="5"/>
                <w:sz w:val="21"/>
                <w:szCs w:val="21"/>
              </w:rPr>
              <w:t>20m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0.587</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3.97</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12</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2.2</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0.03</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82</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8.57</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62"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5"/>
                <w:sz w:val="21"/>
                <w:szCs w:val="21"/>
              </w:rPr>
              <w:t>井场外</w:t>
            </w:r>
            <w:r>
              <w:rPr>
                <w:rFonts w:hint="default" w:ascii="Times New Roman" w:hAnsi="Times New Roman" w:eastAsia="Times New Roman" w:cs="Times New Roman"/>
                <w:color w:val="auto"/>
                <w:spacing w:val="5"/>
                <w:sz w:val="21"/>
                <w:szCs w:val="21"/>
              </w:rPr>
              <w:t>30m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0.700</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4.53</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8</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2.2</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0.03</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27</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8.52</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LU</w:t>
            </w:r>
            <w:r>
              <w:rPr>
                <w:rFonts w:hint="default" w:ascii="Times New Roman" w:hAnsi="Times New Roman" w:eastAsia="Times New Roman" w:cs="Times New Roman"/>
                <w:color w:val="auto"/>
                <w:spacing w:val="7"/>
                <w:sz w:val="21"/>
                <w:szCs w:val="21"/>
              </w:rPr>
              <w:t>1609</w:t>
            </w: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井场内</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0.634</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3.84</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7</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2.6</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13</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0.05</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26</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8.70</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2"/>
                <w:sz w:val="21"/>
                <w:szCs w:val="21"/>
              </w:rPr>
              <w:t>井场外</w:t>
            </w:r>
            <w:r>
              <w:rPr>
                <w:rFonts w:hint="default" w:ascii="Times New Roman" w:hAnsi="Times New Roman" w:eastAsia="Times New Roman" w:cs="Times New Roman"/>
                <w:color w:val="auto"/>
                <w:spacing w:val="2"/>
                <w:sz w:val="21"/>
                <w:szCs w:val="21"/>
              </w:rPr>
              <w:t>10m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0.568</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3.69</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6</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2.3</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13</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0.11</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86</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8.64</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5"/>
                <w:sz w:val="21"/>
                <w:szCs w:val="21"/>
              </w:rPr>
              <w:t>井场外</w:t>
            </w:r>
            <w:r>
              <w:rPr>
                <w:rFonts w:hint="default" w:ascii="Times New Roman" w:hAnsi="Times New Roman" w:eastAsia="Times New Roman" w:cs="Times New Roman"/>
                <w:color w:val="auto"/>
                <w:spacing w:val="5"/>
                <w:sz w:val="21"/>
                <w:szCs w:val="21"/>
              </w:rPr>
              <w:t>20m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0.582</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3.87</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3.6</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10</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0.07</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89</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8.72</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5"/>
                <w:sz w:val="21"/>
                <w:szCs w:val="21"/>
              </w:rPr>
              <w:t>井场外</w:t>
            </w:r>
            <w:r>
              <w:rPr>
                <w:rFonts w:hint="default" w:ascii="Times New Roman" w:hAnsi="Times New Roman" w:eastAsia="Times New Roman" w:cs="Times New Roman"/>
                <w:color w:val="auto"/>
                <w:spacing w:val="5"/>
                <w:sz w:val="21"/>
                <w:szCs w:val="21"/>
              </w:rPr>
              <w:t>30m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0.566</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2.99</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2.8</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11</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0.05</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128</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8.42</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restart"/>
            <w:tcBorders>
              <w:bottom w:val="nil"/>
            </w:tcBorders>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陆</w:t>
            </w:r>
            <w:r>
              <w:rPr>
                <w:rFonts w:hint="default" w:ascii="Times New Roman" w:hAnsi="Times New Roman" w:eastAsia="Times New Roman" w:cs="Times New Roman"/>
                <w:color w:val="auto"/>
                <w:spacing w:val="-6"/>
                <w:sz w:val="21"/>
                <w:szCs w:val="21"/>
              </w:rPr>
              <w:t>11</w:t>
            </w:r>
            <w:r>
              <w:rPr>
                <w:rFonts w:hint="default" w:ascii="Times New Roman" w:hAnsi="Times New Roman" w:cs="Times New Roman"/>
                <w:color w:val="auto"/>
                <w:spacing w:val="-6"/>
                <w:sz w:val="21"/>
                <w:szCs w:val="21"/>
              </w:rPr>
              <w:t>井</w:t>
            </w:r>
            <w:r>
              <w:rPr>
                <w:rFonts w:hint="default" w:ascii="Times New Roman" w:hAnsi="Times New Roman" w:cs="Times New Roman"/>
                <w:color w:val="auto"/>
                <w:spacing w:val="-12"/>
                <w:sz w:val="21"/>
                <w:szCs w:val="21"/>
              </w:rPr>
              <w:t>区</w:t>
            </w:r>
            <w:r>
              <w:rPr>
                <w:rFonts w:hint="default" w:ascii="Times New Roman" w:hAnsi="Times New Roman" w:eastAsia="Times New Roman" w:cs="Times New Roman"/>
                <w:color w:val="auto"/>
                <w:spacing w:val="-12"/>
                <w:sz w:val="21"/>
                <w:szCs w:val="21"/>
              </w:rPr>
              <w:t>1</w:t>
            </w:r>
            <w:r>
              <w:rPr>
                <w:rFonts w:hint="default" w:ascii="Times New Roman" w:hAnsi="Times New Roman" w:cs="Times New Roman"/>
                <w:color w:val="auto"/>
                <w:spacing w:val="-12"/>
                <w:sz w:val="21"/>
                <w:szCs w:val="21"/>
              </w:rPr>
              <w:t>号</w:t>
            </w:r>
            <w:r>
              <w:rPr>
                <w:rFonts w:hint="default" w:ascii="Times New Roman" w:hAnsi="Times New Roman" w:cs="Times New Roman"/>
                <w:color w:val="auto"/>
                <w:spacing w:val="3"/>
                <w:sz w:val="21"/>
                <w:szCs w:val="21"/>
              </w:rPr>
              <w:t>多通阀</w:t>
            </w:r>
            <w:r>
              <w:rPr>
                <w:rFonts w:hint="default" w:ascii="Times New Roman" w:hAnsi="Times New Roman" w:cs="Times New Roman"/>
                <w:color w:val="auto"/>
                <w:sz w:val="21"/>
                <w:szCs w:val="21"/>
              </w:rPr>
              <w:t>站</w:t>
            </w: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井场内</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0.608</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4.27</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8</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2.2</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0.07</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116</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8.31</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62"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2"/>
                <w:sz w:val="21"/>
                <w:szCs w:val="21"/>
              </w:rPr>
              <w:t>站场外</w:t>
            </w:r>
            <w:r>
              <w:rPr>
                <w:rFonts w:hint="default" w:ascii="Times New Roman" w:hAnsi="Times New Roman" w:eastAsia="Times New Roman" w:cs="Times New Roman"/>
                <w:color w:val="auto"/>
                <w:spacing w:val="2"/>
                <w:sz w:val="21"/>
                <w:szCs w:val="21"/>
              </w:rPr>
              <w:t>10m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0.675</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3.92</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7</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1.6</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15</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0.11</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82</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8.46</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continue"/>
            <w:tcBorders>
              <w:top w:val="nil"/>
              <w:bottom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5"/>
                <w:sz w:val="21"/>
                <w:szCs w:val="21"/>
              </w:rPr>
              <w:t>站场外</w:t>
            </w:r>
            <w:r>
              <w:rPr>
                <w:rFonts w:hint="default" w:ascii="Times New Roman" w:hAnsi="Times New Roman" w:eastAsia="Times New Roman" w:cs="Times New Roman"/>
                <w:color w:val="auto"/>
                <w:spacing w:val="5"/>
                <w:sz w:val="21"/>
                <w:szCs w:val="21"/>
              </w:rPr>
              <w:t>20m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0.470</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4.05</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7</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3.0</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17</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0.26</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82</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8.42</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2"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p>
        </w:tc>
        <w:tc>
          <w:tcPr>
            <w:tcW w:w="113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pacing w:val="4"/>
                <w:sz w:val="21"/>
                <w:szCs w:val="21"/>
              </w:rPr>
              <w:t>站场外</w:t>
            </w:r>
            <w:r>
              <w:rPr>
                <w:rFonts w:hint="default" w:ascii="Times New Roman" w:hAnsi="Times New Roman" w:eastAsia="Times New Roman" w:cs="Times New Roman"/>
                <w:color w:val="auto"/>
                <w:spacing w:val="4"/>
                <w:sz w:val="21"/>
                <w:szCs w:val="21"/>
              </w:rPr>
              <w:t>30m</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0.653</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4.11</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3.3</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8"/>
                <w:sz w:val="21"/>
                <w:szCs w:val="21"/>
              </w:rPr>
              <w:t>13</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0.14</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81</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8.65</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995" w:type="dxa"/>
            <w:gridSpan w:val="2"/>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标准限值</w:t>
            </w:r>
          </w:p>
        </w:tc>
        <w:tc>
          <w:tcPr>
            <w:tcW w:w="6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38</w:t>
            </w:r>
          </w:p>
        </w:tc>
        <w:tc>
          <w:tcPr>
            <w:tcW w:w="6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60</w:t>
            </w:r>
          </w:p>
        </w:tc>
        <w:tc>
          <w:tcPr>
            <w:tcW w:w="6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18000</w:t>
            </w:r>
          </w:p>
        </w:tc>
        <w:tc>
          <w:tcPr>
            <w:tcW w:w="5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800</w:t>
            </w:r>
          </w:p>
        </w:tc>
        <w:tc>
          <w:tcPr>
            <w:tcW w:w="4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900</w:t>
            </w:r>
          </w:p>
        </w:tc>
        <w:tc>
          <w:tcPr>
            <w:tcW w:w="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65</w:t>
            </w:r>
          </w:p>
        </w:tc>
        <w:tc>
          <w:tcPr>
            <w:tcW w:w="6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5.7</w:t>
            </w:r>
          </w:p>
        </w:tc>
        <w:tc>
          <w:tcPr>
            <w:tcW w:w="8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4"/>
                <w:sz w:val="21"/>
                <w:szCs w:val="21"/>
              </w:rPr>
              <w:t>4500</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995" w:type="dxa"/>
            <w:gridSpan w:val="2"/>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达标情况</w:t>
            </w:r>
          </w:p>
        </w:tc>
        <w:tc>
          <w:tcPr>
            <w:tcW w:w="65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达标</w:t>
            </w:r>
          </w:p>
        </w:tc>
        <w:tc>
          <w:tcPr>
            <w:tcW w:w="613"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达标</w:t>
            </w:r>
          </w:p>
        </w:tc>
        <w:tc>
          <w:tcPr>
            <w:tcW w:w="681"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达标</w:t>
            </w:r>
          </w:p>
        </w:tc>
        <w:tc>
          <w:tcPr>
            <w:tcW w:w="535" w:type="dxa"/>
            <w:noWrap w:val="0"/>
            <w:textDirection w:val="tbRlV"/>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达标</w:t>
            </w:r>
          </w:p>
        </w:tc>
        <w:tc>
          <w:tcPr>
            <w:tcW w:w="477" w:type="dxa"/>
            <w:noWrap w:val="0"/>
            <w:textDirection w:val="tbRlV"/>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达标</w:t>
            </w:r>
          </w:p>
        </w:tc>
        <w:tc>
          <w:tcPr>
            <w:tcW w:w="522" w:type="dxa"/>
            <w:noWrap w:val="0"/>
            <w:textDirection w:val="tbRlV"/>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达标</w:t>
            </w:r>
          </w:p>
        </w:tc>
        <w:tc>
          <w:tcPr>
            <w:tcW w:w="646"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达标</w:t>
            </w:r>
          </w:p>
        </w:tc>
        <w:tc>
          <w:tcPr>
            <w:tcW w:w="877" w:type="dxa"/>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达标</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w:t>
            </w:r>
          </w:p>
        </w:tc>
        <w:tc>
          <w:tcPr>
            <w:tcW w:w="7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1995" w:type="dxa"/>
            <w:gridSpan w:val="2"/>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备注</w:t>
            </w:r>
          </w:p>
        </w:tc>
        <w:tc>
          <w:tcPr>
            <w:tcW w:w="6310" w:type="dxa"/>
            <w:gridSpan w:val="10"/>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9"/>
                <w:sz w:val="21"/>
                <w:szCs w:val="21"/>
              </w:rPr>
              <w:t>低于检出限的用</w:t>
            </w:r>
            <w:r>
              <w:rPr>
                <w:rFonts w:hint="default" w:ascii="Times New Roman" w:hAnsi="Times New Roman" w:eastAsia="Times New Roman" w:cs="Times New Roman"/>
                <w:color w:val="auto"/>
                <w:spacing w:val="9"/>
                <w:sz w:val="21"/>
                <w:szCs w:val="21"/>
              </w:rPr>
              <w:t>“</w:t>
            </w:r>
            <w:r>
              <w:rPr>
                <w:rFonts w:hint="default" w:ascii="Times New Roman" w:hAnsi="Times New Roman" w:eastAsia="Times New Roman" w:cs="Times New Roman"/>
                <w:color w:val="auto"/>
                <w:sz w:val="21"/>
                <w:szCs w:val="21"/>
              </w:rPr>
              <w:t>ND</w:t>
            </w:r>
            <w:r>
              <w:rPr>
                <w:rFonts w:hint="default" w:ascii="Times New Roman" w:hAnsi="Times New Roman" w:eastAsia="Times New Roman" w:cs="Times New Roman"/>
                <w:color w:val="auto"/>
                <w:spacing w:val="9"/>
                <w:sz w:val="21"/>
                <w:szCs w:val="21"/>
              </w:rPr>
              <w:t>”</w:t>
            </w:r>
            <w:r>
              <w:rPr>
                <w:rFonts w:hint="default" w:ascii="Times New Roman" w:hAnsi="Times New Roman" w:cs="Times New Roman"/>
                <w:color w:val="auto"/>
                <w:spacing w:val="9"/>
                <w:sz w:val="21"/>
                <w:szCs w:val="21"/>
              </w:rPr>
              <w:t>表示；</w:t>
            </w:r>
            <w:r>
              <w:rPr>
                <w:rFonts w:hint="default" w:ascii="Times New Roman" w:hAnsi="Times New Roman" w:eastAsia="Times New Roman" w:cs="Times New Roman"/>
                <w:color w:val="auto"/>
                <w:sz w:val="21"/>
                <w:szCs w:val="21"/>
              </w:rPr>
              <w:t>pH</w:t>
            </w:r>
            <w:r>
              <w:rPr>
                <w:rFonts w:hint="default" w:ascii="Times New Roman" w:hAnsi="Times New Roman" w:cs="Times New Roman"/>
                <w:color w:val="auto"/>
                <w:spacing w:val="9"/>
                <w:sz w:val="21"/>
                <w:szCs w:val="21"/>
              </w:rPr>
              <w:t>无量纲。</w:t>
            </w:r>
          </w:p>
        </w:tc>
      </w:tr>
    </w:tbl>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shd w:val="clear" w:color="auto" w:fill="auto"/>
          <w:lang w:eastAsia="zh-CN"/>
        </w:rPr>
        <w:t>根据类比可知，</w:t>
      </w:r>
      <w:r>
        <w:rPr>
          <w:rFonts w:hint="default" w:ascii="Times New Roman" w:hAnsi="Times New Roman" w:eastAsia="宋体" w:cs="Times New Roman"/>
          <w:color w:val="auto"/>
          <w:sz w:val="24"/>
          <w:szCs w:val="24"/>
          <w:shd w:val="clear" w:color="auto" w:fill="auto"/>
        </w:rPr>
        <w:t>监测结果显示土壤中石油烃监测值均满足《土壤环境质量 建设用地土壤污染风险管控标准》（GB36600-2018）中第二类用地筛选值要求</w:t>
      </w:r>
      <w:r>
        <w:rPr>
          <w:rFonts w:hint="default" w:ascii="Times New Roman" w:hAnsi="Times New Roman" w:cs="Times New Roman"/>
          <w:color w:val="auto"/>
          <w:sz w:val="24"/>
          <w:szCs w:val="24"/>
          <w:shd w:val="clear" w:color="auto" w:fill="auto"/>
          <w:lang w:eastAsia="zh-CN"/>
        </w:rPr>
        <w:t>。说明</w:t>
      </w:r>
      <w:r>
        <w:rPr>
          <w:rFonts w:hint="default" w:ascii="Times New Roman" w:hAnsi="Times New Roman" w:cs="Times New Roman"/>
          <w:color w:val="auto"/>
          <w:sz w:val="24"/>
          <w:szCs w:val="24"/>
        </w:rPr>
        <w:t>正常工况下，不会有泄漏情况发生，也不会对土壤环境造成影响。</w:t>
      </w:r>
    </w:p>
    <w:p>
      <w:pPr>
        <w:pStyle w:val="56"/>
        <w:spacing w:line="360" w:lineRule="auto"/>
        <w:ind w:firstLine="482"/>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因此，在项目建设过程中须做好相关防渗措施，以及原油收集、输送和暂存等区域的防腐、防渗措施，运营期须定期检查防渗层及管道的破损或破裂情况，若发现有破损或破裂部位须及时进行修补；故在项目运营期间，需加强管理和监督检查，减少非正常情况的发生，避免污染物进入土壤及地下水含水层中。在工程做好防渗、定期监测、严格执行本次环评提出的污染防治措施的前提下本项目对土壤环境影响可接受</w:t>
      </w:r>
      <w:r>
        <w:rPr>
          <w:rFonts w:hint="eastAsia" w:cs="Times New Roman"/>
          <w:color w:val="auto"/>
          <w:sz w:val="24"/>
          <w:szCs w:val="24"/>
          <w:lang w:eastAsia="zh-CN"/>
        </w:rPr>
        <w:t>。</w:t>
      </w:r>
    </w:p>
    <w:p>
      <w:pPr>
        <w:pStyle w:val="56"/>
        <w:spacing w:line="360" w:lineRule="auto"/>
        <w:ind w:left="0" w:leftChars="0" w:firstLine="0" w:firstLineChars="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5.6.2.4非正常工况下生态影响型土壤环境影响分析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考虑</w:t>
      </w:r>
      <w:r>
        <w:rPr>
          <w:rFonts w:hint="default" w:ascii="Times New Roman" w:hAnsi="Times New Roman" w:eastAsia="宋体" w:cs="Times New Roman"/>
          <w:color w:val="auto"/>
          <w:spacing w:val="0"/>
          <w:position w:val="0"/>
          <w:sz w:val="24"/>
          <w:szCs w:val="24"/>
        </w:rPr>
        <w:t>事故状态下，单井集输管道破裂后，采出液进入表层土壤中，单井集输管道在井场设置有压力和远传信号，当发生管道破裂时，在</w:t>
      </w:r>
      <w:r>
        <w:rPr>
          <w:rFonts w:hint="default" w:ascii="Times New Roman" w:hAnsi="Times New Roman" w:eastAsia="Times New Roman" w:cs="Times New Roman"/>
          <w:color w:val="auto"/>
          <w:spacing w:val="0"/>
          <w:position w:val="0"/>
          <w:sz w:val="24"/>
          <w:szCs w:val="24"/>
        </w:rPr>
        <w:t>1</w:t>
      </w:r>
      <w:r>
        <w:rPr>
          <w:rFonts w:hint="default" w:ascii="Times New Roman" w:hAnsi="Times New Roman" w:eastAsia="宋体" w:cs="Times New Roman"/>
          <w:color w:val="auto"/>
          <w:spacing w:val="0"/>
          <w:position w:val="0"/>
          <w:sz w:val="24"/>
          <w:szCs w:val="24"/>
          <w:lang w:val="en-US" w:eastAsia="zh-CN"/>
        </w:rPr>
        <w:t>天</w:t>
      </w:r>
      <w:r>
        <w:rPr>
          <w:rFonts w:hint="default" w:ascii="Times New Roman" w:hAnsi="Times New Roman" w:eastAsia="宋体" w:cs="Times New Roman"/>
          <w:color w:val="auto"/>
          <w:spacing w:val="0"/>
          <w:position w:val="0"/>
          <w:sz w:val="24"/>
          <w:szCs w:val="24"/>
        </w:rPr>
        <w:t>内排查到泄漏点并进行封堵。初步估算，发生泄漏到封堵，预计从单井集输管道中泄漏的采出液量为20.55</w:t>
      </w:r>
      <w:r>
        <w:rPr>
          <w:rFonts w:hint="default" w:ascii="Times New Roman" w:hAnsi="Times New Roman" w:eastAsia="Times New Roman" w:cs="Times New Roman"/>
          <w:color w:val="auto"/>
          <w:spacing w:val="0"/>
          <w:position w:val="0"/>
          <w:sz w:val="24"/>
          <w:szCs w:val="24"/>
        </w:rPr>
        <w:t>m</w:t>
      </w:r>
      <w:r>
        <w:rPr>
          <w:rFonts w:hint="default" w:ascii="Times New Roman" w:hAnsi="Times New Roman" w:eastAsia="宋体" w:cs="Times New Roman"/>
          <w:color w:val="auto"/>
          <w:spacing w:val="0"/>
          <w:position w:val="0"/>
          <w:sz w:val="24"/>
          <w:szCs w:val="24"/>
          <w:vertAlign w:val="superscript"/>
          <w:lang w:val="en-US" w:eastAsia="zh-CN"/>
        </w:rPr>
        <w:t>3</w:t>
      </w:r>
      <w:r>
        <w:rPr>
          <w:rFonts w:hint="default" w:ascii="Times New Roman" w:hAnsi="Times New Roman" w:eastAsia="宋体" w:cs="Times New Roman"/>
          <w:color w:val="auto"/>
          <w:spacing w:val="0"/>
          <w:position w:val="0"/>
          <w:sz w:val="24"/>
          <w:szCs w:val="24"/>
        </w:rPr>
        <w:t>。采</w:t>
      </w:r>
      <w:r>
        <w:rPr>
          <w:rFonts w:hint="default" w:ascii="Times New Roman" w:hAnsi="Times New Roman" w:eastAsia="Times New Roman" w:cs="Times New Roman"/>
          <w:color w:val="auto"/>
          <w:spacing w:val="0"/>
          <w:position w:val="0"/>
          <w:sz w:val="24"/>
          <w:szCs w:val="24"/>
        </w:rPr>
        <w:t>出液中的HCO</w:t>
      </w:r>
      <w:r>
        <w:rPr>
          <w:rFonts w:hint="default" w:ascii="Times New Roman" w:hAnsi="Times New Roman" w:eastAsia="Times New Roman" w:cs="Times New Roman"/>
          <w:color w:val="auto"/>
          <w:spacing w:val="0"/>
          <w:position w:val="0"/>
          <w:sz w:val="24"/>
          <w:szCs w:val="24"/>
          <w:vertAlign w:val="subscript"/>
        </w:rPr>
        <w:t>3</w:t>
      </w:r>
      <w:r>
        <w:rPr>
          <w:rFonts w:hint="default" w:ascii="Times New Roman" w:hAnsi="Times New Roman" w:eastAsia="Times New Roman" w:cs="Times New Roman"/>
          <w:color w:val="auto"/>
          <w:spacing w:val="0"/>
          <w:position w:val="0"/>
          <w:sz w:val="24"/>
          <w:szCs w:val="24"/>
          <w:vertAlign w:val="superscript"/>
        </w:rPr>
        <w:t>-</w:t>
      </w:r>
      <w:r>
        <w:rPr>
          <w:rFonts w:hint="default" w:ascii="Times New Roman" w:hAnsi="Times New Roman" w:eastAsia="宋体" w:cs="Times New Roman"/>
          <w:color w:val="auto"/>
          <w:spacing w:val="0"/>
          <w:position w:val="0"/>
          <w:sz w:val="24"/>
          <w:szCs w:val="24"/>
          <w:lang w:val="en-US" w:eastAsia="zh-CN"/>
        </w:rPr>
        <w:t>为</w:t>
      </w:r>
      <w:r>
        <w:rPr>
          <w:rFonts w:hint="default" w:ascii="Times New Roman" w:hAnsi="Times New Roman" w:eastAsia="Times New Roman" w:cs="Times New Roman"/>
          <w:color w:val="auto"/>
          <w:spacing w:val="0"/>
          <w:position w:val="0"/>
          <w:sz w:val="24"/>
          <w:szCs w:val="24"/>
          <w:lang w:val="en-US" w:eastAsia="zh-CN"/>
        </w:rPr>
        <w:t>3888.14</w:t>
      </w:r>
      <w:r>
        <w:rPr>
          <w:rFonts w:hint="default" w:ascii="Times New Roman" w:hAnsi="Times New Roman" w:eastAsia="Times New Roman" w:cs="Times New Roman"/>
          <w:color w:val="auto"/>
          <w:spacing w:val="0"/>
          <w:position w:val="0"/>
          <w:sz w:val="24"/>
          <w:szCs w:val="24"/>
        </w:rPr>
        <w:t>mg/L，则</w:t>
      </w:r>
      <w:r>
        <w:rPr>
          <w:rFonts w:hint="default" w:ascii="Times New Roman" w:hAnsi="Times New Roman" w:eastAsia="宋体" w:cs="Times New Roman"/>
          <w:color w:val="auto"/>
          <w:spacing w:val="0"/>
          <w:position w:val="0"/>
          <w:sz w:val="24"/>
          <w:szCs w:val="24"/>
        </w:rPr>
        <w:t>估算进入土壤中的盐分含量为</w:t>
      </w:r>
      <w:r>
        <w:rPr>
          <w:rFonts w:hint="default" w:ascii="Times New Roman" w:hAnsi="Times New Roman" w:eastAsia="宋体" w:cs="Times New Roman"/>
          <w:color w:val="auto"/>
          <w:spacing w:val="0"/>
          <w:position w:val="0"/>
          <w:sz w:val="24"/>
          <w:szCs w:val="24"/>
          <w:lang w:val="en-US" w:eastAsia="zh-CN"/>
        </w:rPr>
        <w:t>110019.12g</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rPr>
        <w:t>本次预测采用HJ964-2018附录E.1.3中预测方法，预测公式如下：</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rPr>
        <w:t>（1）单位质量土壤中某种物质的增量</w:t>
      </w:r>
    </w:p>
    <w:p>
      <w:pPr>
        <w:spacing w:before="1" w:line="220" w:lineRule="auto"/>
        <w:ind w:left="512"/>
        <w:rPr>
          <w:rFonts w:hint="default" w:ascii="Times New Roman" w:hAnsi="Times New Roman" w:eastAsia="宋体" w:cs="Times New Roman"/>
          <w:color w:val="auto"/>
          <w:spacing w:val="0"/>
          <w:position w:val="0"/>
          <w:sz w:val="24"/>
          <w:szCs w:val="24"/>
          <w:lang w:val="en-US" w:eastAsia="zh-CN"/>
        </w:rPr>
      </w:pPr>
      <m:oMathPara>
        <m:oMath>
          <m:r>
            <m:rPr>
              <m:sty m:val="p"/>
            </m:rPr>
            <w:rPr>
              <w:rFonts w:hint="default" w:ascii="Cambria Math" w:hAnsi="Cambria Math" w:cs="Times New Roman"/>
              <w:color w:val="auto"/>
              <w:spacing w:val="0"/>
              <w:position w:val="0"/>
              <w:sz w:val="24"/>
              <w:szCs w:val="24"/>
            </w:rPr>
            <m:t>∆</m:t>
          </m:r>
          <m:r>
            <w:rPr>
              <w:rFonts w:hint="default" w:ascii="Cambria Math" w:hAnsi="Cambria Math" w:cs="Times New Roman"/>
              <w:color w:val="auto"/>
              <w:spacing w:val="0"/>
              <w:position w:val="0"/>
              <w:sz w:val="24"/>
              <w:szCs w:val="24"/>
              <w:lang w:val="en-US" w:eastAsia="zh-CN"/>
            </w:rPr>
            <m:t>S</m:t>
          </m:r>
          <m:r>
            <m:rPr>
              <m:sty m:val="p"/>
            </m:rPr>
            <w:rPr>
              <w:rFonts w:hint="default" w:ascii="Cambria Math" w:hAnsi="Cambria Math" w:cs="Times New Roman"/>
              <w:color w:val="auto"/>
              <w:spacing w:val="0"/>
              <w:position w:val="0"/>
              <w:sz w:val="24"/>
              <w:szCs w:val="24"/>
              <w:lang w:val="en-US" w:eastAsia="zh-CN"/>
            </w:rPr>
            <m:t>=</m:t>
          </m:r>
          <m:f>
            <m:fPr>
              <m:ctrlPr>
                <w:rPr>
                  <w:rFonts w:hint="default" w:ascii="Cambria Math" w:hAnsi="Cambria Math" w:cs="Times New Roman"/>
                  <w:color w:val="auto"/>
                  <w:spacing w:val="0"/>
                  <w:position w:val="0"/>
                  <w:sz w:val="24"/>
                  <w:szCs w:val="24"/>
                  <w:lang w:val="en-US" w:eastAsia="zh-CN"/>
                </w:rPr>
              </m:ctrlPr>
            </m:fPr>
            <m:num>
              <m:r>
                <w:rPr>
                  <w:rFonts w:hint="default" w:ascii="Cambria Math" w:hAnsi="Cambria Math" w:cs="Times New Roman"/>
                  <w:color w:val="auto"/>
                  <w:spacing w:val="0"/>
                  <w:position w:val="0"/>
                  <w:sz w:val="24"/>
                  <w:szCs w:val="24"/>
                  <w:lang w:val="en-US" w:eastAsia="zh-CN"/>
                </w:rPr>
                <m:t>n</m:t>
              </m:r>
              <m:r>
                <m:rPr>
                  <m:sty m:val="p"/>
                </m:rPr>
                <w:rPr>
                  <w:rFonts w:hint="default" w:ascii="Cambria Math" w:hAnsi="Cambria Math" w:cs="Times New Roman"/>
                  <w:color w:val="auto"/>
                  <w:spacing w:val="0"/>
                  <w:position w:val="0"/>
                  <w:sz w:val="24"/>
                  <w:szCs w:val="24"/>
                  <w:lang w:val="en-US" w:eastAsia="zh-CN"/>
                </w:rPr>
                <m:t>（</m:t>
              </m:r>
              <m:sSub>
                <m:sSubPr>
                  <m:ctrlPr>
                    <w:rPr>
                      <w:rFonts w:hint="default" w:ascii="Cambria Math" w:hAnsi="Cambria Math" w:cs="Times New Roman"/>
                      <w:i/>
                      <w:iCs/>
                      <w:color w:val="auto"/>
                      <w:spacing w:val="0"/>
                      <w:position w:val="0"/>
                      <w:sz w:val="24"/>
                      <w:szCs w:val="24"/>
                      <w:lang w:val="en-US" w:eastAsia="zh-CN"/>
                    </w:rPr>
                  </m:ctrlPr>
                </m:sSubPr>
                <m:e>
                  <m:r>
                    <w:rPr>
                      <w:rFonts w:hint="default" w:ascii="Cambria Math" w:hAnsi="Cambria Math" w:cs="Times New Roman"/>
                      <w:color w:val="auto"/>
                      <w:spacing w:val="0"/>
                      <w:position w:val="0"/>
                      <w:sz w:val="24"/>
                      <w:szCs w:val="24"/>
                      <w:lang w:val="en-US" w:eastAsia="zh-CN"/>
                    </w:rPr>
                    <m:t>I</m:t>
                  </m:r>
                  <m:ctrlPr>
                    <w:rPr>
                      <w:rFonts w:hint="default" w:ascii="Cambria Math" w:hAnsi="Cambria Math" w:cs="Times New Roman"/>
                      <w:i/>
                      <w:iCs/>
                      <w:color w:val="auto"/>
                      <w:spacing w:val="0"/>
                      <w:position w:val="0"/>
                      <w:sz w:val="24"/>
                      <w:szCs w:val="24"/>
                      <w:lang w:val="en-US" w:eastAsia="zh-CN"/>
                    </w:rPr>
                  </m:ctrlPr>
                </m:e>
                <m:sub>
                  <m:r>
                    <w:rPr>
                      <w:rFonts w:hint="default" w:ascii="Cambria Math" w:hAnsi="Cambria Math" w:cs="Times New Roman"/>
                      <w:color w:val="auto"/>
                      <w:spacing w:val="0"/>
                      <w:position w:val="0"/>
                      <w:sz w:val="24"/>
                      <w:szCs w:val="24"/>
                      <w:lang w:val="en-US" w:eastAsia="zh-CN"/>
                    </w:rPr>
                    <m:t>S</m:t>
                  </m:r>
                  <m:ctrlPr>
                    <w:rPr>
                      <w:rFonts w:hint="default" w:ascii="Cambria Math" w:hAnsi="Cambria Math" w:cs="Times New Roman"/>
                      <w:i/>
                      <w:iCs/>
                      <w:color w:val="auto"/>
                      <w:spacing w:val="0"/>
                      <w:position w:val="0"/>
                      <w:sz w:val="24"/>
                      <w:szCs w:val="24"/>
                      <w:lang w:val="en-US" w:eastAsia="zh-CN"/>
                    </w:rPr>
                  </m:ctrlPr>
                </m:sub>
              </m:sSub>
              <m:r>
                <m:rPr>
                  <m:sty m:val="p"/>
                </m:rPr>
                <w:rPr>
                  <w:rFonts w:hint="default" w:ascii="Cambria Math" w:hAnsi="Cambria Math" w:cs="Times New Roman"/>
                  <w:color w:val="auto"/>
                  <w:spacing w:val="0"/>
                  <w:position w:val="0"/>
                  <w:sz w:val="24"/>
                  <w:szCs w:val="24"/>
                  <w:lang w:val="en-US" w:eastAsia="zh-CN"/>
                </w:rPr>
                <m:t>−</m:t>
              </m:r>
              <m:sSub>
                <m:sSubPr>
                  <m:ctrlPr>
                    <w:rPr>
                      <w:rFonts w:hint="default" w:ascii="Cambria Math" w:hAnsi="Cambria Math" w:cs="Times New Roman"/>
                      <w:i/>
                      <w:iCs/>
                      <w:color w:val="auto"/>
                      <w:spacing w:val="0"/>
                      <w:position w:val="0"/>
                      <w:sz w:val="24"/>
                      <w:szCs w:val="24"/>
                      <w:lang w:val="en-US" w:eastAsia="zh-CN"/>
                    </w:rPr>
                  </m:ctrlPr>
                </m:sSubPr>
                <m:e>
                  <m:r>
                    <w:rPr>
                      <w:rFonts w:hint="default" w:ascii="Cambria Math" w:hAnsi="Cambria Math" w:cs="Times New Roman"/>
                      <w:color w:val="auto"/>
                      <w:spacing w:val="0"/>
                      <w:position w:val="0"/>
                      <w:sz w:val="24"/>
                      <w:szCs w:val="24"/>
                      <w:lang w:val="en-US" w:eastAsia="zh-CN"/>
                    </w:rPr>
                    <m:t>L</m:t>
                  </m:r>
                  <m:ctrlPr>
                    <w:rPr>
                      <w:rFonts w:hint="default" w:ascii="Cambria Math" w:hAnsi="Cambria Math" w:cs="Times New Roman"/>
                      <w:i/>
                      <w:iCs/>
                      <w:color w:val="auto"/>
                      <w:spacing w:val="0"/>
                      <w:position w:val="0"/>
                      <w:sz w:val="24"/>
                      <w:szCs w:val="24"/>
                      <w:lang w:val="en-US" w:eastAsia="zh-CN"/>
                    </w:rPr>
                  </m:ctrlPr>
                </m:e>
                <m:sub>
                  <m:r>
                    <w:rPr>
                      <w:rFonts w:hint="default" w:ascii="Cambria Math" w:hAnsi="Cambria Math" w:cs="Times New Roman"/>
                      <w:color w:val="auto"/>
                      <w:spacing w:val="0"/>
                      <w:position w:val="0"/>
                      <w:sz w:val="24"/>
                      <w:szCs w:val="24"/>
                      <w:lang w:val="en-US" w:eastAsia="zh-CN"/>
                    </w:rPr>
                    <m:t>S</m:t>
                  </m:r>
                  <m:ctrlPr>
                    <w:rPr>
                      <w:rFonts w:hint="default" w:ascii="Cambria Math" w:hAnsi="Cambria Math" w:cs="Times New Roman"/>
                      <w:i/>
                      <w:iCs/>
                      <w:color w:val="auto"/>
                      <w:spacing w:val="0"/>
                      <w:position w:val="0"/>
                      <w:sz w:val="24"/>
                      <w:szCs w:val="24"/>
                      <w:lang w:val="en-US" w:eastAsia="zh-CN"/>
                    </w:rPr>
                  </m:ctrlPr>
                </m:sub>
              </m:sSub>
              <m:r>
                <m:rPr>
                  <m:sty m:val="p"/>
                </m:rPr>
                <w:rPr>
                  <w:rFonts w:hint="default" w:ascii="Cambria Math" w:hAnsi="Cambria Math" w:cs="Times New Roman"/>
                  <w:color w:val="auto"/>
                  <w:spacing w:val="0"/>
                  <w:position w:val="0"/>
                  <w:sz w:val="24"/>
                  <w:szCs w:val="24"/>
                  <w:lang w:val="en-US" w:eastAsia="zh-CN"/>
                </w:rPr>
                <m:t>−</m:t>
              </m:r>
              <m:sSub>
                <m:sSubPr>
                  <m:ctrlPr>
                    <w:rPr>
                      <w:rFonts w:hint="default" w:ascii="Cambria Math" w:hAnsi="Cambria Math" w:cs="Times New Roman"/>
                      <w:color w:val="auto"/>
                      <w:spacing w:val="0"/>
                      <w:position w:val="0"/>
                      <w:sz w:val="24"/>
                      <w:szCs w:val="24"/>
                      <w:lang w:val="en-US" w:eastAsia="zh-CN"/>
                    </w:rPr>
                  </m:ctrlPr>
                </m:sSubPr>
                <m:e>
                  <m:r>
                    <m:rPr>
                      <m:sty m:val="p"/>
                    </m:rPr>
                    <w:rPr>
                      <w:rFonts w:hint="default" w:ascii="Cambria Math" w:hAnsi="Cambria Math" w:cs="Times New Roman"/>
                      <w:color w:val="auto"/>
                      <w:spacing w:val="0"/>
                      <w:position w:val="0"/>
                      <w:sz w:val="24"/>
                      <w:szCs w:val="24"/>
                      <w:lang w:val="en-US" w:eastAsia="zh-CN"/>
                    </w:rPr>
                    <m:t>R</m:t>
                  </m:r>
                  <m:ctrlPr>
                    <w:rPr>
                      <w:rFonts w:hint="default" w:ascii="Cambria Math" w:hAnsi="Cambria Math" w:cs="Times New Roman"/>
                      <w:color w:val="auto"/>
                      <w:spacing w:val="0"/>
                      <w:position w:val="0"/>
                      <w:sz w:val="24"/>
                      <w:szCs w:val="24"/>
                      <w:lang w:val="en-US" w:eastAsia="zh-CN"/>
                    </w:rPr>
                  </m:ctrlPr>
                </m:e>
                <m:sub>
                  <m:r>
                    <m:rPr>
                      <m:sty m:val="p"/>
                    </m:rPr>
                    <w:rPr>
                      <w:rFonts w:hint="default" w:ascii="Cambria Math" w:hAnsi="Cambria Math" w:cs="Times New Roman"/>
                      <w:color w:val="auto"/>
                      <w:spacing w:val="0"/>
                      <w:position w:val="0"/>
                      <w:sz w:val="24"/>
                      <w:szCs w:val="24"/>
                      <w:lang w:val="en-US" w:eastAsia="zh-CN"/>
                    </w:rPr>
                    <m:t>s</m:t>
                  </m:r>
                  <m:ctrlPr>
                    <w:rPr>
                      <w:rFonts w:hint="default" w:ascii="Cambria Math" w:hAnsi="Cambria Math" w:cs="Times New Roman"/>
                      <w:color w:val="auto"/>
                      <w:spacing w:val="0"/>
                      <w:position w:val="0"/>
                      <w:sz w:val="24"/>
                      <w:szCs w:val="24"/>
                      <w:lang w:val="en-US" w:eastAsia="zh-CN"/>
                    </w:rPr>
                  </m:ctrlPr>
                </m:sub>
              </m:sSub>
              <m:r>
                <m:rPr>
                  <m:sty m:val="p"/>
                </m:rPr>
                <w:rPr>
                  <w:rFonts w:hint="default" w:ascii="Cambria Math" w:hAnsi="Cambria Math" w:cs="Times New Roman"/>
                  <w:color w:val="auto"/>
                  <w:spacing w:val="0"/>
                  <w:position w:val="0"/>
                  <w:sz w:val="24"/>
                  <w:szCs w:val="24"/>
                  <w:lang w:val="en-US" w:eastAsia="zh-CN"/>
                </w:rPr>
                <m:t>）</m:t>
              </m:r>
              <m:ctrlPr>
                <w:rPr>
                  <w:rFonts w:hint="default" w:ascii="Cambria Math" w:hAnsi="Cambria Math" w:cs="Times New Roman"/>
                  <w:color w:val="auto"/>
                  <w:spacing w:val="0"/>
                  <w:position w:val="0"/>
                  <w:sz w:val="24"/>
                  <w:szCs w:val="24"/>
                  <w:lang w:val="en-US" w:eastAsia="zh-CN"/>
                </w:rPr>
              </m:ctrlPr>
            </m:num>
            <m:den>
              <m:r>
                <m:rPr>
                  <m:sty m:val="p"/>
                </m:rPr>
                <w:rPr>
                  <w:rFonts w:hint="default" w:ascii="Cambria Math" w:hAnsi="Cambria Math" w:cs="Times New Roman"/>
                  <w:color w:val="auto"/>
                  <w:spacing w:val="0"/>
                  <w:position w:val="0"/>
                  <w:sz w:val="24"/>
                  <w:szCs w:val="24"/>
                  <w:lang w:val="en-US" w:eastAsia="zh-CN"/>
                </w:rPr>
                <m:t>（</m:t>
              </m:r>
              <m:sSub>
                <m:sSubPr>
                  <m:ctrlPr>
                    <w:rPr>
                      <w:rFonts w:hint="default" w:ascii="Cambria Math" w:hAnsi="Cambria Math" w:cs="Times New Roman"/>
                      <w:i/>
                      <w:iCs/>
                      <w:color w:val="auto"/>
                      <w:spacing w:val="0"/>
                      <w:position w:val="0"/>
                      <w:sz w:val="24"/>
                      <w:szCs w:val="24"/>
                      <w:lang w:val="en-US" w:eastAsia="zh-CN"/>
                    </w:rPr>
                  </m:ctrlPr>
                </m:sSubPr>
                <m:e>
                  <m:r>
                    <w:rPr>
                      <w:rFonts w:hint="default" w:ascii="Cambria Math" w:hAnsi="Cambria Math" w:cs="Times New Roman"/>
                      <w:color w:val="auto"/>
                      <w:spacing w:val="0"/>
                      <w:position w:val="0"/>
                      <w:sz w:val="24"/>
                      <w:szCs w:val="24"/>
                      <w:lang w:val="en-US"/>
                    </w:rPr>
                    <m:t>ρ</m:t>
                  </m:r>
                  <m:ctrlPr>
                    <w:rPr>
                      <w:rFonts w:hint="default" w:ascii="Cambria Math" w:hAnsi="Cambria Math" w:cs="Times New Roman"/>
                      <w:i/>
                      <w:iCs/>
                      <w:color w:val="auto"/>
                      <w:spacing w:val="0"/>
                      <w:position w:val="0"/>
                      <w:sz w:val="24"/>
                      <w:szCs w:val="24"/>
                      <w:lang w:val="en-US" w:eastAsia="zh-CN"/>
                    </w:rPr>
                  </m:ctrlPr>
                </m:e>
                <m:sub>
                  <m:r>
                    <w:rPr>
                      <w:rFonts w:hint="default" w:ascii="Cambria Math" w:hAnsi="Cambria Math" w:cs="Times New Roman"/>
                      <w:color w:val="auto"/>
                      <w:spacing w:val="0"/>
                      <w:position w:val="0"/>
                      <w:sz w:val="24"/>
                      <w:szCs w:val="24"/>
                      <w:lang w:val="en-US" w:eastAsia="zh-CN"/>
                    </w:rPr>
                    <m:t>b</m:t>
                  </m:r>
                  <m:ctrlPr>
                    <w:rPr>
                      <w:rFonts w:hint="default" w:ascii="Cambria Math" w:hAnsi="Cambria Math" w:cs="Times New Roman"/>
                      <w:i/>
                      <w:iCs/>
                      <w:color w:val="auto"/>
                      <w:spacing w:val="0"/>
                      <w:position w:val="0"/>
                      <w:sz w:val="24"/>
                      <w:szCs w:val="24"/>
                      <w:lang w:val="en-US" w:eastAsia="zh-CN"/>
                    </w:rPr>
                  </m:ctrlPr>
                </m:sub>
              </m:sSub>
              <m:r>
                <m:rPr>
                  <m:sty m:val="p"/>
                </m:rPr>
                <w:rPr>
                  <w:rFonts w:hint="default" w:ascii="Cambria Math" w:hAnsi="Cambria Math" w:cs="Times New Roman"/>
                  <w:color w:val="auto"/>
                  <w:spacing w:val="0"/>
                  <w:position w:val="0"/>
                  <w:sz w:val="24"/>
                  <w:szCs w:val="24"/>
                  <w:lang w:val="en-US"/>
                </w:rPr>
                <m:t>×</m:t>
              </m:r>
              <m:r>
                <w:rPr>
                  <w:rFonts w:hint="default" w:ascii="Cambria Math" w:hAnsi="Cambria Math" w:cs="Times New Roman"/>
                  <w:color w:val="auto"/>
                  <w:spacing w:val="0"/>
                  <w:position w:val="0"/>
                  <w:sz w:val="24"/>
                  <w:szCs w:val="24"/>
                  <w:lang w:val="en-US" w:eastAsia="zh-CN"/>
                </w:rPr>
                <m:t>A</m:t>
              </m:r>
              <m:r>
                <m:rPr>
                  <m:sty m:val="p"/>
                </m:rPr>
                <w:rPr>
                  <w:rFonts w:hint="default" w:ascii="Cambria Math" w:hAnsi="Cambria Math" w:cs="Times New Roman"/>
                  <w:color w:val="auto"/>
                  <w:spacing w:val="0"/>
                  <w:position w:val="0"/>
                  <w:sz w:val="24"/>
                  <w:szCs w:val="24"/>
                  <w:lang w:val="en-US"/>
                </w:rPr>
                <m:t>×</m:t>
              </m:r>
              <m:r>
                <w:rPr>
                  <w:rFonts w:hint="default" w:ascii="Cambria Math" w:hAnsi="Cambria Math" w:cs="Times New Roman"/>
                  <w:color w:val="auto"/>
                  <w:spacing w:val="0"/>
                  <w:position w:val="0"/>
                  <w:sz w:val="24"/>
                  <w:szCs w:val="24"/>
                  <w:lang w:val="en-US" w:eastAsia="zh-CN"/>
                </w:rPr>
                <m:t>D</m:t>
              </m:r>
              <m:r>
                <m:rPr>
                  <m:sty m:val="p"/>
                </m:rPr>
                <w:rPr>
                  <w:rFonts w:hint="default" w:ascii="Cambria Math" w:hAnsi="Cambria Math" w:cs="Times New Roman"/>
                  <w:color w:val="auto"/>
                  <w:spacing w:val="0"/>
                  <w:position w:val="0"/>
                  <w:sz w:val="24"/>
                  <w:szCs w:val="24"/>
                  <w:lang w:val="en-US" w:eastAsia="zh-CN"/>
                </w:rPr>
                <m:t>）</m:t>
              </m:r>
              <m:ctrlPr>
                <w:rPr>
                  <w:rFonts w:hint="default" w:ascii="Cambria Math" w:hAnsi="Cambria Math" w:cs="Times New Roman"/>
                  <w:color w:val="auto"/>
                  <w:spacing w:val="0"/>
                  <w:position w:val="0"/>
                  <w:sz w:val="24"/>
                  <w:szCs w:val="24"/>
                  <w:lang w:val="en-US" w:eastAsia="zh-CN"/>
                </w:rPr>
              </m:ctrlPr>
            </m:den>
          </m:f>
        </m:oMath>
      </m:oMathPara>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式中：</w:t>
      </w:r>
      <m:oMath>
        <m:r>
          <m:rPr>
            <m:sty m:val="p"/>
          </m:rPr>
          <w:rPr>
            <w:rFonts w:hint="default" w:ascii="Cambria Math" w:hAnsi="Cambria Math" w:cs="Times New Roman"/>
            <w:color w:val="auto"/>
            <w:spacing w:val="0"/>
            <w:position w:val="0"/>
            <w:sz w:val="24"/>
            <w:szCs w:val="24"/>
          </w:rPr>
          <m:t>∆</m:t>
        </m:r>
      </m:oMath>
      <w:r>
        <w:rPr>
          <w:rFonts w:hint="default" w:ascii="Times New Roman" w:hAnsi="Times New Roman" w:eastAsia="Times New Roman" w:cs="Times New Roman"/>
          <w:color w:val="auto"/>
          <w:spacing w:val="0"/>
          <w:position w:val="0"/>
          <w:sz w:val="24"/>
          <w:szCs w:val="24"/>
        </w:rPr>
        <w:t>S</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单位质量表层土壤中某种物质的增量，</w:t>
      </w:r>
      <w:r>
        <w:rPr>
          <w:rFonts w:hint="default" w:ascii="Times New Roman" w:hAnsi="Times New Roman" w:eastAsia="Times New Roman" w:cs="Times New Roman"/>
          <w:color w:val="auto"/>
          <w:spacing w:val="0"/>
          <w:position w:val="0"/>
          <w:sz w:val="24"/>
          <w:szCs w:val="24"/>
        </w:rPr>
        <w:t>g/kg</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firstLine="720" w:firstLineChars="3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Times New Roman" w:cs="Times New Roman"/>
          <w:i/>
          <w:iCs/>
          <w:color w:val="auto"/>
          <w:spacing w:val="0"/>
          <w:position w:val="0"/>
          <w:sz w:val="24"/>
          <w:szCs w:val="24"/>
        </w:rPr>
        <w:t>I</w:t>
      </w:r>
      <w:r>
        <w:rPr>
          <w:rFonts w:hint="default" w:ascii="Times New Roman" w:hAnsi="Times New Roman" w:eastAsia="宋体" w:cs="Times New Roman"/>
          <w:i/>
          <w:iCs/>
          <w:color w:val="auto"/>
          <w:spacing w:val="0"/>
          <w:position w:val="0"/>
          <w:sz w:val="24"/>
          <w:szCs w:val="24"/>
          <w:vertAlign w:val="subscript"/>
          <w:lang w:val="en-US" w:eastAsia="zh-CN"/>
        </w:rPr>
        <w:t>s</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预测评价范围内单位年份表层土壤中某种物质的输入量，</w:t>
      </w:r>
      <w:r>
        <w:rPr>
          <w:rFonts w:hint="default" w:ascii="Times New Roman" w:hAnsi="Times New Roman" w:eastAsia="Times New Roman" w:cs="Times New Roman"/>
          <w:color w:val="auto"/>
          <w:spacing w:val="0"/>
          <w:position w:val="0"/>
          <w:sz w:val="24"/>
          <w:szCs w:val="24"/>
        </w:rPr>
        <w:t>g</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firstLine="720" w:firstLineChars="3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i/>
          <w:iCs/>
          <w:color w:val="auto"/>
          <w:spacing w:val="0"/>
          <w:position w:val="0"/>
          <w:sz w:val="24"/>
          <w:szCs w:val="24"/>
          <w:lang w:val="en-US" w:eastAsia="zh-CN"/>
        </w:rPr>
        <w:t>L</w:t>
      </w:r>
      <w:r>
        <w:rPr>
          <w:rFonts w:hint="default" w:ascii="Times New Roman" w:hAnsi="Times New Roman" w:eastAsia="宋体" w:cs="Times New Roman"/>
          <w:i/>
          <w:iCs/>
          <w:color w:val="auto"/>
          <w:spacing w:val="0"/>
          <w:position w:val="0"/>
          <w:sz w:val="24"/>
          <w:szCs w:val="24"/>
          <w:vertAlign w:val="subscript"/>
          <w:lang w:val="en-US" w:eastAsia="zh-CN"/>
        </w:rPr>
        <w:t>s</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预测评价范围内单位年份表层土壤中某种物质经淋溶排出的量，</w:t>
      </w:r>
      <w:r>
        <w:rPr>
          <w:rFonts w:hint="default" w:ascii="Times New Roman" w:hAnsi="Times New Roman" w:eastAsia="Times New Roman" w:cs="Times New Roman"/>
          <w:color w:val="auto"/>
          <w:spacing w:val="0"/>
          <w:position w:val="0"/>
          <w:sz w:val="24"/>
          <w:szCs w:val="24"/>
        </w:rPr>
        <w:t>g</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firstLine="720" w:firstLineChars="3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Times New Roman" w:cs="Times New Roman"/>
          <w:i/>
          <w:iCs/>
          <w:color w:val="auto"/>
          <w:spacing w:val="0"/>
          <w:position w:val="0"/>
          <w:sz w:val="24"/>
          <w:szCs w:val="24"/>
          <w:vertAlign w:val="baseline"/>
        </w:rPr>
        <w:t>R</w:t>
      </w:r>
      <w:r>
        <w:rPr>
          <w:rFonts w:hint="default" w:ascii="Times New Roman" w:hAnsi="Times New Roman" w:eastAsia="Times New Roman" w:cs="Times New Roman"/>
          <w:i/>
          <w:iCs/>
          <w:color w:val="auto"/>
          <w:spacing w:val="0"/>
          <w:position w:val="0"/>
          <w:sz w:val="24"/>
          <w:szCs w:val="24"/>
          <w:vertAlign w:val="subscript"/>
        </w:rPr>
        <w:t>s</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预测评价范围内单位年份表层土壤中某种物质经径流排出的量，</w:t>
      </w:r>
      <w:r>
        <w:rPr>
          <w:rFonts w:hint="default" w:ascii="Times New Roman" w:hAnsi="Times New Roman" w:eastAsia="Times New Roman" w:cs="Times New Roman"/>
          <w:color w:val="auto"/>
          <w:spacing w:val="0"/>
          <w:position w:val="0"/>
          <w:sz w:val="24"/>
          <w:szCs w:val="24"/>
        </w:rPr>
        <w:t>g</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firstLine="720" w:firstLineChars="3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Times New Roman" w:cs="Times New Roman"/>
          <w:i/>
          <w:iCs/>
          <w:color w:val="auto"/>
          <w:spacing w:val="0"/>
          <w:position w:val="0"/>
          <w:sz w:val="24"/>
          <w:szCs w:val="24"/>
        </w:rPr>
        <w:t>ρ</w:t>
      </w:r>
      <w:r>
        <w:rPr>
          <w:rFonts w:hint="default" w:ascii="Times New Roman" w:hAnsi="Times New Roman" w:eastAsia="Times New Roman" w:cs="Times New Roman"/>
          <w:i/>
          <w:iCs/>
          <w:color w:val="auto"/>
          <w:spacing w:val="0"/>
          <w:position w:val="0"/>
          <w:sz w:val="24"/>
          <w:szCs w:val="24"/>
          <w:vertAlign w:val="subscript"/>
        </w:rPr>
        <w:t>b</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表层土壤容重，</w:t>
      </w:r>
      <w:r>
        <w:rPr>
          <w:rFonts w:hint="default" w:ascii="Times New Roman" w:hAnsi="Times New Roman" w:eastAsia="Times New Roman" w:cs="Times New Roman"/>
          <w:color w:val="auto"/>
          <w:spacing w:val="0"/>
          <w:position w:val="0"/>
          <w:sz w:val="24"/>
          <w:szCs w:val="24"/>
        </w:rPr>
        <w:t>kg/m</w:t>
      </w:r>
      <w:r>
        <w:rPr>
          <w:rFonts w:hint="default" w:ascii="Times New Roman" w:hAnsi="Times New Roman" w:eastAsia="宋体" w:cs="Times New Roman"/>
          <w:color w:val="auto"/>
          <w:spacing w:val="0"/>
          <w:position w:val="0"/>
          <w:sz w:val="24"/>
          <w:szCs w:val="24"/>
          <w:vertAlign w:val="superscript"/>
          <w:lang w:val="en-US" w:eastAsia="zh-CN"/>
        </w:rPr>
        <w:t>3</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firstLine="720" w:firstLineChars="3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Times New Roman" w:cs="Times New Roman"/>
          <w:i/>
          <w:iCs/>
          <w:color w:val="auto"/>
          <w:spacing w:val="0"/>
          <w:position w:val="0"/>
          <w:sz w:val="24"/>
          <w:szCs w:val="24"/>
        </w:rPr>
        <w:t>A</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预测评价范围，</w:t>
      </w:r>
      <w:r>
        <w:rPr>
          <w:rFonts w:hint="default" w:ascii="Times New Roman" w:hAnsi="Times New Roman" w:eastAsia="Times New Roman" w:cs="Times New Roman"/>
          <w:color w:val="auto"/>
          <w:spacing w:val="0"/>
          <w:position w:val="0"/>
          <w:sz w:val="24"/>
          <w:szCs w:val="24"/>
        </w:rPr>
        <w:t>m</w:t>
      </w:r>
      <w:r>
        <w:rPr>
          <w:rFonts w:hint="default" w:ascii="Times New Roman" w:hAnsi="Times New Roman" w:eastAsia="宋体" w:cs="Times New Roman"/>
          <w:color w:val="auto"/>
          <w:spacing w:val="0"/>
          <w:position w:val="0"/>
          <w:sz w:val="24"/>
          <w:szCs w:val="24"/>
          <w:vertAlign w:val="superscript"/>
          <w:lang w:val="en-US" w:eastAsia="zh-CN"/>
        </w:rPr>
        <w:t>2</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firstLine="720" w:firstLineChars="3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Times New Roman" w:cs="Times New Roman"/>
          <w:i/>
          <w:iCs/>
          <w:color w:val="auto"/>
          <w:spacing w:val="0"/>
          <w:position w:val="0"/>
          <w:sz w:val="24"/>
          <w:szCs w:val="24"/>
          <w:vertAlign w:val="baseline"/>
          <w:lang w:val="en-US" w:eastAsia="zh-CN"/>
        </w:rPr>
        <w:t>D</w:t>
      </w:r>
      <w:r>
        <w:rPr>
          <w:rFonts w:hint="default" w:ascii="Times New Roman" w:hAnsi="Times New Roman" w:eastAsia="Times New Roman" w:cs="Times New Roman"/>
          <w:i w:val="0"/>
          <w:iCs w:val="0"/>
          <w:color w:val="auto"/>
          <w:spacing w:val="0"/>
          <w:position w:val="0"/>
          <w:sz w:val="24"/>
          <w:szCs w:val="24"/>
          <w:vertAlign w:val="baseline"/>
          <w:lang w:eastAsia="zh-CN"/>
        </w:rPr>
        <w:t>——</w:t>
      </w:r>
      <w:r>
        <w:rPr>
          <w:rFonts w:hint="default" w:ascii="Times New Roman" w:hAnsi="Times New Roman" w:eastAsia="Times New Roman" w:cs="Times New Roman"/>
          <w:i w:val="0"/>
          <w:iCs w:val="0"/>
          <w:color w:val="auto"/>
          <w:spacing w:val="0"/>
          <w:position w:val="0"/>
          <w:sz w:val="24"/>
          <w:szCs w:val="24"/>
          <w:vertAlign w:val="baseline"/>
        </w:rPr>
        <w:t>表层土壤深度，一般取0.2m，可根据实际情况适当调整；</w:t>
      </w:r>
    </w:p>
    <w:p>
      <w:pPr>
        <w:keepNext w:val="0"/>
        <w:keepLines w:val="0"/>
        <w:pageBreakBefore w:val="0"/>
        <w:widowControl/>
        <w:kinsoku/>
        <w:wordWrap/>
        <w:overflowPunct/>
        <w:topLinePunct w:val="0"/>
        <w:autoSpaceDE/>
        <w:autoSpaceDN/>
        <w:bidi w:val="0"/>
        <w:adjustRightInd/>
        <w:snapToGrid w:val="0"/>
        <w:spacing w:line="360" w:lineRule="auto"/>
        <w:ind w:left="420" w:leftChars="200" w:firstLine="720" w:firstLineChars="300"/>
        <w:textAlignment w:val="auto"/>
        <w:rPr>
          <w:rFonts w:hint="default" w:ascii="Times New Roman" w:hAnsi="Times New Roman" w:eastAsia="Times New Roman" w:cs="Times New Roman"/>
          <w:i/>
          <w:iCs/>
          <w:color w:val="auto"/>
          <w:spacing w:val="0"/>
          <w:position w:val="0"/>
          <w:sz w:val="24"/>
          <w:szCs w:val="24"/>
          <w:vertAlign w:val="baseline"/>
        </w:rPr>
      </w:pPr>
      <w:r>
        <w:rPr>
          <w:rFonts w:hint="default" w:ascii="Times New Roman" w:hAnsi="Times New Roman" w:eastAsia="Times New Roman" w:cs="Times New Roman"/>
          <w:i/>
          <w:iCs/>
          <w:color w:val="auto"/>
          <w:spacing w:val="0"/>
          <w:position w:val="0"/>
          <w:sz w:val="24"/>
          <w:szCs w:val="24"/>
          <w:vertAlign w:val="baseline"/>
        </w:rPr>
        <w:t>n</w:t>
      </w:r>
      <w:r>
        <w:rPr>
          <w:rFonts w:hint="default" w:ascii="Times New Roman" w:hAnsi="Times New Roman" w:eastAsia="Times New Roman" w:cs="Times New Roman"/>
          <w:i w:val="0"/>
          <w:iCs w:val="0"/>
          <w:color w:val="auto"/>
          <w:spacing w:val="0"/>
          <w:position w:val="0"/>
          <w:sz w:val="24"/>
          <w:szCs w:val="24"/>
          <w:vertAlign w:val="baseline"/>
          <w:lang w:eastAsia="zh-CN"/>
        </w:rPr>
        <w:t>——</w:t>
      </w:r>
      <w:r>
        <w:rPr>
          <w:rFonts w:hint="default" w:ascii="Times New Roman" w:hAnsi="Times New Roman" w:eastAsia="Times New Roman" w:cs="Times New Roman"/>
          <w:i w:val="0"/>
          <w:iCs w:val="0"/>
          <w:color w:val="auto"/>
          <w:spacing w:val="0"/>
          <w:position w:val="0"/>
          <w:sz w:val="24"/>
          <w:szCs w:val="24"/>
          <w:vertAlign w:val="baseline"/>
        </w:rPr>
        <w:t>持续年份，a。</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w:t>
      </w:r>
      <w:r>
        <w:rPr>
          <w:rFonts w:hint="default" w:ascii="Times New Roman" w:hAnsi="Times New Roman" w:eastAsia="Times New Roman" w:cs="Times New Roman"/>
          <w:color w:val="auto"/>
          <w:spacing w:val="0"/>
          <w:position w:val="0"/>
          <w:sz w:val="24"/>
          <w:szCs w:val="24"/>
        </w:rPr>
        <w:t>2</w:t>
      </w:r>
      <w:r>
        <w:rPr>
          <w:rFonts w:hint="default" w:ascii="Times New Roman" w:hAnsi="Times New Roman" w:eastAsia="宋体" w:cs="Times New Roman"/>
          <w:color w:val="auto"/>
          <w:spacing w:val="0"/>
          <w:position w:val="0"/>
          <w:sz w:val="24"/>
          <w:szCs w:val="24"/>
        </w:rPr>
        <w:t>）单位质量土壤中某种物质的预测值</w:t>
      </w:r>
    </w:p>
    <w:p>
      <w:pPr>
        <w:widowControl/>
        <w:snapToGrid w:val="0"/>
        <w:spacing w:line="360" w:lineRule="auto"/>
        <w:ind w:firstLine="482" w:firstLineChars="0"/>
        <w:jc w:val="center"/>
        <w:rPr>
          <w:rFonts w:hint="default" w:ascii="Times New Roman" w:hAnsi="Times New Roman" w:eastAsia="Times New Roman" w:cs="Times New Roman"/>
          <w:color w:val="auto"/>
          <w:spacing w:val="0"/>
          <w:position w:val="0"/>
          <w:sz w:val="24"/>
          <w:szCs w:val="24"/>
          <w:lang w:val="en-US"/>
        </w:rPr>
      </w:pPr>
      <m:oMathPara>
        <m:oMath>
          <m:r>
            <w:rPr>
              <w:rFonts w:hint="default" w:ascii="Cambria Math" w:hAnsi="Cambria Math" w:eastAsia="Times New Roman" w:cs="Times New Roman"/>
              <w:color w:val="auto"/>
              <w:spacing w:val="0"/>
              <w:kern w:val="2"/>
              <w:position w:val="0"/>
              <w:sz w:val="24"/>
              <w:szCs w:val="24"/>
              <w:lang w:val="en-US" w:eastAsia="zh-CN" w:bidi="ar-SA"/>
            </w:rPr>
            <m:t>S</m:t>
          </m:r>
          <m:r>
            <m:rPr>
              <m:sty m:val="p"/>
            </m:rPr>
            <w:rPr>
              <w:rFonts w:hint="default" w:ascii="Cambria Math" w:hAnsi="Cambria Math" w:eastAsia="Times New Roman" w:cs="Times New Roman"/>
              <w:color w:val="auto"/>
              <w:spacing w:val="0"/>
              <w:kern w:val="2"/>
              <w:position w:val="0"/>
              <w:sz w:val="24"/>
              <w:szCs w:val="24"/>
              <w:lang w:val="en-US" w:eastAsia="zh-CN" w:bidi="ar-SA"/>
            </w:rPr>
            <m:t>=</m:t>
          </m:r>
          <m:sSub>
            <m:sSubPr>
              <m:ctrlPr>
                <w:rPr>
                  <w:rFonts w:hint="default" w:ascii="Cambria Math" w:hAnsi="Cambria Math" w:eastAsia="Times New Roman" w:cs="Times New Roman"/>
                  <w:i/>
                  <w:iCs/>
                  <w:color w:val="auto"/>
                  <w:spacing w:val="0"/>
                  <w:kern w:val="2"/>
                  <w:position w:val="0"/>
                  <w:sz w:val="24"/>
                  <w:szCs w:val="24"/>
                  <w:lang w:val="en-US" w:eastAsia="zh-CN" w:bidi="ar-SA"/>
                </w:rPr>
              </m:ctrlPr>
            </m:sSubPr>
            <m:e>
              <m:r>
                <w:rPr>
                  <w:rFonts w:hint="default" w:ascii="Cambria Math" w:hAnsi="Cambria Math" w:eastAsia="Times New Roman" w:cs="Times New Roman"/>
                  <w:color w:val="auto"/>
                  <w:spacing w:val="0"/>
                  <w:kern w:val="2"/>
                  <w:position w:val="0"/>
                  <w:sz w:val="24"/>
                  <w:szCs w:val="24"/>
                  <w:lang w:val="en-US" w:eastAsia="zh-CN" w:bidi="ar-SA"/>
                </w:rPr>
                <m:t>S</m:t>
              </m:r>
              <m:ctrlPr>
                <w:rPr>
                  <w:rFonts w:hint="default" w:ascii="Cambria Math" w:hAnsi="Cambria Math" w:eastAsia="Times New Roman" w:cs="Times New Roman"/>
                  <w:i/>
                  <w:iCs/>
                  <w:color w:val="auto"/>
                  <w:spacing w:val="0"/>
                  <w:kern w:val="2"/>
                  <w:position w:val="0"/>
                  <w:sz w:val="24"/>
                  <w:szCs w:val="24"/>
                  <w:lang w:val="en-US" w:eastAsia="zh-CN" w:bidi="ar-SA"/>
                </w:rPr>
              </m:ctrlPr>
            </m:e>
            <m:sub>
              <m:r>
                <w:rPr>
                  <w:rFonts w:hint="default" w:ascii="Cambria Math" w:hAnsi="Cambria Math" w:eastAsia="Times New Roman" w:cs="Times New Roman"/>
                  <w:color w:val="auto"/>
                  <w:spacing w:val="0"/>
                  <w:kern w:val="2"/>
                  <w:position w:val="0"/>
                  <w:sz w:val="24"/>
                  <w:szCs w:val="24"/>
                  <w:lang w:val="en-US" w:eastAsia="zh-CN" w:bidi="ar-SA"/>
                </w:rPr>
                <m:t>b</m:t>
              </m:r>
              <m:ctrlPr>
                <w:rPr>
                  <w:rFonts w:hint="default" w:ascii="Cambria Math" w:hAnsi="Cambria Math" w:eastAsia="Times New Roman" w:cs="Times New Roman"/>
                  <w:i/>
                  <w:iCs/>
                  <w:color w:val="auto"/>
                  <w:spacing w:val="0"/>
                  <w:kern w:val="2"/>
                  <w:position w:val="0"/>
                  <w:sz w:val="24"/>
                  <w:szCs w:val="24"/>
                  <w:lang w:val="en-US" w:eastAsia="zh-CN" w:bidi="ar-SA"/>
                </w:rPr>
              </m:ctrlPr>
            </m:sub>
          </m:sSub>
          <m:r>
            <m:rPr>
              <m:sty m:val="p"/>
            </m:rPr>
            <w:rPr>
              <w:rFonts w:hint="default" w:ascii="Cambria Math" w:hAnsi="Cambria Math" w:eastAsia="Times New Roman" w:cs="Times New Roman"/>
              <w:color w:val="auto"/>
              <w:spacing w:val="0"/>
              <w:kern w:val="2"/>
              <w:position w:val="0"/>
              <w:sz w:val="24"/>
              <w:szCs w:val="24"/>
              <w:lang w:val="en-US" w:eastAsia="zh-CN" w:bidi="ar-SA"/>
            </w:rPr>
            <m:t>+∆</m:t>
          </m:r>
          <m:r>
            <w:rPr>
              <w:rFonts w:hint="default" w:ascii="Cambria Math" w:hAnsi="Cambria Math" w:eastAsia="Times New Roman" w:cs="Times New Roman"/>
              <w:color w:val="auto"/>
              <w:spacing w:val="0"/>
              <w:kern w:val="2"/>
              <w:position w:val="0"/>
              <w:sz w:val="24"/>
              <w:szCs w:val="24"/>
              <w:lang w:val="en-US" w:eastAsia="zh-CN" w:bidi="ar-SA"/>
            </w:rPr>
            <m:t>S</m:t>
          </m:r>
        </m:oMath>
      </m:oMathPara>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式中：</w:t>
      </w:r>
      <w:r>
        <w:rPr>
          <w:rFonts w:hint="default" w:ascii="Times New Roman" w:hAnsi="Times New Roman" w:eastAsia="Times New Roman" w:cs="Times New Roman"/>
          <w:i/>
          <w:iCs/>
          <w:color w:val="auto"/>
          <w:spacing w:val="0"/>
          <w:position w:val="0"/>
          <w:sz w:val="24"/>
          <w:szCs w:val="24"/>
        </w:rPr>
        <w:t>S</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单位质量土壤中某种物质的预测值，</w:t>
      </w:r>
      <w:r>
        <w:rPr>
          <w:rFonts w:hint="default" w:ascii="Times New Roman" w:hAnsi="Times New Roman" w:eastAsia="Times New Roman" w:cs="Times New Roman"/>
          <w:color w:val="auto"/>
          <w:spacing w:val="0"/>
          <w:position w:val="0"/>
          <w:sz w:val="24"/>
          <w:szCs w:val="24"/>
        </w:rPr>
        <w:t>g/kg</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left="420" w:leftChars="200" w:firstLine="720" w:firstLineChars="3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Times New Roman" w:cs="Times New Roman"/>
          <w:i/>
          <w:iCs/>
          <w:color w:val="auto"/>
          <w:spacing w:val="0"/>
          <w:position w:val="0"/>
          <w:sz w:val="24"/>
          <w:szCs w:val="24"/>
        </w:rPr>
        <w:t>S</w:t>
      </w:r>
      <w:r>
        <w:rPr>
          <w:rFonts w:hint="default" w:ascii="Times New Roman" w:hAnsi="Times New Roman" w:eastAsia="Times New Roman" w:cs="Times New Roman"/>
          <w:i/>
          <w:iCs/>
          <w:color w:val="auto"/>
          <w:spacing w:val="0"/>
          <w:position w:val="0"/>
          <w:sz w:val="24"/>
          <w:szCs w:val="24"/>
          <w:vertAlign w:val="subscript"/>
        </w:rPr>
        <w:t>b</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单位质量土壤中某种物质的现状值，</w:t>
      </w:r>
      <w:r>
        <w:rPr>
          <w:rFonts w:hint="default" w:ascii="Times New Roman" w:hAnsi="Times New Roman" w:eastAsia="Times New Roman" w:cs="Times New Roman"/>
          <w:color w:val="auto"/>
          <w:spacing w:val="0"/>
          <w:position w:val="0"/>
          <w:sz w:val="24"/>
          <w:szCs w:val="24"/>
        </w:rPr>
        <w:t>g/kg</w:t>
      </w:r>
      <w:r>
        <w:rPr>
          <w:rFonts w:hint="default" w:ascii="Times New Roman" w:hAnsi="Times New Roman" w:eastAsia="宋体" w:cs="Times New Roman"/>
          <w:color w:val="auto"/>
          <w:spacing w:val="0"/>
          <w:position w:val="0"/>
          <w:sz w:val="24"/>
          <w:szCs w:val="24"/>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项目所处区域气候干燥，年降雨量较小，项目考虑最不利情况，</w:t>
      </w:r>
      <w:r>
        <w:rPr>
          <w:rFonts w:hint="default" w:ascii="Times New Roman" w:hAnsi="Times New Roman" w:eastAsia="Times New Roman" w:cs="Times New Roman"/>
          <w:i/>
          <w:iCs/>
          <w:color w:val="auto"/>
          <w:spacing w:val="0"/>
          <w:position w:val="0"/>
          <w:sz w:val="24"/>
          <w:szCs w:val="24"/>
          <w:vertAlign w:val="baseline"/>
        </w:rPr>
        <w:t>L</w:t>
      </w:r>
      <w:r>
        <w:rPr>
          <w:rFonts w:hint="default" w:ascii="Times New Roman" w:hAnsi="Times New Roman" w:eastAsia="Times New Roman" w:cs="Times New Roman"/>
          <w:i/>
          <w:iCs/>
          <w:color w:val="auto"/>
          <w:spacing w:val="0"/>
          <w:position w:val="0"/>
          <w:sz w:val="24"/>
          <w:szCs w:val="24"/>
          <w:vertAlign w:val="subscript"/>
        </w:rPr>
        <w:t>s</w:t>
      </w:r>
      <w:r>
        <w:rPr>
          <w:rFonts w:hint="default" w:ascii="Times New Roman" w:hAnsi="Times New Roman" w:eastAsia="宋体" w:cs="Times New Roman"/>
          <w:color w:val="auto"/>
          <w:spacing w:val="0"/>
          <w:position w:val="0"/>
          <w:sz w:val="24"/>
          <w:szCs w:val="24"/>
        </w:rPr>
        <w:t>和</w:t>
      </w:r>
      <w:r>
        <w:rPr>
          <w:rFonts w:hint="default" w:ascii="Times New Roman" w:hAnsi="Times New Roman" w:eastAsia="Times New Roman" w:cs="Times New Roman"/>
          <w:i/>
          <w:iCs/>
          <w:color w:val="auto"/>
          <w:spacing w:val="0"/>
          <w:position w:val="0"/>
          <w:sz w:val="24"/>
          <w:szCs w:val="24"/>
        </w:rPr>
        <w:t>R</w:t>
      </w:r>
      <w:r>
        <w:rPr>
          <w:rFonts w:hint="default" w:ascii="Times New Roman" w:hAnsi="Times New Roman" w:eastAsia="Times New Roman" w:cs="Times New Roman"/>
          <w:i/>
          <w:iCs/>
          <w:color w:val="auto"/>
          <w:spacing w:val="0"/>
          <w:position w:val="0"/>
          <w:sz w:val="24"/>
          <w:szCs w:val="24"/>
          <w:vertAlign w:val="subscript"/>
        </w:rPr>
        <w:t>s</w:t>
      </w:r>
      <w:r>
        <w:rPr>
          <w:rFonts w:hint="default" w:ascii="Times New Roman" w:hAnsi="Times New Roman" w:eastAsia="宋体" w:cs="Times New Roman"/>
          <w:color w:val="auto"/>
          <w:spacing w:val="0"/>
          <w:position w:val="0"/>
          <w:sz w:val="24"/>
          <w:szCs w:val="24"/>
        </w:rPr>
        <w:t>取值均为</w:t>
      </w:r>
      <w:r>
        <w:rPr>
          <w:rFonts w:hint="default" w:ascii="Times New Roman" w:hAnsi="Times New Roman" w:eastAsia="Times New Roman" w:cs="Times New Roman"/>
          <w:color w:val="auto"/>
          <w:spacing w:val="0"/>
          <w:position w:val="0"/>
          <w:sz w:val="24"/>
          <w:szCs w:val="24"/>
        </w:rPr>
        <w:t>0</w:t>
      </w:r>
      <w:r>
        <w:rPr>
          <w:rFonts w:hint="default" w:ascii="Times New Roman" w:hAnsi="Times New Roman" w:eastAsia="宋体" w:cs="Times New Roman"/>
          <w:color w:val="auto"/>
          <w:spacing w:val="0"/>
          <w:position w:val="0"/>
          <w:sz w:val="24"/>
          <w:szCs w:val="24"/>
        </w:rPr>
        <w:t>，预测评价范围为以泄漏点为中心</w:t>
      </w:r>
      <w:r>
        <w:rPr>
          <w:rFonts w:hint="default" w:ascii="Times New Roman" w:hAnsi="Times New Roman" w:eastAsia="Times New Roman" w:cs="Times New Roman"/>
          <w:color w:val="auto"/>
          <w:spacing w:val="0"/>
          <w:position w:val="0"/>
          <w:sz w:val="24"/>
          <w:szCs w:val="24"/>
        </w:rPr>
        <w:t>20m×20m</w:t>
      </w:r>
      <w:r>
        <w:rPr>
          <w:rFonts w:hint="default" w:ascii="Times New Roman" w:hAnsi="Times New Roman" w:eastAsia="宋体" w:cs="Times New Roman"/>
          <w:color w:val="auto"/>
          <w:spacing w:val="0"/>
          <w:position w:val="0"/>
          <w:sz w:val="24"/>
          <w:szCs w:val="24"/>
        </w:rPr>
        <w:t>范围，表层土壤容重根据区域土壤理化特性调查取值为</w:t>
      </w:r>
      <w:r>
        <w:rPr>
          <w:rFonts w:hint="default" w:ascii="Times New Roman" w:hAnsi="Times New Roman" w:eastAsia="宋体" w:cs="Times New Roman"/>
          <w:color w:val="auto"/>
          <w:spacing w:val="0"/>
          <w:position w:val="0"/>
          <w:sz w:val="24"/>
          <w:szCs w:val="24"/>
          <w:lang w:val="en-US" w:eastAsia="zh-CN"/>
        </w:rPr>
        <w:t>1.48</w:t>
      </w:r>
      <w:r>
        <w:rPr>
          <w:rFonts w:hint="default" w:ascii="Times New Roman" w:hAnsi="Times New Roman" w:eastAsia="Times New Roman" w:cs="Times New Roman"/>
          <w:color w:val="auto"/>
          <w:spacing w:val="0"/>
          <w:position w:val="0"/>
          <w:sz w:val="24"/>
          <w:szCs w:val="24"/>
        </w:rPr>
        <w:t>×10</w:t>
      </w:r>
      <w:r>
        <w:rPr>
          <w:rFonts w:hint="default" w:ascii="Times New Roman" w:hAnsi="Times New Roman" w:eastAsia="宋体" w:cs="Times New Roman"/>
          <w:color w:val="auto"/>
          <w:spacing w:val="0"/>
          <w:position w:val="0"/>
          <w:sz w:val="24"/>
          <w:szCs w:val="24"/>
          <w:vertAlign w:val="superscript"/>
          <w:lang w:val="en-US" w:eastAsia="zh-CN"/>
        </w:rPr>
        <w:t>3</w:t>
      </w:r>
      <w:r>
        <w:rPr>
          <w:rFonts w:hint="default" w:ascii="Times New Roman" w:hAnsi="Times New Roman" w:eastAsia="Times New Roman" w:cs="Times New Roman"/>
          <w:color w:val="auto"/>
          <w:spacing w:val="0"/>
          <w:position w:val="0"/>
          <w:sz w:val="24"/>
          <w:szCs w:val="24"/>
        </w:rPr>
        <w:t>kg/m</w:t>
      </w:r>
      <w:r>
        <w:rPr>
          <w:rFonts w:hint="default" w:ascii="Times New Roman" w:hAnsi="Times New Roman" w:eastAsia="宋体" w:cs="Times New Roman"/>
          <w:color w:val="auto"/>
          <w:spacing w:val="0"/>
          <w:position w:val="0"/>
          <w:sz w:val="24"/>
          <w:szCs w:val="24"/>
          <w:vertAlign w:val="superscript"/>
          <w:lang w:val="en-US" w:eastAsia="zh-CN"/>
        </w:rPr>
        <w:t>3</w:t>
      </w:r>
      <w:r>
        <w:rPr>
          <w:rFonts w:hint="default" w:ascii="Times New Roman" w:hAnsi="Times New Roman" w:eastAsia="宋体" w:cs="Times New Roman"/>
          <w:color w:val="auto"/>
          <w:spacing w:val="0"/>
          <w:position w:val="0"/>
          <w:sz w:val="24"/>
          <w:szCs w:val="24"/>
        </w:rPr>
        <w:t>，根据区域土壤盐分监测结果，单位质量土壤中盐分含量的现状值为</w:t>
      </w:r>
      <w:r>
        <w:rPr>
          <w:rFonts w:hint="default" w:ascii="Times New Roman" w:hAnsi="Times New Roman" w:eastAsia="宋体" w:cs="Times New Roman"/>
          <w:color w:val="auto"/>
          <w:spacing w:val="0"/>
          <w:position w:val="0"/>
          <w:sz w:val="24"/>
          <w:szCs w:val="24"/>
          <w:lang w:val="en-US" w:eastAsia="zh-CN"/>
        </w:rPr>
        <w:t>2.</w:t>
      </w:r>
      <w:r>
        <w:rPr>
          <w:rFonts w:hint="eastAsia" w:ascii="Times New Roman" w:hAnsi="Times New Roman" w:eastAsia="宋体" w:cs="Times New Roman"/>
          <w:color w:val="auto"/>
          <w:spacing w:val="0"/>
          <w:position w:val="0"/>
          <w:sz w:val="24"/>
          <w:szCs w:val="24"/>
          <w:lang w:val="en-US" w:eastAsia="zh-CN"/>
        </w:rPr>
        <w:t>9</w:t>
      </w:r>
      <w:r>
        <w:rPr>
          <w:rFonts w:hint="default" w:ascii="Times New Roman" w:hAnsi="Times New Roman" w:eastAsia="Times New Roman" w:cs="Times New Roman"/>
          <w:color w:val="auto"/>
          <w:spacing w:val="0"/>
          <w:position w:val="0"/>
          <w:sz w:val="24"/>
          <w:szCs w:val="24"/>
        </w:rPr>
        <w:t>g/kg</w:t>
      </w:r>
      <w:r>
        <w:rPr>
          <w:rFonts w:hint="default" w:ascii="Times New Roman" w:hAnsi="Times New Roman" w:eastAsia="宋体" w:cs="Times New Roman"/>
          <w:color w:val="auto"/>
          <w:spacing w:val="0"/>
          <w:position w:val="0"/>
          <w:sz w:val="24"/>
          <w:szCs w:val="24"/>
        </w:rPr>
        <w:t>。预测年份为</w:t>
      </w:r>
      <w:r>
        <w:rPr>
          <w:rFonts w:hint="default" w:ascii="Times New Roman" w:hAnsi="Times New Roman" w:eastAsia="Times New Roman" w:cs="Times New Roman"/>
          <w:color w:val="auto"/>
          <w:spacing w:val="0"/>
          <w:position w:val="0"/>
          <w:sz w:val="24"/>
          <w:szCs w:val="24"/>
        </w:rPr>
        <w:t>0.</w:t>
      </w:r>
      <w:r>
        <w:rPr>
          <w:rFonts w:hint="default" w:ascii="Times New Roman" w:hAnsi="Times New Roman" w:eastAsia="宋体" w:cs="Times New Roman"/>
          <w:color w:val="auto"/>
          <w:spacing w:val="0"/>
          <w:position w:val="0"/>
          <w:sz w:val="24"/>
          <w:szCs w:val="24"/>
          <w:lang w:val="en-US" w:eastAsia="zh-CN"/>
        </w:rPr>
        <w:t>137</w:t>
      </w:r>
      <w:r>
        <w:rPr>
          <w:rFonts w:hint="default" w:ascii="Times New Roman" w:hAnsi="Times New Roman" w:eastAsia="Times New Roman" w:cs="Times New Roman"/>
          <w:color w:val="auto"/>
          <w:spacing w:val="0"/>
          <w:position w:val="0"/>
          <w:sz w:val="24"/>
          <w:szCs w:val="24"/>
        </w:rPr>
        <w:t>a</w:t>
      </w:r>
      <w:r>
        <w:rPr>
          <w:rFonts w:hint="default" w:ascii="Times New Roman" w:hAnsi="Times New Roman" w:eastAsia="宋体" w:cs="Times New Roman"/>
          <w:color w:val="auto"/>
          <w:spacing w:val="0"/>
          <w:position w:val="0"/>
          <w:sz w:val="24"/>
          <w:szCs w:val="24"/>
          <w:lang w:val="en-US" w:eastAsia="zh-CN"/>
        </w:rPr>
        <w:t>（5</w:t>
      </w:r>
      <w:r>
        <w:rPr>
          <w:rFonts w:hint="default" w:ascii="Times New Roman" w:hAnsi="Times New Roman" w:eastAsia="Times New Roman" w:cs="Times New Roman"/>
          <w:color w:val="auto"/>
          <w:spacing w:val="0"/>
          <w:position w:val="0"/>
          <w:sz w:val="24"/>
          <w:szCs w:val="24"/>
        </w:rPr>
        <w:t>0</w:t>
      </w:r>
      <w:r>
        <w:rPr>
          <w:rFonts w:hint="default" w:ascii="Times New Roman" w:hAnsi="Times New Roman" w:eastAsia="宋体" w:cs="Times New Roman"/>
          <w:color w:val="auto"/>
          <w:spacing w:val="0"/>
          <w:position w:val="0"/>
          <w:sz w:val="24"/>
          <w:szCs w:val="24"/>
        </w:rPr>
        <w:t>天</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w:t>
      </w:r>
    </w:p>
    <w:p>
      <w:pPr>
        <w:widowControl/>
        <w:snapToGrid w:val="0"/>
        <w:spacing w:line="360" w:lineRule="auto"/>
        <w:ind w:firstLine="482" w:firstLineChars="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根据上述计算结果，在</w:t>
      </w:r>
      <w:r>
        <w:rPr>
          <w:rFonts w:hint="default" w:ascii="Times New Roman" w:hAnsi="Times New Roman" w:eastAsia="宋体" w:cs="Times New Roman"/>
          <w:color w:val="auto"/>
          <w:spacing w:val="0"/>
          <w:position w:val="0"/>
          <w:sz w:val="24"/>
          <w:szCs w:val="24"/>
          <w:lang w:val="en-US" w:eastAsia="zh-CN"/>
        </w:rPr>
        <w:t>5</w:t>
      </w:r>
      <w:r>
        <w:rPr>
          <w:rFonts w:hint="default" w:ascii="Times New Roman" w:hAnsi="Times New Roman" w:eastAsia="Times New Roman" w:cs="Times New Roman"/>
          <w:color w:val="auto"/>
          <w:spacing w:val="0"/>
          <w:position w:val="0"/>
          <w:sz w:val="24"/>
          <w:szCs w:val="24"/>
        </w:rPr>
        <w:t>0</w:t>
      </w:r>
      <w:r>
        <w:rPr>
          <w:rFonts w:hint="default" w:ascii="Times New Roman" w:hAnsi="Times New Roman" w:eastAsia="宋体" w:cs="Times New Roman"/>
          <w:color w:val="auto"/>
          <w:spacing w:val="0"/>
          <w:position w:val="0"/>
          <w:sz w:val="24"/>
          <w:szCs w:val="24"/>
        </w:rPr>
        <w:t>天内，单位质量土壤中盐分含量的增量为</w:t>
      </w:r>
      <w:r>
        <w:rPr>
          <w:rFonts w:hint="default" w:ascii="Times New Roman" w:hAnsi="Times New Roman" w:eastAsia="宋体" w:cs="Times New Roman"/>
          <w:color w:val="auto"/>
          <w:spacing w:val="0"/>
          <w:position w:val="0"/>
          <w:sz w:val="24"/>
          <w:szCs w:val="24"/>
          <w:lang w:val="en-US" w:eastAsia="zh-CN"/>
        </w:rPr>
        <w:t>0.127</w:t>
      </w:r>
      <w:r>
        <w:rPr>
          <w:rFonts w:hint="default" w:ascii="Times New Roman" w:hAnsi="Times New Roman" w:eastAsia="Times New Roman" w:cs="Times New Roman"/>
          <w:color w:val="auto"/>
          <w:spacing w:val="0"/>
          <w:position w:val="0"/>
          <w:sz w:val="24"/>
          <w:szCs w:val="24"/>
        </w:rPr>
        <w:t>g/kg</w:t>
      </w:r>
      <w:r>
        <w:rPr>
          <w:rFonts w:hint="default" w:ascii="Times New Roman" w:hAnsi="Times New Roman" w:eastAsia="宋体" w:cs="Times New Roman"/>
          <w:color w:val="auto"/>
          <w:spacing w:val="0"/>
          <w:position w:val="0"/>
          <w:sz w:val="24"/>
          <w:szCs w:val="24"/>
        </w:rPr>
        <w:t>，叠加现状值后的预测值为</w:t>
      </w:r>
      <w:r>
        <w:rPr>
          <w:rFonts w:hint="eastAsia" w:ascii="Times New Roman" w:hAnsi="Times New Roman" w:eastAsia="宋体" w:cs="Times New Roman"/>
          <w:color w:val="auto"/>
          <w:spacing w:val="0"/>
          <w:position w:val="0"/>
          <w:sz w:val="24"/>
          <w:szCs w:val="24"/>
          <w:lang w:val="en-US" w:eastAsia="zh-CN"/>
        </w:rPr>
        <w:t>3.0</w:t>
      </w:r>
      <w:r>
        <w:rPr>
          <w:rFonts w:hint="default" w:ascii="Times New Roman" w:hAnsi="Times New Roman" w:eastAsia="宋体" w:cs="Times New Roman"/>
          <w:color w:val="auto"/>
          <w:spacing w:val="0"/>
          <w:position w:val="0"/>
          <w:sz w:val="24"/>
          <w:szCs w:val="24"/>
          <w:lang w:val="en-US" w:eastAsia="zh-CN"/>
        </w:rPr>
        <w:t>27</w:t>
      </w:r>
      <w:r>
        <w:rPr>
          <w:rFonts w:hint="default" w:ascii="Times New Roman" w:hAnsi="Times New Roman" w:eastAsia="Times New Roman" w:cs="Times New Roman"/>
          <w:color w:val="auto"/>
          <w:spacing w:val="0"/>
          <w:position w:val="0"/>
          <w:sz w:val="24"/>
          <w:szCs w:val="24"/>
        </w:rPr>
        <w:t>g/kg</w:t>
      </w:r>
      <w:r>
        <w:rPr>
          <w:rFonts w:hint="default" w:ascii="Times New Roman" w:hAnsi="Times New Roman" w:eastAsia="宋体" w:cs="Times New Roman"/>
          <w:color w:val="auto"/>
          <w:spacing w:val="0"/>
          <w:position w:val="0"/>
          <w:sz w:val="24"/>
          <w:szCs w:val="24"/>
        </w:rPr>
        <w:t>。</w:t>
      </w:r>
    </w:p>
    <w:p>
      <w:pPr>
        <w:widowControl/>
        <w:snapToGrid w:val="0"/>
        <w:spacing w:line="360" w:lineRule="auto"/>
        <w:ind w:firstLine="482" w:firstLineChars="0"/>
        <w:rPr>
          <w:rFonts w:hint="default" w:ascii="Times New Roman" w:hAnsi="Times New Roman"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从预测结果可知，发生泄漏后，导致泄漏点周边区域土壤中盐分含量有所升高，但在发生泄漏后，油田公司会按照要求将泄漏点周围区域土壤进行清理，且随着雨水淋溶，区域土壤中增加的盐分含量将逐渐降低直至恢复至平均水平。</w:t>
      </w:r>
    </w:p>
    <w:p>
      <w:pPr>
        <w:pStyle w:val="66"/>
        <w:rPr>
          <w:rFonts w:hint="default" w:ascii="Times New Roman" w:hAnsi="Times New Roman" w:cs="Times New Roman"/>
          <w:b/>
          <w:bCs/>
          <w:color w:val="auto"/>
        </w:rPr>
      </w:pPr>
      <w:r>
        <w:rPr>
          <w:rFonts w:hint="default" w:ascii="Times New Roman" w:hAnsi="Times New Roman" w:cs="Times New Roman"/>
          <w:b/>
          <w:bCs/>
          <w:color w:val="auto"/>
        </w:rPr>
        <w:t>5.6.2.</w:t>
      </w: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土壤环境自查表</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本项目土壤环境自查表见表5.6-</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w:t>
      </w:r>
    </w:p>
    <w:p>
      <w:pPr>
        <w:pStyle w:val="41"/>
        <w:spacing w:line="360" w:lineRule="auto"/>
        <w:jc w:val="center"/>
        <w:rPr>
          <w:rFonts w:hint="default" w:ascii="Times New Roman" w:hAnsi="Times New Roman" w:cs="Times New Roman"/>
          <w:b/>
          <w:color w:val="auto"/>
          <w:sz w:val="21"/>
          <w:szCs w:val="15"/>
        </w:rPr>
      </w:pPr>
      <w:r>
        <w:rPr>
          <w:rFonts w:hint="default" w:ascii="Times New Roman" w:hAnsi="Times New Roman" w:cs="Times New Roman"/>
          <w:b/>
          <w:color w:val="auto"/>
          <w:sz w:val="21"/>
          <w:szCs w:val="15"/>
        </w:rPr>
        <w:t>表5.6-</w:t>
      </w:r>
      <w:r>
        <w:rPr>
          <w:rFonts w:hint="default" w:ascii="Times New Roman" w:hAnsi="Times New Roman" w:cs="Times New Roman"/>
          <w:b/>
          <w:color w:val="auto"/>
          <w:sz w:val="21"/>
          <w:szCs w:val="15"/>
          <w:lang w:val="en-US" w:eastAsia="zh-CN"/>
        </w:rPr>
        <w:t>5</w:t>
      </w:r>
      <w:r>
        <w:rPr>
          <w:rFonts w:hint="default" w:ascii="Times New Roman" w:hAnsi="Times New Roman" w:cs="Times New Roman"/>
          <w:b/>
          <w:color w:val="auto"/>
          <w:sz w:val="21"/>
          <w:szCs w:val="15"/>
        </w:rPr>
        <w:t xml:space="preserve">  土壤环境影响评价自查表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558"/>
        <w:gridCol w:w="1125"/>
        <w:gridCol w:w="1089"/>
        <w:gridCol w:w="1038"/>
        <w:gridCol w:w="2148"/>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0" w:type="dxa"/>
            <w:gridSpan w:val="2"/>
            <w:vAlign w:val="center"/>
          </w:tcPr>
          <w:p>
            <w:pPr>
              <w:pStyle w:val="47"/>
              <w:rPr>
                <w:rFonts w:hint="default" w:ascii="Times New Roman" w:hAnsi="Times New Roman" w:cs="Times New Roman"/>
                <w:b/>
                <w:bCs/>
                <w:color w:val="auto"/>
                <w:lang w:val="zh-CN"/>
              </w:rPr>
            </w:pPr>
            <w:r>
              <w:rPr>
                <w:rFonts w:hint="default" w:ascii="Times New Roman" w:hAnsi="Times New Roman" w:cs="Times New Roman"/>
                <w:b/>
                <w:bCs/>
                <w:color w:val="auto"/>
                <w:lang w:val="zh-CN"/>
              </w:rPr>
              <w:t>工作内容</w:t>
            </w:r>
          </w:p>
        </w:tc>
        <w:tc>
          <w:tcPr>
            <w:tcW w:w="5400" w:type="dxa"/>
            <w:gridSpan w:val="4"/>
          </w:tcPr>
          <w:p>
            <w:pPr>
              <w:pStyle w:val="47"/>
              <w:rPr>
                <w:rFonts w:hint="default" w:ascii="Times New Roman" w:hAnsi="Times New Roman" w:cs="Times New Roman"/>
                <w:b/>
                <w:bCs/>
                <w:color w:val="auto"/>
                <w:lang w:val="zh-CN"/>
              </w:rPr>
            </w:pPr>
            <w:r>
              <w:rPr>
                <w:rFonts w:hint="default" w:ascii="Times New Roman" w:hAnsi="Times New Roman" w:cs="Times New Roman"/>
                <w:b/>
                <w:bCs/>
                <w:color w:val="auto"/>
                <w:lang w:val="zh-CN"/>
              </w:rPr>
              <w:t>完成情况</w:t>
            </w:r>
          </w:p>
        </w:tc>
        <w:tc>
          <w:tcPr>
            <w:tcW w:w="722" w:type="dxa"/>
          </w:tcPr>
          <w:p>
            <w:pPr>
              <w:pStyle w:val="47"/>
              <w:rPr>
                <w:rFonts w:hint="default" w:ascii="Times New Roman" w:hAnsi="Times New Roman" w:cs="Times New Roman"/>
                <w:b/>
                <w:bCs/>
                <w:color w:val="auto"/>
                <w:lang w:val="zh-CN"/>
              </w:rPr>
            </w:pPr>
            <w:r>
              <w:rPr>
                <w:rFonts w:hint="default" w:ascii="Times New Roman" w:hAnsi="Times New Roman" w:cs="Times New Roman"/>
                <w:b/>
                <w:bCs/>
                <w:color w:val="auto"/>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restart"/>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影响识别</w:t>
            </w: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影响类型</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污染影响型</w:t>
            </w:r>
            <w:r>
              <w:rPr>
                <w:rFonts w:hint="default" w:ascii="Times New Roman" w:hAnsi="Times New Roman" w:cs="Times New Roman"/>
                <w:color w:val="auto"/>
                <w:lang w:val="zh-CN"/>
              </w:rPr>
              <w:sym w:font="Wingdings" w:char="00A8"/>
            </w:r>
            <w:r>
              <w:rPr>
                <w:rFonts w:hint="default" w:ascii="Times New Roman" w:hAnsi="Times New Roman" w:cs="Times New Roman"/>
                <w:color w:val="auto"/>
                <w:lang w:val="zh-CN"/>
              </w:rPr>
              <w:t>；生态影响型□；两种兼有☑</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土地利用类型</w:t>
            </w:r>
          </w:p>
        </w:tc>
        <w:tc>
          <w:tcPr>
            <w:tcW w:w="5400" w:type="dxa"/>
            <w:gridSpan w:val="4"/>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建设用地√；农用地□；未利用地□</w:t>
            </w:r>
          </w:p>
        </w:tc>
        <w:tc>
          <w:tcPr>
            <w:tcW w:w="722"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占地规模</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w:t>
            </w:r>
            <w:r>
              <w:rPr>
                <w:rFonts w:hint="eastAsia" w:cs="Times New Roman"/>
                <w:color w:val="auto"/>
                <w:lang w:val="en-US" w:eastAsia="zh-CN"/>
              </w:rPr>
              <w:t>9.72</w:t>
            </w:r>
            <w:r>
              <w:rPr>
                <w:rFonts w:hint="default" w:ascii="Times New Roman" w:hAnsi="Times New Roman" w:cs="Times New Roman"/>
                <w:color w:val="auto"/>
                <w:lang w:val="zh-CN"/>
              </w:rPr>
              <w:t>）hm</w:t>
            </w:r>
            <w:r>
              <w:rPr>
                <w:rFonts w:hint="default" w:ascii="Times New Roman" w:hAnsi="Times New Roman" w:cs="Times New Roman"/>
                <w:color w:val="auto"/>
                <w:vertAlign w:val="superscript"/>
                <w:lang w:val="zh-CN"/>
              </w:rPr>
              <w:t>2</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敏感目标信息</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敏感目标（）、方位（）、距离（）</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影响途径</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大气沉降□；地面漫流□；垂直入渗☑；地下水位□；其他（）</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全部污染物</w:t>
            </w:r>
          </w:p>
        </w:tc>
        <w:tc>
          <w:tcPr>
            <w:tcW w:w="5400" w:type="dxa"/>
            <w:gridSpan w:val="4"/>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zh-CN"/>
              </w:rPr>
              <w:t>石油烃、</w:t>
            </w:r>
            <w:r>
              <w:rPr>
                <w:rFonts w:hint="default" w:ascii="Times New Roman" w:hAnsi="Times New Roman" w:cs="Times New Roman"/>
                <w:color w:val="auto"/>
                <w:lang w:val="en-US" w:eastAsia="zh-CN"/>
              </w:rPr>
              <w:t>盐分含量</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特征因子</w:t>
            </w:r>
          </w:p>
        </w:tc>
        <w:tc>
          <w:tcPr>
            <w:tcW w:w="5400" w:type="dxa"/>
            <w:gridSpan w:val="4"/>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zh-CN"/>
              </w:rPr>
              <w:t>石油烃、</w:t>
            </w:r>
            <w:r>
              <w:rPr>
                <w:rFonts w:hint="default" w:ascii="Times New Roman" w:hAnsi="Times New Roman" w:cs="Times New Roman"/>
                <w:color w:val="auto"/>
                <w:lang w:val="en-US" w:eastAsia="zh-CN"/>
              </w:rPr>
              <w:t>盐分含量</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所属土壤环境影响评价类别</w:t>
            </w:r>
          </w:p>
        </w:tc>
        <w:tc>
          <w:tcPr>
            <w:tcW w:w="5400" w:type="dxa"/>
            <w:gridSpan w:val="4"/>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fldChar w:fldCharType="begin"/>
            </w:r>
            <w:r>
              <w:rPr>
                <w:rFonts w:hint="default" w:ascii="Times New Roman" w:hAnsi="Times New Roman" w:cs="Times New Roman"/>
                <w:color w:val="auto"/>
                <w:lang w:val="zh-CN"/>
              </w:rPr>
              <w:instrText xml:space="preserve"> = 1 \* ROMAN </w:instrText>
            </w:r>
            <w:r>
              <w:rPr>
                <w:rFonts w:hint="default" w:ascii="Times New Roman" w:hAnsi="Times New Roman" w:cs="Times New Roman"/>
                <w:color w:val="auto"/>
                <w:lang w:val="zh-CN"/>
              </w:rPr>
              <w:fldChar w:fldCharType="separate"/>
            </w:r>
            <w:r>
              <w:rPr>
                <w:rFonts w:hint="default" w:ascii="Times New Roman" w:hAnsi="Times New Roman" w:cs="Times New Roman"/>
                <w:color w:val="auto"/>
                <w:lang w:val="zh-CN"/>
              </w:rPr>
              <w:t>I</w:t>
            </w:r>
            <w:r>
              <w:rPr>
                <w:rFonts w:hint="default" w:ascii="Times New Roman" w:hAnsi="Times New Roman" w:cs="Times New Roman"/>
                <w:color w:val="auto"/>
                <w:lang w:val="zh-CN"/>
              </w:rPr>
              <w:fldChar w:fldCharType="end"/>
            </w:r>
            <w:r>
              <w:rPr>
                <w:rFonts w:hint="default" w:ascii="Times New Roman" w:hAnsi="Times New Roman" w:cs="Times New Roman"/>
                <w:color w:val="auto"/>
                <w:lang w:val="zh-CN"/>
              </w:rPr>
              <w:t>类☑；Ⅱ类☑；</w:t>
            </w:r>
            <w:r>
              <w:rPr>
                <w:rFonts w:hint="default" w:ascii="Times New Roman" w:hAnsi="Times New Roman" w:cs="Times New Roman"/>
                <w:color w:val="auto"/>
                <w:lang w:val="zh-CN"/>
              </w:rPr>
              <w:fldChar w:fldCharType="begin"/>
            </w:r>
            <w:r>
              <w:rPr>
                <w:rFonts w:hint="default" w:ascii="Times New Roman" w:hAnsi="Times New Roman" w:cs="Times New Roman"/>
                <w:color w:val="auto"/>
                <w:lang w:val="zh-CN"/>
              </w:rPr>
              <w:instrText xml:space="preserve"> = 3 \* ROMAN </w:instrText>
            </w:r>
            <w:r>
              <w:rPr>
                <w:rFonts w:hint="default" w:ascii="Times New Roman" w:hAnsi="Times New Roman" w:cs="Times New Roman"/>
                <w:color w:val="auto"/>
                <w:lang w:val="zh-CN"/>
              </w:rPr>
              <w:fldChar w:fldCharType="separate"/>
            </w:r>
            <w:r>
              <w:rPr>
                <w:rFonts w:hint="default" w:ascii="Times New Roman" w:hAnsi="Times New Roman" w:cs="Times New Roman"/>
                <w:color w:val="auto"/>
                <w:lang w:val="zh-CN"/>
              </w:rPr>
              <w:t>III</w:t>
            </w:r>
            <w:r>
              <w:rPr>
                <w:rFonts w:hint="default" w:ascii="Times New Roman" w:hAnsi="Times New Roman" w:cs="Times New Roman"/>
                <w:color w:val="auto"/>
                <w:lang w:val="zh-CN"/>
              </w:rPr>
              <w:fldChar w:fldCharType="end"/>
            </w:r>
            <w:r>
              <w:rPr>
                <w:rFonts w:hint="default" w:ascii="Times New Roman" w:hAnsi="Times New Roman" w:cs="Times New Roman"/>
                <w:color w:val="auto"/>
                <w:lang w:val="zh-CN"/>
              </w:rPr>
              <w:t>类□；Ⅳ类□</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敏感程度</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敏感□；较敏感☑；不敏感</w:t>
            </w:r>
            <w:r>
              <w:rPr>
                <w:rFonts w:hint="default" w:ascii="Times New Roman" w:hAnsi="Times New Roman" w:cs="Times New Roman"/>
                <w:color w:val="auto"/>
                <w:lang w:val="zh-CN"/>
              </w:rPr>
              <w:sym w:font="Wingdings" w:char="00A8"/>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0" w:type="dxa"/>
            <w:gridSpan w:val="2"/>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评价工作等级</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一级</w:t>
            </w:r>
            <w:r>
              <w:rPr>
                <w:rFonts w:hint="default" w:ascii="Times New Roman" w:hAnsi="Times New Roman" w:cs="Times New Roman"/>
                <w:color w:val="auto"/>
                <w:lang w:val="zh-CN"/>
              </w:rPr>
              <w:sym w:font="Wingdings" w:char="00A8"/>
            </w:r>
            <w:r>
              <w:rPr>
                <w:rFonts w:hint="default" w:ascii="Times New Roman" w:hAnsi="Times New Roman" w:cs="Times New Roman"/>
                <w:color w:val="auto"/>
                <w:lang w:val="zh-CN"/>
              </w:rPr>
              <w:t>；二级☑；三级</w:t>
            </w:r>
            <w:r>
              <w:rPr>
                <w:rFonts w:hint="default" w:ascii="Times New Roman" w:hAnsi="Times New Roman" w:cs="Times New Roman"/>
                <w:color w:val="auto"/>
                <w:lang w:val="zh-CN"/>
              </w:rPr>
              <w:sym w:font="Wingdings" w:char="00FE"/>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restart"/>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现状调查内容</w:t>
            </w: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资料收集</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a）□；b）□；c）□；d）□；</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理化特性</w:t>
            </w:r>
          </w:p>
        </w:tc>
        <w:tc>
          <w:tcPr>
            <w:tcW w:w="5400" w:type="dxa"/>
            <w:gridSpan w:val="4"/>
            <w:vAlign w:val="center"/>
          </w:tcPr>
          <w:p>
            <w:pPr>
              <w:pStyle w:val="47"/>
              <w:rPr>
                <w:rFonts w:hint="default" w:ascii="Times New Roman" w:hAnsi="Times New Roman" w:cs="Times New Roman"/>
                <w:color w:val="auto"/>
                <w:lang w:val="zh-CN"/>
              </w:rPr>
            </w:pPr>
          </w:p>
        </w:tc>
        <w:tc>
          <w:tcPr>
            <w:tcW w:w="722" w:type="dxa"/>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Merge w:val="restart"/>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现状监测点位</w:t>
            </w:r>
          </w:p>
        </w:tc>
        <w:tc>
          <w:tcPr>
            <w:tcW w:w="1125" w:type="dxa"/>
            <w:vAlign w:val="center"/>
          </w:tcPr>
          <w:p>
            <w:pPr>
              <w:pStyle w:val="47"/>
              <w:rPr>
                <w:rFonts w:hint="default" w:ascii="Times New Roman" w:hAnsi="Times New Roman" w:cs="Times New Roman"/>
                <w:color w:val="auto"/>
                <w:lang w:val="zh-CN"/>
              </w:rPr>
            </w:pPr>
          </w:p>
        </w:tc>
        <w:tc>
          <w:tcPr>
            <w:tcW w:w="1089"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占地范围内</w:t>
            </w:r>
          </w:p>
        </w:tc>
        <w:tc>
          <w:tcPr>
            <w:tcW w:w="103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占地范围外</w:t>
            </w:r>
          </w:p>
        </w:tc>
        <w:tc>
          <w:tcPr>
            <w:tcW w:w="214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深度</w:t>
            </w:r>
          </w:p>
        </w:tc>
        <w:tc>
          <w:tcPr>
            <w:tcW w:w="722" w:type="dxa"/>
            <w:vMerge w:val="restart"/>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Merge w:val="continue"/>
            <w:vAlign w:val="center"/>
          </w:tcPr>
          <w:p>
            <w:pPr>
              <w:pStyle w:val="47"/>
              <w:rPr>
                <w:rFonts w:hint="default" w:ascii="Times New Roman" w:hAnsi="Times New Roman" w:cs="Times New Roman"/>
                <w:color w:val="auto"/>
                <w:lang w:val="zh-CN"/>
              </w:rPr>
            </w:pPr>
          </w:p>
        </w:tc>
        <w:tc>
          <w:tcPr>
            <w:tcW w:w="1125"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表层样点数</w:t>
            </w:r>
          </w:p>
        </w:tc>
        <w:tc>
          <w:tcPr>
            <w:tcW w:w="1089"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rPr>
              <w:t>5</w:t>
            </w:r>
          </w:p>
        </w:tc>
        <w:tc>
          <w:tcPr>
            <w:tcW w:w="103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rPr>
              <w:t>6</w:t>
            </w:r>
          </w:p>
        </w:tc>
        <w:tc>
          <w:tcPr>
            <w:tcW w:w="214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0~20cm</w:t>
            </w:r>
          </w:p>
        </w:tc>
        <w:tc>
          <w:tcPr>
            <w:tcW w:w="722" w:type="dxa"/>
            <w:vMerge w:val="continue"/>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Merge w:val="continue"/>
            <w:vAlign w:val="center"/>
          </w:tcPr>
          <w:p>
            <w:pPr>
              <w:pStyle w:val="47"/>
              <w:rPr>
                <w:rFonts w:hint="default" w:ascii="Times New Roman" w:hAnsi="Times New Roman" w:cs="Times New Roman"/>
                <w:color w:val="auto"/>
                <w:lang w:val="zh-CN"/>
              </w:rPr>
            </w:pPr>
          </w:p>
        </w:tc>
        <w:tc>
          <w:tcPr>
            <w:tcW w:w="1125"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柱状样点数</w:t>
            </w:r>
          </w:p>
        </w:tc>
        <w:tc>
          <w:tcPr>
            <w:tcW w:w="1089"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rPr>
              <w:t>3</w:t>
            </w:r>
          </w:p>
        </w:tc>
        <w:tc>
          <w:tcPr>
            <w:tcW w:w="103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0</w:t>
            </w:r>
          </w:p>
        </w:tc>
        <w:tc>
          <w:tcPr>
            <w:tcW w:w="214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在0~0.5m、0.5～1.5m、1.5～3m分别取样</w:t>
            </w:r>
          </w:p>
        </w:tc>
        <w:tc>
          <w:tcPr>
            <w:tcW w:w="722" w:type="dxa"/>
            <w:vMerge w:val="continue"/>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现状监测因子</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（GB36600-2018）表1中45项因子和表2中石油烃和pH值，共47项</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restart"/>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现状评价</w:t>
            </w: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评价因子</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kern w:val="0"/>
              </w:rPr>
              <w:t>GB36600-2018表1中的基本项目（45项）+pH值、石油烃</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评价标准</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GB15618☑；GB36600☑；表D.1□；表D.2□；其他（）</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现状评价结论</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各监测点各监测项目均满足GB 15618-2018和GB36600-2018中筛选值</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restart"/>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影响预测</w:t>
            </w: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预测因子</w:t>
            </w:r>
          </w:p>
        </w:tc>
        <w:tc>
          <w:tcPr>
            <w:tcW w:w="5400" w:type="dxa"/>
            <w:gridSpan w:val="4"/>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rPr>
              <w:t>石油烃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盐分含量</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预测方法</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附录E□；附录F□；其他（</w:t>
            </w:r>
            <w:r>
              <w:rPr>
                <w:rFonts w:hint="default" w:ascii="Times New Roman" w:hAnsi="Times New Roman" w:cs="Times New Roman"/>
                <w:color w:val="auto"/>
              </w:rPr>
              <w:t>类比法</w:t>
            </w:r>
            <w:r>
              <w:rPr>
                <w:rFonts w:hint="default" w:ascii="Times New Roman" w:hAnsi="Times New Roman" w:cs="Times New Roman"/>
                <w:color w:val="auto"/>
                <w:lang w:val="zh-CN"/>
              </w:rPr>
              <w:t>）</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预测分析内容</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影响范围（</w:t>
            </w:r>
            <w:r>
              <w:rPr>
                <w:rFonts w:hint="default" w:ascii="Times New Roman" w:hAnsi="Times New Roman" w:cs="Times New Roman"/>
                <w:color w:val="auto"/>
                <w:szCs w:val="24"/>
              </w:rPr>
              <w:t>土壤表层0~30cm</w:t>
            </w:r>
            <w:r>
              <w:rPr>
                <w:rFonts w:hint="default" w:ascii="Times New Roman" w:hAnsi="Times New Roman" w:cs="Times New Roman"/>
                <w:color w:val="auto"/>
                <w:lang w:val="zh-CN"/>
              </w:rPr>
              <w:t>）</w:t>
            </w:r>
          </w:p>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影响程度（输油管线持续渗漏200天的情况下，不同深度观测点在预测期内未超过第二类用地筛选值）</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预测结论</w:t>
            </w:r>
          </w:p>
        </w:tc>
        <w:tc>
          <w:tcPr>
            <w:tcW w:w="5400" w:type="dxa"/>
            <w:gridSpan w:val="4"/>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达标结论：a）□；b）□；c）□</w:t>
            </w:r>
          </w:p>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不达标结论：a）□；b）□</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restart"/>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防治措施</w:t>
            </w: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防控措施</w:t>
            </w:r>
          </w:p>
        </w:tc>
        <w:tc>
          <w:tcPr>
            <w:tcW w:w="5400" w:type="dxa"/>
            <w:gridSpan w:val="4"/>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土壤环境质量现状保障□；源头控制☑；过程防控☑；其他（）</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Merge w:val="restart"/>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跟踪监测</w:t>
            </w:r>
          </w:p>
        </w:tc>
        <w:tc>
          <w:tcPr>
            <w:tcW w:w="1125"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监测点数</w:t>
            </w:r>
          </w:p>
        </w:tc>
        <w:tc>
          <w:tcPr>
            <w:tcW w:w="2127" w:type="dxa"/>
            <w:gridSpan w:val="2"/>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监测指标</w:t>
            </w:r>
          </w:p>
        </w:tc>
        <w:tc>
          <w:tcPr>
            <w:tcW w:w="214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监测频次</w:t>
            </w:r>
          </w:p>
        </w:tc>
        <w:tc>
          <w:tcPr>
            <w:tcW w:w="722" w:type="dxa"/>
            <w:vMerge w:val="restart"/>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Merge w:val="continue"/>
            <w:vAlign w:val="center"/>
          </w:tcPr>
          <w:p>
            <w:pPr>
              <w:pStyle w:val="47"/>
              <w:rPr>
                <w:rFonts w:hint="default" w:ascii="Times New Roman" w:hAnsi="Times New Roman" w:cs="Times New Roman"/>
                <w:color w:val="auto"/>
                <w:lang w:val="zh-CN"/>
              </w:rPr>
            </w:pPr>
          </w:p>
        </w:tc>
        <w:tc>
          <w:tcPr>
            <w:tcW w:w="1125"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rPr>
              <w:t>2（单井）</w:t>
            </w:r>
          </w:p>
        </w:tc>
        <w:tc>
          <w:tcPr>
            <w:tcW w:w="2127" w:type="dxa"/>
            <w:gridSpan w:val="2"/>
            <w:vAlign w:val="center"/>
          </w:tcPr>
          <w:p>
            <w:pPr>
              <w:pStyle w:val="47"/>
              <w:rPr>
                <w:rFonts w:hint="eastAsia" w:ascii="Times New Roman" w:hAnsi="Times New Roman" w:eastAsia="宋体" w:cs="Times New Roman"/>
                <w:color w:val="auto"/>
                <w:lang w:val="zh-CN" w:eastAsia="zh-CN"/>
              </w:rPr>
            </w:pPr>
            <w:r>
              <w:rPr>
                <w:rFonts w:hint="default" w:ascii="Times New Roman" w:hAnsi="Times New Roman" w:cs="Times New Roman"/>
                <w:color w:val="auto"/>
                <w:lang w:val="zh-CN"/>
              </w:rPr>
              <w:t>石油</w:t>
            </w:r>
            <w:r>
              <w:rPr>
                <w:rFonts w:hint="eastAsia" w:cs="Times New Roman"/>
                <w:color w:val="auto"/>
                <w:lang w:val="en-US" w:eastAsia="zh-CN"/>
              </w:rPr>
              <w:t>烃</w:t>
            </w:r>
          </w:p>
        </w:tc>
        <w:tc>
          <w:tcPr>
            <w:tcW w:w="214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1次/</w:t>
            </w:r>
            <w:r>
              <w:rPr>
                <w:rFonts w:hint="default" w:ascii="Times New Roman" w:hAnsi="Times New Roman" w:cs="Times New Roman"/>
                <w:color w:val="auto"/>
              </w:rPr>
              <w:t>5</w:t>
            </w:r>
            <w:r>
              <w:rPr>
                <w:rFonts w:hint="default" w:ascii="Times New Roman" w:hAnsi="Times New Roman" w:cs="Times New Roman"/>
                <w:color w:val="auto"/>
                <w:lang w:val="zh-CN"/>
              </w:rPr>
              <w:t>年</w:t>
            </w:r>
          </w:p>
        </w:tc>
        <w:tc>
          <w:tcPr>
            <w:tcW w:w="722" w:type="dxa"/>
            <w:vMerge w:val="continue"/>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2" w:type="dxa"/>
            <w:vMerge w:val="continue"/>
            <w:vAlign w:val="center"/>
          </w:tcPr>
          <w:p>
            <w:pPr>
              <w:pStyle w:val="47"/>
              <w:rPr>
                <w:rFonts w:hint="default" w:ascii="Times New Roman" w:hAnsi="Times New Roman" w:cs="Times New Roman"/>
                <w:color w:val="auto"/>
                <w:lang w:val="zh-CN"/>
              </w:rPr>
            </w:pPr>
          </w:p>
        </w:tc>
        <w:tc>
          <w:tcPr>
            <w:tcW w:w="1558" w:type="dxa"/>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信息公开指标</w:t>
            </w:r>
          </w:p>
        </w:tc>
        <w:tc>
          <w:tcPr>
            <w:tcW w:w="5400" w:type="dxa"/>
            <w:gridSpan w:val="4"/>
          </w:tcPr>
          <w:p>
            <w:pPr>
              <w:pStyle w:val="47"/>
              <w:rPr>
                <w:rFonts w:hint="default" w:ascii="Times New Roman" w:hAnsi="Times New Roman" w:cs="Times New Roman"/>
                <w:color w:val="auto"/>
                <w:lang w:val="zh-CN"/>
              </w:rPr>
            </w:pPr>
          </w:p>
        </w:tc>
        <w:tc>
          <w:tcPr>
            <w:tcW w:w="722" w:type="dxa"/>
            <w:vMerge w:val="continue"/>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0" w:type="dxa"/>
            <w:gridSpan w:val="2"/>
            <w:vAlign w:val="center"/>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评价结论</w:t>
            </w:r>
          </w:p>
        </w:tc>
        <w:tc>
          <w:tcPr>
            <w:tcW w:w="5400" w:type="dxa"/>
            <w:gridSpan w:val="4"/>
          </w:tcPr>
          <w:p>
            <w:pPr>
              <w:pStyle w:val="47"/>
              <w:rPr>
                <w:rFonts w:hint="default" w:ascii="Times New Roman" w:hAnsi="Times New Roman" w:cs="Times New Roman"/>
                <w:color w:val="auto"/>
                <w:lang w:val="zh-CN"/>
              </w:rPr>
            </w:pPr>
            <w:r>
              <w:rPr>
                <w:rFonts w:hint="default" w:ascii="Times New Roman" w:hAnsi="Times New Roman" w:cs="Times New Roman"/>
                <w:color w:val="auto"/>
                <w:lang w:val="zh-CN"/>
              </w:rPr>
              <w:t>采取环评提出的措施，影响可接受</w:t>
            </w:r>
          </w:p>
        </w:tc>
        <w:tc>
          <w:tcPr>
            <w:tcW w:w="722" w:type="dxa"/>
          </w:tcPr>
          <w:p>
            <w:pPr>
              <w:pStyle w:val="47"/>
              <w:rPr>
                <w:rFonts w:hint="default"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22" w:type="dxa"/>
            <w:gridSpan w:val="7"/>
            <w:vAlign w:val="center"/>
          </w:tcPr>
          <w:p>
            <w:pPr>
              <w:pStyle w:val="47"/>
              <w:jc w:val="left"/>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lang w:val="zh-CN"/>
              </w:rPr>
              <w:t>注1：“□”为勾选项，可√；“（）”为内容填写项；“备注”为其他补充内容。</w:t>
            </w:r>
          </w:p>
          <w:p>
            <w:pPr>
              <w:pStyle w:val="47"/>
              <w:jc w:val="left"/>
              <w:rPr>
                <w:rFonts w:hint="default" w:ascii="Times New Roman" w:hAnsi="Times New Roman" w:cs="Times New Roman"/>
                <w:color w:val="auto"/>
                <w:lang w:val="zh-CN"/>
              </w:rPr>
            </w:pPr>
            <w:r>
              <w:rPr>
                <w:rFonts w:hint="default" w:ascii="Times New Roman" w:hAnsi="Times New Roman" w:cs="Times New Roman"/>
                <w:color w:val="auto"/>
                <w:sz w:val="18"/>
                <w:szCs w:val="18"/>
                <w:lang w:val="zh-CN"/>
              </w:rPr>
              <w:t>注2：需要分别开展土壤环境影响评价工作的，分别填写自查表。</w:t>
            </w:r>
          </w:p>
        </w:tc>
      </w:tr>
    </w:tbl>
    <w:p>
      <w:pPr>
        <w:pStyle w:val="3"/>
        <w:spacing w:before="10" w:after="10"/>
        <w:rPr>
          <w:rFonts w:hint="default" w:ascii="Times New Roman" w:hAnsi="Times New Roman" w:eastAsia="宋体" w:cs="Times New Roman"/>
          <w:color w:val="auto"/>
        </w:rPr>
      </w:pPr>
      <w:bookmarkStart w:id="293" w:name="_Toc29390927"/>
      <w:bookmarkStart w:id="294" w:name="_Toc29040"/>
      <w:bookmarkStart w:id="295" w:name="_Toc35366481"/>
      <w:bookmarkStart w:id="296" w:name="_Toc35366090"/>
      <w:bookmarkStart w:id="297" w:name="_Toc44088084"/>
      <w:bookmarkStart w:id="298" w:name="_Toc4459"/>
      <w:r>
        <w:rPr>
          <w:rFonts w:hint="default" w:ascii="Times New Roman" w:hAnsi="Times New Roman" w:eastAsia="宋体" w:cs="Times New Roman"/>
          <w:color w:val="auto"/>
        </w:rPr>
        <w:t>5.7生态环境影响分析</w:t>
      </w:r>
      <w:bookmarkEnd w:id="293"/>
      <w:bookmarkEnd w:id="294"/>
      <w:bookmarkEnd w:id="295"/>
      <w:bookmarkEnd w:id="296"/>
      <w:bookmarkEnd w:id="297"/>
      <w:bookmarkEnd w:id="298"/>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5.7.1生态环境影响因素及类型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本项目开发过程包括钻井工程、油田开采工程、井下作业、油气集输及相应的配套设施建设。除井场和</w:t>
      </w:r>
      <w:r>
        <w:rPr>
          <w:rFonts w:hint="eastAsia" w:cs="Times New Roman"/>
          <w:color w:val="auto"/>
          <w:sz w:val="24"/>
          <w:szCs w:val="24"/>
          <w:lang w:val="en-US" w:eastAsia="zh-CN"/>
        </w:rPr>
        <w:t>塔杆</w:t>
      </w:r>
      <w:r>
        <w:rPr>
          <w:rFonts w:hint="default" w:ascii="Times New Roman" w:hAnsi="Times New Roman" w:cs="Times New Roman"/>
          <w:color w:val="auto"/>
          <w:sz w:val="24"/>
          <w:szCs w:val="24"/>
        </w:rPr>
        <w:t>为永久性占地外，其他均为临时性占地。该建设工程在施工期对生态环境影响较大，运行期一般影响较小。其对生态环境的影响主要表现为占用土地、改变土地利用性质、破坏植被，即打破了地表的原有平衡状态。若恢复治理措施不当，失去地表植被保护的土壤，在强风力的作用下可能发生风力侵蚀，造成表层土壤的丧失。项目区域的植被主要</w:t>
      </w:r>
      <w:r>
        <w:rPr>
          <w:rFonts w:hint="eastAsia" w:cs="Times New Roman"/>
          <w:color w:val="auto"/>
          <w:sz w:val="24"/>
          <w:szCs w:val="24"/>
          <w:lang w:val="en-US" w:eastAsia="zh-CN"/>
        </w:rPr>
        <w:t>为</w:t>
      </w:r>
      <w:r>
        <w:rPr>
          <w:rFonts w:hint="default" w:ascii="Times New Roman" w:hAnsi="Times New Roman" w:cs="Times New Roman"/>
          <w:color w:val="auto"/>
          <w:sz w:val="24"/>
          <w:szCs w:val="24"/>
        </w:rPr>
        <w:t>梭梭、白梭梭等荒漠植被。</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从项目工程特点和所处区域的环境特征出发分析项目区域建设过程中和建成运营中对生态环境影响的特点。</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（1）本工程对生态环境影响具有区域性环境影响特征，局限在不大的范围内，影响区域位于沙漠，人烟稀少。</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（2）在开发范围内各具体环境影响组分呈点块状（如井场等）和线状（如集输管线和井场道路等）分布，影响范围明确。</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（3）影响方式主要发生在施工期，施工结束后可逐步恢复。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项目开发建设过程各个时期对生态环境的影响程度、影响特征和影响时间见表5.7-1。</w:t>
      </w:r>
    </w:p>
    <w:p>
      <w:pPr>
        <w:pStyle w:val="48"/>
        <w:spacing w:line="360" w:lineRule="auto"/>
        <w:rPr>
          <w:rFonts w:hint="default" w:ascii="Times New Roman" w:hAnsi="Times New Roman" w:cs="Times New Roman"/>
          <w:color w:val="auto"/>
        </w:rPr>
      </w:pPr>
      <w:r>
        <w:rPr>
          <w:rFonts w:hint="default" w:ascii="Times New Roman" w:hAnsi="Times New Roman" w:cs="Times New Roman"/>
          <w:color w:val="auto"/>
        </w:rPr>
        <w:t>表5.7-1  项目不同开发阶段对生态环境的影响</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3463"/>
        <w:gridCol w:w="3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4656" w:type="dxa"/>
            <w:gridSpan w:val="2"/>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开发建设阶段</w:t>
            </w:r>
          </w:p>
        </w:tc>
        <w:tc>
          <w:tcPr>
            <w:tcW w:w="386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生态环境影响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施工期</w:t>
            </w: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井场建设</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地表植被破坏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设备运输</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野生动物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土方开挖</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地表植被破坏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管道敷设</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地表植被破坏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eastAsia="宋体" w:cs="Times New Roman"/>
                <w:color w:val="auto"/>
                <w:lang w:val="en-US" w:eastAsia="zh-CN"/>
              </w:rPr>
            </w:pPr>
            <w:r>
              <w:rPr>
                <w:rFonts w:hint="eastAsia" w:cs="Times New Roman"/>
                <w:color w:val="auto"/>
                <w:lang w:val="en-US" w:eastAsia="zh-CN"/>
              </w:rPr>
              <w:t>电力线架设</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地表植被破坏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井喷事故</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运营期</w:t>
            </w: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井场</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站场</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管道事故</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土壤、植被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汽车运输及巡检</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野生动物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退役期</w:t>
            </w: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井场</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站场</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93" w:type="dxa"/>
            <w:vMerge w:val="continue"/>
            <w:vAlign w:val="center"/>
          </w:tcPr>
          <w:p>
            <w:pPr>
              <w:pStyle w:val="47"/>
              <w:rPr>
                <w:rFonts w:hint="default" w:ascii="Times New Roman" w:hAnsi="Times New Roman" w:cs="Times New Roman"/>
                <w:color w:val="auto"/>
              </w:rPr>
            </w:pPr>
          </w:p>
        </w:tc>
        <w:tc>
          <w:tcPr>
            <w:tcW w:w="34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集输管线</w:t>
            </w:r>
          </w:p>
        </w:tc>
        <w:tc>
          <w:tcPr>
            <w:tcW w:w="386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w:t>
            </w:r>
          </w:p>
        </w:tc>
      </w:tr>
    </w:tbl>
    <w:p>
      <w:pPr>
        <w:pStyle w:val="66"/>
        <w:rPr>
          <w:rFonts w:hint="default" w:ascii="Times New Roman" w:hAnsi="Times New Roman" w:cs="Times New Roman"/>
          <w:color w:val="auto"/>
        </w:rPr>
      </w:pPr>
      <w:r>
        <w:rPr>
          <w:rFonts w:hint="default" w:ascii="Times New Roman" w:hAnsi="Times New Roman" w:cs="Times New Roman"/>
          <w:color w:val="auto"/>
        </w:rPr>
        <w:t>5.7.1.1生态环境影响类型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（1）占地对地表土壤、植被影响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钻井、运输、地面工程建设要侵占土地、破坏植被，改变原有生态系统结构和功能。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间工程建设对生态环境的影响属于高强度、低频率的局地性破坏。钻井施工、管线铺设作业本身要占用大面积的土地，机械、运输车辆碾压、人员践踏、材料占地、土体翻出埋放地表等活动占用的土地面积远远超过工程本身。这些占地属暂时性影响，使植被遭到破坏、被铲除，野生动物受惊吓和驱赶，破坏了原有生态环境的自然性。</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工程施工完成后，高强度的临时性占地和影响将消除，如井区安全防护距离以外（永久占地以外）可进行植被恢复重建，使被破坏的生态环境逐步恢复。而井场、场站、道路等地面建设属永久性占地，将会在原来连续分布的生态环境中形成生态斑点，产生地表温度、水分等物理异常，以及干扰地面植被和野生动物繁殖、迁移和栖息，长久影响生态环境的类型和结构。</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（2）污染物排放对生态环境的影响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开发是一个复杂的系统工程，由于各环节的工作内容多、工序差别大、施工情况多样、设备配置不同，所形成的污染源类型和源强也不同，其情形较为复杂。主要污染源集中在钻井工程、油田开采工程、井下作业工程、油气集输和处理工程，其污染源分布广、排放源强小，污染因子简单，具有影响的全方位性、综合性的特点，其对生态环境影响的途径和程度取决于水环境、空气环境、声环境被污染的程度和固废的产生量及处置方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（3）系统重建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开发工程在改变原有自然生态环境的同时，有可能再造一个兼原有生态环境与油田生态环境并存的、稳定的人工生态系统（绿化工程），较之原有生态环境更为适合人们的生产和生活活动，同时有利于当地及周边地区的发展，有利于人类生存环境的改善。</w:t>
      </w:r>
    </w:p>
    <w:p>
      <w:pPr>
        <w:pStyle w:val="66"/>
        <w:rPr>
          <w:rFonts w:hint="default" w:ascii="Times New Roman" w:hAnsi="Times New Roman" w:cs="Times New Roman"/>
          <w:color w:val="auto"/>
        </w:rPr>
      </w:pPr>
      <w:r>
        <w:rPr>
          <w:rFonts w:hint="default" w:ascii="Times New Roman" w:hAnsi="Times New Roman" w:cs="Times New Roman"/>
          <w:color w:val="auto"/>
        </w:rPr>
        <w:t>5.7.1.2生态环境影响因素</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影响因素识别实际上是对主体（开发建设项目）的识别，包括主要工程和辅助工程。对于本项目来讲，主要从油田开发工程（钻井、地面设施建设、配套设施等）、油田内部油气集输管道工程等诸多方面分析环境影响因素。</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（1）钻井</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本项目共部署井数</w:t>
      </w:r>
      <w:r>
        <w:rPr>
          <w:rFonts w:hint="eastAsia" w:cs="Times New Roman"/>
          <w:color w:val="auto"/>
          <w:sz w:val="24"/>
          <w:szCs w:val="24"/>
          <w:lang w:eastAsia="zh-CN"/>
        </w:rPr>
        <w:t>6口</w:t>
      </w:r>
      <w:r>
        <w:rPr>
          <w:rFonts w:hint="eastAsia" w:cs="Times New Roman"/>
          <w:color w:val="auto"/>
          <w:sz w:val="24"/>
          <w:szCs w:val="24"/>
          <w:lang w:val="en-US" w:eastAsia="zh-CN"/>
        </w:rPr>
        <w:t>采油井和2口注水井</w:t>
      </w:r>
      <w:r>
        <w:rPr>
          <w:rFonts w:hint="default" w:ascii="Times New Roman" w:hAnsi="Times New Roman" w:cs="Times New Roman"/>
          <w:color w:val="auto"/>
          <w:sz w:val="24"/>
          <w:szCs w:val="24"/>
        </w:rPr>
        <w:t>，井场的平整会产生土方；钻井过程中废物的排放、钻井机械的运输等施工活动均可对地表原生结构造成破坏，对生态环境带来不利影响。在井场选址过程中，应尽量选择动土作业量小的地段，场地平整所产生的土方随地势进行处置，尽可能填入低洼地带；井场材料整齐堆放，严格管理，不得随地洒落，完井后全部回收外运；施工机械划定运行线路，不得随意开行便道，以减少对地表原生结构的破坏。各种措施的采用，可有效减轻钻井过程对生态环境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（2）管线</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管道敷设过程中的地沟挖掘、下管及填埋过程中，对生态环境的影响主要是对土地的占用、对原生地表及管沟开挖范围内土层结构的破坏。</w:t>
      </w:r>
      <w:r>
        <w:rPr>
          <w:rFonts w:hint="eastAsia" w:cs="Times New Roman"/>
          <w:color w:val="auto"/>
          <w:sz w:val="24"/>
          <w:szCs w:val="24"/>
          <w:lang w:val="en-US" w:eastAsia="zh-CN"/>
        </w:rPr>
        <w:t>本项目管线选线尽量避开</w:t>
      </w:r>
      <w:r>
        <w:rPr>
          <w:rFonts w:hint="default" w:ascii="Times New Roman" w:hAnsi="Times New Roman" w:eastAsia="宋体" w:cs="Times New Roman"/>
          <w:color w:val="auto"/>
          <w:sz w:val="24"/>
          <w:szCs w:val="24"/>
          <w:lang w:val="en-US" w:eastAsia="zh-CN"/>
        </w:rPr>
        <w:t>植被茂密</w:t>
      </w:r>
      <w:r>
        <w:rPr>
          <w:rFonts w:hint="eastAsia" w:ascii="Times New Roman" w:hAnsi="Times New Roman" w:eastAsia="宋体" w:cs="Times New Roman"/>
          <w:color w:val="auto"/>
          <w:sz w:val="24"/>
          <w:szCs w:val="24"/>
          <w:lang w:val="en-US" w:eastAsia="zh-CN"/>
        </w:rPr>
        <w:t>地带</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并减少新开辟管沟，降低环境影响，符合生态环境保护要求。</w:t>
      </w:r>
      <w:r>
        <w:rPr>
          <w:rFonts w:hint="default" w:ascii="Times New Roman" w:hAnsi="Times New Roman" w:cs="Times New Roman"/>
          <w:color w:val="auto"/>
          <w:sz w:val="24"/>
          <w:szCs w:val="24"/>
        </w:rPr>
        <w:t>本项目新建各类管线（均为油田内部集输管网）</w:t>
      </w:r>
      <w:r>
        <w:rPr>
          <w:rFonts w:hint="eastAsia" w:cs="Times New Roman"/>
          <w:color w:val="auto"/>
          <w:sz w:val="24"/>
          <w:szCs w:val="24"/>
          <w:lang w:val="en-US" w:eastAsia="zh-CN"/>
        </w:rPr>
        <w:t>5.9</w:t>
      </w:r>
      <w:r>
        <w:rPr>
          <w:rFonts w:hint="default" w:ascii="Times New Roman" w:hAnsi="Times New Roman" w:cs="Times New Roman"/>
          <w:color w:val="auto"/>
          <w:sz w:val="24"/>
          <w:szCs w:val="24"/>
        </w:rPr>
        <w:t>km，施工期结束后，这种影响将随即消失，受影响的地表将在一定时期内逐步恢复到原生状态。</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（3）地面构筑物的修建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w:t>
      </w:r>
      <w:r>
        <w:rPr>
          <w:rFonts w:hint="eastAsia" w:cs="Times New Roman"/>
          <w:color w:val="auto"/>
          <w:sz w:val="24"/>
          <w:szCs w:val="24"/>
          <w:lang w:val="en-US" w:eastAsia="zh-CN"/>
        </w:rPr>
        <w:t>井场</w:t>
      </w:r>
      <w:r>
        <w:rPr>
          <w:rFonts w:hint="default" w:ascii="Times New Roman" w:hAnsi="Times New Roman" w:cs="Times New Roman"/>
          <w:color w:val="auto"/>
          <w:sz w:val="24"/>
          <w:szCs w:val="24"/>
        </w:rPr>
        <w:t>、供配电及消防等地面建筑修建过程中土方的产生及堆放、占地为主要的生态影响因素。设计中已经充分考虑了这些影响，各站场的选址尽可能选在地势平坦，且地表植被较少的地段，最大限度减少土方量，将对植被的影响限制到最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生态环境影响因素见表5.7-2。</w:t>
      </w:r>
    </w:p>
    <w:p>
      <w:pPr>
        <w:pStyle w:val="48"/>
        <w:spacing w:line="360" w:lineRule="auto"/>
        <w:rPr>
          <w:rFonts w:hint="default" w:ascii="Times New Roman" w:hAnsi="Times New Roman" w:cs="Times New Roman"/>
          <w:color w:val="auto"/>
        </w:rPr>
      </w:pPr>
      <w:r>
        <w:rPr>
          <w:rFonts w:hint="default" w:ascii="Times New Roman" w:hAnsi="Times New Roman" w:cs="Times New Roman"/>
          <w:color w:val="auto"/>
        </w:rPr>
        <w:t>表5.7-2  生态环境影响因素</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6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666"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工程活动</w:t>
            </w:r>
          </w:p>
        </w:tc>
        <w:tc>
          <w:tcPr>
            <w:tcW w:w="685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6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钻井工程</w:t>
            </w:r>
          </w:p>
        </w:tc>
        <w:tc>
          <w:tcPr>
            <w:tcW w:w="6853" w:type="dxa"/>
            <w:vAlign w:val="center"/>
          </w:tcPr>
          <w:p>
            <w:pPr>
              <w:pStyle w:val="47"/>
              <w:jc w:val="left"/>
              <w:rPr>
                <w:rFonts w:hint="default" w:ascii="Times New Roman" w:hAnsi="Times New Roman" w:cs="Times New Roman"/>
                <w:color w:val="auto"/>
              </w:rPr>
            </w:pPr>
            <w:r>
              <w:rPr>
                <w:rFonts w:hint="default" w:ascii="Times New Roman" w:hAnsi="Times New Roman" w:cs="Times New Roman"/>
                <w:color w:val="auto"/>
              </w:rPr>
              <w:t>1、永久占地改变土地的使用功能。</w:t>
            </w:r>
          </w:p>
          <w:p>
            <w:pPr>
              <w:pStyle w:val="47"/>
              <w:jc w:val="left"/>
              <w:rPr>
                <w:rFonts w:hint="default" w:ascii="Times New Roman" w:hAnsi="Times New Roman" w:cs="Times New Roman"/>
                <w:color w:val="auto"/>
              </w:rPr>
            </w:pPr>
            <w:r>
              <w:rPr>
                <w:rFonts w:hint="default" w:ascii="Times New Roman" w:hAnsi="Times New Roman" w:cs="Times New Roman"/>
                <w:color w:val="auto"/>
              </w:rPr>
              <w:t>2、钻前施工过程对井场周围植被和土壤产生不利影响。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6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开挖管沟</w:t>
            </w:r>
          </w:p>
        </w:tc>
        <w:tc>
          <w:tcPr>
            <w:tcW w:w="6853" w:type="dxa"/>
            <w:vAlign w:val="center"/>
          </w:tcPr>
          <w:p>
            <w:pPr>
              <w:pStyle w:val="47"/>
              <w:jc w:val="left"/>
              <w:rPr>
                <w:rFonts w:hint="default" w:ascii="Times New Roman" w:hAnsi="Times New Roman" w:cs="Times New Roman"/>
                <w:color w:val="auto"/>
              </w:rPr>
            </w:pPr>
            <w:r>
              <w:rPr>
                <w:rFonts w:hint="default" w:ascii="Times New Roman" w:hAnsi="Times New Roman" w:cs="Times New Roman"/>
                <w:color w:val="auto"/>
              </w:rPr>
              <w:t>1、工程扰动使土壤结构、组成及理化特性发生变化。</w:t>
            </w:r>
          </w:p>
          <w:p>
            <w:pPr>
              <w:pStyle w:val="47"/>
              <w:jc w:val="left"/>
              <w:rPr>
                <w:rFonts w:hint="default" w:ascii="Times New Roman" w:hAnsi="Times New Roman" w:cs="Times New Roman"/>
                <w:color w:val="auto"/>
              </w:rPr>
            </w:pPr>
            <w:r>
              <w:rPr>
                <w:rFonts w:hint="default" w:ascii="Times New Roman" w:hAnsi="Times New Roman" w:cs="Times New Roman"/>
                <w:color w:val="auto"/>
              </w:rPr>
              <w:t>2、开挖过程对周边植被造成破坏。</w:t>
            </w:r>
          </w:p>
          <w:p>
            <w:pPr>
              <w:pStyle w:val="47"/>
              <w:jc w:val="left"/>
              <w:rPr>
                <w:rFonts w:hint="default" w:ascii="Times New Roman" w:hAnsi="Times New Roman" w:cs="Times New Roman"/>
                <w:color w:val="auto"/>
              </w:rPr>
            </w:pPr>
            <w:r>
              <w:rPr>
                <w:rFonts w:hint="default" w:ascii="Times New Roman" w:hAnsi="Times New Roman" w:cs="Times New Roman"/>
                <w:color w:val="auto"/>
              </w:rPr>
              <w:t>3、土方处置不当加剧风蚀。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66"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地面构筑物建设</w:t>
            </w:r>
          </w:p>
        </w:tc>
        <w:tc>
          <w:tcPr>
            <w:tcW w:w="6853" w:type="dxa"/>
            <w:vAlign w:val="center"/>
          </w:tcPr>
          <w:p>
            <w:pPr>
              <w:pStyle w:val="47"/>
              <w:jc w:val="left"/>
              <w:rPr>
                <w:rFonts w:hint="default" w:ascii="Times New Roman" w:hAnsi="Times New Roman" w:cs="Times New Roman"/>
                <w:color w:val="auto"/>
              </w:rPr>
            </w:pPr>
            <w:r>
              <w:rPr>
                <w:rFonts w:hint="default" w:ascii="Times New Roman" w:hAnsi="Times New Roman" w:cs="Times New Roman"/>
                <w:color w:val="auto"/>
              </w:rPr>
              <w:t>1、永久占地改变土地的使用功能，使未利用土地得以利用。</w:t>
            </w:r>
          </w:p>
          <w:p>
            <w:pPr>
              <w:pStyle w:val="47"/>
              <w:jc w:val="left"/>
              <w:rPr>
                <w:rFonts w:hint="default" w:ascii="Times New Roman" w:hAnsi="Times New Roman" w:cs="Times New Roman"/>
                <w:color w:val="auto"/>
              </w:rPr>
            </w:pPr>
            <w:r>
              <w:rPr>
                <w:rFonts w:hint="default" w:ascii="Times New Roman" w:hAnsi="Times New Roman" w:cs="Times New Roman"/>
                <w:color w:val="auto"/>
              </w:rPr>
              <w:t>2、施工过程对四周植被和土壤产生不利影响。</w:t>
            </w:r>
          </w:p>
        </w:tc>
      </w:tr>
    </w:tbl>
    <w:p>
      <w:pPr>
        <w:pStyle w:val="66"/>
        <w:rPr>
          <w:rFonts w:hint="default" w:ascii="Times New Roman" w:hAnsi="Times New Roman" w:cs="Times New Roman"/>
          <w:color w:val="auto"/>
        </w:rPr>
      </w:pPr>
      <w:r>
        <w:rPr>
          <w:rFonts w:hint="default" w:ascii="Times New Roman" w:hAnsi="Times New Roman" w:cs="Times New Roman"/>
          <w:color w:val="auto"/>
        </w:rPr>
        <w:t>5.7.1.3生态环境影响程度</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工程建设对生态环境影响程度主要指所造成的影响是否可逆和可恢复。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（1）永久性占地区域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井场、构筑物等永久性占地对生态环境（地表土壤及植被）的影响是不可逆的，改变了土地原有的利用方式及土地利用价值。</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管道铺设占地区域的生态环境影响为临时性影响，在管道敷设完成后对其上部占地区域进行平整、恢复原貌，其生态影响可逐步得以恢复。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（2）临时性占地区域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完成后，当施工地的土壤质地及地形条件适于植被生长，在土壤保水能力较强、有水分保持的地段（如冲沟两侧、低洼地段），被破坏的土壤表层结构和植被可以很快得到自然恢复。但在自然环境水分条件较差的区域，生态环境自然恢复的速度十分缓慢。</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5.7.2施工期生态环境影响分析</w:t>
      </w:r>
    </w:p>
    <w:p>
      <w:pPr>
        <w:pStyle w:val="66"/>
        <w:rPr>
          <w:rFonts w:hint="default" w:ascii="Times New Roman" w:hAnsi="Times New Roman" w:cs="Times New Roman"/>
          <w:b/>
          <w:bCs/>
          <w:color w:val="auto"/>
        </w:rPr>
      </w:pPr>
      <w:bookmarkStart w:id="299" w:name="_Hlk36740306"/>
      <w:r>
        <w:rPr>
          <w:rFonts w:hint="default" w:ascii="Times New Roman" w:hAnsi="Times New Roman" w:cs="Times New Roman"/>
          <w:b/>
          <w:bCs/>
          <w:color w:val="auto"/>
        </w:rPr>
        <w:t>5.7.2.1工程占地影响分析</w:t>
      </w:r>
    </w:p>
    <w:p>
      <w:pPr>
        <w:keepNext w:val="0"/>
        <w:keepLines w:val="0"/>
        <w:widowControl/>
        <w:suppressLineNumbers w:val="0"/>
        <w:spacing w:line="360" w:lineRule="auto"/>
        <w:ind w:firstLine="480" w:firstLineChars="200"/>
        <w:jc w:val="both"/>
        <w:rPr>
          <w:color w:val="auto"/>
        </w:rPr>
      </w:pPr>
      <w:r>
        <w:rPr>
          <w:rFonts w:hint="eastAsia" w:ascii="宋体" w:hAnsi="宋体" w:eastAsia="宋体" w:cs="宋体"/>
          <w:color w:val="auto"/>
          <w:kern w:val="0"/>
          <w:sz w:val="24"/>
          <w:szCs w:val="24"/>
          <w:lang w:val="en-US" w:eastAsia="zh-CN" w:bidi="ar"/>
        </w:rPr>
        <w:t>拟建工程永久占地主要为井场和电力线路基座，占地面积为</w:t>
      </w:r>
      <w:r>
        <w:rPr>
          <w:rFonts w:hint="eastAsia" w:ascii="Times New Roman" w:hAnsi="Times New Roman" w:eastAsia="宋体" w:cs="Times New Roman"/>
          <w:color w:val="auto"/>
          <w:sz w:val="24"/>
          <w:szCs w:val="24"/>
          <w:lang w:eastAsia="zh-CN"/>
        </w:rPr>
        <w:t>5154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eastAsia" w:ascii="宋体" w:hAnsi="宋体" w:eastAsia="宋体" w:cs="宋体"/>
          <w:color w:val="auto"/>
          <w:kern w:val="0"/>
          <w:sz w:val="24"/>
          <w:szCs w:val="24"/>
          <w:lang w:val="en-US" w:eastAsia="zh-CN" w:bidi="ar"/>
        </w:rPr>
        <w:t>，占地类型为沙地。其建设使土地利用功能发生变化，使土地使用功能永久地转变为工矿用地，改变了其自然结构与功能特点。拟建工程井场较为分散且占地面积较小，工程永久占地对沿线地区的现有土地利用状况影响较小。</w:t>
      </w:r>
    </w:p>
    <w:p>
      <w:pPr>
        <w:keepNext w:val="0"/>
        <w:keepLines w:val="0"/>
        <w:widowControl/>
        <w:suppressLineNumbers w:val="0"/>
        <w:spacing w:line="360" w:lineRule="auto"/>
        <w:ind w:firstLine="480" w:firstLineChars="200"/>
        <w:jc w:val="both"/>
        <w:rPr>
          <w:rFonts w:hint="default" w:ascii="Times New Roman" w:hAnsi="Times New Roman" w:cs="Times New Roman"/>
          <w:color w:val="auto"/>
          <w:sz w:val="24"/>
          <w:szCs w:val="24"/>
        </w:rPr>
      </w:pPr>
      <w:r>
        <w:rPr>
          <w:rFonts w:hint="eastAsia" w:ascii="宋体" w:hAnsi="宋体" w:eastAsia="宋体" w:cs="宋体"/>
          <w:color w:val="auto"/>
          <w:kern w:val="0"/>
          <w:sz w:val="24"/>
          <w:szCs w:val="24"/>
          <w:lang w:val="en-US" w:eastAsia="zh-CN" w:bidi="ar"/>
        </w:rPr>
        <w:t>工程临时占地主要为临时用地为井场施工、管沟开挖和电力线路施工压占等。根据占地类型统计，项目占用的土地类型为沙地，临时占地面积为</w:t>
      </w:r>
      <w:r>
        <w:rPr>
          <w:rFonts w:hint="eastAsia" w:ascii="Times New Roman" w:hAnsi="Times New Roman" w:eastAsia="宋体" w:cs="Times New Roman"/>
          <w:color w:val="auto"/>
          <w:kern w:val="0"/>
          <w:sz w:val="24"/>
          <w:szCs w:val="24"/>
          <w:lang w:val="en-US" w:eastAsia="zh-CN" w:bidi="ar"/>
        </w:rPr>
        <w:t>92046</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从宏观整体区域看，施工活动和工程占地在区域范围内并呈点线状分布，项目临时占地面积较小，不会对该区域的土地利用结构造成较大改变。管道工程施工完毕后，对施工临时占地进行恢复，对土地利用的影响也会逐渐消失。</w:t>
      </w:r>
    </w:p>
    <w:bookmarkEnd w:id="299"/>
    <w:p>
      <w:pPr>
        <w:pStyle w:val="66"/>
        <w:rPr>
          <w:rFonts w:hint="default" w:ascii="Times New Roman" w:hAnsi="Times New Roman" w:cs="Times New Roman"/>
          <w:b/>
          <w:bCs/>
          <w:color w:val="auto"/>
        </w:rPr>
      </w:pPr>
      <w:r>
        <w:rPr>
          <w:rFonts w:hint="default" w:ascii="Times New Roman" w:hAnsi="Times New Roman" w:cs="Times New Roman"/>
          <w:b/>
          <w:bCs/>
          <w:color w:val="auto"/>
        </w:rPr>
        <w:t>5.7.2.2对植被的影响分析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本项目钻井工程、集输管道建设是造成植被破坏的主要原因，其中以钻井工程和管道建设的影响最为显著。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（1）工程占地对植被的影响及生物量损失</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油田开发过程中的占地包括井场、管道等占地，对植被的影响主要表现在施工期，主要影响形式是对土地的占用以及施工阶段清场过程中对地表植被的清理及施工过程中的碾压。</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项目区内荒漠植被以红皮沙拐枣、梭梭和白梭梭等为主，植被群系较为单一，生产力较低。根据新疆维吾尔自治区畜牧厅编制的《新疆草地资源及其利用》，项目区产草量</w:t>
      </w:r>
      <w:r>
        <w:rPr>
          <w:rFonts w:hint="default" w:ascii="Times New Roman" w:hAnsi="Times New Roman" w:eastAsia="宋体" w:cs="Times New Roman"/>
          <w:color w:val="auto"/>
          <w:kern w:val="0"/>
          <w:sz w:val="24"/>
          <w:highlight w:val="none"/>
        </w:rPr>
        <w:t>按照750kg/hm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计算</w:t>
      </w:r>
      <w:r>
        <w:rPr>
          <w:rFonts w:hint="default" w:ascii="Times New Roman" w:hAnsi="Times New Roman" w:eastAsia="宋体" w:cs="Times New Roman"/>
          <w:color w:val="auto"/>
          <w:kern w:val="0"/>
          <w:sz w:val="24"/>
        </w:rPr>
        <w:t>，对开发区域占地类型、植物生物量损失量影响</w:t>
      </w:r>
      <w:r>
        <w:rPr>
          <w:rFonts w:hint="default" w:ascii="Times New Roman" w:hAnsi="Times New Roman" w:eastAsia="宋体" w:cs="Times New Roman"/>
          <w:color w:val="auto"/>
          <w:kern w:val="0"/>
          <w:sz w:val="24"/>
          <w:lang w:val="en-US" w:eastAsia="zh-CN"/>
        </w:rPr>
        <w:t>见</w:t>
      </w:r>
      <w:r>
        <w:rPr>
          <w:rFonts w:hint="default" w:ascii="Times New Roman" w:hAnsi="Times New Roman" w:eastAsia="宋体" w:cs="Times New Roman"/>
          <w:color w:val="auto"/>
          <w:kern w:val="0"/>
          <w:sz w:val="24"/>
        </w:rPr>
        <w:t>表</w:t>
      </w:r>
      <w:r>
        <w:rPr>
          <w:rFonts w:hint="default" w:ascii="Times New Roman" w:hAnsi="Times New Roman" w:eastAsia="宋体" w:cs="Times New Roman"/>
          <w:color w:val="auto"/>
          <w:sz w:val="24"/>
        </w:rPr>
        <w:t>5.7-3。</w:t>
      </w:r>
    </w:p>
    <w:p>
      <w:pPr>
        <w:pStyle w:val="48"/>
        <w:spacing w:line="360" w:lineRule="auto"/>
        <w:rPr>
          <w:rFonts w:hint="default" w:ascii="Times New Roman" w:hAnsi="Times New Roman" w:cs="Times New Roman"/>
          <w:color w:val="auto"/>
        </w:rPr>
      </w:pPr>
    </w:p>
    <w:p>
      <w:pPr>
        <w:pStyle w:val="48"/>
        <w:spacing w:line="360" w:lineRule="auto"/>
        <w:rPr>
          <w:rFonts w:hint="default" w:ascii="Times New Roman" w:hAnsi="Times New Roman" w:cs="Times New Roman"/>
          <w:color w:val="auto"/>
        </w:rPr>
      </w:pPr>
    </w:p>
    <w:p>
      <w:pPr>
        <w:pStyle w:val="48"/>
        <w:spacing w:line="360" w:lineRule="auto"/>
        <w:rPr>
          <w:rFonts w:hint="default" w:ascii="Times New Roman" w:hAnsi="Times New Roman" w:cs="Times New Roman"/>
          <w:color w:val="auto"/>
        </w:rPr>
      </w:pPr>
    </w:p>
    <w:p>
      <w:pPr>
        <w:pStyle w:val="48"/>
        <w:spacing w:line="360" w:lineRule="auto"/>
        <w:rPr>
          <w:rFonts w:hint="default" w:ascii="Times New Roman" w:hAnsi="Times New Roman" w:cs="Times New Roman"/>
          <w:color w:val="auto"/>
        </w:rPr>
      </w:pPr>
      <w:r>
        <w:rPr>
          <w:rFonts w:hint="default" w:ascii="Times New Roman" w:hAnsi="Times New Roman" w:cs="Times New Roman"/>
          <w:color w:val="auto"/>
        </w:rPr>
        <w:t>表5.7-3  评价区域占地情况及生物量损失</w:t>
      </w:r>
    </w:p>
    <w:tbl>
      <w:tblPr>
        <w:tblStyle w:val="32"/>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1"/>
        <w:gridCol w:w="1075"/>
        <w:gridCol w:w="1287"/>
        <w:gridCol w:w="1123"/>
        <w:gridCol w:w="115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41"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占地类型</w:t>
            </w:r>
          </w:p>
        </w:tc>
        <w:tc>
          <w:tcPr>
            <w:tcW w:w="1075"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永久占地（m</w:t>
            </w:r>
            <w:r>
              <w:rPr>
                <w:rFonts w:hint="default" w:ascii="Times New Roman" w:hAnsi="Times New Roman" w:eastAsia="宋体" w:cs="Times New Roman"/>
                <w:b/>
                <w:bCs/>
                <w:color w:val="auto"/>
                <w:szCs w:val="21"/>
                <w:vertAlign w:val="superscript"/>
              </w:rPr>
              <w:t>2</w:t>
            </w:r>
            <w:r>
              <w:rPr>
                <w:rFonts w:hint="default" w:ascii="Times New Roman" w:hAnsi="Times New Roman" w:eastAsia="宋体" w:cs="Times New Roman"/>
                <w:b/>
                <w:bCs/>
                <w:color w:val="auto"/>
                <w:szCs w:val="21"/>
              </w:rPr>
              <w:t>）</w:t>
            </w:r>
          </w:p>
        </w:tc>
        <w:tc>
          <w:tcPr>
            <w:tcW w:w="1287"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生物损失量（t/a）</w:t>
            </w:r>
          </w:p>
        </w:tc>
        <w:tc>
          <w:tcPr>
            <w:tcW w:w="1123"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临时占地（m</w:t>
            </w:r>
            <w:r>
              <w:rPr>
                <w:rFonts w:hint="default" w:ascii="Times New Roman" w:hAnsi="Times New Roman" w:eastAsia="宋体" w:cs="Times New Roman"/>
                <w:b/>
                <w:bCs/>
                <w:color w:val="auto"/>
                <w:szCs w:val="21"/>
                <w:vertAlign w:val="superscript"/>
              </w:rPr>
              <w:t>2</w:t>
            </w:r>
            <w:r>
              <w:rPr>
                <w:rFonts w:hint="default" w:ascii="Times New Roman" w:hAnsi="Times New Roman" w:eastAsia="宋体" w:cs="Times New Roman"/>
                <w:b/>
                <w:bCs/>
                <w:color w:val="auto"/>
                <w:szCs w:val="21"/>
              </w:rPr>
              <w:t>）</w:t>
            </w:r>
          </w:p>
        </w:tc>
        <w:tc>
          <w:tcPr>
            <w:tcW w:w="1150"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生物损失量（t/a）</w:t>
            </w:r>
          </w:p>
        </w:tc>
        <w:tc>
          <w:tcPr>
            <w:tcW w:w="1341"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2541" w:type="dxa"/>
            <w:vAlign w:val="center"/>
          </w:tcPr>
          <w:p>
            <w:pPr>
              <w:pStyle w:val="43"/>
              <w:spacing w:before="24" w:after="24"/>
              <w:rPr>
                <w:rFonts w:hint="default" w:ascii="Times New Roman" w:hAnsi="Times New Roman" w:cs="Times New Roman"/>
                <w:color w:val="auto"/>
              </w:rPr>
            </w:pPr>
            <w:r>
              <w:rPr>
                <w:rFonts w:hint="eastAsia" w:ascii="Times New Roman" w:hAnsi="Times New Roman" w:cs="Times New Roman"/>
                <w:color w:val="auto"/>
                <w:lang w:val="en-US" w:eastAsia="zh-CN"/>
              </w:rPr>
              <w:t>沙地</w:t>
            </w:r>
            <w:r>
              <w:rPr>
                <w:rFonts w:hint="default" w:ascii="Times New Roman" w:hAnsi="Times New Roman" w:cs="Times New Roman"/>
                <w:color w:val="auto"/>
              </w:rPr>
              <w:t>（井场、管线、输电线路等）</w:t>
            </w:r>
          </w:p>
        </w:tc>
        <w:tc>
          <w:tcPr>
            <w:tcW w:w="1075"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5154</w:t>
            </w:r>
          </w:p>
        </w:tc>
        <w:tc>
          <w:tcPr>
            <w:tcW w:w="1287"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0.39</w:t>
            </w:r>
          </w:p>
        </w:tc>
        <w:tc>
          <w:tcPr>
            <w:tcW w:w="1123"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92046</w:t>
            </w:r>
          </w:p>
        </w:tc>
        <w:tc>
          <w:tcPr>
            <w:tcW w:w="115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5.97</w:t>
            </w:r>
          </w:p>
        </w:tc>
        <w:tc>
          <w:tcPr>
            <w:tcW w:w="1341" w:type="dxa"/>
            <w:vAlign w:val="center"/>
          </w:tcPr>
          <w:p>
            <w:pPr>
              <w:overflowPunct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生物量按照0.75t/hm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计</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油田开发过程中土地被扰动，地表植被基本被毁。在投入运营后，其中有部分地表土地被永久占用，地表被各种构筑物或砾石覆盖。其余土地重新回到原来的自然状态，但地表植被及地表结构却发生了变化。地表保护层被破坏后，其稳定性下降，防止水土流失的能力也随之下降。本项目在油田开发过程中临时占地面积为</w:t>
      </w:r>
      <w:r>
        <w:rPr>
          <w:rFonts w:hint="eastAsia" w:cs="Times New Roman"/>
          <w:color w:val="auto"/>
          <w:sz w:val="24"/>
          <w:szCs w:val="24"/>
          <w:lang w:val="en-US" w:eastAsia="zh-CN"/>
        </w:rPr>
        <w:t>92046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，永久占地面积为</w:t>
      </w:r>
      <w:r>
        <w:rPr>
          <w:rFonts w:hint="eastAsia" w:cs="Times New Roman"/>
          <w:color w:val="auto"/>
          <w:sz w:val="24"/>
          <w:szCs w:val="24"/>
          <w:lang w:eastAsia="zh-CN"/>
        </w:rPr>
        <w:t>5154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。在油田开发初期的3～5年中，荒漠植被破坏后不易恢复，因而使得</w:t>
      </w:r>
      <w:r>
        <w:rPr>
          <w:rFonts w:hint="eastAsia" w:cs="Times New Roman"/>
          <w:color w:val="auto"/>
          <w:sz w:val="24"/>
          <w:szCs w:val="24"/>
          <w:lang w:val="en-US" w:eastAsia="zh-CN"/>
        </w:rPr>
        <w:t>97200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荒漠土地基本没有植物初级生产能力，生物损失量约为</w:t>
      </w:r>
      <w:r>
        <w:rPr>
          <w:rFonts w:hint="eastAsia" w:cs="Times New Roman"/>
          <w:color w:val="auto"/>
          <w:sz w:val="24"/>
          <w:szCs w:val="24"/>
          <w:lang w:val="en-US" w:eastAsia="zh-CN"/>
        </w:rPr>
        <w:t>6.36</w:t>
      </w:r>
      <w:r>
        <w:rPr>
          <w:rFonts w:hint="default" w:ascii="Times New Roman" w:hAnsi="Times New Roman" w:cs="Times New Roman"/>
          <w:color w:val="auto"/>
          <w:sz w:val="24"/>
          <w:szCs w:val="24"/>
        </w:rPr>
        <w:t>t/a。当临时性占地的植被得到初步恢复后，这种损失将会逐渐减少。</w:t>
      </w:r>
    </w:p>
    <w:p>
      <w:pPr>
        <w:pStyle w:val="56"/>
        <w:spacing w:line="360" w:lineRule="auto"/>
        <w:rPr>
          <w:rFonts w:hint="default" w:ascii="Times New Roman" w:hAnsi="Times New Roman" w:cs="Times New Roman"/>
          <w:color w:val="auto"/>
          <w:sz w:val="24"/>
          <w:szCs w:val="24"/>
        </w:rPr>
      </w:pPr>
      <w:bookmarkStart w:id="300" w:name="_Hlk512465607"/>
      <w:r>
        <w:rPr>
          <w:rFonts w:hint="default" w:ascii="Times New Roman" w:hAnsi="Times New Roman" w:cs="Times New Roman"/>
          <w:color w:val="auto"/>
          <w:sz w:val="24"/>
          <w:szCs w:val="24"/>
        </w:rPr>
        <w:t>建设单位正在严格按照有关规定办理建设用地审批手续，按照正式征地文件对所占用</w:t>
      </w:r>
      <w:r>
        <w:rPr>
          <w:rFonts w:hint="eastAsia" w:cs="Times New Roman"/>
          <w:color w:val="auto"/>
          <w:sz w:val="24"/>
          <w:szCs w:val="24"/>
          <w:lang w:val="en-US" w:eastAsia="zh-CN"/>
        </w:rPr>
        <w:t>征地</w:t>
      </w:r>
      <w:r>
        <w:rPr>
          <w:rFonts w:hint="default" w:ascii="Times New Roman" w:hAnsi="Times New Roman" w:cs="Times New Roman"/>
          <w:color w:val="auto"/>
          <w:sz w:val="24"/>
          <w:szCs w:val="24"/>
        </w:rPr>
        <w:t>进行经济补偿。随着施工期的结束，被开挖部分将覆土回填，可以减少临时占地对植被的破坏程度。本次环评要求施工结束后即对占地进行植被恢复；运输车辆沿道路行驶，禁止乱压乱碾；通过加强环保宣传教育，普及野生动物保护相关法律法规，以及严格的环境保护管理措施，可以有效</w:t>
      </w:r>
      <w:r>
        <w:rPr>
          <w:rFonts w:hint="default" w:ascii="Times New Roman" w:hAnsi="Times New Roman" w:cs="Times New Roman"/>
          <w:color w:val="auto"/>
          <w:sz w:val="24"/>
          <w:szCs w:val="24"/>
          <w:lang w:eastAsia="zh-CN"/>
        </w:rPr>
        <w:t>地</w:t>
      </w:r>
      <w:r>
        <w:rPr>
          <w:rFonts w:hint="default" w:ascii="Times New Roman" w:hAnsi="Times New Roman" w:cs="Times New Roman"/>
          <w:color w:val="auto"/>
          <w:sz w:val="24"/>
          <w:szCs w:val="24"/>
        </w:rPr>
        <w:t>避免施工及人员活动对保护植物的破坏。只要加强施工管理项目实施不会对项目区的生态环境造成太大影响。</w:t>
      </w:r>
    </w:p>
    <w:bookmarkEnd w:id="300"/>
    <w:p>
      <w:pPr>
        <w:pStyle w:val="56"/>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（2）管线敷设对植被的影响</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集输管线的敷设对植被的破坏包括管沟宽度和施工场地宽度两部分。</w:t>
      </w:r>
      <w:r>
        <w:rPr>
          <w:rFonts w:hint="default" w:ascii="Times New Roman" w:hAnsi="Times New Roman" w:cs="Times New Roman"/>
          <w:color w:val="auto"/>
          <w:sz w:val="24"/>
          <w:szCs w:val="24"/>
          <w:lang w:val="en-US" w:eastAsia="zh-CN"/>
        </w:rPr>
        <w:t>管沟范围内地上部分植物根系均被开挖铲除，同时还会伤及附近植物的根系。施工带两侧的植被由于挖掘出的土石方堆放、施工车辆和机具的碾压，会造成植物地上部分破坏甚至死亡</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本项目建设管线</w:t>
      </w:r>
      <w:r>
        <w:rPr>
          <w:rFonts w:hint="eastAsia" w:ascii="Times New Roman" w:hAnsi="Times New Roman" w:cs="Times New Roman"/>
          <w:color w:val="auto"/>
          <w:sz w:val="24"/>
          <w:szCs w:val="24"/>
          <w:lang w:val="en-US" w:eastAsia="zh-CN"/>
        </w:rPr>
        <w:t>5.9k</w:t>
      </w:r>
      <w:r>
        <w:rPr>
          <w:rFonts w:hint="default"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lang w:val="en-US" w:eastAsia="zh-CN"/>
        </w:rPr>
        <w:t>管线长度</w:t>
      </w:r>
      <w:r>
        <w:rPr>
          <w:rFonts w:hint="default" w:ascii="Times New Roman" w:hAnsi="Times New Roman" w:cs="Times New Roman"/>
          <w:color w:val="auto"/>
          <w:sz w:val="24"/>
          <w:szCs w:val="24"/>
          <w:lang w:val="en-US" w:eastAsia="zh-CN"/>
        </w:rPr>
        <w:t>较短，管径较小，项目区植被覆盖度较低，因此对植被影响较小，</w:t>
      </w:r>
      <w:r>
        <w:rPr>
          <w:rFonts w:hint="default" w:ascii="Times New Roman" w:hAnsi="Times New Roman" w:eastAsia="宋体" w:cs="Times New Roman"/>
          <w:color w:val="auto"/>
          <w:kern w:val="0"/>
          <w:sz w:val="24"/>
          <w:szCs w:val="24"/>
          <w:lang w:val="en-US" w:eastAsia="zh-CN" w:bidi="ar"/>
        </w:rPr>
        <w:t>通过植被恢复措施，天然植物恢复或表土形成相对稳定的结构并发挥水土保持功效约需要2～3年。</w:t>
      </w:r>
      <w:r>
        <w:rPr>
          <w:rFonts w:hint="default" w:ascii="Times New Roman" w:hAnsi="Times New Roman" w:cs="Times New Roman"/>
          <w:color w:val="auto"/>
          <w:sz w:val="24"/>
          <w:szCs w:val="24"/>
        </w:rPr>
        <w:t>管线施工完成后，将开挖的表层土壤回铺于地表，减轻对土壤的破坏，以利于植被的恢复和生长。</w:t>
      </w:r>
    </w:p>
    <w:p>
      <w:pPr>
        <w:pStyle w:val="56"/>
        <w:spacing w:line="360" w:lineRule="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（3）</w:t>
      </w:r>
      <w:r>
        <w:rPr>
          <w:rFonts w:hint="eastAsia" w:ascii="Times New Roman" w:hAnsi="Times New Roman" w:eastAsia="宋体" w:cs="Times New Roman"/>
          <w:color w:val="auto"/>
          <w:kern w:val="0"/>
          <w:sz w:val="24"/>
          <w:lang w:val="en-US" w:eastAsia="zh-CN"/>
        </w:rPr>
        <w:t>供配电线路架设对植被的影响</w:t>
      </w:r>
    </w:p>
    <w:p>
      <w:pPr>
        <w:pStyle w:val="56"/>
        <w:spacing w:line="360" w:lineRule="auto"/>
        <w:rPr>
          <w:rFonts w:hint="default" w:ascii="Times New Roman" w:hAnsi="Times New Roman" w:cs="Times New Roman"/>
          <w:color w:val="auto"/>
          <w:sz w:val="24"/>
          <w:szCs w:val="24"/>
        </w:rPr>
      </w:pPr>
      <w:r>
        <w:rPr>
          <w:rFonts w:hint="eastAsia" w:ascii="Times New Roman" w:hAnsi="Times New Roman" w:eastAsia="宋体" w:cs="Times New Roman"/>
          <w:color w:val="auto"/>
          <w:kern w:val="0"/>
          <w:sz w:val="24"/>
          <w:lang w:val="en-US" w:eastAsia="zh-CN"/>
        </w:rPr>
        <w:t>本项目架空</w:t>
      </w:r>
      <w:r>
        <w:rPr>
          <w:rFonts w:hint="eastAsia" w:cs="Times New Roman"/>
          <w:color w:val="auto"/>
          <w:sz w:val="24"/>
          <w:szCs w:val="24"/>
          <w:lang w:val="en-US" w:eastAsia="zh-CN"/>
        </w:rPr>
        <w:t>线路长度2.5</w:t>
      </w:r>
      <w:r>
        <w:rPr>
          <w:rFonts w:hint="eastAsia" w:ascii="Times New Roman" w:hAnsi="Times New Roman" w:eastAsia="宋体" w:cs="Times New Roman"/>
          <w:color w:val="auto"/>
          <w:sz w:val="24"/>
          <w:szCs w:val="24"/>
          <w:lang w:val="en-US" w:eastAsia="zh-CN"/>
        </w:rPr>
        <w:t>km，立</w:t>
      </w:r>
      <w:r>
        <w:rPr>
          <w:rFonts w:hint="default" w:ascii="Times New Roman" w:hAnsi="Times New Roman" w:eastAsia="宋体" w:cs="Times New Roman"/>
          <w:color w:val="auto"/>
          <w:sz w:val="24"/>
          <w:szCs w:val="24"/>
          <w:lang w:val="en-US" w:eastAsia="zh-CN"/>
        </w:rPr>
        <w:t>电线杆</w:t>
      </w:r>
      <w:r>
        <w:rPr>
          <w:rFonts w:hint="eastAsia"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座，杆塔式变电站</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座，</w:t>
      </w:r>
      <w:r>
        <w:rPr>
          <w:rFonts w:hint="eastAsia" w:cs="Times New Roman"/>
          <w:color w:val="auto"/>
          <w:sz w:val="24"/>
          <w:szCs w:val="24"/>
          <w:lang w:val="en-US" w:eastAsia="zh-CN"/>
        </w:rPr>
        <w:t>杆塔基座永久占地504m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，临时占地9496m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，项目区植被稀疏，</w:t>
      </w:r>
      <w:r>
        <w:rPr>
          <w:rFonts w:hint="default" w:ascii="Times New Roman" w:hAnsi="Times New Roman" w:cs="Times New Roman"/>
          <w:color w:val="auto"/>
          <w:kern w:val="0"/>
          <w:sz w:val="24"/>
        </w:rPr>
        <w:t>永久占地面积相对较小，相对生物损失量较小，临时占地生物损失量施工完毕后可自然恢复。</w:t>
      </w:r>
    </w:p>
    <w:p>
      <w:pPr>
        <w:pStyle w:val="56"/>
        <w:spacing w:line="360" w:lineRule="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4</w:t>
      </w:r>
      <w:r>
        <w:rPr>
          <w:rFonts w:hint="eastAsia" w:cs="Times New Roman"/>
          <w:color w:val="auto"/>
          <w:sz w:val="24"/>
          <w:szCs w:val="24"/>
          <w:lang w:eastAsia="zh-CN"/>
        </w:rPr>
        <w:t>）</w:t>
      </w:r>
      <w:r>
        <w:rPr>
          <w:rFonts w:hint="default" w:ascii="Times New Roman" w:hAnsi="Times New Roman" w:cs="Times New Roman"/>
          <w:color w:val="auto"/>
          <w:sz w:val="24"/>
          <w:szCs w:val="24"/>
        </w:rPr>
        <w:t>人类活动对植被的影响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开发建设过程中大量人员、机械进入荒漠区，使荒漠环境中人类活动频率大幅度增加。对植被的影响主要表现在人类和机械对植物的践踏、碾压和砍伐，使原生植被生境发生较大变化。荒漠区单位面积上人口密度的增加将导致工程开发范围内及边缘区形成次生荒漠化。但评价区内植被盖度较低，项目在开发建设过程中，尽量避让植被相对较多的区域，因此，人类活动对该区域天然植被产生的不良影响非常有限。</w:t>
      </w:r>
    </w:p>
    <w:p>
      <w:pPr>
        <w:pStyle w:val="90"/>
        <w:spacing w:line="360" w:lineRule="auto"/>
        <w:rPr>
          <w:rFonts w:hint="default" w:ascii="Times New Roman" w:hAnsi="Times New Roman" w:cs="Times New Roman"/>
          <w:color w:val="auto"/>
          <w:sz w:val="28"/>
          <w:szCs w:val="28"/>
        </w:rPr>
      </w:pPr>
      <w:bookmarkStart w:id="301" w:name="_Hlk41407766"/>
      <w:r>
        <w:rPr>
          <w:rFonts w:hint="default" w:ascii="Times New Roman" w:hAnsi="Times New Roman" w:cs="Times New Roman"/>
          <w:color w:val="auto"/>
          <w:sz w:val="28"/>
          <w:szCs w:val="28"/>
        </w:rPr>
        <w:t>5.7.2.3对野生动物的影响分析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开发建设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pStyle w:val="56"/>
        <w:numPr>
          <w:ilvl w:val="0"/>
          <w:numId w:val="7"/>
        </w:numPr>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对野生动物的影响</w:t>
      </w:r>
    </w:p>
    <w:p>
      <w:pPr>
        <w:pStyle w:val="56"/>
        <w:spacing w:line="360" w:lineRule="auto"/>
        <w:ind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场构筑物建设、管道敷设修建过程中，由于机械设备的轰鸣惊扰，人群活动的增加，荒漠型鸟类和大型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开发各个过程的变化，该区域内野生动物的种类和数量将发生一定的变化，原有的荒漠型鸟类和大型哺乳类将逐渐避开人类活动的干扰迁至其他区域，而常见的伴人型野生动物种类有所增加。地面建设工程后期，随着开发建设进入正常生产阶段，施工人员撤离作业区域，仅少量巡检人员在油田开发区域及管道区域定期活动，区域内的人为活动逐步减少，野生动物将逐步回归原有生境，主要的影响范围仅限于场站和施工场地等人员活动较多的区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（2）受保护野生动物的影响</w:t>
      </w:r>
    </w:p>
    <w:p>
      <w:pPr>
        <w:widowControl/>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z w:val="24"/>
        </w:rPr>
        <w:t>1）</w:t>
      </w:r>
      <w:r>
        <w:rPr>
          <w:rFonts w:hint="default" w:ascii="Times New Roman" w:hAnsi="Times New Roman" w:eastAsia="宋体" w:cs="Times New Roman"/>
          <w:color w:val="auto"/>
          <w:kern w:val="0"/>
          <w:sz w:val="24"/>
        </w:rPr>
        <w:t>对保护鸟类的影响</w:t>
      </w:r>
    </w:p>
    <w:p>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黑鸢、雀鹰、草原鹞、棕尾鵟及红隼均为猛禽。猛禽的活动能力强、活动范围广，常在高空盘旋觅食，能够及时避开工程建设的不利影响。本项目实施区域生境单一，视野开阔，猛禽能及时发现各类威胁，从而有效躲避危害。评价区出现猛禽数量极少，由于这些鸟类的飞行高度较高，并且生性机警，听觉和视觉敏锐，稍有声响，立刻逃遁，工程建设和运营对上述鸟类影响较小。本工程所在区域地势开阔，荒漠连片分布，鸟类有足够的栖息空间，工程对受保护鸟类的影响总体较小。</w:t>
      </w:r>
    </w:p>
    <w:p>
      <w:pPr>
        <w:widowControl/>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default" w:ascii="Times New Roman" w:hAnsi="Times New Roman" w:eastAsia="宋体" w:cs="Times New Roman"/>
          <w:color w:val="auto"/>
          <w:kern w:val="0"/>
          <w:sz w:val="24"/>
        </w:rPr>
        <w:t>对保护哺乳类的影响</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rPr>
        <w:t>工程施工期间对受保护兽类的影响主要是植被破坏造成的兽类现有或潜在栖息地损失。根据现场和工作人员调查，项目区内无饮用水水源，不是鹅喉羚、草原斑猫、兔狲、沙狐主要栖息地，建设单位在施工场所醒目处设置“保护生态环境、保护野生动植物”等告示牌，提醒施工人员依法保护野生动物。施工过程中若发现受伤、病残饥饿、受困、迷途珍稀野生动物及野生动物的幼崽和繁殖场所的应及时采取保护，并联系当地的相关主管部门，不得随意惊吓、追赶、捕猎、宰杀野生动物。确保设施正常运行，避免噪声惊扰野生动物。</w:t>
      </w:r>
    </w:p>
    <w:p>
      <w:pPr>
        <w:widowControl/>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本项目建成后人类活动降低，仅日常巡井等检查活动，对区域野生动物影响较小。</w:t>
      </w:r>
    </w:p>
    <w:bookmarkEnd w:id="301"/>
    <w:p>
      <w:pPr>
        <w:pStyle w:val="90"/>
        <w:spacing w:line="360" w:lineRule="auto"/>
        <w:rPr>
          <w:rFonts w:hint="default" w:ascii="Times New Roman" w:hAnsi="Times New Roman" w:cs="Times New Roman"/>
          <w:color w:val="auto"/>
          <w:sz w:val="28"/>
          <w:szCs w:val="28"/>
        </w:rPr>
      </w:pPr>
      <w:bookmarkStart w:id="302" w:name="_Hlk36740285"/>
      <w:r>
        <w:rPr>
          <w:rFonts w:hint="default" w:ascii="Times New Roman" w:hAnsi="Times New Roman" w:cs="Times New Roman"/>
          <w:color w:val="auto"/>
          <w:sz w:val="28"/>
          <w:szCs w:val="28"/>
        </w:rPr>
        <w:t>5.7.2.4对荒漠生态景观的影响分析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开发区的基质为荒漠生态景观。荒漠生态景观的稳定性较差，异质化程度低，生态体系的稳定性和必要的抵御干扰的柔韧性较差。项目区内景观的控制性组分是荒漠植被，由于面积偏小，物种较少，尚达不到作为种群源及物种流动的生物廊道要求。此外，作为开放系统的景观，需要不断地与周边环境进行物质能量和物种的交换，才能不断增强景观系统的阻抗和恢复能力。本项目区域内的各种节点，还没有达到自我调节和控制周围环境质量的能力，对外界干扰的抗性差，系统极其脆弱，因此，从该方面来说，本项目区荒漠景观的稳定性较低。</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本项目将建设</w:t>
      </w:r>
      <w:r>
        <w:rPr>
          <w:rFonts w:hint="eastAsia" w:cs="Times New Roman"/>
          <w:color w:val="auto"/>
          <w:sz w:val="24"/>
          <w:szCs w:val="24"/>
          <w:lang w:eastAsia="zh-CN"/>
        </w:rPr>
        <w:t>5.9k</w:t>
      </w:r>
      <w:r>
        <w:rPr>
          <w:rFonts w:hint="default" w:ascii="Times New Roman" w:hAnsi="Times New Roman" w:cs="Times New Roman"/>
          <w:color w:val="auto"/>
          <w:sz w:val="24"/>
          <w:szCs w:val="24"/>
        </w:rPr>
        <w:t>m的集输管线，管线在设计选线时尽量避开植被长势良好、茂密的区域，同时要求严格控制作业范围，根据管径的大小尽可能少占地。管线施工完成后会造成一定的生境切割现象，但管线敷设均为临时占地，在施工完成后需及时对临时占地进行恢复，为防止区域水土流失，可在管道覆土上方设置草方格防风固沙、涵养水分。因此集输管线敷设引发的生境切割现象为暂时性影响，随着区域植被的恢复或人工防风固沙措施的实施而恢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本项目开发过程中永久性占地面积为</w:t>
      </w:r>
      <w:r>
        <w:rPr>
          <w:rFonts w:hint="eastAsia" w:cs="Times New Roman"/>
          <w:color w:val="auto"/>
          <w:sz w:val="24"/>
          <w:szCs w:val="24"/>
          <w:lang w:eastAsia="zh-CN"/>
        </w:rPr>
        <w:t>5154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，原地表被永久性构筑物占用，由荒漠生态景观变为人工景观。也就是说，区域内作为基质组成部分的荒漠生态景观中减少了</w:t>
      </w:r>
      <w:r>
        <w:rPr>
          <w:rFonts w:hint="eastAsia" w:cs="Times New Roman"/>
          <w:color w:val="auto"/>
          <w:sz w:val="24"/>
          <w:szCs w:val="24"/>
          <w:lang w:eastAsia="zh-CN"/>
        </w:rPr>
        <w:t>5154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。对于整个油田开发区来讲，占原有荒漠生态景观的比例极小，同时还增加了局部区域的异质性。</w:t>
      </w:r>
    </w:p>
    <w:bookmarkEnd w:id="302"/>
    <w:p>
      <w:pPr>
        <w:pStyle w:val="90"/>
        <w:spacing w:line="360" w:lineRule="auto"/>
        <w:rPr>
          <w:rFonts w:hint="default" w:ascii="Times New Roman" w:hAnsi="Times New Roman" w:eastAsia="宋体" w:cs="Times New Roman"/>
          <w:b/>
          <w:bCs/>
          <w:color w:val="auto"/>
          <w:kern w:val="2"/>
          <w:sz w:val="28"/>
          <w:szCs w:val="28"/>
        </w:rPr>
      </w:pPr>
      <w:r>
        <w:rPr>
          <w:rFonts w:hint="default" w:ascii="Times New Roman" w:hAnsi="Times New Roman" w:eastAsia="宋体" w:cs="Times New Roman"/>
          <w:b/>
          <w:bCs/>
          <w:color w:val="auto"/>
          <w:kern w:val="2"/>
          <w:sz w:val="28"/>
          <w:szCs w:val="28"/>
        </w:rPr>
        <w:t>5.7.2.5生态系统结构、功能完整性和生物多样性</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开发区的基质为单一荒漠生态景观。荒漠生态景观的稳定性较差，异质化程度低，生态体系的稳定性和抵御干扰的柔韧性较差。在油田开发如井场、管线等的建设中，新设施的增加及永久性构筑物的作用，在一定程度上会增加区域的异质性。区域的异质性越大，抵抗外界干扰的能力就越大。因而油田开发建设不会改变区域内景观生态的稳定性及完整性。</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项目区域生态系统偏离自然状况的程度，将生态系统完整性状况划分为5个等级，分别是高、好、适度、差和恶化。“高”的生态系统完整性状态是完全或者计划全部与没有受到干扰的参考点情况一致。“好”的生态系统完整性有着重要的但是轻微偏离没有受到干扰的状态。在“适度”的生态系统完整性层次，所有的标准都表现出较强的偏离没有受到干扰的状态。“差”的生态系统完整性则受到很强的偏离，而“恶化”则是极度偏离。项目区域生态系统完整性等级见表5.7-4。</w:t>
      </w:r>
    </w:p>
    <w:p>
      <w:pPr>
        <w:pStyle w:val="48"/>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表5.7-4  本项目区域生态环境完整性等级表</w:t>
      </w:r>
    </w:p>
    <w:tbl>
      <w:tblPr>
        <w:tblStyle w:val="31"/>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5"/>
        <w:gridCol w:w="1394"/>
        <w:gridCol w:w="1184"/>
        <w:gridCol w:w="1093"/>
        <w:gridCol w:w="1273"/>
        <w:gridCol w:w="886"/>
        <w:gridCol w:w="1310"/>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blHeader/>
          <w:jc w:val="center"/>
        </w:trPr>
        <w:tc>
          <w:tcPr>
            <w:tcW w:w="2029" w:type="dxa"/>
            <w:gridSpan w:val="2"/>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标准</w:t>
            </w:r>
          </w:p>
        </w:tc>
        <w:tc>
          <w:tcPr>
            <w:tcW w:w="6389" w:type="dxa"/>
            <w:gridSpan w:val="6"/>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生态系统完整性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blHeader/>
          <w:jc w:val="center"/>
        </w:trPr>
        <w:tc>
          <w:tcPr>
            <w:tcW w:w="2029" w:type="dxa"/>
            <w:gridSpan w:val="2"/>
            <w:vMerge w:val="continue"/>
            <w:vAlign w:val="center"/>
          </w:tcPr>
          <w:p>
            <w:pPr>
              <w:pStyle w:val="48"/>
              <w:spacing w:line="240" w:lineRule="auto"/>
              <w:rPr>
                <w:rFonts w:hint="default" w:ascii="Times New Roman" w:hAnsi="Times New Roman" w:eastAsia="宋体" w:cs="Times New Roman"/>
                <w:b w:val="0"/>
                <w:bCs w:val="0"/>
                <w:color w:val="auto"/>
              </w:rPr>
            </w:pP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高</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好</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适度</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差</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恶化</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项目区域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指示物种</w:t>
            </w: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指示种</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没有或几乎没有指示植物死亡</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一般草本植物死亡</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大量草本和少量灌木死亡</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大量灌木死亡</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大量乔木树种开始死亡</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物种结构</w:t>
            </w:r>
          </w:p>
        </w:tc>
        <w:tc>
          <w:tcPr>
            <w:tcW w:w="1184"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没有或几乎没有</w:t>
            </w:r>
          </w:p>
        </w:tc>
        <w:tc>
          <w:tcPr>
            <w:tcW w:w="109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轻微变化</w:t>
            </w:r>
          </w:p>
        </w:tc>
        <w:tc>
          <w:tcPr>
            <w:tcW w:w="127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重大变化</w:t>
            </w:r>
          </w:p>
        </w:tc>
        <w:tc>
          <w:tcPr>
            <w:tcW w:w="886"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剧烈变化</w:t>
            </w:r>
          </w:p>
        </w:tc>
        <w:tc>
          <w:tcPr>
            <w:tcW w:w="1310"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过度变化</w:t>
            </w:r>
          </w:p>
        </w:tc>
        <w:tc>
          <w:tcPr>
            <w:tcW w:w="64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生物量和密度</w:t>
            </w:r>
          </w:p>
        </w:tc>
        <w:tc>
          <w:tcPr>
            <w:tcW w:w="1184"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093"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273"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886"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10"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643" w:type="dxa"/>
            <w:vMerge w:val="continue"/>
            <w:vAlign w:val="center"/>
          </w:tcPr>
          <w:p>
            <w:pPr>
              <w:pStyle w:val="48"/>
              <w:spacing w:line="240" w:lineRule="auto"/>
              <w:rPr>
                <w:rFonts w:hint="default" w:ascii="Times New Roman" w:hAnsi="Times New Roman" w:eastAsia="宋体" w:cs="Times New Roman"/>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压力</w:t>
            </w: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气候干旱程度</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较湿润</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适中</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较干旱</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很干旱</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干旱加剧</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地下水位/水质</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&lt;1.5m/很好</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1.5—3m/好</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3—5m/中</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5—9m/差</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9m/很差</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土壤盐分</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较低</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一般低</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较高</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高</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很高</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响应</w:t>
            </w: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生物个体响应</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生长很好</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能正常生长</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生长缓慢</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停止生长</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濒临死亡</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种群相对多度</w:t>
            </w:r>
          </w:p>
        </w:tc>
        <w:tc>
          <w:tcPr>
            <w:tcW w:w="1184"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没有或几乎没有变化</w:t>
            </w:r>
          </w:p>
        </w:tc>
        <w:tc>
          <w:tcPr>
            <w:tcW w:w="109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轻微变化</w:t>
            </w:r>
          </w:p>
        </w:tc>
        <w:tc>
          <w:tcPr>
            <w:tcW w:w="127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重大变化</w:t>
            </w:r>
          </w:p>
        </w:tc>
        <w:tc>
          <w:tcPr>
            <w:tcW w:w="886"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剧烈变化</w:t>
            </w:r>
          </w:p>
        </w:tc>
        <w:tc>
          <w:tcPr>
            <w:tcW w:w="1310"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过度变化</w:t>
            </w:r>
          </w:p>
        </w:tc>
        <w:tc>
          <w:tcPr>
            <w:tcW w:w="64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物种多样性</w:t>
            </w:r>
          </w:p>
        </w:tc>
        <w:tc>
          <w:tcPr>
            <w:tcW w:w="1184"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093"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273"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886"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10"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643" w:type="dxa"/>
            <w:vMerge w:val="continue"/>
            <w:vAlign w:val="center"/>
          </w:tcPr>
          <w:p>
            <w:pPr>
              <w:pStyle w:val="48"/>
              <w:spacing w:line="240" w:lineRule="auto"/>
              <w:rPr>
                <w:rFonts w:hint="default" w:ascii="Times New Roman" w:hAnsi="Times New Roman" w:eastAsia="宋体" w:cs="Times New Roman"/>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结构</w:t>
            </w: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种群结构</w:t>
            </w:r>
          </w:p>
        </w:tc>
        <w:tc>
          <w:tcPr>
            <w:tcW w:w="1184"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没有或几乎没有变化</w:t>
            </w:r>
          </w:p>
        </w:tc>
        <w:tc>
          <w:tcPr>
            <w:tcW w:w="109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轻微变化</w:t>
            </w:r>
          </w:p>
        </w:tc>
        <w:tc>
          <w:tcPr>
            <w:tcW w:w="127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重大变化</w:t>
            </w:r>
          </w:p>
        </w:tc>
        <w:tc>
          <w:tcPr>
            <w:tcW w:w="886"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剧烈变化</w:t>
            </w:r>
          </w:p>
        </w:tc>
        <w:tc>
          <w:tcPr>
            <w:tcW w:w="1310"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过度变化</w:t>
            </w:r>
          </w:p>
        </w:tc>
        <w:tc>
          <w:tcPr>
            <w:tcW w:w="643"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土壤状况</w:t>
            </w:r>
          </w:p>
        </w:tc>
        <w:tc>
          <w:tcPr>
            <w:tcW w:w="1184"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093"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273"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886"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10"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643" w:type="dxa"/>
            <w:vMerge w:val="continue"/>
            <w:vAlign w:val="center"/>
          </w:tcPr>
          <w:p>
            <w:pPr>
              <w:pStyle w:val="48"/>
              <w:spacing w:line="240" w:lineRule="auto"/>
              <w:rPr>
                <w:rFonts w:hint="default" w:ascii="Times New Roman" w:hAnsi="Times New Roman" w:eastAsia="宋体" w:cs="Times New Roman"/>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空间异质性/斑块大小/破碎度</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没有或几乎没有变化</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轻微变化</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重大变化</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剧烈变化</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过度变化</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restart"/>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功能</w:t>
            </w: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种群适应性</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好</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好</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一般</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较差</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很差</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种群生物量</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大量增加</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有所增加</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不变</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减少</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急剧减少</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群落演替</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正向演替</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正向演替</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演替方向不明显</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逆向演替</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被新的群落所替代</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对小尺度干扰</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没有或几乎没有变化</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轻微变化</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重大变化</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剧烈变化</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过度变化</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斑块连续性</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很好</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较好</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一般</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较差</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很差</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Merge w:val="continue"/>
            <w:vAlign w:val="center"/>
          </w:tcPr>
          <w:p>
            <w:pPr>
              <w:pStyle w:val="48"/>
              <w:spacing w:line="240" w:lineRule="auto"/>
              <w:rPr>
                <w:rFonts w:hint="default" w:ascii="Times New Roman" w:hAnsi="Times New Roman" w:eastAsia="宋体" w:cs="Times New Roman"/>
                <w:b w:val="0"/>
                <w:bCs w:val="0"/>
                <w:color w:val="auto"/>
              </w:rPr>
            </w:pP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营养循环速率</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很大</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较大</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一般</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较小</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很小</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35"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组成</w:t>
            </w:r>
          </w:p>
        </w:tc>
        <w:tc>
          <w:tcPr>
            <w:tcW w:w="139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丰度/频度/重要性/生物量/密度</w:t>
            </w:r>
          </w:p>
        </w:tc>
        <w:tc>
          <w:tcPr>
            <w:tcW w:w="1184"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没有或几乎没有变化</w:t>
            </w:r>
          </w:p>
        </w:tc>
        <w:tc>
          <w:tcPr>
            <w:tcW w:w="109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轻微变化</w:t>
            </w:r>
          </w:p>
        </w:tc>
        <w:tc>
          <w:tcPr>
            <w:tcW w:w="127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重大变化</w:t>
            </w:r>
          </w:p>
        </w:tc>
        <w:tc>
          <w:tcPr>
            <w:tcW w:w="886"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剧烈变化</w:t>
            </w:r>
          </w:p>
        </w:tc>
        <w:tc>
          <w:tcPr>
            <w:tcW w:w="1310"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过度变化</w:t>
            </w:r>
          </w:p>
        </w:tc>
        <w:tc>
          <w:tcPr>
            <w:tcW w:w="643" w:type="dxa"/>
            <w:vAlign w:val="center"/>
          </w:tcPr>
          <w:p>
            <w:pPr>
              <w:pStyle w:val="48"/>
              <w:spacing w:line="240" w:lineRule="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好</w:t>
            </w:r>
          </w:p>
        </w:tc>
      </w:tr>
    </w:tbl>
    <w:p>
      <w:pPr>
        <w:pStyle w:val="56"/>
        <w:spacing w:line="360" w:lineRule="auto"/>
        <w:rPr>
          <w:rFonts w:hint="default" w:ascii="宋体" w:hAnsi="宋体" w:eastAsia="宋体" w:cs="宋体"/>
          <w:bCs w:val="0"/>
          <w:color w:val="auto"/>
          <w:kern w:val="0"/>
          <w:sz w:val="24"/>
          <w:szCs w:val="24"/>
          <w:lang w:val="en-US" w:eastAsia="zh-CN" w:bidi="ar"/>
        </w:rPr>
      </w:pPr>
      <w:r>
        <w:rPr>
          <w:rFonts w:hint="default" w:ascii="宋体" w:hAnsi="宋体" w:eastAsia="宋体" w:cs="宋体"/>
          <w:bCs w:val="0"/>
          <w:color w:val="auto"/>
          <w:kern w:val="0"/>
          <w:sz w:val="24"/>
          <w:szCs w:val="24"/>
          <w:lang w:val="en-US" w:eastAsia="zh-CN" w:bidi="ar"/>
        </w:rPr>
        <w:t>从上表可以看出，项目评价区域生态完整性受本项目的影响较小。项目区生态完整性变化主要受区域自然环境变化影响。油田开发加大了评价区人为干扰的力度，同时也加剧局部区域由自然荒漠生态系统向人工生态系统演替的趋势。</w:t>
      </w:r>
    </w:p>
    <w:p>
      <w:pPr>
        <w:pStyle w:val="56"/>
        <w:spacing w:line="360" w:lineRule="auto"/>
        <w:rPr>
          <w:rFonts w:hint="default" w:ascii="宋体" w:hAnsi="宋体" w:eastAsia="宋体" w:cs="宋体"/>
          <w:bCs w:val="0"/>
          <w:color w:val="auto"/>
          <w:kern w:val="0"/>
          <w:sz w:val="24"/>
          <w:szCs w:val="24"/>
          <w:lang w:val="en-US" w:eastAsia="zh-CN" w:bidi="ar"/>
        </w:rPr>
      </w:pPr>
      <w:r>
        <w:rPr>
          <w:rFonts w:hint="default" w:ascii="宋体" w:hAnsi="宋体" w:eastAsia="宋体" w:cs="宋体"/>
          <w:bCs w:val="0"/>
          <w:color w:val="auto"/>
          <w:kern w:val="0"/>
          <w:sz w:val="24"/>
          <w:szCs w:val="24"/>
          <w:lang w:val="en-US" w:eastAsia="zh-CN" w:bidi="ar"/>
        </w:rPr>
        <w:t>本项目建设区域内无自然保护区、风景名胜区、基本农田等生态环境敏感目标，本项目占地面</w:t>
      </w:r>
      <w:r>
        <w:rPr>
          <w:rFonts w:hint="default" w:ascii="Times New Roman" w:hAnsi="Times New Roman" w:eastAsia="宋体" w:cs="Times New Roman"/>
          <w:bCs w:val="0"/>
          <w:color w:val="auto"/>
          <w:kern w:val="0"/>
          <w:sz w:val="24"/>
          <w:szCs w:val="24"/>
          <w:lang w:val="en-US" w:eastAsia="zh-CN" w:bidi="ar"/>
        </w:rPr>
        <w:t>积</w:t>
      </w:r>
      <w:r>
        <w:rPr>
          <w:rFonts w:hint="default" w:ascii="Times New Roman" w:hAnsi="Times New Roman" w:cs="Times New Roman"/>
          <w:bCs w:val="0"/>
          <w:color w:val="auto"/>
          <w:kern w:val="0"/>
          <w:sz w:val="24"/>
          <w:szCs w:val="24"/>
          <w:lang w:val="en-US" w:eastAsia="zh-CN" w:bidi="ar"/>
        </w:rPr>
        <w:t>97200</w:t>
      </w:r>
      <w:r>
        <w:rPr>
          <w:rFonts w:hint="default" w:ascii="Times New Roman" w:hAnsi="Times New Roman" w:eastAsia="宋体" w:cs="Times New Roman"/>
          <w:bCs w:val="0"/>
          <w:color w:val="auto"/>
          <w:kern w:val="0"/>
          <w:sz w:val="24"/>
          <w:szCs w:val="24"/>
          <w:lang w:val="en-US" w:eastAsia="zh-CN" w:bidi="ar"/>
        </w:rPr>
        <w:t>m</w:t>
      </w:r>
      <w:r>
        <w:rPr>
          <w:rFonts w:hint="default" w:ascii="Times New Roman" w:hAnsi="Times New Roman" w:eastAsia="宋体" w:cs="Times New Roman"/>
          <w:bCs w:val="0"/>
          <w:color w:val="auto"/>
          <w:kern w:val="0"/>
          <w:sz w:val="24"/>
          <w:szCs w:val="24"/>
          <w:vertAlign w:val="superscript"/>
          <w:lang w:val="en-US" w:eastAsia="zh-CN" w:bidi="ar"/>
        </w:rPr>
        <w:t>2</w:t>
      </w:r>
      <w:r>
        <w:rPr>
          <w:rFonts w:hint="default" w:ascii="Times New Roman" w:hAnsi="Times New Roman" w:eastAsia="宋体" w:cs="Times New Roman"/>
          <w:bCs w:val="0"/>
          <w:color w:val="auto"/>
          <w:kern w:val="0"/>
          <w:sz w:val="24"/>
          <w:szCs w:val="24"/>
          <w:lang w:val="en-US" w:eastAsia="zh-CN" w:bidi="ar"/>
        </w:rPr>
        <w:t>，其中永久占地面积</w:t>
      </w:r>
      <w:r>
        <w:rPr>
          <w:rFonts w:hint="default" w:ascii="Times New Roman" w:hAnsi="Times New Roman" w:cs="Times New Roman"/>
          <w:bCs w:val="0"/>
          <w:color w:val="auto"/>
          <w:kern w:val="0"/>
          <w:sz w:val="24"/>
          <w:szCs w:val="24"/>
          <w:lang w:val="en-US" w:eastAsia="zh-CN" w:bidi="ar"/>
        </w:rPr>
        <w:t>5154</w:t>
      </w:r>
      <w:r>
        <w:rPr>
          <w:rFonts w:hint="default" w:ascii="Times New Roman" w:hAnsi="Times New Roman" w:eastAsia="宋体" w:cs="Times New Roman"/>
          <w:bCs w:val="0"/>
          <w:color w:val="auto"/>
          <w:kern w:val="0"/>
          <w:sz w:val="24"/>
          <w:szCs w:val="24"/>
          <w:lang w:val="en-US" w:eastAsia="zh-CN" w:bidi="ar"/>
        </w:rPr>
        <w:t>m</w:t>
      </w:r>
      <w:r>
        <w:rPr>
          <w:rFonts w:hint="default" w:ascii="Times New Roman" w:hAnsi="Times New Roman" w:eastAsia="宋体" w:cs="Times New Roman"/>
          <w:bCs w:val="0"/>
          <w:color w:val="auto"/>
          <w:kern w:val="0"/>
          <w:sz w:val="24"/>
          <w:szCs w:val="24"/>
          <w:vertAlign w:val="superscript"/>
          <w:lang w:val="en-US" w:eastAsia="zh-CN" w:bidi="ar"/>
        </w:rPr>
        <w:t>2</w:t>
      </w:r>
      <w:r>
        <w:rPr>
          <w:rFonts w:hint="default" w:ascii="Times New Roman" w:hAnsi="Times New Roman" w:eastAsia="宋体" w:cs="Times New Roman"/>
          <w:bCs w:val="0"/>
          <w:color w:val="auto"/>
          <w:kern w:val="0"/>
          <w:sz w:val="24"/>
          <w:szCs w:val="24"/>
          <w:lang w:val="en-US" w:eastAsia="zh-CN" w:bidi="ar"/>
        </w:rPr>
        <w:t>，临时占地面积</w:t>
      </w:r>
      <w:r>
        <w:rPr>
          <w:rFonts w:hint="default" w:ascii="Times New Roman" w:hAnsi="Times New Roman" w:cs="Times New Roman"/>
          <w:bCs w:val="0"/>
          <w:color w:val="auto"/>
          <w:kern w:val="0"/>
          <w:sz w:val="24"/>
          <w:szCs w:val="24"/>
          <w:lang w:val="en-US" w:eastAsia="zh-CN" w:bidi="ar"/>
        </w:rPr>
        <w:t>92046</w:t>
      </w:r>
      <w:r>
        <w:rPr>
          <w:rFonts w:hint="default" w:ascii="Times New Roman" w:hAnsi="Times New Roman" w:eastAsia="宋体" w:cs="Times New Roman"/>
          <w:bCs w:val="0"/>
          <w:color w:val="auto"/>
          <w:kern w:val="0"/>
          <w:sz w:val="24"/>
          <w:szCs w:val="24"/>
          <w:lang w:val="en-US" w:eastAsia="zh-CN" w:bidi="ar"/>
        </w:rPr>
        <w:t>m</w:t>
      </w:r>
      <w:r>
        <w:rPr>
          <w:rFonts w:hint="default" w:ascii="Times New Roman" w:hAnsi="Times New Roman" w:eastAsia="宋体" w:cs="Times New Roman"/>
          <w:bCs w:val="0"/>
          <w:color w:val="auto"/>
          <w:kern w:val="0"/>
          <w:sz w:val="24"/>
          <w:szCs w:val="24"/>
          <w:vertAlign w:val="superscript"/>
          <w:lang w:val="en-US" w:eastAsia="zh-CN" w:bidi="ar"/>
        </w:rPr>
        <w:t>2</w:t>
      </w:r>
      <w:r>
        <w:rPr>
          <w:rFonts w:hint="default" w:ascii="Times New Roman" w:hAnsi="Times New Roman" w:eastAsia="宋体" w:cs="Times New Roman"/>
          <w:bCs w:val="0"/>
          <w:color w:val="auto"/>
          <w:kern w:val="0"/>
          <w:sz w:val="24"/>
          <w:szCs w:val="24"/>
          <w:lang w:val="en-US" w:eastAsia="zh-CN" w:bidi="ar"/>
        </w:rPr>
        <w:t>，</w:t>
      </w:r>
      <w:r>
        <w:rPr>
          <w:rFonts w:hint="default" w:ascii="宋体" w:hAnsi="宋体" w:eastAsia="宋体" w:cs="宋体"/>
          <w:bCs w:val="0"/>
          <w:color w:val="auto"/>
          <w:kern w:val="0"/>
          <w:sz w:val="24"/>
          <w:szCs w:val="24"/>
          <w:lang w:val="en-US" w:eastAsia="zh-CN" w:bidi="ar"/>
        </w:rPr>
        <w:t>占地主要为荒漠，地表植被稀疏，由工程造成的生物量损失较小，不会造成区域的生物多样性下降。由于项目占地面积有限，区域生态系统仍保持开放、物质循环和能量流动。因此对于评价区生态系统的完整性影响较小，其生态稳定性及其结构与功能也不会受到明显影响。</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5.7.3运营期生态环境影响分析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rPr>
      </w:pPr>
      <w:r>
        <w:rPr>
          <w:rFonts w:hint="eastAsia" w:ascii="宋体" w:hAnsi="宋体" w:eastAsia="宋体" w:cs="宋体"/>
          <w:color w:val="auto"/>
          <w:kern w:val="0"/>
          <w:sz w:val="24"/>
          <w:szCs w:val="24"/>
          <w:lang w:val="en-US" w:eastAsia="zh-CN" w:bidi="ar"/>
        </w:rPr>
        <w:t>项目永久占地主要为井场和电力线路基座，占地面积为</w:t>
      </w:r>
      <w:r>
        <w:rPr>
          <w:rFonts w:hint="eastAsia" w:ascii="Times New Roman" w:hAnsi="Times New Roman" w:eastAsia="宋体" w:cs="Times New Roman"/>
          <w:color w:val="auto"/>
          <w:sz w:val="24"/>
          <w:szCs w:val="24"/>
          <w:lang w:eastAsia="zh-CN"/>
        </w:rPr>
        <w:t>5154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rPr>
        <w:t>临时占地正在进行自然恢复</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植被</w:t>
      </w:r>
      <w:r>
        <w:rPr>
          <w:rFonts w:hint="eastAsia" w:ascii="宋体" w:hAnsi="宋体" w:eastAsia="宋体" w:cs="宋体"/>
          <w:color w:val="auto"/>
          <w:kern w:val="0"/>
          <w:sz w:val="24"/>
          <w:szCs w:val="24"/>
          <w:lang w:val="en-US" w:eastAsia="zh-CN" w:bidi="ar"/>
        </w:rPr>
        <w:t>一般在</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年内开始发生向原生植被群落演替，并逐渐得到恢复。</w:t>
      </w:r>
      <w:r>
        <w:rPr>
          <w:rFonts w:hint="default" w:ascii="Times New Roman" w:hAnsi="Times New Roman" w:eastAsia="宋体" w:cs="Times New Roman"/>
          <w:color w:val="auto"/>
          <w:kern w:val="0"/>
          <w:sz w:val="24"/>
        </w:rPr>
        <w:t>施工人员撤离作业区域，人类活动和占地都将减少，野生动物对新环境适应后的活动和分布范围将恢复。油田生产运营期正常的巡检等活动也会对野生动物的生存及栖息造成影响，但是由于作业区加强对环境保护的宣传工作，员工的环保意识，特别是对野生动物的保护意识不断加强，对野生动物不会产生太大影响。</w:t>
      </w:r>
    </w:p>
    <w:p>
      <w:pPr>
        <w:pStyle w:val="3"/>
        <w:spacing w:before="10" w:after="10"/>
        <w:rPr>
          <w:rFonts w:hint="default" w:ascii="Times New Roman" w:hAnsi="Times New Roman" w:eastAsia="宋体" w:cs="Times New Roman"/>
          <w:color w:val="auto"/>
        </w:rPr>
      </w:pPr>
      <w:bookmarkStart w:id="303" w:name="_Toc30398"/>
      <w:bookmarkStart w:id="304" w:name="_Toc3559"/>
      <w:r>
        <w:rPr>
          <w:rFonts w:hint="default" w:ascii="Times New Roman" w:hAnsi="Times New Roman" w:eastAsia="宋体" w:cs="Times New Roman"/>
          <w:color w:val="auto"/>
        </w:rPr>
        <w:t>5.8水土流失影响分析</w:t>
      </w:r>
      <w:bookmarkEnd w:id="303"/>
      <w:bookmarkEnd w:id="304"/>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5.8.1水土流失成因分析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（1）侵蚀类型多样</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项目区侵蚀类型分为自然侵蚀和人为侵蚀两个方面。自然侵蚀主要为风力侵蚀，人为侵蚀，人为侵蚀主要是由于油田开发对原生地貌植被破坏而产生的新增侵蚀。</w:t>
      </w:r>
    </w:p>
    <w:p>
      <w:pPr>
        <w:pStyle w:val="56"/>
        <w:spacing w:line="360" w:lineRule="auto"/>
        <w:rPr>
          <w:rFonts w:hint="default" w:ascii="Times New Roman" w:hAnsi="Times New Roman" w:cs="Times New Roman"/>
          <w:color w:val="auto"/>
          <w:sz w:val="24"/>
          <w:szCs w:val="24"/>
        </w:rPr>
      </w:pPr>
      <w:r>
        <w:rPr>
          <w:rFonts w:cs="Times New Roman"/>
          <w:color w:val="auto"/>
          <w:sz w:val="24"/>
          <w:szCs w:val="24"/>
        </w:rPr>
        <w:t>由于地表状况、土壤抗蚀性能、植被类型和植被覆盖程度以及侵蚀营力作用强度与作用时间长短的差异性，导致土壤侵蚀程度、方式和类型的多样化</w:t>
      </w:r>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（2）侵蚀过程集中</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土壤侵蚀的变化因侵蚀类型不同而异。风力作用以春季和夏季最为强烈，这是因为大风天气多出现在此时，加之此时植被枯萎、土壤裸露、土质结构松散，易受风力侵蚀。</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（3）人为造成水土流失突出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人为开发建设活动扰动和破坏地表，使项目区新增水土流失量急剧增加，且防治难度大。造成该区域新增水土流失增加的原因主要是油田开采、修路等建设活动，这些活动不但使当地原生的生态环境遭到破坏，还加剧了水土流失，如不及时采取防治措施，对整个区域的生态环境构成危害。</w:t>
      </w:r>
    </w:p>
    <w:p>
      <w:pPr>
        <w:tabs>
          <w:tab w:val="left" w:pos="3465"/>
        </w:tabs>
        <w:spacing w:line="360" w:lineRule="auto"/>
        <w:outlineLvl w:val="2"/>
        <w:rPr>
          <w:rFonts w:hint="default" w:ascii="Times New Roman" w:hAnsi="Times New Roman" w:eastAsia="宋体" w:cs="Times New Roman"/>
          <w:b/>
          <w:color w:val="auto"/>
          <w:sz w:val="30"/>
          <w:szCs w:val="30"/>
        </w:rPr>
      </w:pPr>
      <w:bookmarkStart w:id="305" w:name="_Hlk102743655"/>
      <w:r>
        <w:rPr>
          <w:rFonts w:hint="default" w:ascii="Times New Roman" w:hAnsi="Times New Roman" w:eastAsia="宋体" w:cs="Times New Roman"/>
          <w:b/>
          <w:color w:val="auto"/>
          <w:sz w:val="30"/>
          <w:szCs w:val="30"/>
        </w:rPr>
        <w:t>5.8.2水土流失影响分析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工程建设对当地水土流失影响的方式包括扰动、损坏、开挖、破坏原地貌、地表土壤结构及植被。工程施工及占地呈线状分布，所造成的水土流失因管线所经过的区域不同而不同。施工期间，开挖管沟、土方排放、穿越工程临时占地、机械作业人员活动等都会加剧水土流失。油田开发过程中加剧水土流失的不良影响主要表现在以下几个方面。</w:t>
      </w:r>
    </w:p>
    <w:p>
      <w:pPr>
        <w:pStyle w:val="66"/>
        <w:rPr>
          <w:rFonts w:hint="default" w:ascii="Times New Roman" w:hAnsi="Times New Roman" w:cs="Times New Roman"/>
          <w:color w:val="auto"/>
        </w:rPr>
      </w:pPr>
      <w:r>
        <w:rPr>
          <w:rFonts w:hint="default" w:ascii="Times New Roman" w:hAnsi="Times New Roman" w:cs="Times New Roman"/>
          <w:color w:val="auto"/>
        </w:rPr>
        <w:t>5.8.2.1开发过程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开发车辆对地表的大面积碾压，使所经过地段的植被和地表结构遭到不同程度的破坏，使荒漠化的过程加剧。</w:t>
      </w:r>
    </w:p>
    <w:p>
      <w:pPr>
        <w:pStyle w:val="66"/>
        <w:rPr>
          <w:rFonts w:hint="default" w:ascii="Times New Roman" w:hAnsi="Times New Roman" w:cs="Times New Roman"/>
          <w:color w:val="auto"/>
        </w:rPr>
      </w:pPr>
      <w:r>
        <w:rPr>
          <w:rFonts w:hint="default" w:ascii="Times New Roman" w:hAnsi="Times New Roman" w:cs="Times New Roman"/>
          <w:color w:val="auto"/>
        </w:rPr>
        <w:t>5.8.2.2地面构筑物建设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地面构筑物建设中，最直接且易引起水土流失的是施工过程中使影响范围内的地表保护层变得松散，增加风蚀量。对于本项目油田的开发建设来讲，地面构筑物建设的内容主要包括井场、油气集输管线及配套工程等。临时占地范围内的土壤地表表层遭到破坏，下层的粉细物质暴露在地层表面，在风力的作用下，风蚀量会明显加大，这种影响在短时间内不会完全恢复。但随着时间的推移，风蚀量会随着地表新保护层的逐渐形成而减弱。</w:t>
      </w:r>
    </w:p>
    <w:p>
      <w:pPr>
        <w:pStyle w:val="66"/>
        <w:rPr>
          <w:rFonts w:hint="default" w:ascii="Times New Roman" w:hAnsi="Times New Roman" w:cs="Times New Roman"/>
          <w:color w:val="auto"/>
        </w:rPr>
      </w:pPr>
      <w:r>
        <w:rPr>
          <w:rFonts w:hint="default" w:ascii="Times New Roman" w:hAnsi="Times New Roman" w:cs="Times New Roman"/>
          <w:color w:val="auto"/>
        </w:rPr>
        <w:t>5.8.2.3管线建设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各种管道的敷设均采用明沟开挖方式，管沟开挖土方在管道一侧临时堆放，施工期内，管沟边堆起一道临时土垄，在大风状态下易发生风力侵蚀，即使在堆土回填后风蚀量会有所减少，但地表仍为疏松地带，需要一个较长的恢复阶段。</w:t>
      </w:r>
    </w:p>
    <w:p>
      <w:pPr>
        <w:pStyle w:val="6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5.8.2.4杆塔基建设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w:t>项目区</w:t>
      </w:r>
      <w:r>
        <w:rPr>
          <w:rFonts w:hint="eastAsia" w:ascii="Times New Roman" w:hAnsi="Times New Roman" w:cs="Times New Roman"/>
          <w:color w:val="auto"/>
          <w:sz w:val="24"/>
          <w:lang w:val="en-US" w:eastAsia="zh-CN"/>
        </w:rPr>
        <w:t>杆塔</w:t>
      </w:r>
      <w:r>
        <w:rPr>
          <w:rFonts w:hint="default" w:ascii="Times New Roman" w:hAnsi="Times New Roman" w:cs="Times New Roman"/>
          <w:color w:val="auto"/>
          <w:sz w:val="24"/>
        </w:rPr>
        <w:t>塔基等工程实施中，会使施工带范围内的土体结构遭到破坏，其范围内的植被也会受到严重破坏甚至被彻底清除，导致风沙作用加剧</w:t>
      </w:r>
      <w:r>
        <w:rPr>
          <w:rFonts w:hint="eastAsia" w:ascii="Times New Roman" w:hAnsi="Times New Roman" w:cs="Times New Roman"/>
          <w:color w:val="auto"/>
          <w:sz w:val="24"/>
          <w:lang w:eastAsia="zh-CN"/>
        </w:rPr>
        <w:t>。</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5.8.3小结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项目区域水土流失类型主要为风力侵蚀，经查阅资料，项目区土壤侵蚀模数在3800t/（km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·a）左右。在地面工程建设过程中，荒漠地区临时占地面积为</w:t>
      </w:r>
      <w:r>
        <w:rPr>
          <w:rFonts w:hint="eastAsia" w:cs="Times New Roman"/>
          <w:color w:val="auto"/>
          <w:sz w:val="24"/>
          <w:szCs w:val="24"/>
          <w:lang w:val="en-US" w:eastAsia="zh-CN"/>
        </w:rPr>
        <w:t>92046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，地面被扰动后失去地表保护层，下层的细小物质成为风蚀的主要对象，所造成的水土流失量为</w:t>
      </w:r>
      <w:r>
        <w:rPr>
          <w:rFonts w:hint="eastAsia" w:cs="Times New Roman"/>
          <w:color w:val="auto"/>
          <w:sz w:val="24"/>
          <w:szCs w:val="24"/>
          <w:lang w:val="en-US" w:eastAsia="zh-CN"/>
        </w:rPr>
        <w:t>349.8</w:t>
      </w:r>
      <w:r>
        <w:rPr>
          <w:rFonts w:hint="default" w:ascii="Times New Roman" w:hAnsi="Times New Roman" w:cs="Times New Roman"/>
          <w:color w:val="auto"/>
          <w:sz w:val="24"/>
          <w:szCs w:val="24"/>
        </w:rPr>
        <w:t>t/a。随着细土物质不断被吹蚀，以后每年可吹物质减少，风蚀量将逐年降低，直到地表重新形成新的保护层后才能消失。</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建设单位在采取</w:t>
      </w:r>
      <w:r>
        <w:rPr>
          <w:rFonts w:hint="default" w:ascii="Times New Roman" w:hAnsi="Times New Roman" w:cs="Times New Roman"/>
          <w:color w:val="auto"/>
          <w:sz w:val="24"/>
          <w:szCs w:val="24"/>
          <w:lang w:val="en-US" w:eastAsia="zh-CN"/>
        </w:rPr>
        <w:t>报告书提出的</w:t>
      </w:r>
      <w:r>
        <w:rPr>
          <w:rFonts w:hint="default" w:ascii="Times New Roman" w:hAnsi="Times New Roman" w:cs="Times New Roman"/>
          <w:color w:val="auto"/>
          <w:sz w:val="24"/>
          <w:szCs w:val="24"/>
        </w:rPr>
        <w:t>水土保持措施后，对防止荒漠化促进生态环境的恢复起到了良好的作用，可将水土流失的程度降低到最低限度。</w:t>
      </w:r>
    </w:p>
    <w:p>
      <w:pPr>
        <w:pStyle w:val="3"/>
        <w:spacing w:before="10" w:after="10"/>
        <w:rPr>
          <w:rFonts w:hint="default" w:ascii="Times New Roman" w:hAnsi="Times New Roman" w:eastAsia="宋体" w:cs="Times New Roman"/>
          <w:color w:val="auto"/>
        </w:rPr>
      </w:pPr>
      <w:bookmarkStart w:id="306" w:name="_Toc29228"/>
      <w:bookmarkStart w:id="307" w:name="_Toc667"/>
      <w:r>
        <w:rPr>
          <w:rFonts w:hint="default" w:ascii="Times New Roman" w:hAnsi="Times New Roman" w:eastAsia="宋体" w:cs="Times New Roman"/>
          <w:color w:val="auto"/>
        </w:rPr>
        <w:t>5.9土地沙化影响分析</w:t>
      </w:r>
      <w:bookmarkEnd w:id="306"/>
      <w:bookmarkEnd w:id="307"/>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地面建设工程实施中，会使施工带范围内的土体结构遭到破坏，其范围内的植被也会受到严重破坏甚至被彻底清除，导致风沙作用加剧，因此大规模的石油开发可能促使生态环境进一步恶化。其影响主要表现在以下施工期和运营期两个方面。</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（1）土壤粗粒化</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在土壤沙化过程中，当风力作用地表产生风蚀时，便产生</w:t>
      </w:r>
      <w:r>
        <w:rPr>
          <w:rFonts w:hint="eastAsia" w:cs="Times New Roman"/>
          <w:color w:val="auto"/>
          <w:sz w:val="24"/>
          <w:szCs w:val="24"/>
          <w:lang w:eastAsia="zh-CN"/>
        </w:rPr>
        <w:t>风蚀</w:t>
      </w:r>
      <w:r>
        <w:rPr>
          <w:rFonts w:hint="default" w:ascii="Times New Roman" w:hAnsi="Times New Roman" w:cs="Times New Roman"/>
          <w:color w:val="auto"/>
          <w:sz w:val="24"/>
          <w:szCs w:val="24"/>
        </w:rPr>
        <w:t xml:space="preserve">作用，细粒物质被带走，粗粒物质大部分原地保留下来，从而使土壤颗粒变粗，将未沙化的原始土壤和“就地起沙”形成的风沙土颗粒粒级加以比较，沙化后的风沙土较之原始土壤粗砂和细砂粒显著增加，而粉砂和粘粒粒级减少。 </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（2）土壤贫瘠及含盐量变化 </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沙化增强，盐分含量降低。</w:t>
      </w:r>
    </w:p>
    <w:p>
      <w:pPr>
        <w:pStyle w:val="56"/>
        <w:spacing w:line="360" w:lineRule="auto"/>
        <w:rPr>
          <w:rFonts w:cs="Times New Roman"/>
          <w:color w:val="auto"/>
          <w:sz w:val="24"/>
          <w:szCs w:val="24"/>
        </w:rPr>
      </w:pPr>
      <w:r>
        <w:rPr>
          <w:rFonts w:cs="Times New Roman"/>
          <w:color w:val="auto"/>
          <w:sz w:val="24"/>
          <w:szCs w:val="24"/>
        </w:rPr>
        <w:t>（3）对</w:t>
      </w:r>
      <w:r>
        <w:rPr>
          <w:rFonts w:cs="Times New Roman"/>
          <w:color w:val="auto"/>
          <w:sz w:val="24"/>
          <w:szCs w:val="24"/>
          <w:lang w:val="en-US" w:eastAsia="zh-CN"/>
        </w:rPr>
        <w:t>区域沙化土地的影响分析</w:t>
      </w:r>
    </w:p>
    <w:p>
      <w:pPr>
        <w:pStyle w:val="56"/>
        <w:spacing w:line="360" w:lineRule="auto"/>
        <w:rPr>
          <w:rFonts w:cs="Times New Roman"/>
          <w:color w:val="auto"/>
          <w:sz w:val="24"/>
          <w:szCs w:val="24"/>
        </w:rPr>
      </w:pPr>
      <w:r>
        <w:rPr>
          <w:rFonts w:hint="eastAsia" w:cs="Times New Roman"/>
          <w:color w:val="auto"/>
          <w:sz w:val="24"/>
          <w:szCs w:val="24"/>
          <w:lang w:val="en-US" w:eastAsia="zh-CN"/>
        </w:rPr>
        <w:t>本项目位于古尔班通古特沙漠腹地，施工期井场、集输管线、架空线路等地面工程的建设过程中将会破坏项目占地范围内的土壤表层稳定砾幕和地表荒漠植被，项目所在区域具有多风、降水量偏低等气候特征，地表稳定结皮被破坏后，在大风天气条件下，项目施工会使占地范围内的土地就地起沙，局部形成沙化土地。</w:t>
      </w:r>
    </w:p>
    <w:p>
      <w:pPr>
        <w:pStyle w:val="56"/>
        <w:spacing w:line="360" w:lineRule="auto"/>
        <w:rPr>
          <w:rFonts w:hint="default" w:ascii="Times New Roman" w:hAnsi="Times New Roman" w:cs="Times New Roman"/>
          <w:color w:val="auto"/>
          <w:sz w:val="24"/>
          <w:szCs w:val="24"/>
        </w:rPr>
      </w:pPr>
      <w:r>
        <w:rPr>
          <w:rFonts w:hint="eastAsia" w:cs="Times New Roman"/>
          <w:color w:val="auto"/>
          <w:sz w:val="24"/>
          <w:szCs w:val="24"/>
          <w:lang w:val="en-US" w:eastAsia="zh-CN"/>
        </w:rPr>
        <w:t>但是由于项目占地范围较小，施工结束后对永久占地进行地面硬化，以减少风蚀量，对临时占地范围内场地进行平整和清理，尽量利用井场施工时产生的表层弃土对临时占地进行覆盖，采用自然恢复的方式对区域植被进行恢复。综上所述，本项目对项目所在区域土地沙化影响不大。</w:t>
      </w:r>
    </w:p>
    <w:bookmarkEnd w:id="305"/>
    <w:p>
      <w:pPr>
        <w:pStyle w:val="3"/>
        <w:spacing w:before="10" w:after="10"/>
        <w:rPr>
          <w:rFonts w:hint="default" w:ascii="Times New Roman" w:hAnsi="Times New Roman" w:eastAsia="宋体" w:cs="Times New Roman"/>
          <w:color w:val="auto"/>
        </w:rPr>
      </w:pPr>
      <w:bookmarkStart w:id="308" w:name="_Toc44088085"/>
      <w:bookmarkStart w:id="309" w:name="_Toc29842"/>
      <w:bookmarkStart w:id="310" w:name="_Toc12917"/>
      <w:bookmarkStart w:id="311" w:name="_Hlk41320544"/>
      <w:r>
        <w:rPr>
          <w:rFonts w:hint="default" w:ascii="Times New Roman" w:hAnsi="Times New Roman" w:eastAsia="宋体" w:cs="Times New Roman"/>
          <w:color w:val="auto"/>
        </w:rPr>
        <w:t>5.10运输过程影响分析</w:t>
      </w:r>
      <w:bookmarkEnd w:id="308"/>
      <w:bookmarkEnd w:id="309"/>
      <w:bookmarkEnd w:id="310"/>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5.10.1扬尘影响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车辆行驶产生的扬尘，在完全干燥的情况，可按以下经验公式计算：</w:t>
      </w:r>
    </w:p>
    <w:p>
      <w:pPr>
        <w:pStyle w:val="56"/>
        <w:spacing w:line="360" w:lineRule="auto"/>
        <w:ind w:firstLine="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object>
          <v:shape id="_x0000_i1032" o:spt="75" type="#_x0000_t75" style="height:37.5pt;width:151.5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50">
            <o:LockedField>false</o:LockedField>
          </o:OLEObject>
        </w:object>
      </w:r>
    </w:p>
    <w:p>
      <w:pPr>
        <w:pStyle w:val="56"/>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式中：Q—汽车行驶的扬尘量，kg/km·辆；</w:t>
      </w:r>
    </w:p>
    <w:p>
      <w:pPr>
        <w:pStyle w:val="56"/>
        <w:spacing w:line="360" w:lineRule="auto"/>
        <w:ind w:firstLine="1200" w:firstLineChars="5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V—汽车速度，km/h；</w:t>
      </w:r>
    </w:p>
    <w:p>
      <w:pPr>
        <w:pStyle w:val="56"/>
        <w:spacing w:line="360" w:lineRule="auto"/>
        <w:ind w:firstLine="1200" w:firstLineChars="5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W—汽车载重量，吨；</w:t>
      </w:r>
    </w:p>
    <w:p>
      <w:pPr>
        <w:pStyle w:val="56"/>
        <w:spacing w:line="360" w:lineRule="auto"/>
        <w:ind w:firstLine="1200" w:firstLineChars="5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P—道路表面粉尘量，kg/m</w:t>
      </w:r>
      <w:r>
        <w:rPr>
          <w:rFonts w:hint="default" w:ascii="Times New Roman" w:hAnsi="Times New Roman" w:cs="Times New Roman"/>
          <w:color w:val="auto"/>
          <w:kern w:val="0"/>
          <w:sz w:val="24"/>
          <w:szCs w:val="24"/>
          <w:vertAlign w:val="superscript"/>
        </w:rPr>
        <w:t>2</w:t>
      </w:r>
      <w:r>
        <w:rPr>
          <w:rFonts w:hint="default" w:ascii="Times New Roman" w:hAnsi="Times New Roman" w:cs="Times New Roman"/>
          <w:color w:val="auto"/>
          <w:kern w:val="0"/>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表5.10-1为一辆10吨卡车，通过一段长为1km的路面时，不同路面清洁程度，不同行驶速度情况下的扬尘量。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从上面的公式以及表5.10-1可见，在同样的路面条件下，车速越快，扬尘量越大；在同样的车速情况下，路面越脏，扬尘量越大。</w:t>
      </w:r>
    </w:p>
    <w:p>
      <w:pPr>
        <w:snapToGrid w:val="0"/>
        <w:spacing w:line="360" w:lineRule="auto"/>
        <w:ind w:firstLine="482"/>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szCs w:val="28"/>
        </w:rPr>
        <w:t>表5.10-1  不同车速和地面清洁程度的汽车扬尘量</w:t>
      </w:r>
      <w:r>
        <w:rPr>
          <w:rFonts w:hint="default" w:ascii="Times New Roman" w:hAnsi="Times New Roman" w:eastAsia="宋体" w:cs="Times New Roman"/>
          <w:b/>
          <w:bCs/>
          <w:color w:val="auto"/>
          <w:kern w:val="0"/>
        </w:rPr>
        <w:t xml:space="preserve">   </w:t>
      </w:r>
      <w:r>
        <w:rPr>
          <w:rFonts w:hint="default" w:ascii="Times New Roman" w:hAnsi="Times New Roman" w:eastAsia="宋体" w:cs="Times New Roman"/>
          <w:b/>
          <w:bCs/>
          <w:color w:val="auto"/>
          <w:kern w:val="0"/>
          <w:szCs w:val="21"/>
        </w:rPr>
        <w:t>（单位：kg/km·辆）</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113"/>
        <w:gridCol w:w="1128"/>
        <w:gridCol w:w="1214"/>
        <w:gridCol w:w="1215"/>
        <w:gridCol w:w="1215"/>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519" w:type="dxa"/>
            <w:tcBorders>
              <w:tl2br w:val="single" w:color="auto" w:sz="4" w:space="0"/>
            </w:tcBorders>
            <w:vAlign w:val="center"/>
          </w:tcPr>
          <w:p>
            <w:pPr>
              <w:pStyle w:val="47"/>
              <w:jc w:val="right"/>
              <w:rPr>
                <w:rFonts w:hint="default" w:ascii="Times New Roman" w:hAnsi="Times New Roman" w:cs="Times New Roman"/>
                <w:b/>
                <w:bCs/>
                <w:color w:val="auto"/>
              </w:rPr>
            </w:pPr>
            <w:r>
              <w:rPr>
                <w:rFonts w:hint="default" w:ascii="Times New Roman" w:hAnsi="Times New Roman" w:cs="Times New Roman"/>
                <w:b/>
                <w:bCs/>
                <w:color w:val="auto"/>
              </w:rPr>
              <w:t>清洁</w:t>
            </w:r>
          </w:p>
          <w:p>
            <w:pPr>
              <w:pStyle w:val="47"/>
              <w:jc w:val="left"/>
              <w:rPr>
                <w:rFonts w:hint="default" w:ascii="Times New Roman" w:hAnsi="Times New Roman" w:cs="Times New Roman"/>
                <w:b/>
                <w:bCs/>
                <w:color w:val="auto"/>
              </w:rPr>
            </w:pPr>
            <w:r>
              <w:rPr>
                <w:rFonts w:hint="default" w:ascii="Times New Roman" w:hAnsi="Times New Roman" w:cs="Times New Roman"/>
                <w:b/>
                <w:bCs/>
                <w:color w:val="auto"/>
              </w:rPr>
              <w:t>车速</w:t>
            </w:r>
          </w:p>
        </w:tc>
        <w:tc>
          <w:tcPr>
            <w:tcW w:w="111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0.1</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12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0.2</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214"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0.3</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21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0.4</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21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0.5</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11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1.0</w:t>
            </w:r>
          </w:p>
          <w:p>
            <w:pPr>
              <w:pStyle w:val="47"/>
              <w:rPr>
                <w:rFonts w:hint="default" w:ascii="Times New Roman" w:hAnsi="Times New Roman" w:cs="Times New Roman"/>
                <w:b/>
                <w:bCs/>
                <w:color w:val="auto"/>
              </w:rPr>
            </w:pPr>
            <w:r>
              <w:rPr>
                <w:rFonts w:hint="default" w:ascii="Times New Roman" w:hAnsi="Times New Roman" w:cs="Times New Roman"/>
                <w:b/>
                <w:bCs/>
                <w:color w:val="auto"/>
              </w:rPr>
              <w:t>(kg/m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1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5(km/h)</w:t>
            </w:r>
          </w:p>
        </w:tc>
        <w:tc>
          <w:tcPr>
            <w:tcW w:w="11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0.0511</w:t>
            </w:r>
          </w:p>
        </w:tc>
        <w:tc>
          <w:tcPr>
            <w:tcW w:w="11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0.0859</w:t>
            </w:r>
          </w:p>
        </w:tc>
        <w:tc>
          <w:tcPr>
            <w:tcW w:w="12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0.1164</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0.1444</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0.1707</w:t>
            </w:r>
          </w:p>
        </w:tc>
        <w:tc>
          <w:tcPr>
            <w:tcW w:w="11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1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10(km/h)</w:t>
            </w:r>
          </w:p>
        </w:tc>
        <w:tc>
          <w:tcPr>
            <w:tcW w:w="11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0.1021</w:t>
            </w:r>
          </w:p>
        </w:tc>
        <w:tc>
          <w:tcPr>
            <w:tcW w:w="11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0.1717</w:t>
            </w:r>
          </w:p>
        </w:tc>
        <w:tc>
          <w:tcPr>
            <w:tcW w:w="12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0.2328</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0.2888</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0.3414</w:t>
            </w:r>
          </w:p>
        </w:tc>
        <w:tc>
          <w:tcPr>
            <w:tcW w:w="11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1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15(km/h)</w:t>
            </w:r>
          </w:p>
        </w:tc>
        <w:tc>
          <w:tcPr>
            <w:tcW w:w="11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0.1532</w:t>
            </w:r>
          </w:p>
        </w:tc>
        <w:tc>
          <w:tcPr>
            <w:tcW w:w="11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0.2576</w:t>
            </w:r>
          </w:p>
        </w:tc>
        <w:tc>
          <w:tcPr>
            <w:tcW w:w="12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0.3491</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0.4332</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0.5121</w:t>
            </w:r>
          </w:p>
        </w:tc>
        <w:tc>
          <w:tcPr>
            <w:tcW w:w="11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1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25(km/h)</w:t>
            </w:r>
          </w:p>
        </w:tc>
        <w:tc>
          <w:tcPr>
            <w:tcW w:w="111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0.2553</w:t>
            </w:r>
          </w:p>
        </w:tc>
        <w:tc>
          <w:tcPr>
            <w:tcW w:w="112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0.4293</w:t>
            </w:r>
          </w:p>
        </w:tc>
        <w:tc>
          <w:tcPr>
            <w:tcW w:w="1214"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0.5819</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0.7220</w:t>
            </w:r>
          </w:p>
        </w:tc>
        <w:tc>
          <w:tcPr>
            <w:tcW w:w="12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0.8536</w:t>
            </w:r>
          </w:p>
        </w:tc>
        <w:tc>
          <w:tcPr>
            <w:tcW w:w="11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1.4355</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若在施工期间对车辆行驶的路面实施洒水抑尘，每天洒水4～5次，可使扬尘减少70%左右。表5.10-2为施工场地洒水抑尘的实验结果，结果表明实施每天洒水4～5次进行抑尘，可有效地控制施工扬尘，可将TSP污染距离缩小到20～50m范围。</w:t>
      </w:r>
    </w:p>
    <w:p>
      <w:pPr>
        <w:pStyle w:val="48"/>
        <w:spacing w:line="360" w:lineRule="auto"/>
        <w:rPr>
          <w:rFonts w:hint="default" w:ascii="Times New Roman" w:hAnsi="Times New Roman" w:cs="Times New Roman"/>
          <w:color w:val="auto"/>
        </w:rPr>
      </w:pPr>
    </w:p>
    <w:p>
      <w:pPr>
        <w:pStyle w:val="48"/>
        <w:spacing w:line="360" w:lineRule="auto"/>
        <w:rPr>
          <w:rFonts w:hint="default" w:ascii="Times New Roman" w:hAnsi="Times New Roman" w:cs="Times New Roman"/>
          <w:color w:val="auto"/>
        </w:rPr>
      </w:pPr>
      <w:r>
        <w:rPr>
          <w:rFonts w:hint="default" w:ascii="Times New Roman" w:hAnsi="Times New Roman" w:cs="Times New Roman"/>
          <w:color w:val="auto"/>
        </w:rPr>
        <w:t>表5.10-2  施工场地洒水抑尘实验结果</w:t>
      </w:r>
    </w:p>
    <w:tbl>
      <w:tblPr>
        <w:tblStyle w:val="31"/>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987"/>
        <w:gridCol w:w="1415"/>
        <w:gridCol w:w="1418"/>
        <w:gridCol w:w="1418"/>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845" w:type="dxa"/>
            <w:gridSpan w:val="2"/>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距离（m）</w:t>
            </w:r>
          </w:p>
        </w:tc>
        <w:tc>
          <w:tcPr>
            <w:tcW w:w="1415"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5</w:t>
            </w:r>
          </w:p>
        </w:tc>
        <w:tc>
          <w:tcPr>
            <w:tcW w:w="141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20</w:t>
            </w:r>
          </w:p>
        </w:tc>
        <w:tc>
          <w:tcPr>
            <w:tcW w:w="1418"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50</w:t>
            </w:r>
          </w:p>
        </w:tc>
        <w:tc>
          <w:tcPr>
            <w:tcW w:w="1423" w:type="dxa"/>
            <w:vAlign w:val="center"/>
          </w:tcPr>
          <w:p>
            <w:pPr>
              <w:pStyle w:val="47"/>
              <w:rPr>
                <w:rFonts w:hint="default" w:ascii="Times New Roman" w:hAnsi="Times New Roman" w:cs="Times New Roman"/>
                <w:b/>
                <w:bCs/>
                <w:color w:val="auto"/>
              </w:rPr>
            </w:pPr>
            <w:r>
              <w:rPr>
                <w:rFonts w:hint="default" w:ascii="Times New Roman" w:hAnsi="Times New Roman" w:cs="Times New Roman"/>
                <w:b/>
                <w:bCs/>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58" w:type="dxa"/>
            <w:vMerge w:val="restart"/>
            <w:vAlign w:val="center"/>
          </w:tcPr>
          <w:p>
            <w:pPr>
              <w:pStyle w:val="47"/>
              <w:rPr>
                <w:rFonts w:hint="default" w:ascii="Times New Roman" w:hAnsi="Times New Roman" w:cs="Times New Roman"/>
                <w:color w:val="auto"/>
              </w:rPr>
            </w:pPr>
            <w:r>
              <w:rPr>
                <w:rFonts w:hint="default" w:ascii="Times New Roman" w:hAnsi="Times New Roman" w:cs="Times New Roman"/>
                <w:color w:val="auto"/>
              </w:rPr>
              <w:t>TSP小时平均浓度（mg/m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98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不洒水</w:t>
            </w:r>
          </w:p>
        </w:tc>
        <w:tc>
          <w:tcPr>
            <w:tcW w:w="14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10.14</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2.89</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1.15</w:t>
            </w:r>
          </w:p>
        </w:tc>
        <w:tc>
          <w:tcPr>
            <w:tcW w:w="142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58" w:type="dxa"/>
            <w:vMerge w:val="continue"/>
            <w:vAlign w:val="center"/>
          </w:tcPr>
          <w:p>
            <w:pPr>
              <w:pStyle w:val="47"/>
              <w:rPr>
                <w:rFonts w:hint="default" w:ascii="Times New Roman" w:hAnsi="Times New Roman" w:cs="Times New Roman"/>
                <w:color w:val="auto"/>
              </w:rPr>
            </w:pPr>
          </w:p>
        </w:tc>
        <w:tc>
          <w:tcPr>
            <w:tcW w:w="98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洒水</w:t>
            </w:r>
          </w:p>
        </w:tc>
        <w:tc>
          <w:tcPr>
            <w:tcW w:w="1415"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2.01</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1.40</w:t>
            </w:r>
          </w:p>
        </w:tc>
        <w:tc>
          <w:tcPr>
            <w:tcW w:w="1418"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0.67</w:t>
            </w:r>
          </w:p>
        </w:tc>
        <w:tc>
          <w:tcPr>
            <w:tcW w:w="142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0.60</w:t>
            </w:r>
          </w:p>
        </w:tc>
      </w:tr>
    </w:tbl>
    <w:p>
      <w:pPr>
        <w:pStyle w:val="56"/>
        <w:spacing w:line="360" w:lineRule="auto"/>
        <w:rPr>
          <w:rFonts w:hint="default" w:ascii="Times New Roman" w:hAnsi="Times New Roman" w:cs="Times New Roman"/>
          <w:color w:val="auto"/>
        </w:rPr>
      </w:pPr>
      <w:r>
        <w:rPr>
          <w:rFonts w:hint="default" w:ascii="Times New Roman" w:hAnsi="Times New Roman" w:cs="Times New Roman"/>
          <w:color w:val="auto"/>
          <w:sz w:val="24"/>
          <w:szCs w:val="24"/>
        </w:rPr>
        <w:t>综上，项目运输路线两侧无环境敏感点，只要控制车速，做到减速慢行，并定期洒水抑尘，保持路面清洁，运输车辆道路扬尘对环境空气影响总体较小。</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5.10.2噪声影响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输车噪声源约为85dB(A)，经计算在道路两侧无任何障碍的情况下，道路两侧6m以外的地方等效连续声级为69.4dB(A)，即在道路两侧6m以外的地方，交通噪声符合昼间交通干线两侧等效连续声级低于70dB（A）的要求，但超过夜间噪声标准55dB(A)；在距公路32m的地方，等效连续声级为54.9dB(A)，符合夜间交通干线两侧55.0dB（A）的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综上，运输路线两侧无环境敏感点，运输噪声对整体区域声环境的影响较小。</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5.10.3环境风险影响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要求运输过程中使用密闭运输罐车，在采取环评报告提出的风险防范措施的前提下，运输车运输过</w:t>
      </w:r>
      <w:r>
        <w:rPr>
          <w:rFonts w:hint="eastAsia" w:cs="Times New Roman"/>
          <w:color w:val="auto"/>
          <w:sz w:val="24"/>
          <w:szCs w:val="24"/>
          <w:lang w:eastAsia="zh-CN"/>
        </w:rPr>
        <w:t>程的</w:t>
      </w:r>
      <w:r>
        <w:rPr>
          <w:rFonts w:hint="default" w:ascii="Times New Roman" w:hAnsi="Times New Roman" w:cs="Times New Roman"/>
          <w:color w:val="auto"/>
          <w:sz w:val="24"/>
          <w:szCs w:val="24"/>
        </w:rPr>
        <w:t>风险影响很小。</w:t>
      </w:r>
    </w:p>
    <w:bookmarkEnd w:id="311"/>
    <w:p>
      <w:pPr>
        <w:pStyle w:val="2"/>
        <w:keepLines w:val="0"/>
        <w:pageBreakBefore/>
        <w:tabs>
          <w:tab w:val="center" w:pos="4252"/>
          <w:tab w:val="left" w:pos="6855"/>
        </w:tabs>
        <w:spacing w:beforeLines="100" w:afterLines="100"/>
        <w:ind w:left="431" w:hanging="431"/>
        <w:rPr>
          <w:rFonts w:hint="default" w:ascii="Times New Roman" w:hAnsi="Times New Roman" w:eastAsia="宋体" w:cs="Times New Roman"/>
          <w:bCs w:val="0"/>
          <w:snapToGrid w:val="0"/>
          <w:color w:val="auto"/>
          <w:kern w:val="0"/>
          <w:sz w:val="44"/>
        </w:rPr>
      </w:pPr>
      <w:bookmarkStart w:id="312" w:name="_Toc21445"/>
      <w:bookmarkStart w:id="313" w:name="_Toc2117"/>
      <w:r>
        <w:rPr>
          <w:rFonts w:hint="default" w:ascii="Times New Roman" w:hAnsi="Times New Roman" w:eastAsia="宋体" w:cs="Times New Roman"/>
          <w:bCs w:val="0"/>
          <w:snapToGrid w:val="0"/>
          <w:color w:val="auto"/>
          <w:kern w:val="0"/>
          <w:sz w:val="44"/>
        </w:rPr>
        <w:t>6环境保护措施及其可行性论证</w:t>
      </w:r>
      <w:bookmarkEnd w:id="312"/>
      <w:bookmarkEnd w:id="313"/>
    </w:p>
    <w:p>
      <w:pPr>
        <w:pStyle w:val="3"/>
        <w:spacing w:before="10" w:after="10"/>
        <w:rPr>
          <w:rFonts w:hint="default" w:ascii="Times New Roman" w:hAnsi="Times New Roman" w:eastAsia="宋体" w:cs="Times New Roman"/>
          <w:color w:val="auto"/>
        </w:rPr>
      </w:pPr>
      <w:bookmarkStart w:id="314" w:name="_Toc30463"/>
      <w:bookmarkStart w:id="315" w:name="_Toc44088096"/>
      <w:bookmarkStart w:id="316" w:name="_Toc35366492"/>
      <w:bookmarkStart w:id="317" w:name="_Toc35366100"/>
      <w:bookmarkStart w:id="318" w:name="_Toc7085"/>
      <w:bookmarkStart w:id="319" w:name="_Toc10606"/>
      <w:r>
        <w:rPr>
          <w:rFonts w:hint="default" w:ascii="Times New Roman" w:hAnsi="Times New Roman" w:eastAsia="宋体" w:cs="Times New Roman"/>
          <w:color w:val="auto"/>
        </w:rPr>
        <w:t>6.1大气污染防治措施</w:t>
      </w:r>
      <w:bookmarkEnd w:id="314"/>
      <w:bookmarkEnd w:id="315"/>
      <w:bookmarkEnd w:id="316"/>
      <w:bookmarkEnd w:id="317"/>
      <w:bookmarkEnd w:id="318"/>
      <w:bookmarkEnd w:id="319"/>
    </w:p>
    <w:p>
      <w:pPr>
        <w:tabs>
          <w:tab w:val="left" w:pos="3465"/>
        </w:tabs>
        <w:spacing w:line="360" w:lineRule="auto"/>
        <w:outlineLvl w:val="2"/>
        <w:rPr>
          <w:rFonts w:hint="default" w:ascii="Times New Roman" w:hAnsi="Times New Roman" w:eastAsia="宋体" w:cs="Times New Roman"/>
          <w:b/>
          <w:color w:val="auto"/>
          <w:sz w:val="30"/>
          <w:szCs w:val="30"/>
        </w:rPr>
      </w:pPr>
      <w:bookmarkStart w:id="320" w:name="_Toc387230397"/>
      <w:bookmarkStart w:id="321" w:name="_Toc330418919"/>
      <w:bookmarkStart w:id="322" w:name="_Toc406490450"/>
      <w:bookmarkStart w:id="323" w:name="_Toc382488800"/>
      <w:bookmarkStart w:id="324" w:name="_Toc332318065"/>
      <w:bookmarkStart w:id="325" w:name="_Toc329026266"/>
      <w:bookmarkStart w:id="326" w:name="_Toc312149137"/>
      <w:bookmarkStart w:id="327" w:name="_Toc313911456"/>
      <w:bookmarkStart w:id="328" w:name="_Toc330419135"/>
      <w:bookmarkStart w:id="329" w:name="_Toc384828511"/>
      <w:bookmarkStart w:id="330" w:name="_Toc404849017"/>
      <w:r>
        <w:rPr>
          <w:rFonts w:hint="default" w:ascii="Times New Roman" w:hAnsi="Times New Roman" w:eastAsia="宋体" w:cs="Times New Roman"/>
          <w:b/>
          <w:color w:val="auto"/>
          <w:sz w:val="30"/>
          <w:szCs w:val="30"/>
        </w:rPr>
        <w:t>6.1.1施工期大气污染防治措施</w:t>
      </w:r>
      <w:bookmarkEnd w:id="320"/>
      <w:bookmarkEnd w:id="321"/>
      <w:bookmarkEnd w:id="322"/>
      <w:bookmarkEnd w:id="323"/>
      <w:bookmarkEnd w:id="324"/>
      <w:bookmarkEnd w:id="325"/>
      <w:bookmarkEnd w:id="326"/>
      <w:bookmarkEnd w:id="327"/>
      <w:bookmarkEnd w:id="328"/>
      <w:bookmarkEnd w:id="329"/>
      <w:bookmarkEnd w:id="330"/>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（1）钻井过程大气污染防治措施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①钻井期大气污染主要为钻井场柴油发电机燃料产生的废气，可以通过采用高效设备的方式，减少污染物影响。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②钻井期间定期对柴油发电机等设备进行维护，并且采用符合国五标准的柴油，并添加柴油助燃剂等措施，在很大程度上可降低柴油燃烧污染物的排放，使污染物达标排放，减轻对大气环境的影响。</w:t>
      </w:r>
    </w:p>
    <w:p>
      <w:pPr>
        <w:pStyle w:val="56"/>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（2）地面施工大气污染防治措施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地面施工过程中对于扬尘，针对不同的产生原因，应采取相应的防治措施。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在井场建设初期，为防止因交通运输量的增加产生扬尘污染，首先应合理规划、选择最短运输路线，尽量依托油田现有公路网络；其次是对使用频率较高，且未做硬化处理的道路进行洒水处理，以减少路面沙尘的扬起和对公路两旁植被的扰动；运输车辆进入施工区域，应以中、低速行驶（速度＜40km/h）。</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井场设备的放置进行合理优化，尽可能少占土地，对工作区域外的场地严禁车辆和人员进入、占用，避免破坏植被和造成戈壁砾石移动；作业场地保持一定湿度，进出车辆严格限速，装卸器材文明作业，防止沙尘飞扬。</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③集输管线尽可能沿公路走向，这样可避免施工运输对土地的扰动；在保证施工、安全的前提下，管沟开挖深度控制1.9m以内，避免因施工破坏土地可能带来的水土流失，对开挖土壤及时回填，减少风蚀概率；土方应放置在背风一侧，尽量平摊，</w:t>
      </w:r>
      <w:r>
        <w:rPr>
          <w:rFonts w:hint="default" w:ascii="Times New Roman" w:hAnsi="Times New Roman" w:eastAsia="宋体" w:cs="Times New Roman"/>
          <w:color w:val="auto"/>
          <w:sz w:val="24"/>
          <w:szCs w:val="24"/>
        </w:rPr>
        <w:t>从管沟</w:t>
      </w:r>
      <w:r>
        <w:rPr>
          <w:rFonts w:hint="eastAsia" w:ascii="Times New Roman" w:hAnsi="Times New Roman" w:eastAsia="宋体" w:cs="Times New Roman"/>
          <w:color w:val="auto"/>
          <w:sz w:val="24"/>
          <w:szCs w:val="24"/>
          <w:lang w:val="en-US" w:eastAsia="zh-CN"/>
        </w:rPr>
        <w:t>及杆塔塔坑</w:t>
      </w:r>
      <w:r>
        <w:rPr>
          <w:rFonts w:hint="default" w:ascii="Times New Roman" w:hAnsi="Times New Roman" w:eastAsia="宋体" w:cs="Times New Roman"/>
          <w:color w:val="auto"/>
          <w:sz w:val="24"/>
          <w:szCs w:val="24"/>
        </w:rPr>
        <w:t>挖土往地面送土时，施工人员应该低抛；如有风时，为防止沙土受风移动，应人为在上风向设置风障。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w:t>
      </w:r>
      <w:bookmarkStart w:id="331" w:name="_Hlk42245922"/>
      <w:r>
        <w:rPr>
          <w:rFonts w:hint="default" w:ascii="Times New Roman" w:hAnsi="Times New Roman" w:cs="Times New Roman"/>
          <w:color w:val="auto"/>
          <w:sz w:val="24"/>
          <w:szCs w:val="24"/>
        </w:rPr>
        <w:t>散装运输的车辆应完好，定时检修汽车挡板，凡装载不宜过满，防止建筑材料的抛撒产生运输扬尘</w:t>
      </w:r>
      <w:bookmarkEnd w:id="331"/>
      <w:r>
        <w:rPr>
          <w:rFonts w:hint="default" w:ascii="Times New Roman" w:hAnsi="Times New Roman" w:cs="Times New Roman"/>
          <w:color w:val="auto"/>
          <w:sz w:val="24"/>
          <w:szCs w:val="24"/>
        </w:rPr>
        <w:t>。对砂石堆场应定时洒水，使其保持一定的湿度（含水率），减少二次起尘量；材料堆放应有篷布遮盖和防风防雨措施。风速过大时，应停止施工作业。</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在施工过程中，作业场地将采取围挡、围护以减少扬尘扩散，围挡、围护对减少扬尘对环境的污染有明显作用，当风速为2.5m/s时可使影响距离缩短40%。在施工现场周围，连续设置不低于2.5m高的围挡，并做到坚固美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对运输建筑材料及建筑垃圾的车辆加盖篷布以减少洒落。禁止露天堆放建筑材料，细颗粒散料要入库保存，搬运时轻拿轻放，防止包装袋的破裂。同时，车辆进出、装卸场地时应用水将轮胎冲洗干净；车辆行驶路线应首选外环路，尽量避开居民区和市中心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⑦施工结束后尽快对施工场地进行整理和平整，减少风蚀量。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⑧加强对施工人员的环保教育，增强全体施工人员的环保意识，坚持文明施工、科学施工，减少施工期的大气污染。</w:t>
      </w:r>
    </w:p>
    <w:p>
      <w:pPr>
        <w:tabs>
          <w:tab w:val="left" w:pos="3465"/>
        </w:tabs>
        <w:spacing w:line="360" w:lineRule="auto"/>
        <w:outlineLvl w:val="2"/>
        <w:rPr>
          <w:rFonts w:hint="default" w:ascii="Times New Roman" w:hAnsi="Times New Roman" w:eastAsia="宋体" w:cs="Times New Roman"/>
          <w:b/>
          <w:color w:val="auto"/>
          <w:sz w:val="30"/>
          <w:szCs w:val="30"/>
        </w:rPr>
      </w:pPr>
      <w:bookmarkStart w:id="332" w:name="_Toc332318066"/>
      <w:bookmarkStart w:id="333" w:name="_Toc312149138"/>
      <w:bookmarkStart w:id="334" w:name="_Toc404849018"/>
      <w:bookmarkStart w:id="335" w:name="_Toc330418920"/>
      <w:bookmarkStart w:id="336" w:name="_Toc384828512"/>
      <w:bookmarkStart w:id="337" w:name="_Toc330419136"/>
      <w:bookmarkStart w:id="338" w:name="_Toc313911457"/>
      <w:bookmarkStart w:id="339" w:name="_Toc406490451"/>
      <w:bookmarkStart w:id="340" w:name="_Toc387230398"/>
      <w:bookmarkStart w:id="341" w:name="_Toc382488801"/>
      <w:bookmarkStart w:id="342" w:name="_Toc329026267"/>
      <w:bookmarkStart w:id="343" w:name="_Hlk102743234"/>
      <w:r>
        <w:rPr>
          <w:rFonts w:hint="default" w:ascii="Times New Roman" w:hAnsi="Times New Roman" w:eastAsia="宋体" w:cs="Times New Roman"/>
          <w:b/>
          <w:color w:val="auto"/>
          <w:sz w:val="30"/>
          <w:szCs w:val="30"/>
        </w:rPr>
        <w:t>6.1.2运营期大气污染控制措施</w:t>
      </w:r>
      <w:bookmarkEnd w:id="332"/>
      <w:bookmarkEnd w:id="333"/>
      <w:bookmarkEnd w:id="334"/>
      <w:bookmarkEnd w:id="335"/>
      <w:bookmarkEnd w:id="336"/>
      <w:bookmarkEnd w:id="337"/>
      <w:bookmarkEnd w:id="338"/>
      <w:bookmarkEnd w:id="339"/>
      <w:bookmarkEnd w:id="340"/>
      <w:bookmarkEnd w:id="341"/>
      <w:bookmarkEnd w:id="342"/>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本项目运营期的大气污染物排放源主要为无组织排放源。无组织排放的污染物是油气集输过程无组织排放的烃类气体，挥发性有机物无组织排放控制管理措施如下：</w:t>
      </w:r>
    </w:p>
    <w:bookmarkEnd w:id="343"/>
    <w:p>
      <w:pPr>
        <w:pStyle w:val="56"/>
        <w:spacing w:line="360" w:lineRule="auto"/>
        <w:rPr>
          <w:rFonts w:hint="default" w:ascii="Times New Roman" w:hAnsi="Times New Roman" w:cs="Times New Roman"/>
          <w:color w:val="auto"/>
          <w:sz w:val="24"/>
          <w:szCs w:val="24"/>
        </w:rPr>
      </w:pPr>
      <w:bookmarkStart w:id="344" w:name="_Hlk41380340"/>
      <w:r>
        <w:rPr>
          <w:rFonts w:hint="default" w:ascii="Times New Roman" w:hAnsi="Times New Roman" w:cs="Times New Roman"/>
          <w:color w:val="auto"/>
          <w:sz w:val="24"/>
          <w:szCs w:val="24"/>
        </w:rPr>
        <w:t>（1）采用技术质量可靠的设备、仪表控制、阀门等，烃类机泵采用无泄漏屏蔽泵。</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本项目油气集输过程废气主要为无组织挥发性有机物。项目采用井口加热工艺，油气集输采用密闭混合输送工艺，井口密封并设紧急截断阀，可有效减少烃类气体的挥发量。非甲烷总烃无组织排放达到《陆上石油天然气开采工业大气污染物排放标准》（GB39728-2020）中企业边界污染物控制要求。一旦发生泄漏事故，紧急切断油、气源，实施关井，从而最大限度地减少油气集输过程中烃类及油的排放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（3）加强对密闭管线及密封点的巡检，以便及时发现问题，消除事故隐患，防止油气泄漏进入大气环境，台账保存期限不少于3年，当检测到泄漏时，对泄漏源予以标识并及时修复。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（4）加强油井生产管理，减少烃类的跑、冒、滴、漏，做好油井的压力监测，并准备应急措施。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（5）设备或管线组件发生了泄漏，应开展修复工作。</w:t>
      </w:r>
    </w:p>
    <w:p>
      <w:pPr>
        <w:pStyle w:val="56"/>
        <w:spacing w:line="360" w:lineRule="auto"/>
        <w:rPr>
          <w:rFonts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6</w:t>
      </w:r>
      <w:r>
        <w:rPr>
          <w:rFonts w:hint="eastAsia" w:cs="Times New Roman"/>
          <w:color w:val="auto"/>
          <w:sz w:val="24"/>
          <w:szCs w:val="24"/>
          <w:lang w:eastAsia="zh-CN"/>
        </w:rPr>
        <w:t>）</w:t>
      </w:r>
      <w:r>
        <w:rPr>
          <w:rFonts w:hint="default" w:ascii="Times New Roman" w:hAnsi="Times New Roman" w:cs="Times New Roman"/>
          <w:color w:val="auto"/>
          <w:sz w:val="24"/>
          <w:szCs w:val="24"/>
        </w:rPr>
        <w:t>场站边界非甲烷总烃浓度不应超过4.0mg/m</w:t>
      </w:r>
      <w:r>
        <w:rPr>
          <w:rFonts w:hint="default" w:ascii="Times New Roman" w:hAnsi="Times New Roman" w:cs="Times New Roman"/>
          <w:color w:val="auto"/>
          <w:sz w:val="24"/>
          <w:szCs w:val="24"/>
          <w:vertAlign w:val="superscript"/>
        </w:rPr>
        <w:t>3</w:t>
      </w:r>
      <w:r>
        <w:rPr>
          <w:rFonts w:hint="eastAsia" w:cs="Times New Roman"/>
          <w:color w:val="auto"/>
          <w:sz w:val="24"/>
          <w:szCs w:val="24"/>
          <w:vertAlign w:val="baseline"/>
          <w:lang w:eastAsia="zh-CN"/>
        </w:rPr>
        <w:t>，</w:t>
      </w:r>
      <w:r>
        <w:rPr>
          <w:rFonts w:hint="eastAsia" w:cs="Times New Roman"/>
          <w:color w:val="auto"/>
          <w:sz w:val="24"/>
          <w:szCs w:val="24"/>
        </w:rPr>
        <w:t>硫化氢</w:t>
      </w:r>
      <w:r>
        <w:rPr>
          <w:rFonts w:cs="Times New Roman"/>
          <w:color w:val="auto"/>
          <w:sz w:val="24"/>
          <w:szCs w:val="24"/>
        </w:rPr>
        <w:t>浓度不应超过</w:t>
      </w:r>
      <w:r>
        <w:rPr>
          <w:rFonts w:hint="eastAsia" w:cs="Times New Roman"/>
          <w:color w:val="auto"/>
          <w:sz w:val="24"/>
          <w:szCs w:val="24"/>
        </w:rPr>
        <w:t>0.06</w:t>
      </w:r>
      <w:r>
        <w:rPr>
          <w:rFonts w:cs="Times New Roman"/>
          <w:color w:val="auto"/>
          <w:sz w:val="24"/>
          <w:szCs w:val="24"/>
        </w:rPr>
        <w:t>mg/m</w:t>
      </w:r>
      <w:r>
        <w:rPr>
          <w:rFonts w:cs="Times New Roman"/>
          <w:color w:val="auto"/>
          <w:sz w:val="24"/>
          <w:szCs w:val="24"/>
          <w:vertAlign w:val="superscript"/>
        </w:rPr>
        <w:t>3</w:t>
      </w:r>
      <w:r>
        <w:rPr>
          <w:rFonts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上述针对无组织烃类物质采取的工艺控制措施和定期检查措施，可满足《挥发性有机物无组织排放控制标准》（GB37822-2019）要求，上述在油田应用广泛，经济可行。</w:t>
      </w:r>
    </w:p>
    <w:p>
      <w:pPr>
        <w:pStyle w:val="56"/>
        <w:spacing w:line="360" w:lineRule="auto"/>
        <w:rPr>
          <w:rFonts w:cs="Times New Roman"/>
          <w:color w:val="auto"/>
          <w:sz w:val="24"/>
          <w:szCs w:val="24"/>
        </w:rPr>
      </w:pPr>
      <w:r>
        <w:rPr>
          <w:rFonts w:cs="Times New Roman"/>
          <w:color w:val="auto"/>
          <w:sz w:val="24"/>
          <w:szCs w:val="24"/>
        </w:rPr>
        <w:t>类比</w:t>
      </w:r>
      <w:r>
        <w:rPr>
          <w:rFonts w:hint="eastAsia" w:cs="Times New Roman"/>
          <w:color w:val="auto"/>
          <w:sz w:val="24"/>
          <w:szCs w:val="24"/>
        </w:rPr>
        <w:t>陆</w:t>
      </w:r>
      <w:r>
        <w:rPr>
          <w:rFonts w:hint="eastAsia" w:cs="Times New Roman"/>
          <w:color w:val="auto"/>
          <w:sz w:val="24"/>
          <w:szCs w:val="24"/>
          <w:lang w:val="en-US" w:eastAsia="zh-CN"/>
        </w:rPr>
        <w:t>136</w:t>
      </w:r>
      <w:r>
        <w:rPr>
          <w:rFonts w:cs="Times New Roman"/>
          <w:color w:val="auto"/>
          <w:sz w:val="24"/>
          <w:szCs w:val="24"/>
        </w:rPr>
        <w:t>井区同类型井场污染源监测数据</w:t>
      </w:r>
      <w:r>
        <w:rPr>
          <w:rFonts w:hint="eastAsia" w:cs="Times New Roman"/>
          <w:color w:val="auto"/>
          <w:sz w:val="24"/>
          <w:szCs w:val="24"/>
          <w:lang w:eastAsia="zh-CN"/>
        </w:rPr>
        <w:t>（</w:t>
      </w:r>
      <w:r>
        <w:rPr>
          <w:rFonts w:cs="Times New Roman"/>
          <w:color w:val="auto"/>
          <w:sz w:val="24"/>
          <w:szCs w:val="24"/>
        </w:rPr>
        <w:t>具体见区块回顾性分析章节</w:t>
      </w:r>
      <w:r>
        <w:rPr>
          <w:rFonts w:hint="eastAsia" w:cs="Times New Roman"/>
          <w:color w:val="auto"/>
          <w:sz w:val="24"/>
          <w:szCs w:val="24"/>
          <w:lang w:eastAsia="zh-CN"/>
        </w:rPr>
        <w:t>）</w:t>
      </w:r>
      <w:r>
        <w:rPr>
          <w:rFonts w:cs="Times New Roman"/>
          <w:color w:val="auto"/>
          <w:sz w:val="24"/>
          <w:szCs w:val="24"/>
        </w:rPr>
        <w:t>，无组织废气可达标排放，因此拟建工程采取的环境空气污染防治措施可行。</w:t>
      </w:r>
    </w:p>
    <w:bookmarkEnd w:id="344"/>
    <w:p>
      <w:pPr>
        <w:pStyle w:val="3"/>
        <w:spacing w:before="10" w:after="10"/>
        <w:rPr>
          <w:rFonts w:hint="default" w:ascii="Times New Roman" w:hAnsi="Times New Roman" w:eastAsia="宋体" w:cs="Times New Roman"/>
          <w:color w:val="auto"/>
        </w:rPr>
      </w:pPr>
      <w:bookmarkStart w:id="345" w:name="_Toc35366101"/>
      <w:bookmarkStart w:id="346" w:name="_Toc44088097"/>
      <w:bookmarkStart w:id="347" w:name="_Toc35366493"/>
      <w:bookmarkStart w:id="348" w:name="_Toc17689"/>
      <w:bookmarkStart w:id="349" w:name="_Toc23487"/>
      <w:bookmarkStart w:id="350" w:name="_Toc10258"/>
      <w:r>
        <w:rPr>
          <w:rFonts w:hint="default" w:ascii="Times New Roman" w:hAnsi="Times New Roman" w:eastAsia="宋体" w:cs="Times New Roman"/>
          <w:color w:val="auto"/>
        </w:rPr>
        <w:t>6.2地表水环境保护措施</w:t>
      </w:r>
      <w:bookmarkEnd w:id="345"/>
      <w:bookmarkEnd w:id="346"/>
      <w:bookmarkEnd w:id="347"/>
      <w:bookmarkEnd w:id="348"/>
      <w:bookmarkEnd w:id="349"/>
      <w:bookmarkEnd w:id="350"/>
    </w:p>
    <w:p>
      <w:pPr>
        <w:tabs>
          <w:tab w:val="left" w:pos="3465"/>
        </w:tabs>
        <w:spacing w:line="360" w:lineRule="auto"/>
        <w:outlineLvl w:val="2"/>
        <w:rPr>
          <w:rFonts w:hint="default" w:ascii="Times New Roman" w:hAnsi="Times New Roman" w:eastAsia="宋体" w:cs="Times New Roman"/>
          <w:b/>
          <w:color w:val="auto"/>
          <w:sz w:val="30"/>
          <w:szCs w:val="30"/>
        </w:rPr>
      </w:pPr>
      <w:bookmarkStart w:id="351" w:name="_Toc404849026"/>
      <w:bookmarkStart w:id="352" w:name="_Toc330418928"/>
      <w:bookmarkStart w:id="353" w:name="_Toc329026275"/>
      <w:bookmarkStart w:id="354" w:name="_Toc312149146"/>
      <w:bookmarkStart w:id="355" w:name="_Toc382488809"/>
      <w:bookmarkStart w:id="356" w:name="_Toc406490459"/>
      <w:bookmarkStart w:id="357" w:name="_Toc387230406"/>
      <w:bookmarkStart w:id="358" w:name="_Toc330419144"/>
      <w:bookmarkStart w:id="359" w:name="_Toc384828520"/>
      <w:bookmarkStart w:id="360" w:name="_Toc332318074"/>
      <w:bookmarkStart w:id="361" w:name="_Toc313911465"/>
      <w:r>
        <w:rPr>
          <w:rFonts w:hint="default" w:ascii="Times New Roman" w:hAnsi="Times New Roman" w:eastAsia="宋体" w:cs="Times New Roman"/>
          <w:b/>
          <w:color w:val="auto"/>
          <w:sz w:val="30"/>
          <w:szCs w:val="30"/>
        </w:rPr>
        <w:t>6.2.1施工期废水防治措施</w:t>
      </w:r>
      <w:bookmarkEnd w:id="351"/>
      <w:bookmarkEnd w:id="352"/>
      <w:bookmarkEnd w:id="353"/>
      <w:bookmarkEnd w:id="354"/>
      <w:bookmarkEnd w:id="355"/>
      <w:bookmarkEnd w:id="356"/>
      <w:bookmarkEnd w:id="357"/>
      <w:bookmarkEnd w:id="358"/>
      <w:bookmarkEnd w:id="359"/>
      <w:bookmarkEnd w:id="360"/>
      <w:bookmarkEnd w:id="361"/>
    </w:p>
    <w:p>
      <w:pPr>
        <w:pStyle w:val="66"/>
        <w:rPr>
          <w:rFonts w:hint="default" w:ascii="Times New Roman" w:hAnsi="Times New Roman" w:cs="Times New Roman"/>
          <w:color w:val="auto"/>
        </w:rPr>
      </w:pPr>
      <w:r>
        <w:rPr>
          <w:rFonts w:hint="default" w:ascii="Times New Roman" w:hAnsi="Times New Roman" w:cs="Times New Roman"/>
          <w:color w:val="auto"/>
        </w:rPr>
        <w:t>6.2.1.1钻井废水防治措施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对钻井废水的污染防治，应从源头减量和处置两方面加以考虑。</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（1）节水减少排放量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钻井过程中因设备清洗、冷却等需消耗大量清水，如不采取有效节水措施，在浪费水资源的同时，也造成钻井废水大量的产生，给废水存储设施造成容量的负担，并带来后续处理负荷的增加。因此，必须在源头上节水降污，使钻井废水予以减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本项目在工程和技术管理上可采取以下节水减排措施：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①以钻井队为单位，积累资料，分析研究在各种气候、各类施工作业条件下的合理用水量，以此为定额，在保证正常作业的情况下，控制清水用量。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②合理用水，实行用水管理。动力设备等冷却水要循环使用；不得耗用新鲜水冲洗设备，设备冲洗应使用回用水，尽量采用擦洗的方法清洗设备；做好污水循环系统，水的重复利用率要求达到40%～50%。</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③做好供水阀门和管线的安装、试运行工作，避免水的跑、冒、滴、漏。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（2）废水处置</w:t>
      </w:r>
    </w:p>
    <w:p>
      <w:pPr>
        <w:pStyle w:val="56"/>
        <w:spacing w:line="360" w:lineRule="auto"/>
        <w:rPr>
          <w:rFonts w:hint="default" w:ascii="Times New Roman" w:hAnsi="Times New Roman" w:cs="Times New Roman"/>
          <w:color w:val="auto"/>
          <w:sz w:val="24"/>
          <w:szCs w:val="24"/>
        </w:rPr>
      </w:pPr>
      <w:bookmarkStart w:id="362" w:name="_Hlk36740614"/>
      <w:bookmarkStart w:id="363" w:name="_Toc313911466"/>
      <w:bookmarkStart w:id="364" w:name="_Toc329026276"/>
      <w:bookmarkStart w:id="365" w:name="_Toc312149147"/>
      <w:r>
        <w:rPr>
          <w:rFonts w:hint="default" w:ascii="Times New Roman" w:hAnsi="Times New Roman" w:cs="Times New Roman"/>
          <w:color w:val="auto"/>
          <w:sz w:val="24"/>
          <w:szCs w:val="24"/>
        </w:rPr>
        <w:t>钻井废水采用临时罐体收集，按泥浆体系不同阶段用于配制相应体系泥浆，在钻井期间综合利用，不外排；钻井阶段结束后以废弃泥浆的形式产生，进入钻井废弃物不落地系统，</w:t>
      </w:r>
      <w:r>
        <w:rPr>
          <w:rFonts w:hint="default" w:ascii="Times New Roman" w:hAnsi="Times New Roman" w:cs="Times New Roman"/>
          <w:color w:val="auto"/>
          <w:sz w:val="24"/>
          <w:szCs w:val="24"/>
          <w:lang w:val="zh-TW"/>
        </w:rPr>
        <w:t>分离后的液相回用于钻井液配制，</w:t>
      </w:r>
      <w:r>
        <w:rPr>
          <w:rFonts w:hint="default" w:ascii="Times New Roman" w:hAnsi="Times New Roman" w:cs="Times New Roman"/>
          <w:color w:val="auto"/>
          <w:sz w:val="24"/>
          <w:szCs w:val="24"/>
        </w:rPr>
        <w:t>剩余少量液相由钻井队</w:t>
      </w:r>
      <w:r>
        <w:rPr>
          <w:rFonts w:hint="default" w:ascii="Times New Roman" w:hAnsi="Times New Roman" w:cs="Times New Roman"/>
          <w:b w:val="0"/>
          <w:bCs w:val="0"/>
          <w:color w:val="auto"/>
          <w:sz w:val="24"/>
          <w:lang w:val="en-US" w:eastAsia="zh-CN"/>
        </w:rPr>
        <w:t>委托</w:t>
      </w:r>
      <w:r>
        <w:rPr>
          <w:rFonts w:hint="default" w:ascii="Times New Roman" w:hAnsi="Times New Roman" w:cs="Times New Roman"/>
          <w:b w:val="0"/>
          <w:bCs w:val="0"/>
          <w:color w:val="auto"/>
          <w:sz w:val="24"/>
        </w:rPr>
        <w:t>岩屑处置单位</w:t>
      </w:r>
      <w:r>
        <w:rPr>
          <w:rFonts w:hint="default" w:ascii="Times New Roman" w:hAnsi="Times New Roman" w:cs="Times New Roman"/>
          <w:b w:val="0"/>
          <w:bCs w:val="0"/>
          <w:color w:val="auto"/>
          <w:sz w:val="24"/>
          <w:lang w:val="en-US" w:eastAsia="zh-CN"/>
        </w:rPr>
        <w:t>进行处置</w:t>
      </w:r>
      <w:r>
        <w:rPr>
          <w:rFonts w:hint="default" w:ascii="Times New Roman" w:hAnsi="Times New Roman" w:cs="Times New Roman"/>
          <w:color w:val="auto"/>
          <w:sz w:val="24"/>
          <w:szCs w:val="24"/>
        </w:rPr>
        <w:t>。</w:t>
      </w:r>
    </w:p>
    <w:p>
      <w:pPr>
        <w:pStyle w:val="66"/>
        <w:rPr>
          <w:rFonts w:hint="default" w:ascii="Times New Roman" w:hAnsi="Times New Roman" w:cs="Times New Roman"/>
          <w:color w:val="auto"/>
        </w:rPr>
      </w:pPr>
      <w:r>
        <w:rPr>
          <w:rFonts w:hint="default" w:ascii="Times New Roman" w:hAnsi="Times New Roman" w:cs="Times New Roman"/>
          <w:color w:val="auto"/>
        </w:rPr>
        <w:t>6.2.1.2施工生产废水</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施工生产废水主要为设备冲洗废水，主要污染物为泥砂，石油类等。在施工期间内，施工单位必须对施工场所的生产废水应加以管理、控制。</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本项目设置临时沉淀池，施工生产废水经沉淀池处理后部分回用，部分喷洒在裸露的表土上。喷洒一方面起到降尘作用，另一方面对场地的压实和沉降起到有利作用，避免施工废水排放造成水环境污染。</w:t>
      </w:r>
    </w:p>
    <w:p>
      <w:pPr>
        <w:widowControl w:val="0"/>
        <w:jc w:val="both"/>
        <w:outlineLvl w:val="3"/>
        <w:rPr>
          <w:rFonts w:ascii="Times New Roman" w:hAnsi="Times New Roman" w:eastAsia="宋体" w:cs="Times New Roman"/>
          <w:b w:val="0"/>
          <w:color w:val="auto"/>
          <w:kern w:val="2"/>
          <w:sz w:val="28"/>
          <w:szCs w:val="28"/>
          <w:lang w:val="en-US" w:eastAsia="zh-CN" w:bidi="ar-SA"/>
        </w:rPr>
      </w:pPr>
      <w:r>
        <w:rPr>
          <w:rFonts w:ascii="Times New Roman" w:hAnsi="Times New Roman" w:eastAsia="宋体" w:cs="Times New Roman"/>
          <w:b w:val="0"/>
          <w:color w:val="auto"/>
          <w:kern w:val="2"/>
          <w:sz w:val="28"/>
          <w:szCs w:val="28"/>
          <w:lang w:val="en-US" w:eastAsia="zh-CN" w:bidi="ar-SA"/>
        </w:rPr>
        <w:t>6.2.1.</w:t>
      </w:r>
      <w:r>
        <w:rPr>
          <w:rFonts w:hint="eastAsia" w:ascii="Times New Roman" w:hAnsi="Times New Roman" w:eastAsia="宋体" w:cs="Times New Roman"/>
          <w:b w:val="0"/>
          <w:color w:val="auto"/>
          <w:kern w:val="2"/>
          <w:sz w:val="28"/>
          <w:szCs w:val="28"/>
          <w:lang w:val="en-US" w:eastAsia="zh-CN" w:bidi="ar-SA"/>
        </w:rPr>
        <w:t>3</w:t>
      </w:r>
      <w:r>
        <w:rPr>
          <w:rFonts w:ascii="Times New Roman" w:hAnsi="Times New Roman" w:eastAsia="宋体" w:cs="Times New Roman"/>
          <w:b w:val="0"/>
          <w:color w:val="auto"/>
          <w:kern w:val="2"/>
          <w:sz w:val="28"/>
          <w:szCs w:val="28"/>
          <w:lang w:val="en-US" w:eastAsia="zh-CN" w:bidi="ar-SA"/>
        </w:rPr>
        <w:t>管道试压废水</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管道试压使用清水主要污染物为SS，成分比较简单，试压结束后，用于洒水抑尘，不会对项目区地下水产生明显影响。</w:t>
      </w:r>
    </w:p>
    <w:bookmarkEnd w:id="362"/>
    <w:p>
      <w:pPr>
        <w:tabs>
          <w:tab w:val="left" w:pos="3465"/>
        </w:tabs>
        <w:spacing w:line="360" w:lineRule="auto"/>
        <w:outlineLvl w:val="2"/>
        <w:rPr>
          <w:rFonts w:hint="default" w:ascii="Times New Roman" w:hAnsi="Times New Roman" w:eastAsia="宋体" w:cs="Times New Roman"/>
          <w:b/>
          <w:color w:val="auto"/>
          <w:sz w:val="30"/>
          <w:szCs w:val="30"/>
        </w:rPr>
      </w:pPr>
      <w:bookmarkStart w:id="366" w:name="_Toc406490460"/>
      <w:bookmarkStart w:id="367" w:name="_Toc330419145"/>
      <w:bookmarkStart w:id="368" w:name="_Toc387230407"/>
      <w:bookmarkStart w:id="369" w:name="_Toc382488810"/>
      <w:bookmarkStart w:id="370" w:name="_Toc404849027"/>
      <w:bookmarkStart w:id="371" w:name="_Toc330418929"/>
      <w:bookmarkStart w:id="372" w:name="_Toc332318075"/>
      <w:bookmarkStart w:id="373" w:name="_Toc384828521"/>
      <w:r>
        <w:rPr>
          <w:rFonts w:hint="default" w:ascii="Times New Roman" w:hAnsi="Times New Roman" w:eastAsia="宋体" w:cs="Times New Roman"/>
          <w:b/>
          <w:color w:val="auto"/>
          <w:sz w:val="30"/>
          <w:szCs w:val="30"/>
        </w:rPr>
        <w:t>6.2.2运营期废水防治措施</w:t>
      </w:r>
      <w:bookmarkEnd w:id="363"/>
      <w:bookmarkEnd w:id="364"/>
      <w:bookmarkEnd w:id="365"/>
      <w:bookmarkEnd w:id="366"/>
      <w:bookmarkEnd w:id="367"/>
      <w:bookmarkEnd w:id="368"/>
      <w:bookmarkEnd w:id="369"/>
      <w:bookmarkEnd w:id="370"/>
      <w:bookmarkEnd w:id="371"/>
      <w:bookmarkEnd w:id="372"/>
      <w:bookmarkEnd w:id="373"/>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（1）采出水、井下作业废水经</w:t>
      </w:r>
      <w:r>
        <w:rPr>
          <w:rFonts w:hint="default" w:ascii="Times New Roman" w:hAnsi="Times New Roman" w:eastAsia="宋体" w:cs="Times New Roman"/>
          <w:color w:val="auto"/>
          <w:kern w:val="0"/>
          <w:sz w:val="24"/>
        </w:rPr>
        <w:t>陆梁集中处理</w:t>
      </w:r>
      <w:r>
        <w:rPr>
          <w:rFonts w:hint="default" w:ascii="Times New Roman" w:hAnsi="Times New Roman" w:eastAsia="宋体" w:cs="Times New Roman"/>
          <w:color w:val="auto"/>
          <w:kern w:val="0"/>
          <w:sz w:val="24"/>
          <w:szCs w:val="24"/>
        </w:rPr>
        <w:t>站污水处理系统处理达到</w:t>
      </w:r>
      <w:r>
        <w:rPr>
          <w:rFonts w:hint="default" w:ascii="Times New Roman" w:hAnsi="Times New Roman" w:eastAsia="宋体" w:cs="Times New Roman"/>
          <w:color w:val="auto"/>
          <w:kern w:val="0"/>
          <w:sz w:val="24"/>
          <w:szCs w:val="24"/>
          <w:lang w:val="en-US" w:eastAsia="zh-CN" w:bidi="ar"/>
        </w:rPr>
        <w:t>《碎屑岩油藏注水水质指标技术要求及分析方法》（SY/T5329-2022）</w:t>
      </w:r>
      <w:r>
        <w:rPr>
          <w:rFonts w:hint="default" w:ascii="Times New Roman" w:hAnsi="Times New Roman" w:eastAsia="宋体" w:cs="Times New Roman"/>
          <w:color w:val="auto"/>
          <w:kern w:val="0"/>
          <w:sz w:val="24"/>
          <w:szCs w:val="24"/>
        </w:rPr>
        <w:t xml:space="preserve">后，全部回注油层，不向外环境排放。 </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按照陆梁油田作业区环境保护规定要求，井下作业必须采取带罐作业，井下作业废水全部回收，采用专用废液收集罐收集后运至陆梁集中处理站污水处理系统进行处理，对转移车辆全程GPS定位，并保存相关影像资料。井下作业过程需建立完善的运行台账，严禁废水随意倾倒。</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（3）井下作业过程中所使用的各种化学药剂严格控制落地，落地残液要彻底清理干净，不得向环境排放。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（4）井下作业施工单位应配备具有足够容量的油水罐，保证施工中产生的废液、废水全部进罐回收。</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采用高质量的油气输送管道，防止油水泄漏；管线埋设严格遵守相关规定，埋至冻土层以下，并对管线进行防腐保温等保护措施；定期对输油管道进行检查，一旦发现异常，及时更换，尽量避免跑冒滴漏的发生，并随时做好抢修准备，加强抢修队伍的训练和工作演练。</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（6）修井作业时，要严格加强防污染措施。起油管前要打开泄油器，管内油水进入废液罐，</w:t>
      </w:r>
      <w:r>
        <w:rPr>
          <w:rFonts w:hint="eastAsia" w:cs="Times New Roman"/>
          <w:color w:val="auto"/>
          <w:sz w:val="24"/>
          <w:szCs w:val="24"/>
          <w:lang w:eastAsia="zh-CN"/>
        </w:rPr>
        <w:t>蒸汽</w:t>
      </w:r>
      <w:r>
        <w:rPr>
          <w:rFonts w:hint="default" w:ascii="Times New Roman" w:hAnsi="Times New Roman" w:cs="Times New Roman"/>
          <w:color w:val="auto"/>
          <w:sz w:val="24"/>
          <w:szCs w:val="24"/>
        </w:rPr>
        <w:t>吹扫油管、油杆的污油、污水等全部回收至废液罐回收，严禁流入井场。</w:t>
      </w:r>
    </w:p>
    <w:p>
      <w:pPr>
        <w:pStyle w:val="3"/>
        <w:spacing w:before="10" w:after="10"/>
        <w:rPr>
          <w:rFonts w:hint="default" w:ascii="Times New Roman" w:hAnsi="Times New Roman" w:eastAsia="宋体" w:cs="Times New Roman"/>
          <w:color w:val="auto"/>
        </w:rPr>
      </w:pPr>
      <w:bookmarkStart w:id="374" w:name="_Toc20865"/>
      <w:bookmarkStart w:id="375" w:name="_Toc35366494"/>
      <w:bookmarkStart w:id="376" w:name="_Toc30555"/>
      <w:bookmarkStart w:id="377" w:name="_Toc35366102"/>
      <w:bookmarkStart w:id="378" w:name="_Toc44088098"/>
      <w:r>
        <w:rPr>
          <w:rFonts w:hint="default" w:ascii="Times New Roman" w:hAnsi="Times New Roman" w:eastAsia="宋体" w:cs="Times New Roman"/>
          <w:color w:val="auto"/>
        </w:rPr>
        <w:t>6.3地下水环境保护措施</w:t>
      </w:r>
      <w:bookmarkEnd w:id="374"/>
      <w:bookmarkEnd w:id="375"/>
      <w:bookmarkEnd w:id="376"/>
      <w:bookmarkEnd w:id="377"/>
      <w:bookmarkEnd w:id="378"/>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6.3.1地下水污染防治措施</w:t>
      </w:r>
    </w:p>
    <w:p>
      <w:pPr>
        <w:pStyle w:val="66"/>
        <w:rPr>
          <w:rFonts w:hint="default" w:ascii="Times New Roman" w:hAnsi="Times New Roman" w:cs="Times New Roman"/>
          <w:color w:val="auto"/>
        </w:rPr>
      </w:pPr>
      <w:r>
        <w:rPr>
          <w:rFonts w:hint="default" w:ascii="Times New Roman" w:hAnsi="Times New Roman" w:cs="Times New Roman"/>
          <w:color w:val="auto"/>
        </w:rPr>
        <w:t>6.3.1.1总体原则</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地下水污染防治措施坚持“源头控制、末端防治、污染监控、应急响应相结合”的原则，即采取主动控制和被动控制相结合的措施。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（1）主动控制，即从源头控制措施，主要包括在井口、钻井设备等位置采取相应措施，防止和降低污染物跑、冒、滴、漏，将污染物泄漏的环境风险事故降到最低程度；</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被动控制，即末端控制措施，主要包括井场地面的防渗措施和泄漏、渗漏污染物收集措施，即在井场可能受到污染的区域地面进行防渗处理，防止洒落地面的污染物渗入地下，并把滞留在地面的污染物收集起来，集中送往有资质单位处置；</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（3）应急响应措施，包括一旦发现地下水污染事故，立即启动应急预案、采取应急措施控制地下水污染，并使污染得到治理；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（4）各污染区防渗设计采取地上污染地上防治，地下污染地下防治的设计原则。</w:t>
      </w:r>
    </w:p>
    <w:p>
      <w:pPr>
        <w:pStyle w:val="66"/>
        <w:rPr>
          <w:rFonts w:hint="default" w:ascii="Times New Roman" w:hAnsi="Times New Roman" w:cs="Times New Roman"/>
          <w:color w:val="auto"/>
        </w:rPr>
      </w:pPr>
      <w:r>
        <w:rPr>
          <w:rFonts w:hint="default" w:ascii="Times New Roman" w:hAnsi="Times New Roman" w:cs="Times New Roman"/>
          <w:color w:val="auto"/>
        </w:rPr>
        <w:t>6.3.1.2污染防治措施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（1）钻井过程中的对地下水的保护措施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确保固井质量以确保井壁不会发生侧漏，有效保护地下水层。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钻井中遇到浅层地下含水层（带）时，下套管注水泥封固，套管长度必须穿透含水层（带），避免潜水层受到钻井泥浆等的污染；在固井、下套管时必须严格按照操作规范操作，防止因固井质量问题和套管破裂、报废等原因使泥浆废水窜入含水层而污染地下水。</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本项目油井在施工过程中采用两层套管序列井身结构，采用下套管注水泥固井完井方式进行了水泥固井。</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在固井完井过程中，要按设计规定实施，确保施工质量，固井</w:t>
      </w:r>
      <w:r>
        <w:rPr>
          <w:rFonts w:hint="eastAsia" w:ascii="Times New Roman" w:hAnsi="Times New Roman" w:cs="Times New Roman"/>
          <w:color w:val="auto"/>
          <w:sz w:val="24"/>
          <w:szCs w:val="24"/>
          <w:lang w:val="en-US" w:eastAsia="zh-CN"/>
        </w:rPr>
        <w:t>完成后</w:t>
      </w:r>
      <w:r>
        <w:rPr>
          <w:rFonts w:hint="default" w:ascii="Times New Roman" w:hAnsi="Times New Roman" w:cs="Times New Roman"/>
          <w:color w:val="auto"/>
          <w:sz w:val="24"/>
          <w:szCs w:val="24"/>
          <w:lang w:val="en-US" w:eastAsia="zh-CN"/>
        </w:rPr>
        <w:t>新疆油田分公司开发公司</w:t>
      </w:r>
      <w:r>
        <w:rPr>
          <w:rFonts w:hint="eastAsia" w:ascii="Times New Roman" w:hAnsi="Times New Roman" w:cs="Times New Roman"/>
          <w:color w:val="auto"/>
          <w:sz w:val="24"/>
          <w:szCs w:val="24"/>
          <w:lang w:val="en-US" w:eastAsia="zh-CN"/>
        </w:rPr>
        <w:t>、设计单位、施工单位等各相关部门对工程质量进行验收，</w:t>
      </w:r>
      <w:r>
        <w:rPr>
          <w:rFonts w:hint="default" w:ascii="Times New Roman" w:hAnsi="Times New Roman" w:cs="Times New Roman"/>
          <w:color w:val="auto"/>
          <w:sz w:val="24"/>
          <w:szCs w:val="24"/>
        </w:rPr>
        <w:t>不得因固井不合格造成油气窜入地层，污染地下水源；应保证表层套管封固质量完好，防止井漏及油气窜层而污染地下水。防止井漏对区域地下水环境的影响。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因此，在采取严格要求套管下入深度、严格执行固井设计等措施后，可以有效控制钻井液在地层中的漏失。</w:t>
      </w:r>
    </w:p>
    <w:p>
      <w:pPr>
        <w:pStyle w:val="56"/>
        <w:widowControl w:val="0"/>
        <w:numPr>
          <w:ilvl w:val="0"/>
          <w:numId w:val="0"/>
        </w:numPr>
        <w:adjustRightInd w:val="0"/>
        <w:spacing w:line="360"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（2）采油井运行过程中对地下水的保护措施</w:t>
      </w:r>
    </w:p>
    <w:p>
      <w:pPr>
        <w:spacing w:before="65" w:line="360" w:lineRule="auto"/>
        <w:ind w:left="2" w:right="90" w:firstLine="489" w:firstLineChars="204"/>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采油井的设计、建造、改造应按照《气田水注入技术要求》（SY/T 6596-2016）的要求保证其完整性。油气井运行期间应参照《石油天然气工业 套管和油管的维护与使用》（GB/T 17745-2011）要求进行井筒完整性管理，定期开展井筒完整性检查。</w:t>
      </w:r>
    </w:p>
    <w:p>
      <w:pPr>
        <w:spacing w:before="65" w:line="360" w:lineRule="auto"/>
        <w:ind w:left="2" w:right="90" w:firstLine="489" w:firstLineChars="204"/>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采油井报废或退役后，应按照《陆上石油天然气生产环境保护推荐作法》（SY/T 6628-2005）、《废弃井及长停井处置指南》（SY/T 6646-2017）和《废弃井封井回填技术指南（试行）》（2020年2月）的相关要求执行。</w:t>
      </w:r>
    </w:p>
    <w:p>
      <w:pPr>
        <w:pStyle w:val="56"/>
        <w:numPr>
          <w:ilvl w:val="0"/>
          <w:numId w:val="0"/>
        </w:numPr>
        <w:spacing w:line="360" w:lineRule="auto"/>
        <w:ind w:left="480" w:leftChars="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（3）回注井运行过程中对地下水的保护措施</w:t>
      </w:r>
    </w:p>
    <w:p>
      <w:pPr>
        <w:pStyle w:val="5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回注井运行过程中，应持续对回注井口压力、套管压力、环空压力、回注流体的流量、水质等指标进行监测，注水水质满足SY/T 5329要求；定期开展套管 腐蚀和水泥环状况检测，检测周期不超过3年。新启用或检维修后初次启用的回注井运行前，应进行井筒完整性测试；平均注入量大于等于300 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/d的回注井应每年至少进行1次井筒完整性检测，注入量小于300 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/d的回注井应至少每2年进行1次井筒完整性检测，检测发现井筒完整性失效，应立即停止回注</w:t>
      </w:r>
      <w:r>
        <w:rPr>
          <w:rFonts w:hint="eastAsia" w:cs="Times New Roman"/>
          <w:color w:val="auto"/>
          <w:sz w:val="24"/>
          <w:szCs w:val="24"/>
          <w:lang w:eastAsia="zh-CN"/>
        </w:rPr>
        <w:t>；</w:t>
      </w:r>
      <w:r>
        <w:rPr>
          <w:rFonts w:hint="eastAsia" w:cs="Times New Roman"/>
          <w:color w:val="auto"/>
          <w:sz w:val="24"/>
          <w:szCs w:val="24"/>
          <w:lang w:val="en-US" w:eastAsia="zh-CN"/>
        </w:rPr>
        <w:t>不得回注与油气开采无关的废水，严禁造成地下水污染。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bookmarkStart w:id="379" w:name="_Hlk93327717"/>
      <w:r>
        <w:rPr>
          <w:rFonts w:hint="default" w:ascii="Times New Roman" w:hAnsi="Times New Roman" w:cs="Times New Roman"/>
          <w:color w:val="auto"/>
          <w:sz w:val="24"/>
          <w:szCs w:val="24"/>
        </w:rPr>
        <w:t>落实地下水分区防控。</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地下水环境》（HJ610-2016）和《石油化工工程防渗工程技术规范》（GB/T50934-2013）的要求，根据每个生产装置，以及布置相应的辅助设施和公用工程设施，将项目区分为污染防治区和非污染防治区，其中污染防治区分为重点污染防治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一般污染防治区</w:t>
      </w:r>
      <w:r>
        <w:rPr>
          <w:rFonts w:hint="default" w:ascii="Times New Roman" w:hAnsi="Times New Roman" w:cs="Times New Roman"/>
          <w:color w:val="auto"/>
          <w:sz w:val="24"/>
          <w:szCs w:val="24"/>
          <w:lang w:val="en-US" w:eastAsia="zh-CN"/>
        </w:rPr>
        <w:t>及</w:t>
      </w:r>
      <w:r>
        <w:rPr>
          <w:rFonts w:hint="default" w:ascii="Times New Roman" w:hAnsi="Times New Roman" w:cs="Times New Roman"/>
          <w:color w:val="auto"/>
          <w:sz w:val="24"/>
          <w:szCs w:val="24"/>
        </w:rPr>
        <w:t>。分区防渗内容可见表6.3-1。</w:t>
      </w:r>
    </w:p>
    <w:p>
      <w:pPr>
        <w:autoSpaceDE w:val="0"/>
        <w:autoSpaceDN w:val="0"/>
        <w:adjustRightInd w:val="0"/>
        <w:spacing w:line="360" w:lineRule="auto"/>
        <w:ind w:firstLine="422"/>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表6.3-1  项目分区防渗内容及技术要求</w:t>
      </w:r>
    </w:p>
    <w:tbl>
      <w:tblPr>
        <w:tblStyle w:val="31"/>
        <w:tblW w:w="8364"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847"/>
        <w:gridCol w:w="1188"/>
        <w:gridCol w:w="43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jc w:val="center"/>
        </w:trPr>
        <w:tc>
          <w:tcPr>
            <w:tcW w:w="2847" w:type="dxa"/>
          </w:tcPr>
          <w:p>
            <w:pPr>
              <w:autoSpaceDE w:val="0"/>
              <w:autoSpaceDN w:val="0"/>
              <w:adjustRightInd w:val="0"/>
              <w:snapToGrid w:val="0"/>
              <w:jc w:val="center"/>
              <w:rPr>
                <w:rFonts w:hint="default" w:ascii="Times New Roman" w:hAnsi="Times New Roman" w:eastAsia="宋体" w:cs="Times New Roman"/>
                <w:b/>
                <w:bCs/>
                <w:color w:val="auto"/>
                <w:szCs w:val="21"/>
              </w:rPr>
            </w:pPr>
            <w:bookmarkStart w:id="380" w:name="_Toc12934"/>
            <w:r>
              <w:rPr>
                <w:rFonts w:hint="default" w:ascii="Times New Roman" w:hAnsi="Times New Roman" w:eastAsia="宋体" w:cs="Times New Roman"/>
                <w:b/>
                <w:bCs/>
                <w:color w:val="auto"/>
                <w:szCs w:val="21"/>
              </w:rPr>
              <w:t>污染源名称</w:t>
            </w:r>
            <w:bookmarkEnd w:id="380"/>
          </w:p>
        </w:tc>
        <w:tc>
          <w:tcPr>
            <w:tcW w:w="1188" w:type="dxa"/>
          </w:tcPr>
          <w:p>
            <w:pPr>
              <w:autoSpaceDE w:val="0"/>
              <w:autoSpaceDN w:val="0"/>
              <w:adjustRightInd w:val="0"/>
              <w:snapToGrid w:val="0"/>
              <w:jc w:val="center"/>
              <w:rPr>
                <w:rFonts w:hint="default" w:ascii="Times New Roman" w:hAnsi="Times New Roman" w:eastAsia="宋体" w:cs="Times New Roman"/>
                <w:b/>
                <w:bCs/>
                <w:color w:val="auto"/>
                <w:szCs w:val="21"/>
              </w:rPr>
            </w:pPr>
            <w:bookmarkStart w:id="381" w:name="_Toc21655"/>
            <w:r>
              <w:rPr>
                <w:rFonts w:hint="default" w:ascii="Times New Roman" w:hAnsi="Times New Roman" w:eastAsia="宋体" w:cs="Times New Roman"/>
                <w:b/>
                <w:bCs/>
                <w:color w:val="auto"/>
                <w:szCs w:val="21"/>
              </w:rPr>
              <w:t>防治分区</w:t>
            </w:r>
            <w:bookmarkEnd w:id="381"/>
          </w:p>
        </w:tc>
        <w:tc>
          <w:tcPr>
            <w:tcW w:w="4329" w:type="dxa"/>
          </w:tcPr>
          <w:p>
            <w:pPr>
              <w:autoSpaceDE w:val="0"/>
              <w:autoSpaceDN w:val="0"/>
              <w:adjustRightInd w:val="0"/>
              <w:snapToGrid w:val="0"/>
              <w:jc w:val="center"/>
              <w:rPr>
                <w:rFonts w:hint="default" w:ascii="Times New Roman" w:hAnsi="Times New Roman" w:eastAsia="宋体" w:cs="Times New Roman"/>
                <w:b/>
                <w:bCs/>
                <w:color w:val="auto"/>
                <w:szCs w:val="21"/>
              </w:rPr>
            </w:pPr>
            <w:bookmarkStart w:id="382" w:name="_Toc7127"/>
            <w:r>
              <w:rPr>
                <w:rFonts w:hint="default" w:ascii="Times New Roman" w:hAnsi="Times New Roman" w:eastAsia="宋体" w:cs="Times New Roman"/>
                <w:b/>
                <w:bCs/>
                <w:color w:val="auto"/>
                <w:szCs w:val="21"/>
              </w:rPr>
              <w:t>防渗技术要求</w:t>
            </w:r>
            <w:bookmarkEnd w:id="382"/>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jc w:val="center"/>
        </w:trPr>
        <w:tc>
          <w:tcPr>
            <w:tcW w:w="2847" w:type="dxa"/>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钻井柴油罐区、油水罐区、集输管线、</w:t>
            </w:r>
            <w:r>
              <w:rPr>
                <w:rFonts w:hint="default" w:ascii="Times New Roman" w:hAnsi="Times New Roman" w:eastAsia="宋体" w:cs="Times New Roman"/>
                <w:color w:val="auto"/>
                <w:szCs w:val="21"/>
                <w:lang w:val="en-US" w:eastAsia="zh-CN"/>
              </w:rPr>
              <w:t>防喷池等</w:t>
            </w:r>
          </w:p>
        </w:tc>
        <w:tc>
          <w:tcPr>
            <w:tcW w:w="1188" w:type="dxa"/>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重点防渗</w:t>
            </w:r>
          </w:p>
        </w:tc>
        <w:tc>
          <w:tcPr>
            <w:tcW w:w="4329" w:type="dxa"/>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等效黏土防渗层 Mb≥6.0m，K≤1.0×</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rPr>
              <w:t>cm/s；</w:t>
            </w:r>
            <w:r>
              <w:rPr>
                <w:rFonts w:hint="default" w:ascii="Times New Roman" w:hAnsi="Times New Roman" w:eastAsia="宋体" w:cs="Times New Roman"/>
                <w:color w:val="auto"/>
                <w:lang w:val="en-US" w:eastAsia="zh-CN"/>
              </w:rPr>
              <w:t>或参照GB 1859</w:t>
            </w:r>
            <w:r>
              <w:rPr>
                <w:rFonts w:hint="default" w:ascii="Times New Roman" w:hAnsi="Times New Roman" w:cs="Times New Roman"/>
                <w:color w:val="auto"/>
                <w:lang w:val="en-US" w:eastAsia="zh-CN"/>
              </w:rPr>
              <w:t>8执行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jc w:val="center"/>
        </w:trPr>
        <w:tc>
          <w:tcPr>
            <w:tcW w:w="2847" w:type="dxa"/>
            <w:vAlign w:val="center"/>
          </w:tcPr>
          <w:p>
            <w:pPr>
              <w:autoSpaceDE w:val="0"/>
              <w:autoSpaceDN w:val="0"/>
              <w:adjustRightInd w:val="0"/>
              <w:snapToGrid w:val="0"/>
              <w:jc w:val="center"/>
              <w:rPr>
                <w:rFonts w:hint="default" w:ascii="Times New Roman" w:hAnsi="Times New Roman" w:eastAsia="宋体" w:cs="Times New Roman"/>
                <w:color w:val="auto"/>
                <w:szCs w:val="21"/>
              </w:rPr>
            </w:pPr>
            <w:bookmarkStart w:id="383" w:name="_Toc8638"/>
            <w:r>
              <w:rPr>
                <w:rFonts w:hint="default" w:ascii="Times New Roman" w:hAnsi="Times New Roman" w:eastAsia="宋体" w:cs="Times New Roman"/>
                <w:color w:val="auto"/>
                <w:szCs w:val="21"/>
              </w:rPr>
              <w:t>井场泥浆不落地设施区、岩屑储罐等</w:t>
            </w:r>
          </w:p>
        </w:tc>
        <w:tc>
          <w:tcPr>
            <w:tcW w:w="1188" w:type="dxa"/>
            <w:vAlign w:val="center"/>
          </w:tcPr>
          <w:p>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一般防渗</w:t>
            </w:r>
          </w:p>
        </w:tc>
        <w:tc>
          <w:tcPr>
            <w:tcW w:w="4329" w:type="dxa"/>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rPr>
              <w:t>等效黏土防渗层Mb≥1.5m，渗透系数K≤1×10</w:t>
            </w:r>
            <w:r>
              <w:rPr>
                <w:rFonts w:hint="default" w:ascii="Times New Roman" w:hAnsi="Times New Roman" w:cs="Times New Roman"/>
                <w:color w:val="auto"/>
                <w:vertAlign w:val="superscript"/>
              </w:rPr>
              <w:t>-7</w:t>
            </w:r>
            <w:r>
              <w:rPr>
                <w:rFonts w:hint="default" w:ascii="Times New Roman" w:hAnsi="Times New Roman" w:cs="Times New Roman"/>
                <w:color w:val="auto"/>
              </w:rPr>
              <w:t>cm/s；或按照GB16889执行</w:t>
            </w:r>
          </w:p>
        </w:tc>
      </w:tr>
    </w:tbl>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各分区应根据《石油化工工程防渗工程技术规范》（GB/T50934-2013）的要求进行防渗处理：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地面防渗层可采用黏土、抗渗混凝土、高密度聚乙烯（HDPE）膜、钠基膨润土防水毯或其他防渗性能等效的材料；</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当建设场地具有符合要求的黏土时，地面防渗宜采用黏土防渗层，防渗层顶面采用混凝土地面或设置厚度不小于200mm的砂石层。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（3）污染监控措施</w:t>
      </w:r>
      <w:bookmarkEnd w:id="383"/>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应建立完善的监测制度，结合工程区所在区域的水文地质条件和《环境影响评价技术导则－地下水环境》（HJ610-2016）中要求，本工程需布设3眼监测井，在监测水质的同时监测地下水水位（监测井位的设置可依托原有水井）。地下水监测计划详见表6.3-2。</w:t>
      </w:r>
    </w:p>
    <w:p>
      <w:pPr>
        <w:adjustRightInd w:val="0"/>
        <w:jc w:val="center"/>
        <w:textAlignment w:val="baseline"/>
        <w:rPr>
          <w:rFonts w:hint="default" w:ascii="Times New Roman" w:hAnsi="Times New Roman" w:eastAsia="宋体" w:cs="Times New Roman"/>
          <w:b/>
          <w:color w:val="auto"/>
          <w:kern w:val="0"/>
          <w:szCs w:val="20"/>
        </w:rPr>
      </w:pPr>
      <w:r>
        <w:rPr>
          <w:rFonts w:hint="default" w:ascii="Times New Roman" w:hAnsi="Times New Roman" w:eastAsia="宋体" w:cs="Times New Roman"/>
          <w:b/>
          <w:color w:val="auto"/>
          <w:kern w:val="0"/>
          <w:szCs w:val="20"/>
        </w:rPr>
        <w:t>表6.3-2  地下水监测计划</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907"/>
        <w:gridCol w:w="2578"/>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96"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b/>
                <w:bCs/>
                <w:color w:val="auto"/>
                <w:kern w:val="0"/>
                <w:szCs w:val="20"/>
              </w:rPr>
            </w:pPr>
            <w:bookmarkStart w:id="384" w:name="_Toc3376"/>
            <w:r>
              <w:rPr>
                <w:rFonts w:hint="default" w:ascii="Times New Roman" w:hAnsi="Times New Roman" w:eastAsia="宋体" w:cs="Times New Roman"/>
                <w:b/>
                <w:bCs/>
                <w:color w:val="auto"/>
                <w:kern w:val="0"/>
                <w:szCs w:val="20"/>
              </w:rPr>
              <w:t>孔号</w:t>
            </w:r>
            <w:bookmarkEnd w:id="384"/>
          </w:p>
        </w:tc>
        <w:tc>
          <w:tcPr>
            <w:tcW w:w="2907"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b/>
                <w:bCs/>
                <w:color w:val="auto"/>
                <w:kern w:val="0"/>
                <w:szCs w:val="20"/>
              </w:rPr>
            </w:pPr>
            <w:bookmarkStart w:id="385" w:name="_Toc10350"/>
            <w:r>
              <w:rPr>
                <w:rFonts w:hint="default" w:ascii="Times New Roman" w:hAnsi="Times New Roman" w:eastAsia="宋体" w:cs="Times New Roman"/>
                <w:b/>
                <w:bCs/>
                <w:color w:val="auto"/>
                <w:kern w:val="0"/>
                <w:szCs w:val="20"/>
              </w:rPr>
              <w:t>区位</w:t>
            </w:r>
            <w:bookmarkEnd w:id="385"/>
          </w:p>
        </w:tc>
        <w:tc>
          <w:tcPr>
            <w:tcW w:w="2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b/>
                <w:bCs/>
                <w:color w:val="auto"/>
                <w:kern w:val="0"/>
                <w:szCs w:val="20"/>
              </w:rPr>
            </w:pPr>
            <w:bookmarkStart w:id="386" w:name="_Toc15371"/>
            <w:r>
              <w:rPr>
                <w:rFonts w:hint="default" w:ascii="Times New Roman" w:hAnsi="Times New Roman" w:eastAsia="宋体" w:cs="Times New Roman"/>
                <w:b/>
                <w:bCs/>
                <w:color w:val="auto"/>
                <w:kern w:val="0"/>
                <w:szCs w:val="20"/>
              </w:rPr>
              <w:t>监测频率</w:t>
            </w:r>
            <w:bookmarkEnd w:id="386"/>
          </w:p>
        </w:tc>
        <w:tc>
          <w:tcPr>
            <w:tcW w:w="213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b/>
                <w:bCs/>
                <w:color w:val="auto"/>
                <w:kern w:val="0"/>
                <w:szCs w:val="20"/>
              </w:rPr>
            </w:pPr>
            <w:bookmarkStart w:id="387" w:name="_Toc15968"/>
            <w:r>
              <w:rPr>
                <w:rFonts w:hint="default" w:ascii="Times New Roman" w:hAnsi="Times New Roman" w:eastAsia="宋体" w:cs="Times New Roman"/>
                <w:b/>
                <w:bCs/>
                <w:color w:val="auto"/>
                <w:kern w:val="0"/>
                <w:szCs w:val="20"/>
              </w:rPr>
              <w:t>主要监测项目</w:t>
            </w:r>
            <w:bookmarkEnd w:id="3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96"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bookmarkStart w:id="388" w:name="_Toc22484"/>
            <w:r>
              <w:rPr>
                <w:rFonts w:hint="default" w:ascii="Times New Roman" w:hAnsi="Times New Roman" w:eastAsia="宋体" w:cs="Times New Roman"/>
                <w:color w:val="auto"/>
                <w:kern w:val="0"/>
                <w:szCs w:val="20"/>
              </w:rPr>
              <w:t>G</w:t>
            </w:r>
            <w:bookmarkEnd w:id="388"/>
            <w:r>
              <w:rPr>
                <w:rFonts w:hint="default" w:ascii="Times New Roman" w:hAnsi="Times New Roman" w:eastAsia="宋体" w:cs="Times New Roman"/>
                <w:color w:val="auto"/>
                <w:kern w:val="0"/>
                <w:szCs w:val="20"/>
              </w:rPr>
              <w:t>W1</w:t>
            </w:r>
          </w:p>
        </w:tc>
        <w:tc>
          <w:tcPr>
            <w:tcW w:w="2907"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项目区上游布设1个监测点</w:t>
            </w:r>
          </w:p>
        </w:tc>
        <w:tc>
          <w:tcPr>
            <w:tcW w:w="2578" w:type="dxa"/>
            <w:vMerge w:val="restart"/>
            <w:tcBorders>
              <w:top w:val="single" w:color="auto" w:sz="4" w:space="0"/>
              <w:left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bookmarkStart w:id="389" w:name="_Toc32626"/>
            <w:r>
              <w:rPr>
                <w:rFonts w:hint="default" w:ascii="Times New Roman" w:hAnsi="Times New Roman" w:eastAsia="宋体" w:cs="Times New Roman"/>
                <w:color w:val="auto"/>
                <w:kern w:val="0"/>
                <w:szCs w:val="20"/>
              </w:rPr>
              <w:t>每年采样1次。发生事故时加大取样频率。</w:t>
            </w:r>
            <w:bookmarkEnd w:id="389"/>
          </w:p>
        </w:tc>
        <w:tc>
          <w:tcPr>
            <w:tcW w:w="2138" w:type="dxa"/>
            <w:vMerge w:val="restart"/>
            <w:tcBorders>
              <w:top w:val="single" w:color="auto" w:sz="4" w:space="0"/>
              <w:left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bookmarkStart w:id="390" w:name="_Toc25157"/>
            <w:r>
              <w:rPr>
                <w:rFonts w:hint="default" w:ascii="Times New Roman" w:hAnsi="Times New Roman" w:eastAsia="宋体" w:cs="Times New Roman"/>
                <w:color w:val="auto"/>
                <w:kern w:val="0"/>
                <w:szCs w:val="20"/>
              </w:rPr>
              <w:t>pH、石油类、挥发性酚、硫化物、COD</w:t>
            </w:r>
            <w:bookmarkEnd w:id="3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96"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GW2</w:t>
            </w:r>
          </w:p>
        </w:tc>
        <w:tc>
          <w:tcPr>
            <w:tcW w:w="2907"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项目区布设1个监测点</w:t>
            </w:r>
          </w:p>
        </w:tc>
        <w:tc>
          <w:tcPr>
            <w:tcW w:w="2578" w:type="dxa"/>
            <w:vMerge w:val="continue"/>
            <w:tcBorders>
              <w:left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p>
        </w:tc>
        <w:tc>
          <w:tcPr>
            <w:tcW w:w="2138" w:type="dxa"/>
            <w:vMerge w:val="continue"/>
            <w:tcBorders>
              <w:left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96" w:type="dxa"/>
            <w:tcBorders>
              <w:top w:val="single" w:color="auto" w:sz="4" w:space="0"/>
              <w:left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GW4</w:t>
            </w:r>
          </w:p>
        </w:tc>
        <w:tc>
          <w:tcPr>
            <w:tcW w:w="2907"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项目区下游布设1个监测点</w:t>
            </w:r>
          </w:p>
        </w:tc>
        <w:tc>
          <w:tcPr>
            <w:tcW w:w="2578" w:type="dxa"/>
            <w:vMerge w:val="continue"/>
            <w:tcBorders>
              <w:left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p>
        </w:tc>
        <w:tc>
          <w:tcPr>
            <w:tcW w:w="2138" w:type="dxa"/>
            <w:vMerge w:val="continue"/>
            <w:tcBorders>
              <w:left w:val="single" w:color="auto" w:sz="4" w:space="0"/>
              <w:right w:val="single" w:color="auto" w:sz="4" w:space="0"/>
            </w:tcBorders>
            <w:vAlign w:val="center"/>
          </w:tcPr>
          <w:p>
            <w:pPr>
              <w:jc w:val="center"/>
              <w:textAlignment w:val="baseline"/>
              <w:rPr>
                <w:rFonts w:hint="default" w:ascii="Times New Roman" w:hAnsi="Times New Roman" w:eastAsia="宋体" w:cs="Times New Roman"/>
                <w:color w:val="auto"/>
                <w:kern w:val="0"/>
                <w:szCs w:val="20"/>
              </w:rPr>
            </w:pPr>
          </w:p>
        </w:tc>
      </w:tr>
    </w:tbl>
    <w:p>
      <w:pPr>
        <w:pStyle w:val="56"/>
        <w:spacing w:line="36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注：监测井位的设置可依托原有水井</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上述监测结果应按项目有关规定及时建立档案，并定期向安全环保部门汇报，对于常规监测数据应该进行公开。如发现异常或发生事故，加密监测频次，并分析污染原因，确定泄漏污染源，及时采取应急措施。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为保证地下水监测工作高效有序运行，须明确职责、制定相关规定进行管理；具体管理措施和技术措施如下：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管理措施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a预防地下水污染的管理工作是环保管理部门的职责之一，工程区环境保护管理部门应指派专人负责预防地下水污染的管理工作；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b工程区环境保护管理部门应委托具有监测资质的单位按时、按质、按量完成地下水监测工作，并按要求分析整理原始资料、编写监测报告；</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c建立与工程区环境管理系统相联系的地下水监测信息管理系统；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按突发事故的性质、类型、影响范围、后果严重性分等级制定相应的应急预案，在制定预案时要根据环境污染事故潜在威胁的情况，认真细致地考虑各项影响因素，并组织有关部门、人员进行适时演练、不断补充完善预案内容。</w:t>
      </w:r>
    </w:p>
    <w:p>
      <w:pPr>
        <w:pStyle w:val="56"/>
        <w:spacing w:line="360" w:lineRule="auto"/>
        <w:rPr>
          <w:rFonts w:cs="Times New Roman"/>
          <w:color w:val="auto"/>
          <w:sz w:val="24"/>
          <w:szCs w:val="24"/>
        </w:rPr>
      </w:pPr>
      <w:r>
        <w:rPr>
          <w:rFonts w:hint="eastAsia" w:cs="Times New Roman"/>
          <w:color w:val="auto"/>
          <w:sz w:val="24"/>
          <w:szCs w:val="24"/>
        </w:rPr>
        <w:t>e、</w:t>
      </w:r>
      <w:r>
        <w:rPr>
          <w:rFonts w:cs="Times New Roman"/>
          <w:color w:val="auto"/>
          <w:sz w:val="24"/>
          <w:szCs w:val="24"/>
        </w:rPr>
        <w:t>定期开展套管腐蚀和水泥环状况检测，检测周期不超过3年。新启用或检维修后初次启用的回注井运行前，应进行井筒完整性测试；平均注入量大于等于300m</w:t>
      </w:r>
      <w:r>
        <w:rPr>
          <w:rFonts w:cs="Times New Roman"/>
          <w:color w:val="auto"/>
          <w:sz w:val="24"/>
          <w:szCs w:val="24"/>
          <w:vertAlign w:val="superscript"/>
        </w:rPr>
        <w:t>3</w:t>
      </w:r>
      <w:r>
        <w:rPr>
          <w:rFonts w:cs="Times New Roman"/>
          <w:color w:val="auto"/>
          <w:sz w:val="24"/>
          <w:szCs w:val="24"/>
        </w:rPr>
        <w:t>/d的回注井应每年至少进行1次井筒完整性检测，注入量小于300m</w:t>
      </w:r>
      <w:r>
        <w:rPr>
          <w:rFonts w:cs="Times New Roman"/>
          <w:color w:val="auto"/>
          <w:sz w:val="24"/>
          <w:szCs w:val="24"/>
          <w:vertAlign w:val="superscript"/>
        </w:rPr>
        <w:t>3</w:t>
      </w:r>
      <w:r>
        <w:rPr>
          <w:rFonts w:cs="Times New Roman"/>
          <w:color w:val="auto"/>
          <w:sz w:val="24"/>
          <w:szCs w:val="24"/>
        </w:rPr>
        <w:t>/d的回注井应至少每2年进行1次井筒完整性检测，检测发现井筒完整性失效，应立即停止回注。</w:t>
      </w:r>
    </w:p>
    <w:p>
      <w:pPr>
        <w:pStyle w:val="56"/>
        <w:spacing w:line="360" w:lineRule="auto"/>
        <w:rPr>
          <w:rFonts w:cs="Times New Roman"/>
          <w:color w:val="auto"/>
          <w:sz w:val="24"/>
          <w:szCs w:val="24"/>
        </w:rPr>
      </w:pPr>
      <w:r>
        <w:rPr>
          <w:rFonts w:hint="eastAsia" w:cs="Times New Roman"/>
          <w:color w:val="auto"/>
          <w:sz w:val="24"/>
          <w:szCs w:val="24"/>
        </w:rPr>
        <w:t>f、</w:t>
      </w:r>
      <w:r>
        <w:rPr>
          <w:rFonts w:cs="Times New Roman"/>
          <w:color w:val="auto"/>
          <w:sz w:val="24"/>
          <w:szCs w:val="24"/>
        </w:rPr>
        <w:t>油井报废或退役后，应按照</w:t>
      </w:r>
      <w:r>
        <w:rPr>
          <w:rFonts w:hint="eastAsia" w:cs="Times New Roman"/>
          <w:color w:val="auto"/>
          <w:sz w:val="24"/>
          <w:szCs w:val="24"/>
        </w:rPr>
        <w:t>《</w:t>
      </w:r>
      <w:r>
        <w:rPr>
          <w:rFonts w:ascii="宋体" w:hAnsi="宋体" w:cs="宋体"/>
          <w:color w:val="auto"/>
          <w:sz w:val="24"/>
          <w:szCs w:val="24"/>
        </w:rPr>
        <w:t>陆上石油天然气生产环境保护推荐作法</w:t>
      </w:r>
      <w:r>
        <w:rPr>
          <w:rFonts w:hint="eastAsia" w:cs="Times New Roman"/>
          <w:color w:val="auto"/>
          <w:sz w:val="24"/>
          <w:szCs w:val="24"/>
        </w:rPr>
        <w:t>》（</w:t>
      </w:r>
      <w:r>
        <w:rPr>
          <w:rFonts w:cs="Times New Roman"/>
          <w:color w:val="auto"/>
          <w:sz w:val="24"/>
          <w:szCs w:val="24"/>
        </w:rPr>
        <w:t>SY/T 6628</w:t>
      </w:r>
      <w:r>
        <w:rPr>
          <w:rFonts w:hint="eastAsia" w:cs="Times New Roman"/>
          <w:color w:val="auto"/>
          <w:sz w:val="24"/>
          <w:szCs w:val="24"/>
        </w:rPr>
        <w:t>-2005）</w:t>
      </w:r>
      <w:r>
        <w:rPr>
          <w:rFonts w:cs="Times New Roman"/>
          <w:color w:val="auto"/>
          <w:sz w:val="24"/>
          <w:szCs w:val="24"/>
        </w:rPr>
        <w:t>、</w:t>
      </w:r>
      <w:r>
        <w:rPr>
          <w:rFonts w:hint="eastAsia" w:cs="Times New Roman"/>
          <w:color w:val="auto"/>
          <w:sz w:val="24"/>
          <w:szCs w:val="24"/>
        </w:rPr>
        <w:t>《废弃井及长停井处置指南》（</w:t>
      </w:r>
      <w:r>
        <w:rPr>
          <w:rFonts w:cs="Times New Roman"/>
          <w:color w:val="auto"/>
          <w:sz w:val="24"/>
          <w:szCs w:val="24"/>
        </w:rPr>
        <w:t>SY/T 6646</w:t>
      </w:r>
      <w:r>
        <w:rPr>
          <w:rFonts w:hint="eastAsia" w:cs="Times New Roman"/>
          <w:color w:val="auto"/>
          <w:sz w:val="24"/>
          <w:szCs w:val="24"/>
        </w:rPr>
        <w:t>-2017）</w:t>
      </w:r>
      <w:r>
        <w:rPr>
          <w:rFonts w:cs="Times New Roman"/>
          <w:color w:val="auto"/>
          <w:sz w:val="24"/>
          <w:szCs w:val="24"/>
        </w:rPr>
        <w:t>和《废弃井封井回填技术指南（试行）》的相关要求执行。</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技术措施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a、油气井运行期间应参照《石油天然气工业套管和油管的维护与使用》（GB/T 17745-2011）要求进行井筒完整性管理，定期开展井筒完整性检查。</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b、定期对储罐、法兰、阀门、管道等进行检查。</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c、回注井运行过程中，应持续对回注井口压力、套管压力、环空压力、回注流体的流量、水质等指标进行监测，油田注水水质满足《碎屑岩油藏注水水质指标技术要求及分析方法》（SY/T 5329-2022）要求。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在日常例行监测中，一旦发现地下水水质监测数据异常，应尽快核查数据，确保数据的正确性，并将核查过的监测数据报告安全环保部门，由专人负责对数据进行分析、核实，并密切关注生产设施的运行情况。具体内容如下：了解站场生产是否出现异常情况，出现异常情况的装置、原因。</w:t>
      </w:r>
    </w:p>
    <w:bookmarkEnd w:id="379"/>
    <w:p>
      <w:pPr>
        <w:pStyle w:val="60"/>
        <w:rPr>
          <w:rFonts w:hint="default" w:ascii="Times New Roman" w:hAnsi="Times New Roman" w:cs="Times New Roman"/>
          <w:color w:val="auto"/>
        </w:rPr>
      </w:pPr>
      <w:r>
        <w:rPr>
          <w:rFonts w:hint="default" w:ascii="Times New Roman" w:hAnsi="Times New Roman" w:cs="Times New Roman"/>
          <w:color w:val="auto"/>
        </w:rPr>
        <w:t>6.3.2地下水污染应急措施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旦发生风险事故，大量物料泄漏至地表，首先污染包气带，因此首先要查明污染物污染的范围及深度，尽可能的将污染物控制在包气带的范围内，根据污染情况酌情对污染区域的土壤进行置换处理，以免扩大对土壤和地下水的污染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一旦污染物进入到饱和地下水中，就会较快地在地下水体中迁移，从而威胁地下水的质量。因此，一旦发现渗漏进入地下水饱水带后，应立刻采取如下措施：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（1）在风险情况下（井喷等），物料可能大量泄漏至地表，通常物料会控制在一定区域内，风险发生后，只要尽快对物料进行收集处理，对污染的防渗土层进行清理，则可避免物料大量进入地下水。</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如果发生井喷等风险事故，应在井场地下水流向下游30m、50m处设置潜水含水层地下水观测井，并定期进行监测监控油田开采地下水污染情况，掌握地下水污染情况。监测孔便于及时发现地下水污染事故及其影响范围和程度，根据地下水由北东向南西的主导流向，密切监视污染物所到达的范围，为迅速采取地下水应急措施提供信息保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（3）一旦监测到地下水污染，及时查清污染范围和程度，发生事故时，应该迅速组织环保、消防、安全等部门参与的协调领导小组，组织有关技术人员赴现场勘查、开展监测，制定消除污染方案。</w:t>
      </w:r>
    </w:p>
    <w:p>
      <w:pPr>
        <w:pStyle w:val="56"/>
        <w:spacing w:line="360" w:lineRule="auto"/>
        <w:rPr>
          <w:rFonts w:hint="default" w:ascii="Times New Roman" w:hAnsi="Times New Roman" w:cs="Times New Roman"/>
          <w:color w:val="auto"/>
          <w:sz w:val="24"/>
          <w:szCs w:val="24"/>
        </w:rPr>
      </w:pPr>
      <w:bookmarkStart w:id="391" w:name="_Toc18568"/>
      <w:r>
        <w:rPr>
          <w:rFonts w:hint="default" w:ascii="Times New Roman" w:hAnsi="Times New Roman" w:cs="Times New Roman"/>
          <w:color w:val="auto"/>
          <w:sz w:val="24"/>
          <w:szCs w:val="24"/>
        </w:rPr>
        <w:t>（4）地下水污染应急预案及处理</w:t>
      </w:r>
      <w:bookmarkEnd w:id="391"/>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a应急预案内容</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在制定站场安全管理体制的基础上，制定专门的地下水污染事故应急措施，并应与其他类型事故的应急预案相协调。地下水应急预案的具体内容如下：</w:t>
      </w:r>
    </w:p>
    <w:p>
      <w:pPr>
        <w:pStyle w:val="56"/>
        <w:spacing w:line="360" w:lineRule="auto"/>
        <w:rPr>
          <w:rFonts w:hint="default" w:ascii="Times New Roman" w:hAnsi="Times New Roman" w:cs="Times New Roman"/>
          <w:color w:val="auto"/>
          <w:sz w:val="24"/>
          <w:szCs w:val="24"/>
          <w:lang w:eastAsia="zh-TW"/>
        </w:rPr>
      </w:pPr>
      <w:r>
        <w:rPr>
          <w:rFonts w:hint="default" w:ascii="Times New Roman" w:hAnsi="Times New Roman" w:cs="Times New Roman"/>
          <w:color w:val="auto"/>
          <w:sz w:val="24"/>
          <w:szCs w:val="24"/>
          <w:lang w:eastAsia="zh-TW"/>
        </w:rPr>
        <w:t>应急预案的</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eastAsia="zh-TW"/>
        </w:rPr>
        <w:t>常协调和</w:t>
      </w:r>
      <w:r>
        <w:rPr>
          <w:rFonts w:hint="default" w:ascii="Times New Roman" w:hAnsi="Times New Roman" w:cs="Times New Roman"/>
          <w:color w:val="auto"/>
          <w:sz w:val="24"/>
          <w:szCs w:val="24"/>
        </w:rPr>
        <w:t>指</w:t>
      </w:r>
      <w:r>
        <w:rPr>
          <w:rFonts w:hint="default" w:ascii="Times New Roman" w:hAnsi="Times New Roman" w:cs="Times New Roman"/>
          <w:color w:val="auto"/>
          <w:sz w:val="24"/>
          <w:szCs w:val="24"/>
          <w:lang w:eastAsia="zh-TW"/>
        </w:rPr>
        <w:t>挥机构</w:t>
      </w:r>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lang w:eastAsia="zh-TW"/>
        </w:rPr>
      </w:pPr>
      <w:r>
        <w:rPr>
          <w:rFonts w:hint="default" w:ascii="Times New Roman" w:hAnsi="Times New Roman" w:cs="Times New Roman"/>
          <w:color w:val="auto"/>
          <w:sz w:val="24"/>
          <w:szCs w:val="24"/>
          <w:lang w:eastAsia="zh-TW"/>
        </w:rPr>
        <w:t>各部门在应急预案中的职责和分工</w:t>
      </w:r>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TW"/>
        </w:rPr>
        <w:t>确定地下水环境保护目标和对目标采取的紧急</w:t>
      </w:r>
      <w:r>
        <w:rPr>
          <w:rFonts w:hint="default" w:ascii="Times New Roman" w:hAnsi="Times New Roman" w:cs="Times New Roman"/>
          <w:color w:val="auto"/>
          <w:sz w:val="24"/>
          <w:szCs w:val="24"/>
        </w:rPr>
        <w:t>处</w:t>
      </w:r>
      <w:r>
        <w:rPr>
          <w:rFonts w:hint="default" w:ascii="Times New Roman" w:hAnsi="Times New Roman" w:cs="Times New Roman"/>
          <w:color w:val="auto"/>
          <w:sz w:val="24"/>
          <w:szCs w:val="24"/>
          <w:lang w:eastAsia="zh-TW"/>
        </w:rPr>
        <w:t>置措施，评估潜在污染可能性</w:t>
      </w:r>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TW"/>
        </w:rPr>
        <w:t>特大事故应急救援组织状况、人员和装备情况，平常的训练</w:t>
      </w:r>
      <w:r>
        <w:rPr>
          <w:rFonts w:hint="default" w:ascii="Times New Roman" w:hAnsi="Times New Roman" w:cs="Times New Roman"/>
          <w:color w:val="auto"/>
          <w:sz w:val="24"/>
          <w:szCs w:val="24"/>
        </w:rPr>
        <w:t>和演习。</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b污染事故处理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在发现异常或者事故状态下，建议采取如下污染治理措施。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如发现异常或发生事故，加密监测频次，改为每周监测一次，并分析污染原因，确定泄漏污染源，及时采取应急措施。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查明并切断污染源。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探明地下水污染深度、范围和污染程度。</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依据探明的地下水污染情况，合理布置浅井，并进行试抽工作。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依据抽水设计方案进行施工，抽取被污染的地下水体，并依据各井孔出水情况进行调整。</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将抽取的地下水进行集中收集处理，并送实验室进行化验分析。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当地下水中的特征污染物浓度满足地下水功能区划的标准后，逐步停止抽水，并进行土壤修复治理工作。</w:t>
      </w:r>
    </w:p>
    <w:p>
      <w:pPr>
        <w:pStyle w:val="3"/>
        <w:spacing w:before="10" w:after="10"/>
        <w:rPr>
          <w:rFonts w:hint="default" w:ascii="Times New Roman" w:hAnsi="Times New Roman" w:eastAsia="宋体" w:cs="Times New Roman"/>
          <w:color w:val="auto"/>
        </w:rPr>
      </w:pPr>
      <w:bookmarkStart w:id="392" w:name="_Toc28435"/>
      <w:bookmarkStart w:id="393" w:name="_Toc32565"/>
      <w:bookmarkStart w:id="394" w:name="_Toc35366495"/>
      <w:bookmarkStart w:id="395" w:name="_Toc35366103"/>
      <w:bookmarkStart w:id="396" w:name="_Toc16874"/>
      <w:bookmarkStart w:id="397" w:name="_Toc44088099"/>
      <w:r>
        <w:rPr>
          <w:rFonts w:hint="default" w:ascii="Times New Roman" w:hAnsi="Times New Roman" w:eastAsia="宋体" w:cs="Times New Roman"/>
          <w:color w:val="auto"/>
        </w:rPr>
        <w:t>6.4噪声污染防治措施</w:t>
      </w:r>
      <w:bookmarkEnd w:id="392"/>
      <w:bookmarkEnd w:id="393"/>
      <w:bookmarkEnd w:id="394"/>
      <w:bookmarkEnd w:id="395"/>
      <w:bookmarkEnd w:id="396"/>
      <w:bookmarkEnd w:id="397"/>
    </w:p>
    <w:p>
      <w:pPr>
        <w:tabs>
          <w:tab w:val="left" w:pos="3465"/>
        </w:tabs>
        <w:spacing w:line="360" w:lineRule="auto"/>
        <w:outlineLvl w:val="2"/>
        <w:rPr>
          <w:rFonts w:hint="default" w:ascii="Times New Roman" w:hAnsi="Times New Roman" w:eastAsia="宋体" w:cs="Times New Roman"/>
          <w:b/>
          <w:color w:val="auto"/>
          <w:sz w:val="30"/>
          <w:szCs w:val="30"/>
        </w:rPr>
      </w:pPr>
      <w:bookmarkStart w:id="398" w:name="_Toc330419138"/>
      <w:bookmarkStart w:id="399" w:name="_Toc312149140"/>
      <w:bookmarkStart w:id="400" w:name="_Toc313911459"/>
      <w:bookmarkStart w:id="401" w:name="_Toc332318068"/>
      <w:bookmarkStart w:id="402" w:name="_Toc404849020"/>
      <w:bookmarkStart w:id="403" w:name="_Toc382488803"/>
      <w:bookmarkStart w:id="404" w:name="_Toc387230400"/>
      <w:bookmarkStart w:id="405" w:name="_Toc330418922"/>
      <w:bookmarkStart w:id="406" w:name="_Toc406490453"/>
      <w:bookmarkStart w:id="407" w:name="_Toc384828514"/>
      <w:bookmarkStart w:id="408" w:name="_Toc329026269"/>
      <w:r>
        <w:rPr>
          <w:rFonts w:hint="default" w:ascii="Times New Roman" w:hAnsi="Times New Roman" w:eastAsia="宋体" w:cs="Times New Roman"/>
          <w:b/>
          <w:color w:val="auto"/>
          <w:sz w:val="30"/>
          <w:szCs w:val="30"/>
        </w:rPr>
        <w:t>6.4.1施工期噪声污染防治措施</w:t>
      </w:r>
      <w:bookmarkEnd w:id="398"/>
      <w:bookmarkEnd w:id="399"/>
      <w:bookmarkEnd w:id="400"/>
      <w:bookmarkEnd w:id="401"/>
      <w:bookmarkEnd w:id="402"/>
      <w:bookmarkEnd w:id="403"/>
      <w:bookmarkEnd w:id="404"/>
      <w:bookmarkEnd w:id="405"/>
      <w:bookmarkEnd w:id="406"/>
      <w:bookmarkEnd w:id="407"/>
      <w:bookmarkEnd w:id="408"/>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bookmarkStart w:id="409" w:name="_Hlk42265427"/>
      <w:r>
        <w:rPr>
          <w:rFonts w:hint="default" w:ascii="Times New Roman" w:hAnsi="Times New Roman" w:cs="Times New Roman"/>
          <w:color w:val="auto"/>
          <w:sz w:val="24"/>
          <w:szCs w:val="24"/>
        </w:rPr>
        <w:t>泥浆泵、钻机、柴油发电机等设备采用低噪声设备</w:t>
      </w:r>
      <w:bookmarkEnd w:id="409"/>
      <w:r>
        <w:rPr>
          <w:rFonts w:hint="default" w:ascii="Times New Roman" w:hAnsi="Times New Roman" w:cs="Times New Roman"/>
          <w:color w:val="auto"/>
          <w:sz w:val="24"/>
          <w:szCs w:val="24"/>
        </w:rPr>
        <w:t>，降低噪声源强，加快施工进度，避免及减少形成污染影响。在不能对声源采取有效措施情况下，对可能受噪声影响的油田工作人员发放噪声个人防护器材，消除噪声污染影响；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（2）定期维护泥浆泵、钻机、柴油发电机等高噪声设备；</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（3）泥浆泵、柴油发电机和钻机等高噪声设备，应装设基础减振和设置隔声罩以减少噪声传播，合理安排施工时间，高噪声施工设备减少夜间使用或禁止使用；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（4）做好机械设备组织，尽量避免高噪声设备同时操作；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（5）少量需要测试放喷的井场，采用修建地面放喷池，周边用砂土作堆，堆高超过2m，尽量缩短放喷时间；</w:t>
      </w:r>
    </w:p>
    <w:p>
      <w:pPr>
        <w:tabs>
          <w:tab w:val="left" w:pos="3465"/>
        </w:tabs>
        <w:spacing w:line="360" w:lineRule="auto"/>
        <w:outlineLvl w:val="2"/>
        <w:rPr>
          <w:rFonts w:hint="default" w:ascii="Times New Roman" w:hAnsi="Times New Roman" w:eastAsia="宋体" w:cs="Times New Roman"/>
          <w:b/>
          <w:color w:val="auto"/>
          <w:sz w:val="30"/>
          <w:szCs w:val="30"/>
        </w:rPr>
      </w:pPr>
      <w:bookmarkStart w:id="410" w:name="_Toc332318069"/>
      <w:bookmarkStart w:id="411" w:name="_Toc330419139"/>
      <w:bookmarkStart w:id="412" w:name="_Toc313911460"/>
      <w:bookmarkStart w:id="413" w:name="_Toc330418923"/>
      <w:bookmarkStart w:id="414" w:name="_Toc382488804"/>
      <w:bookmarkStart w:id="415" w:name="_Toc387230401"/>
      <w:bookmarkStart w:id="416" w:name="_Toc312149141"/>
      <w:bookmarkStart w:id="417" w:name="_Toc329026270"/>
      <w:bookmarkStart w:id="418" w:name="_Toc404849021"/>
      <w:bookmarkStart w:id="419" w:name="_Toc406490454"/>
      <w:bookmarkStart w:id="420" w:name="_Toc384828515"/>
      <w:r>
        <w:rPr>
          <w:rFonts w:hint="default" w:ascii="Times New Roman" w:hAnsi="Times New Roman" w:eastAsia="宋体" w:cs="Times New Roman"/>
          <w:b/>
          <w:color w:val="auto"/>
          <w:sz w:val="30"/>
          <w:szCs w:val="30"/>
        </w:rPr>
        <w:t>6.4.2运营期噪声防治措施</w:t>
      </w:r>
      <w:bookmarkEnd w:id="410"/>
      <w:bookmarkEnd w:id="411"/>
      <w:bookmarkEnd w:id="412"/>
      <w:bookmarkEnd w:id="413"/>
      <w:bookmarkEnd w:id="414"/>
      <w:bookmarkEnd w:id="415"/>
      <w:bookmarkEnd w:id="416"/>
      <w:bookmarkEnd w:id="417"/>
      <w:bookmarkEnd w:id="418"/>
      <w:bookmarkEnd w:id="419"/>
      <w:bookmarkEnd w:id="420"/>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（1）尽量</w:t>
      </w:r>
      <w:bookmarkStart w:id="421" w:name="_Hlk42265575"/>
      <w:r>
        <w:rPr>
          <w:rFonts w:hint="default" w:ascii="Times New Roman" w:hAnsi="Times New Roman" w:cs="Times New Roman"/>
          <w:color w:val="auto"/>
          <w:sz w:val="24"/>
          <w:szCs w:val="24"/>
        </w:rPr>
        <w:t>选用低噪声设备</w:t>
      </w:r>
      <w:bookmarkEnd w:id="421"/>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（2）对噪声强度较大的设备进行减噪处理，根据各种设备类型所产生噪声的特性，采用不同的控制手段，如设置消音设施、隔声设备、加润滑油和减振垫等。</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（3）对于噪声强度大的作业（例如压裂作业），要合理安排作业时间，避免夜间作业。</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（4）尽量</w:t>
      </w:r>
      <w:bookmarkStart w:id="422" w:name="_Hlk42265585"/>
      <w:r>
        <w:rPr>
          <w:rFonts w:hint="default" w:ascii="Times New Roman" w:hAnsi="Times New Roman" w:cs="Times New Roman"/>
          <w:color w:val="auto"/>
          <w:sz w:val="24"/>
          <w:szCs w:val="24"/>
        </w:rPr>
        <w:t>将发声源集中统一布置</w:t>
      </w:r>
      <w:bookmarkEnd w:id="422"/>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bookmarkStart w:id="423" w:name="_Toc21761"/>
      <w:bookmarkStart w:id="424" w:name="_Toc406490776"/>
      <w:r>
        <w:rPr>
          <w:rFonts w:hint="default" w:ascii="Times New Roman" w:hAnsi="Times New Roman" w:cs="Times New Roman"/>
          <w:color w:val="auto"/>
          <w:sz w:val="24"/>
          <w:szCs w:val="24"/>
        </w:rPr>
        <w:t>（5）切合实际的提高工艺过程自动化水平，尽量减少人员与噪声的接触时间。</w:t>
      </w:r>
      <w:bookmarkEnd w:id="423"/>
      <w:bookmarkEnd w:id="424"/>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（6）实行工人巡检制，减少操作工人在该岗位停留时间，同时提供一定劳动保护。</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（7）定时保养设备，避免设备</w:t>
      </w:r>
      <w:r>
        <w:rPr>
          <w:rFonts w:hint="eastAsia" w:cs="Times New Roman"/>
          <w:color w:val="auto"/>
          <w:sz w:val="24"/>
          <w:szCs w:val="24"/>
          <w:lang w:eastAsia="zh-CN"/>
        </w:rPr>
        <w:t>传动</w:t>
      </w:r>
      <w:r>
        <w:rPr>
          <w:rFonts w:hint="default" w:ascii="Times New Roman" w:hAnsi="Times New Roman" w:cs="Times New Roman"/>
          <w:color w:val="auto"/>
          <w:sz w:val="24"/>
          <w:szCs w:val="24"/>
        </w:rPr>
        <w:t>部件在无润滑条件下运转。</w:t>
      </w:r>
    </w:p>
    <w:p>
      <w:pPr>
        <w:tabs>
          <w:tab w:val="left" w:pos="3465"/>
        </w:tabs>
        <w:spacing w:line="360" w:lineRule="auto"/>
        <w:outlineLvl w:val="1"/>
        <w:rPr>
          <w:rFonts w:hint="default" w:ascii="Times New Roman" w:hAnsi="Times New Roman" w:eastAsia="宋体" w:cs="Times New Roman"/>
          <w:b/>
          <w:color w:val="auto"/>
          <w:sz w:val="30"/>
          <w:szCs w:val="30"/>
        </w:rPr>
      </w:pPr>
      <w:bookmarkStart w:id="425" w:name="_Toc35366104"/>
      <w:bookmarkStart w:id="426" w:name="_Toc44088100"/>
      <w:bookmarkStart w:id="427" w:name="_Toc19763"/>
      <w:bookmarkStart w:id="428" w:name="_Toc35366496"/>
      <w:bookmarkStart w:id="429" w:name="_Toc29425"/>
      <w:bookmarkStart w:id="430" w:name="_Toc640"/>
      <w:r>
        <w:rPr>
          <w:rFonts w:hint="default" w:ascii="Times New Roman" w:hAnsi="Times New Roman" w:eastAsia="宋体" w:cs="Times New Roman"/>
          <w:b/>
          <w:color w:val="auto"/>
          <w:sz w:val="30"/>
          <w:szCs w:val="30"/>
        </w:rPr>
        <w:t>6.5固废污染防治措施</w:t>
      </w:r>
      <w:bookmarkEnd w:id="425"/>
      <w:bookmarkEnd w:id="426"/>
      <w:bookmarkEnd w:id="427"/>
      <w:bookmarkEnd w:id="428"/>
      <w:bookmarkEnd w:id="429"/>
      <w:bookmarkEnd w:id="430"/>
    </w:p>
    <w:p>
      <w:pPr>
        <w:tabs>
          <w:tab w:val="left" w:pos="3465"/>
        </w:tabs>
        <w:spacing w:line="360" w:lineRule="auto"/>
        <w:outlineLvl w:val="2"/>
        <w:rPr>
          <w:rFonts w:hint="default" w:ascii="Times New Roman" w:hAnsi="Times New Roman" w:eastAsia="宋体" w:cs="Times New Roman"/>
          <w:b/>
          <w:color w:val="auto"/>
          <w:sz w:val="30"/>
          <w:szCs w:val="30"/>
        </w:rPr>
      </w:pPr>
      <w:bookmarkStart w:id="431" w:name="_Toc406490456"/>
      <w:bookmarkStart w:id="432" w:name="_Toc330419141"/>
      <w:bookmarkStart w:id="433" w:name="_Toc384828517"/>
      <w:bookmarkStart w:id="434" w:name="_Toc382488806"/>
      <w:bookmarkStart w:id="435" w:name="_Toc312149143"/>
      <w:bookmarkStart w:id="436" w:name="_Toc330418925"/>
      <w:bookmarkStart w:id="437" w:name="_Toc332318071"/>
      <w:bookmarkStart w:id="438" w:name="_Toc313911462"/>
      <w:bookmarkStart w:id="439" w:name="_Toc404849023"/>
      <w:bookmarkStart w:id="440" w:name="_Toc329026272"/>
      <w:bookmarkStart w:id="441" w:name="_Toc387230403"/>
      <w:r>
        <w:rPr>
          <w:rFonts w:hint="default" w:ascii="Times New Roman" w:hAnsi="Times New Roman" w:eastAsia="宋体" w:cs="Times New Roman"/>
          <w:b/>
          <w:color w:val="auto"/>
          <w:sz w:val="30"/>
          <w:szCs w:val="30"/>
        </w:rPr>
        <w:t>6.5.1施工期固废污染防治措施</w:t>
      </w:r>
      <w:bookmarkEnd w:id="431"/>
      <w:bookmarkEnd w:id="432"/>
      <w:bookmarkEnd w:id="433"/>
      <w:bookmarkEnd w:id="434"/>
      <w:bookmarkEnd w:id="435"/>
      <w:bookmarkEnd w:id="436"/>
      <w:bookmarkEnd w:id="437"/>
      <w:bookmarkEnd w:id="438"/>
      <w:bookmarkEnd w:id="439"/>
      <w:bookmarkEnd w:id="440"/>
      <w:bookmarkEnd w:id="441"/>
    </w:p>
    <w:p>
      <w:pPr>
        <w:pStyle w:val="66"/>
        <w:rPr>
          <w:rFonts w:hint="default" w:ascii="Times New Roman" w:hAnsi="Times New Roman" w:cs="Times New Roman"/>
          <w:color w:val="auto"/>
        </w:rPr>
      </w:pPr>
      <w:bookmarkStart w:id="442" w:name="_Hlk41397210"/>
      <w:r>
        <w:rPr>
          <w:rFonts w:hint="default" w:ascii="Times New Roman" w:hAnsi="Times New Roman" w:cs="Times New Roman"/>
          <w:color w:val="auto"/>
        </w:rPr>
        <w:t>6.5.1.1钻井岩屑污染防治措施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1</w:t>
      </w:r>
      <w:r>
        <w:rPr>
          <w:rFonts w:hint="default" w:ascii="Times New Roman" w:hAnsi="Times New Roman" w:cs="Times New Roman"/>
          <w:color w:val="auto"/>
          <w:sz w:val="24"/>
          <w:szCs w:val="24"/>
        </w:rPr>
        <w:t>）岩屑经不落地系统收集处理后，液相回用，固相进罐集中收集后交岩屑处置公司处理，处理后经检测合格可综合利用。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2</w:t>
      </w:r>
      <w:r>
        <w:rPr>
          <w:rFonts w:hint="default" w:ascii="Times New Roman" w:hAnsi="Times New Roman" w:cs="Times New Roman"/>
          <w:color w:val="auto"/>
          <w:sz w:val="24"/>
          <w:szCs w:val="24"/>
        </w:rPr>
        <w:t>）岩屑收集罐场地需进行防渗处理，罐体与地面接触的部分均铺设防渗膜；岩屑收集罐均采用钢质结构，与收集的岩屑不相互反应；岩屑严禁在井场暂存或长期储存，严格执行收集罐集满即清的要求。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3</w:t>
      </w:r>
      <w:r>
        <w:rPr>
          <w:rFonts w:hint="default" w:ascii="Times New Roman" w:hAnsi="Times New Roman" w:cs="Times New Roman"/>
          <w:color w:val="auto"/>
          <w:sz w:val="24"/>
          <w:szCs w:val="24"/>
        </w:rPr>
        <w:t>）对项目产生的钻井岩屑</w:t>
      </w:r>
      <w:r>
        <w:rPr>
          <w:rFonts w:hint="eastAsia" w:cs="Times New Roman"/>
          <w:color w:val="auto"/>
          <w:sz w:val="24"/>
          <w:szCs w:val="24"/>
          <w:lang w:eastAsia="zh-CN"/>
        </w:rPr>
        <w:t>设立</w:t>
      </w:r>
      <w:r>
        <w:rPr>
          <w:rFonts w:hint="default" w:ascii="Times New Roman" w:hAnsi="Times New Roman" w:cs="Times New Roman"/>
          <w:color w:val="auto"/>
          <w:sz w:val="24"/>
          <w:szCs w:val="24"/>
        </w:rPr>
        <w:t>台账管理，须记录固体废物的代码、名称、类别、产生量、委托处置方式及处置量、接收单位等信息，建议参照《一般工业固体废物管理台账制定指南（试行）》中附表1、附表2、附表3内容设置台账。设立专人负责台账的管理与归档。台账记录表各表单的负责人对记录信息的真实性、完整性和规范性负责。</w:t>
      </w:r>
    </w:p>
    <w:bookmarkEnd w:id="442"/>
    <w:p>
      <w:pPr>
        <w:pStyle w:val="66"/>
        <w:rPr>
          <w:rFonts w:hint="default" w:ascii="Times New Roman" w:hAnsi="Times New Roman" w:cs="Times New Roman"/>
          <w:color w:val="auto"/>
        </w:rPr>
      </w:pPr>
      <w:r>
        <w:rPr>
          <w:rFonts w:hint="default" w:ascii="Times New Roman" w:hAnsi="Times New Roman" w:cs="Times New Roman"/>
          <w:color w:val="auto"/>
        </w:rPr>
        <w:t>6.5.1.2其他固体废物污染防治措施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（1）施工土方</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本项目新建管线</w:t>
      </w:r>
      <w:r>
        <w:rPr>
          <w:rFonts w:hint="eastAsia" w:ascii="Times New Roman" w:hAnsi="Times New Roman" w:eastAsia="宋体" w:cs="Times New Roman"/>
          <w:color w:val="auto"/>
          <w:sz w:val="24"/>
          <w:szCs w:val="24"/>
          <w:lang w:val="en-US" w:eastAsia="zh-CN"/>
        </w:rPr>
        <w:t>及杆塔</w:t>
      </w:r>
      <w:r>
        <w:rPr>
          <w:rFonts w:hint="default" w:ascii="Times New Roman" w:hAnsi="Times New Roman" w:eastAsia="宋体" w:cs="Times New Roman"/>
          <w:color w:val="auto"/>
          <w:sz w:val="24"/>
          <w:szCs w:val="24"/>
        </w:rPr>
        <w:t>施工产生的土方在管线施工结束后回填在管堤上，并实施压实平整水土保持措施，不设置集中弃土场。</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（2）废弃防渗膜：施工过程中产生的废弃沾油防渗布属于危险废物，委托具有相应危险废物处置资质的单位进行回收处置，不在项目区贮存。</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3</w:t>
      </w:r>
      <w:r>
        <w:rPr>
          <w:rFonts w:hint="default" w:ascii="Times New Roman" w:hAnsi="Times New Roman" w:cs="Times New Roman"/>
          <w:color w:val="auto"/>
          <w:sz w:val="24"/>
          <w:szCs w:val="24"/>
        </w:rPr>
        <w:t>）机械设备废油：</w:t>
      </w:r>
      <w:r>
        <w:rPr>
          <w:rFonts w:hint="default" w:ascii="Times New Roman" w:hAnsi="Times New Roman" w:cs="Times New Roman"/>
          <w:color w:val="auto"/>
          <w:sz w:val="24"/>
          <w:lang w:val="en-GB"/>
        </w:rPr>
        <w:t>钻井期间使用的机械设备运行过程维护、保养、维修等工作产生的少量废油，</w:t>
      </w:r>
      <w:r>
        <w:rPr>
          <w:rFonts w:hint="default" w:ascii="Times New Roman" w:hAnsi="Times New Roman" w:cs="Times New Roman"/>
          <w:color w:val="auto"/>
          <w:sz w:val="24"/>
          <w:szCs w:val="24"/>
        </w:rPr>
        <w:t>由钻井公司委托有资质的单位处置。</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4</w:t>
      </w:r>
      <w:r>
        <w:rPr>
          <w:rFonts w:hint="default" w:ascii="Times New Roman" w:hAnsi="Times New Roman" w:cs="Times New Roman"/>
          <w:color w:val="auto"/>
          <w:sz w:val="24"/>
          <w:szCs w:val="24"/>
        </w:rPr>
        <w:t>）建筑垃圾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针对施工期施工建筑垃圾应从源头上进行控制，体现在施工管理、材料选购、去向控制等方面，特别应强调以下几点：</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施工过程中合理选购材料和构件。在设计时应尽量运用标准设计，采用标准模数和预制构件，以减少建筑垃圾的产生。在选择建筑材料时，应优先选择建造时产生建筑垃圾少的环保再生建材，并且应尽量采用无包装材料和购买前应先计算好材料用量以免超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加强施工管理。施工招投标阶段，在招标文件中写明投标方案中应包含对建筑垃圾的处理措施，从而迫使施工单位在施工时采取相应措施以减少建筑垃圾，所需费用最好也能纳入概算中；在施工阶段，采用机械化施工、提高施工技术和施工工艺、加强施工组织管理工作，以避免建筑材料在运输、储存、安装时的损伤和破坏，提高结构的施工精度，避免局部凿除或修补，从而减少建筑垃圾的产生。在施工现场还应对建筑垃圾分类存放，以利处理。更应严格控制工程变更，尤其是那些已经建好的工程，如果不是万不得已，最好不要再进行变更，以免增加造价和建筑垃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③施工车辆在运送弃土应使用不漏水的翻斗车，渣土不得沿途漏散、飞扬，清运车辆进出施工现场不得带泥污染路面，应严格按环卫和公安部门确定的路线行驶。</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④施工垃圾不得随意丢弃，对施工垃圾分类进行综合利用和妥善处置，不得造成二次污染。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5</w:t>
      </w:r>
      <w:r>
        <w:rPr>
          <w:rFonts w:hint="default" w:ascii="Times New Roman" w:hAnsi="Times New Roman" w:cs="Times New Roman"/>
          <w:color w:val="auto"/>
          <w:sz w:val="24"/>
          <w:szCs w:val="24"/>
        </w:rPr>
        <w:t>）施工生活垃圾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施工生活垃圾集中清运</w:t>
      </w:r>
      <w:r>
        <w:rPr>
          <w:rFonts w:hint="default" w:ascii="Times New Roman" w:hAnsi="Times New Roman" w:eastAsia="宋体" w:cs="Times New Roman"/>
          <w:color w:val="auto"/>
          <w:sz w:val="24"/>
          <w:szCs w:val="24"/>
        </w:rPr>
        <w:t>至</w:t>
      </w:r>
      <w:r>
        <w:rPr>
          <w:rFonts w:hint="default" w:ascii="Times New Roman" w:hAnsi="Times New Roman" w:eastAsia="宋体" w:cs="Times New Roman"/>
          <w:color w:val="auto"/>
          <w:sz w:val="24"/>
          <w:szCs w:val="24"/>
          <w:lang w:val="en-US" w:eastAsia="zh-CN"/>
        </w:rPr>
        <w:t>陆梁油田</w:t>
      </w:r>
      <w:r>
        <w:rPr>
          <w:rFonts w:hint="default" w:ascii="Times New Roman" w:hAnsi="Times New Roman" w:eastAsia="宋体" w:cs="Times New Roman"/>
          <w:color w:val="auto"/>
          <w:sz w:val="24"/>
          <w:szCs w:val="24"/>
        </w:rPr>
        <w:t>生</w:t>
      </w:r>
      <w:r>
        <w:rPr>
          <w:rFonts w:hint="default" w:ascii="Times New Roman" w:hAnsi="Times New Roman" w:cs="Times New Roman"/>
          <w:color w:val="auto"/>
          <w:sz w:val="24"/>
          <w:szCs w:val="24"/>
        </w:rPr>
        <w:t>活垃圾填埋场进行卫生填埋。</w:t>
      </w:r>
    </w:p>
    <w:p>
      <w:pPr>
        <w:pStyle w:val="66"/>
        <w:rPr>
          <w:rFonts w:hint="default" w:ascii="Times New Roman" w:hAnsi="Times New Roman" w:cs="Times New Roman"/>
          <w:color w:val="auto"/>
        </w:rPr>
      </w:pPr>
      <w:r>
        <w:rPr>
          <w:rFonts w:hint="default" w:ascii="Times New Roman" w:hAnsi="Times New Roman" w:cs="Times New Roman"/>
          <w:color w:val="auto"/>
        </w:rPr>
        <w:t>6.5.1.3危险废物污染防治措施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项目钻井期会产生少量的废弃防渗膜、机械设备废油，属于危险废物，</w:t>
      </w:r>
      <w:bookmarkStart w:id="443" w:name="_Hlk105598102"/>
      <w:r>
        <w:rPr>
          <w:rFonts w:hint="default" w:ascii="Times New Roman" w:hAnsi="Times New Roman" w:cs="Times New Roman"/>
          <w:color w:val="auto"/>
          <w:sz w:val="24"/>
          <w:szCs w:val="24"/>
        </w:rPr>
        <w:t>直接拉运，委托有资质的单位拉运并进行无害化处置，不在井场内暂存</w:t>
      </w:r>
      <w:bookmarkEnd w:id="443"/>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综上，项目固体废物在得到分类收集，合理处置后，对外环境影响较小。为进一步减少施工期固废污染，采取如下措施：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①钻井井场设置生活垃圾箱（桶），分类收集，定期运往环卫部门指定的地点处置。</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②钻井生产施工中，禁止废水、药品及其他废物流失和乱排放，严禁机油、柴油等各种油料落地，擦洗设备和更换的废油料要集中到废油回收罐，如果发生外溢和散落则必须及时清理。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③在钻台、机房、柴油机、发电房底部等容易造成环境污染的区域应铺设防渗布等防渗隔层，防止油污、泥浆污染土壤。</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④完井后回收各种原料，清理井场上的污水、油料和各种废弃物。药品、废油品必须全部回收，不随意遗弃于井场。完井后做到作业现场整洁、平整、卫生，无油污，无固废，做到“工完、料净、场地清”。</w:t>
      </w:r>
    </w:p>
    <w:p>
      <w:pPr>
        <w:tabs>
          <w:tab w:val="left" w:pos="3465"/>
        </w:tabs>
        <w:spacing w:line="360" w:lineRule="auto"/>
        <w:outlineLvl w:val="2"/>
        <w:rPr>
          <w:rFonts w:hint="default" w:ascii="Times New Roman" w:hAnsi="Times New Roman" w:eastAsia="宋体" w:cs="Times New Roman"/>
          <w:b/>
          <w:color w:val="auto"/>
          <w:sz w:val="30"/>
          <w:szCs w:val="30"/>
        </w:rPr>
      </w:pPr>
      <w:bookmarkStart w:id="444" w:name="_Toc330419142"/>
      <w:bookmarkStart w:id="445" w:name="_Toc332318072"/>
      <w:bookmarkStart w:id="446" w:name="_Toc330418926"/>
      <w:bookmarkStart w:id="447" w:name="_Toc387230404"/>
      <w:bookmarkStart w:id="448" w:name="_Toc404849024"/>
      <w:bookmarkStart w:id="449" w:name="_Toc382488807"/>
      <w:bookmarkStart w:id="450" w:name="_Toc312149144"/>
      <w:bookmarkStart w:id="451" w:name="_Toc406490457"/>
      <w:bookmarkStart w:id="452" w:name="_Toc329026273"/>
      <w:bookmarkStart w:id="453" w:name="_Toc384828518"/>
      <w:bookmarkStart w:id="454" w:name="_Toc313911463"/>
      <w:r>
        <w:rPr>
          <w:rFonts w:hint="default" w:ascii="Times New Roman" w:hAnsi="Times New Roman" w:eastAsia="宋体" w:cs="Times New Roman"/>
          <w:b/>
          <w:color w:val="auto"/>
          <w:sz w:val="30"/>
          <w:szCs w:val="30"/>
        </w:rPr>
        <w:t>6.5.2运营期固废污染防治措施</w:t>
      </w:r>
      <w:bookmarkEnd w:id="444"/>
      <w:bookmarkEnd w:id="445"/>
      <w:bookmarkEnd w:id="446"/>
      <w:bookmarkEnd w:id="447"/>
      <w:bookmarkEnd w:id="448"/>
      <w:bookmarkEnd w:id="449"/>
      <w:bookmarkEnd w:id="450"/>
      <w:bookmarkEnd w:id="451"/>
      <w:bookmarkEnd w:id="452"/>
      <w:bookmarkEnd w:id="453"/>
      <w:bookmarkEnd w:id="454"/>
    </w:p>
    <w:p>
      <w:pPr>
        <w:pStyle w:val="66"/>
        <w:rPr>
          <w:rFonts w:hint="default" w:ascii="Times New Roman" w:hAnsi="Times New Roman" w:cs="Times New Roman"/>
          <w:color w:val="auto"/>
        </w:rPr>
      </w:pPr>
      <w:r>
        <w:rPr>
          <w:rFonts w:hint="default" w:ascii="Times New Roman" w:hAnsi="Times New Roman" w:cs="Times New Roman"/>
          <w:color w:val="auto"/>
        </w:rPr>
        <w:t>6.5.2.1固体废物污染防治措施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（1）含油污泥污染防治措施</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lang w:eastAsia="zh-CN"/>
        </w:rPr>
        <w:t>陆梁集中处理站</w:t>
      </w:r>
      <w:r>
        <w:rPr>
          <w:rFonts w:hint="default" w:ascii="Times New Roman" w:hAnsi="Times New Roman" w:eastAsia="宋体" w:cs="Times New Roman"/>
          <w:color w:val="auto"/>
          <w:sz w:val="24"/>
          <w:szCs w:val="24"/>
        </w:rPr>
        <w:t>产生的含油污泥采用专用收集罐收集，收集后暂存至陆梁油田作业区污泥暂存池，定期委托</w:t>
      </w:r>
      <w:r>
        <w:rPr>
          <w:rFonts w:hint="default" w:ascii="Times New Roman" w:hAnsi="Times New Roman" w:eastAsia="宋体" w:cs="Times New Roman"/>
          <w:color w:val="auto"/>
          <w:sz w:val="24"/>
          <w:szCs w:val="24"/>
          <w:lang w:eastAsia="zh-CN"/>
        </w:rPr>
        <w:t>有危废处置资质的单位处置</w:t>
      </w:r>
    </w:p>
    <w:p>
      <w:pPr>
        <w:pStyle w:val="56"/>
        <w:spacing w:line="360" w:lineRule="auto"/>
        <w:rPr>
          <w:rFonts w:cs="Times New Roman"/>
          <w:color w:val="auto"/>
          <w:sz w:val="24"/>
          <w:szCs w:val="24"/>
        </w:rPr>
      </w:pPr>
      <w:bookmarkStart w:id="455" w:name="_Hlk102642570"/>
      <w:r>
        <w:rPr>
          <w:rFonts w:cs="Times New Roman"/>
          <w:color w:val="auto"/>
          <w:sz w:val="24"/>
          <w:szCs w:val="24"/>
        </w:rPr>
        <w:t>①项目产生的含油污泥采用专用收集罐收集，收集后暂存至陆梁油田作业区污泥暂存池，定期委托克拉玛依博达生态环保科技有限责任公司处置</w:t>
      </w:r>
      <w:r>
        <w:rPr>
          <w:rFonts w:hint="eastAsia" w:cs="Times New Roman"/>
          <w:color w:val="auto"/>
          <w:sz w:val="24"/>
          <w:szCs w:val="24"/>
        </w:rPr>
        <w:t>，</w:t>
      </w:r>
      <w:r>
        <w:rPr>
          <w:rFonts w:cs="Times New Roman"/>
          <w:color w:val="auto"/>
          <w:sz w:val="24"/>
          <w:szCs w:val="24"/>
        </w:rPr>
        <w:t>不在井场暂存。</w:t>
      </w:r>
      <w:bookmarkEnd w:id="455"/>
    </w:p>
    <w:p>
      <w:pPr>
        <w:spacing w:line="360" w:lineRule="auto"/>
        <w:ind w:firstLine="480"/>
        <w:rPr>
          <w:rFonts w:hint="default" w:ascii="Times New Roman" w:hAnsi="Times New Roman" w:eastAsia="宋体" w:cs="Times New Roman"/>
          <w:color w:val="auto"/>
          <w:sz w:val="24"/>
        </w:rPr>
      </w:pP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 2 \* GB3 \* MERGEFORMAT </w:instrText>
      </w:r>
      <w:r>
        <w:rPr>
          <w:rFonts w:ascii="Times New Roman" w:hAnsi="Times New Roman" w:cs="Times New Roman"/>
          <w:color w:val="auto"/>
          <w:sz w:val="24"/>
        </w:rPr>
        <w:fldChar w:fldCharType="separate"/>
      </w:r>
      <w:r>
        <w:rPr>
          <w:rFonts w:ascii="Times New Roman" w:hAnsi="Times New Roman" w:cs="Times New Roman"/>
          <w:color w:val="auto"/>
          <w:sz w:val="24"/>
        </w:rPr>
        <w:t>②</w:t>
      </w:r>
      <w:r>
        <w:rPr>
          <w:rFonts w:ascii="Times New Roman" w:hAnsi="Times New Roman" w:cs="Times New Roman"/>
          <w:color w:val="auto"/>
          <w:sz w:val="24"/>
        </w:rPr>
        <w:fldChar w:fldCharType="end"/>
      </w:r>
      <w:r>
        <w:rPr>
          <w:rFonts w:ascii="Times New Roman" w:hAnsi="Times New Roman" w:cs="Times New Roman"/>
          <w:color w:val="auto"/>
          <w:sz w:val="24"/>
        </w:rPr>
        <w:t>运输过程中应执行《危险废物收集 贮存 运输技术规范》（HJ2025-2012）和《危险废物转移管理办法》要求中有关运输的规定，含油污泥处置单位采用专用车辆到指定地点收集运输含油污泥，运输过程中不准设置中转储存点，严禁偷排、洒落、泄漏和随意倾倒等。产生单位向处置单位转移含油污泥时，交接数量必须与生态环境局批准的转移量相符。</w:t>
      </w:r>
    </w:p>
    <w:p>
      <w:pPr>
        <w:pStyle w:val="56"/>
        <w:spacing w:line="360" w:lineRule="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落地原油污染防治措施</w:t>
      </w:r>
    </w:p>
    <w:p>
      <w:pPr>
        <w:pStyle w:val="56"/>
        <w:spacing w:line="360" w:lineRule="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eastAsia="zh-CN"/>
        </w:rPr>
        <w:t>加大</w:t>
      </w:r>
      <w:r>
        <w:rPr>
          <w:rFonts w:hint="default" w:ascii="Times New Roman" w:hAnsi="Times New Roman" w:eastAsia="宋体" w:cs="Times New Roman"/>
          <w:color w:val="auto"/>
          <w:sz w:val="24"/>
          <w:szCs w:val="24"/>
        </w:rPr>
        <w:t>监督力度，最大限度控制落地油产生。井下作业时严格执行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铺设作业，带罐上岗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的作业模式，必须带罐（车）操作，且在作业井场地面铺设防渗膜，使落地油100%回收。落地原油收集后</w:t>
      </w:r>
      <w:r>
        <w:rPr>
          <w:rFonts w:hint="default" w:ascii="Times New Roman" w:hAnsi="Times New Roman" w:eastAsia="宋体" w:cs="Times New Roman"/>
          <w:color w:val="auto"/>
          <w:sz w:val="24"/>
          <w:szCs w:val="24"/>
          <w:lang w:val="en-US" w:eastAsia="zh-CN"/>
        </w:rPr>
        <w:t>拉运至陆梁集中处理站原油处理系统处置</w:t>
      </w:r>
      <w:r>
        <w:rPr>
          <w:rFonts w:hint="default" w:ascii="Times New Roman" w:hAnsi="Times New Roman" w:eastAsia="宋体" w:cs="Times New Roman"/>
          <w:color w:val="auto"/>
          <w:sz w:val="24"/>
          <w:szCs w:val="24"/>
          <w:lang w:eastAsia="zh-CN"/>
        </w:rPr>
        <w:t>。</w:t>
      </w:r>
    </w:p>
    <w:p>
      <w:pPr>
        <w:pStyle w:val="56"/>
        <w:spacing w:line="360" w:lineRule="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地面工程完成后，落地油基本不再产生，甚至为零。应按照清洁生产的原则，实施源头控制，对井口泄漏油、井下作业时产生的油及时回收，使之“不落地”。</w:t>
      </w:r>
    </w:p>
    <w:p>
      <w:pPr>
        <w:pStyle w:val="56"/>
        <w:spacing w:line="360" w:lineRule="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在钻井过程中及完成井后，严格执行井控技术规定和井口装置试压要求，落实好防喷、防漏技术措施。</w:t>
      </w:r>
    </w:p>
    <w:p>
      <w:pPr>
        <w:pStyle w:val="56"/>
        <w:spacing w:line="360" w:lineRule="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加强管理，对井口装置、集油管线等易发生</w:t>
      </w:r>
      <w:r>
        <w:rPr>
          <w:rFonts w:hint="eastAsia" w:ascii="Times New Roman" w:hAnsi="Times New Roman" w:eastAsia="宋体" w:cs="Times New Roman"/>
          <w:color w:val="auto"/>
          <w:sz w:val="24"/>
          <w:szCs w:val="24"/>
          <w:lang w:eastAsia="zh-CN"/>
        </w:rPr>
        <w:t>泄漏</w:t>
      </w:r>
      <w:r>
        <w:rPr>
          <w:rFonts w:hint="default" w:ascii="Times New Roman" w:hAnsi="Times New Roman" w:eastAsia="宋体" w:cs="Times New Roman"/>
          <w:color w:val="auto"/>
          <w:sz w:val="24"/>
          <w:szCs w:val="24"/>
        </w:rPr>
        <w:t>的部位进行巡回检查，减少或杜绝气井跑、冒、滴、漏，以及油品泄漏事件的发生。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3</w:t>
      </w:r>
      <w:r>
        <w:rPr>
          <w:rFonts w:hint="default" w:ascii="Times New Roman" w:hAnsi="Times New Roman" w:cs="Times New Roman"/>
          <w:color w:val="auto"/>
          <w:sz w:val="24"/>
          <w:szCs w:val="24"/>
        </w:rPr>
        <w:t>）废弃防渗膜</w:t>
      </w:r>
    </w:p>
    <w:p>
      <w:pPr>
        <w:spacing w:line="360" w:lineRule="auto"/>
        <w:ind w:firstLine="480"/>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运营期产生的废弃防渗膜不暂存，委托有资质的单位进行处置</w:t>
      </w:r>
      <w:r>
        <w:rPr>
          <w:rFonts w:hint="eastAsia" w:ascii="Times New Roman" w:hAnsi="Times New Roman" w:cs="Times New Roman"/>
          <w:color w:val="auto"/>
          <w:sz w:val="24"/>
          <w:lang w:eastAsia="zh-CN"/>
        </w:rPr>
        <w:t>。</w:t>
      </w:r>
    </w:p>
    <w:p>
      <w:pPr>
        <w:spacing w:line="360" w:lineRule="auto"/>
        <w:ind w:firstLine="48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szCs w:val="24"/>
        </w:rPr>
        <w:t>废润滑油</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cs="Times New Roman"/>
          <w:color w:val="auto"/>
          <w:sz w:val="24"/>
        </w:rPr>
        <w:t>运营期产生的废润滑油集中收集后运至陆梁集中处理站原油处理系统进行处理。</w:t>
      </w:r>
    </w:p>
    <w:p>
      <w:pPr>
        <w:pStyle w:val="56"/>
        <w:spacing w:line="360" w:lineRule="auto"/>
        <w:rPr>
          <w:rFonts w:hint="default" w:ascii="Times New Roman" w:hAnsi="Times New Roman" w:cs="Times New Roman"/>
          <w:color w:val="auto"/>
          <w:sz w:val="24"/>
          <w:szCs w:val="24"/>
        </w:rPr>
      </w:pPr>
      <w:bookmarkStart w:id="456" w:name="_Hlk96342321"/>
      <w:r>
        <w:rPr>
          <w:rFonts w:hint="default" w:ascii="Times New Roman" w:hAnsi="Times New Roman" w:cs="Times New Roman"/>
          <w:color w:val="auto"/>
          <w:sz w:val="24"/>
          <w:szCs w:val="24"/>
        </w:rPr>
        <w:t>（</w:t>
      </w:r>
      <w:r>
        <w:rPr>
          <w:rFonts w:hint="eastAsia" w:cs="Times New Roman"/>
          <w:color w:val="auto"/>
          <w:sz w:val="24"/>
          <w:szCs w:val="24"/>
          <w:lang w:val="en-US" w:eastAsia="zh-CN"/>
        </w:rPr>
        <w:t>5</w:t>
      </w:r>
      <w:r>
        <w:rPr>
          <w:rFonts w:hint="default" w:ascii="Times New Roman" w:hAnsi="Times New Roman" w:cs="Times New Roman"/>
          <w:color w:val="auto"/>
          <w:sz w:val="24"/>
          <w:szCs w:val="24"/>
        </w:rPr>
        <w:t>）清管废渣</w:t>
      </w:r>
    </w:p>
    <w:bookmarkEnd w:id="456"/>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本工程运营期产生清管废渣收集后不暂存，直接委托持有危险废物经营许可证的单位拉运处置。</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由专用运输车辆进行运输、转移，并严格按照《危险废物转移管理办法》，通过国家危险废物信息管理系统（以下简称信息系统）填写、运行危险废物电子转移联单，并依照国家有关规定公开危险废物转移相关污染环境防治信息。</w:t>
      </w:r>
    </w:p>
    <w:p>
      <w:pPr>
        <w:pStyle w:val="56"/>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综上，通过采取切实可行的措施，并加强管理，本项目运营期的固体废物不会对周围环境产生影响。</w:t>
      </w:r>
    </w:p>
    <w:p>
      <w:pPr>
        <w:pStyle w:val="66"/>
        <w:spacing w:line="360" w:lineRule="auto"/>
        <w:rPr>
          <w:rFonts w:hint="default" w:ascii="Times New Roman" w:hAnsi="Times New Roman" w:eastAsia="宋体" w:cs="Times New Roman"/>
          <w:b w:val="0"/>
          <w:bCs/>
          <w:color w:val="auto"/>
          <w:kern w:val="2"/>
          <w:sz w:val="28"/>
          <w:szCs w:val="28"/>
          <w:lang w:val="en-US" w:eastAsia="zh-CN" w:bidi="ar-SA"/>
        </w:rPr>
      </w:pPr>
      <w:r>
        <w:rPr>
          <w:rFonts w:hint="default" w:ascii="Times New Roman" w:hAnsi="Times New Roman" w:eastAsia="宋体" w:cs="Times New Roman"/>
          <w:b w:val="0"/>
          <w:bCs/>
          <w:color w:val="auto"/>
          <w:kern w:val="2"/>
          <w:sz w:val="28"/>
          <w:szCs w:val="28"/>
          <w:lang w:val="en-US" w:eastAsia="zh-CN" w:bidi="ar-SA"/>
        </w:rPr>
        <w:t>6.5.2.</w:t>
      </w:r>
      <w:bookmarkStart w:id="457" w:name="_Hlk41382978"/>
      <w:r>
        <w:rPr>
          <w:rFonts w:hint="default" w:ascii="Times New Roman" w:hAnsi="Times New Roman" w:eastAsia="宋体" w:cs="Times New Roman"/>
          <w:b w:val="0"/>
          <w:bCs/>
          <w:color w:val="auto"/>
          <w:kern w:val="2"/>
          <w:sz w:val="28"/>
          <w:szCs w:val="28"/>
          <w:lang w:val="en-US" w:eastAsia="zh-CN" w:bidi="ar-SA"/>
        </w:rPr>
        <w:t>2危险废物管理要求</w:t>
      </w:r>
    </w:p>
    <w:p>
      <w:pPr>
        <w:pStyle w:val="56"/>
        <w:spacing w:line="360" w:lineRule="auto"/>
        <w:rPr>
          <w:rFonts w:hint="default" w:ascii="Times New Roman" w:hAnsi="Times New Roman" w:eastAsia="宋体" w:cs="Times New Roman"/>
          <w:bCs/>
          <w:color w:val="auto"/>
          <w:kern w:val="2"/>
          <w:sz w:val="24"/>
          <w:szCs w:val="24"/>
          <w:lang w:val="en-US" w:eastAsia="zh-CN" w:bidi="ar-SA"/>
        </w:rPr>
      </w:pPr>
      <w:bookmarkStart w:id="458" w:name="_Hlk44081802"/>
      <w:r>
        <w:rPr>
          <w:rFonts w:hint="default" w:ascii="Times New Roman" w:hAnsi="Times New Roman" w:eastAsia="宋体" w:cs="Times New Roman"/>
          <w:bCs/>
          <w:color w:val="auto"/>
          <w:kern w:val="2"/>
          <w:sz w:val="24"/>
          <w:szCs w:val="24"/>
          <w:lang w:val="en-US" w:eastAsia="zh-CN" w:bidi="ar-SA"/>
        </w:rPr>
        <w:t>本次环评提出，建设单</w:t>
      </w:r>
      <w:r>
        <w:rPr>
          <w:rFonts w:hint="eastAsia" w:cs="Times New Roman"/>
          <w:bCs/>
          <w:color w:val="auto"/>
          <w:kern w:val="2"/>
          <w:sz w:val="24"/>
          <w:szCs w:val="24"/>
          <w:lang w:val="en-US" w:eastAsia="zh-CN" w:bidi="ar-SA"/>
        </w:rPr>
        <w:t>位在</w:t>
      </w:r>
      <w:r>
        <w:rPr>
          <w:rFonts w:hint="default" w:ascii="Times New Roman" w:hAnsi="Times New Roman" w:eastAsia="宋体" w:cs="Times New Roman"/>
          <w:bCs/>
          <w:color w:val="auto"/>
          <w:kern w:val="2"/>
          <w:sz w:val="24"/>
          <w:szCs w:val="24"/>
          <w:lang w:val="en-US" w:eastAsia="zh-CN" w:bidi="ar-SA"/>
        </w:rPr>
        <w:t>运营过程中应该对本项目的危险废物从收集、运输、利用、处置各环节进行全程的监督，各环节管理严格执行《中华人民共和国固体废物污染环境防治法》《危险废物贮存污染控制标准》（GB18597-2023）、《危险废物环境管理指南 陆上石油天然气开采》《危险废物管理计划和管理台账制定技术导则》（HJ 1259-2022）、</w:t>
      </w:r>
      <w:bookmarkStart w:id="459" w:name="_Hlk43050152"/>
      <w:r>
        <w:rPr>
          <w:rFonts w:hint="default" w:ascii="Times New Roman" w:hAnsi="Times New Roman" w:eastAsia="宋体" w:cs="Times New Roman"/>
          <w:bCs/>
          <w:color w:val="auto"/>
          <w:kern w:val="2"/>
          <w:sz w:val="24"/>
          <w:szCs w:val="24"/>
          <w:lang w:val="en-US" w:eastAsia="zh-CN" w:bidi="ar-SA"/>
        </w:rPr>
        <w:t>《陆上石油天然气开采含油污泥处理处置及污染控制技术规范》（SY/T7300-2016）</w:t>
      </w:r>
      <w:bookmarkEnd w:id="459"/>
      <w:r>
        <w:rPr>
          <w:rFonts w:hint="default" w:ascii="Times New Roman" w:hAnsi="Times New Roman" w:eastAsia="宋体" w:cs="Times New Roman"/>
          <w:bCs/>
          <w:color w:val="auto"/>
          <w:kern w:val="2"/>
          <w:sz w:val="24"/>
          <w:szCs w:val="24"/>
          <w:lang w:val="en-US" w:eastAsia="zh-CN" w:bidi="ar-SA"/>
        </w:rPr>
        <w:t>的相关要求</w:t>
      </w:r>
      <w:bookmarkEnd w:id="458"/>
      <w:r>
        <w:rPr>
          <w:rFonts w:hint="default" w:ascii="Times New Roman" w:hAnsi="Times New Roman" w:eastAsia="宋体" w:cs="Times New Roman"/>
          <w:bCs/>
          <w:color w:val="auto"/>
          <w:kern w:val="2"/>
          <w:sz w:val="24"/>
          <w:szCs w:val="24"/>
          <w:lang w:val="en-US" w:eastAsia="zh-CN" w:bidi="ar-SA"/>
        </w:rPr>
        <w:t>。具体危险废物环境管理要求如下：</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（1）落实污染环境防治责任制度，建立健全工业危险废物产生、收集、贮存、运输、利用、处置全过程的污染环境防治责任制度。</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（2）落实危险废物识别标志制度，按照</w:t>
      </w:r>
      <w:r>
        <w:rPr>
          <w:rFonts w:hint="eastAsia" w:cs="Times New Roman"/>
          <w:bCs/>
          <w:color w:val="auto"/>
          <w:kern w:val="2"/>
          <w:sz w:val="24"/>
          <w:szCs w:val="24"/>
          <w:lang w:val="en-US" w:eastAsia="zh-CN" w:bidi="ar-SA"/>
        </w:rPr>
        <w:t>《危险废物识别标志设置技术规范》（HJ1276-2022）</w:t>
      </w:r>
      <w:r>
        <w:rPr>
          <w:rFonts w:hint="default" w:ascii="Times New Roman" w:hAnsi="Times New Roman" w:eastAsia="宋体" w:cs="Times New Roman"/>
          <w:bCs/>
          <w:color w:val="auto"/>
          <w:kern w:val="2"/>
          <w:sz w:val="24"/>
          <w:szCs w:val="24"/>
          <w:lang w:val="en-US" w:eastAsia="zh-CN" w:bidi="ar-SA"/>
        </w:rPr>
        <w:t>等有关规定，对危险废物的容器和包装物以及收集、贮存、运输、利用、处置危险废物的设施、场所设置危险废物识别标志。</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（3）落实危险废物管理计划制度，按照《危险废物管理计划和管理台账制定技术导则》（HJ 1259-2022）等有关要求制定危险废物管理计划，并报所在地生态环境主管部门备案。</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4）落实危险废物管理台账及申报制度，建立危险废物管理台账，如实记录有关信息，并通过国家危险废物信息管理系统向所在地生态环境主管部门申报危险废物的种类、产生量、流向、贮存、处置等有关资料。</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（5）落实危险废物经营许可证制度，禁止将危险废物提供或委托给无危险废物经营许可证的单位或者其他生产经营者从事收集、贮存、利用、处置活动。</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（6）落实危险废物转移联单制度，转移危险废物的，应当按照《危险废物转移管理办法》的有关规定填写、运行危险废物转移联单。</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（7）产生工业危险废物的单位应当落实排污许可制度；已经取得排污许可证的，执行排污许可管理制度的规定。</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（8）落实环境保护标准制度，按照国家有关规定和环境保护标准要求贮存、利用、处置危险废物，不得将其擅自倾倒处置；禁止混合收集、贮存、运输、处置性质不相容或未经安全性处置的危险废物。</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危险废物收集、贮存应当按照其特性分类进行；禁止将危险废物混入非危险废物中贮存。危险废物收集、贮存和运输过程的污染控制执行《危险废物贮存污染控制标准》（GB18597-2023）《危险废物收集贮存运输技术规范》（HJ2025-2012）等有关规定。</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（9）落实环境影响评价制度及环境保护三同时制度，需要配套建设的危险废物贮存、利用和处置设施应当与主体工程同时设计、同时施工、同时投入使用。</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10）落实环境应急预案制度，参考《危险废物经营单位编制应急预案指南》有关规定制定意外事故的防范措施和环境应急预案，并向所在地生态环境主管部门和其他负有固体废物污染环境防治监督管理职责的部门备案。</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（11）建设单位应加强危险废物规范化环境管理，按照《危险废物规范化环境管理评估指标》有关要求，提升危险废物规范化环境管理水平。</w:t>
      </w:r>
    </w:p>
    <w:p>
      <w:pPr>
        <w:pStyle w:val="56"/>
        <w:spacing w:line="360" w:lineRule="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12）对于列入《国家危险废物名录》附录《危险废物豁免管理清单》中的废弃的含油抹布和劳保用品等危险废物，当满足《危险废物豁免管理清单》中列出的豁免条件时，在所列的豁免环节可不按危险废物管理。</w:t>
      </w:r>
    </w:p>
    <w:p>
      <w:pPr>
        <w:widowControl w:val="0"/>
        <w:adjustRightInd w:val="0"/>
        <w:spacing w:line="360" w:lineRule="auto"/>
        <w:ind w:firstLine="480"/>
        <w:jc w:val="both"/>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（13）危险废物的种类、产生量、流向、贮存、利用、处置等有关资料的申报周期应根据产生危险废物的单位的管理类别确定。</w:t>
      </w:r>
    </w:p>
    <w:p>
      <w:pPr>
        <w:widowControl w:val="0"/>
        <w:adjustRightInd w:val="0"/>
        <w:spacing w:line="360" w:lineRule="auto"/>
        <w:ind w:firstLine="480"/>
        <w:jc w:val="both"/>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（14）危险废物收集、贮存、运输单位应建立规范的管理和技术人员培训制度，定期</w:t>
      </w:r>
      <w:r>
        <w:rPr>
          <w:rFonts w:hint="eastAsia" w:ascii="Times New Roman" w:hAnsi="Times New Roman" w:eastAsia="宋体" w:cs="Times New Roman"/>
          <w:bCs/>
          <w:color w:val="auto"/>
          <w:kern w:val="2"/>
          <w:sz w:val="24"/>
          <w:szCs w:val="24"/>
          <w:lang w:val="en-US" w:eastAsia="zh-CN" w:bidi="ar-SA"/>
        </w:rPr>
        <w:t>对</w:t>
      </w:r>
      <w:r>
        <w:rPr>
          <w:rFonts w:hint="default" w:ascii="Times New Roman" w:hAnsi="Times New Roman" w:eastAsia="宋体" w:cs="Times New Roman"/>
          <w:bCs/>
          <w:color w:val="auto"/>
          <w:kern w:val="2"/>
          <w:sz w:val="24"/>
          <w:szCs w:val="24"/>
          <w:lang w:val="en-US" w:eastAsia="zh-CN" w:bidi="ar-SA"/>
        </w:rPr>
        <w:t>管理和技术人员进行培训。培训内容至少应包括危险废物鉴别要求、危险废物经营许可证管理、危险废物转移联单管理、危险废物包装和标识、危险废物运输要求、危险废物事故应急方法等。</w:t>
      </w:r>
    </w:p>
    <w:p>
      <w:pPr>
        <w:widowControl w:val="0"/>
        <w:adjustRightInd w:val="0"/>
        <w:spacing w:line="360" w:lineRule="auto"/>
        <w:ind w:firstLine="48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Cs/>
          <w:color w:val="auto"/>
          <w:kern w:val="2"/>
          <w:sz w:val="24"/>
          <w:szCs w:val="24"/>
          <w:lang w:val="en-US" w:eastAsia="zh-CN" w:bidi="ar-SA"/>
        </w:rPr>
        <w:t>（15）危废标识牌</w:t>
      </w:r>
      <w:r>
        <w:rPr>
          <w:rFonts w:hint="default" w:ascii="Times New Roman" w:hAnsi="Times New Roman" w:eastAsia="宋体" w:cs="Times New Roman"/>
          <w:color w:val="auto"/>
          <w:sz w:val="24"/>
          <w:szCs w:val="24"/>
        </w:rPr>
        <w:t>按照《危险废物识别标志设置技术规范》（HJ1276-2022）更新危险废物标识牌，并设置二维码，完善、负责人及联系方式</w:t>
      </w:r>
      <w:r>
        <w:rPr>
          <w:rFonts w:hint="eastAsia" w:ascii="Times New Roman" w:hAnsi="Times New Roman" w:eastAsia="宋体" w:cs="Times New Roman"/>
          <w:color w:val="auto"/>
          <w:sz w:val="24"/>
          <w:szCs w:val="24"/>
          <w:lang w:eastAsia="zh-CN"/>
        </w:rPr>
        <w:t>。</w:t>
      </w:r>
    </w:p>
    <w:p>
      <w:pPr>
        <w:tabs>
          <w:tab w:val="left" w:pos="3465"/>
        </w:tabs>
        <w:spacing w:line="360" w:lineRule="auto"/>
        <w:outlineLvl w:val="2"/>
        <w:rPr>
          <w:rFonts w:hint="default" w:ascii="Times New Roman" w:hAnsi="Times New Roman" w:eastAsia="宋体" w:cs="Times New Roman"/>
          <w:b/>
          <w:color w:val="auto"/>
          <w:sz w:val="30"/>
          <w:szCs w:val="30"/>
          <w:lang w:val="en-US" w:eastAsia="zh-CN"/>
        </w:rPr>
      </w:pPr>
      <w:r>
        <w:rPr>
          <w:rFonts w:hint="default" w:ascii="Times New Roman" w:hAnsi="Times New Roman" w:eastAsia="宋体" w:cs="Times New Roman"/>
          <w:b/>
          <w:color w:val="auto"/>
          <w:sz w:val="30"/>
          <w:szCs w:val="30"/>
          <w:lang w:val="en-US" w:eastAsia="zh-CN"/>
        </w:rPr>
        <w:t>6.</w:t>
      </w:r>
      <w:r>
        <w:rPr>
          <w:rFonts w:hint="eastAsia" w:ascii="Times New Roman" w:hAnsi="Times New Roman" w:eastAsia="宋体" w:cs="Times New Roman"/>
          <w:b/>
          <w:color w:val="auto"/>
          <w:sz w:val="30"/>
          <w:szCs w:val="30"/>
          <w:lang w:val="en-US" w:eastAsia="zh-CN"/>
        </w:rPr>
        <w:t>5</w:t>
      </w:r>
      <w:r>
        <w:rPr>
          <w:rFonts w:hint="default" w:ascii="Times New Roman" w:hAnsi="Times New Roman" w:eastAsia="宋体" w:cs="Times New Roman"/>
          <w:b/>
          <w:color w:val="auto"/>
          <w:sz w:val="30"/>
          <w:szCs w:val="30"/>
          <w:lang w:val="en-US" w:eastAsia="zh-CN"/>
        </w:rPr>
        <w:t>.3退役期固废污染防治措施</w:t>
      </w:r>
    </w:p>
    <w:p>
      <w:pPr>
        <w:widowControl w:val="0"/>
        <w:adjustRightInd w:val="0"/>
        <w:spacing w:line="360" w:lineRule="auto"/>
        <w:ind w:firstLine="480"/>
        <w:jc w:val="both"/>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井场清理等工作还会产生部分废弃管线、废弃建筑残渣等固体废物，对这些废弃管线、残渣等进行集中清理收集，管线外运经清洗后可回收再利用，废弃建筑残渣外运至指定处理场填埋处理。运输过程中，运输车辆均加盖篷布，以防止行驶过程中固体废物的散落。</w:t>
      </w:r>
    </w:p>
    <w:p>
      <w:pPr>
        <w:pStyle w:val="3"/>
        <w:spacing w:before="10" w:after="10"/>
        <w:rPr>
          <w:rFonts w:hint="default" w:ascii="Times New Roman" w:hAnsi="Times New Roman" w:eastAsia="宋体" w:cs="Times New Roman"/>
          <w:color w:val="auto"/>
        </w:rPr>
      </w:pPr>
      <w:bookmarkStart w:id="460" w:name="_Toc17277"/>
      <w:bookmarkStart w:id="461" w:name="_Toc11847"/>
      <w:r>
        <w:rPr>
          <w:rFonts w:hint="default" w:ascii="Times New Roman" w:hAnsi="Times New Roman" w:eastAsia="宋体" w:cs="Times New Roman"/>
          <w:color w:val="auto"/>
        </w:rPr>
        <w:t>6.6土壤污染防治措施</w:t>
      </w:r>
      <w:bookmarkEnd w:id="460"/>
      <w:bookmarkEnd w:id="461"/>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6.6.1施工期土壤污染防治措施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（1）严格控制施工期临时占地面积，按设计及规划的施工范围进行施工作业，减少土壤扰动；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（2）施工机械及运输车辆应按规定的道路行驶，减少对土壤的碾压，减少碾压造成的土壤紧实度增加及养分流失；</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（3）施工产生的建筑垃圾不得随意抛洒，应集中收集并及时清运，防止污染物进入土壤环境造成污染；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（4）项目区处于风蚀区，应严格采取各项水土流失防治措施，施工完毕后通过对临时占地采取土地平整和防沙治沙措施，地表基本可免受水土流失。</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6.6.2运营期土壤污染防治措施</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结合本项目特点与调查评价范围内的土壤环境质量现状，在分析土壤污染途径的基础上，根据环境影响预测与评价结果，按照“源头控制、过程防控、跟踪监测、应急响应”相结合的原则，提出合理、可行、操作性强的土壤环境影响防控措施。</w:t>
      </w:r>
    </w:p>
    <w:p>
      <w:pPr>
        <w:pStyle w:val="66"/>
        <w:rPr>
          <w:rFonts w:hint="default" w:ascii="Times New Roman" w:hAnsi="Times New Roman" w:cs="Times New Roman"/>
          <w:color w:val="auto"/>
        </w:rPr>
      </w:pPr>
      <w:r>
        <w:rPr>
          <w:rFonts w:hint="default" w:ascii="Times New Roman" w:hAnsi="Times New Roman" w:cs="Times New Roman"/>
          <w:color w:val="auto"/>
        </w:rPr>
        <w:t>6.5.2.1源头控制措施</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生产过程入手，在工艺、设备、集输管道等方面尽可能地采取泄漏控制措施，从源头最大限度降低采出液和井下作业废水泄漏的可能性和泄漏量，使项目区污染物对土壤的影响降至最低，一旦出现泄漏等即可由区域内的各种配套措施进行收集、处置。</w:t>
      </w:r>
    </w:p>
    <w:p>
      <w:pPr>
        <w:numPr>
          <w:ilvl w:val="0"/>
          <w:numId w:val="8"/>
        </w:num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定期检查井场、管线、计量撬，是否有采出液泄漏的现象发生。</w:t>
      </w:r>
    </w:p>
    <w:p>
      <w:pPr>
        <w:numPr>
          <w:ilvl w:val="0"/>
          <w:numId w:val="8"/>
        </w:num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本工程选用耐腐蚀性能好、抗老化性能、耐热性能好、抗冻性能好、耐磨性能好的管材作为集输管线，可有效的防止管线腐蚀穿孔，</w:t>
      </w:r>
      <w:r>
        <w:rPr>
          <w:rFonts w:hint="eastAsia" w:ascii="Times New Roman" w:hAnsi="Times New Roman" w:eastAsia="宋体" w:cs="Times New Roman"/>
          <w:color w:val="auto"/>
          <w:sz w:val="24"/>
          <w:lang w:eastAsia="zh-CN"/>
        </w:rPr>
        <w:t>防止</w:t>
      </w:r>
      <w:r>
        <w:rPr>
          <w:rFonts w:hint="default" w:ascii="Times New Roman" w:hAnsi="Times New Roman" w:eastAsia="宋体" w:cs="Times New Roman"/>
          <w:color w:val="auto"/>
          <w:sz w:val="24"/>
        </w:rPr>
        <w:t>管线环境风险事故的发生。</w:t>
      </w:r>
    </w:p>
    <w:p>
      <w:pPr>
        <w:numPr>
          <w:ilvl w:val="0"/>
          <w:numId w:val="8"/>
        </w:num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对管道定期检修，将事故发生的概率降至最低，可有效保护土壤和地下水环境不受污染。</w:t>
      </w:r>
    </w:p>
    <w:p>
      <w:pPr>
        <w:numPr>
          <w:ilvl w:val="0"/>
          <w:numId w:val="8"/>
        </w:num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由于发生管线泄漏时管线的压力变化明显比较容易发现，可及时采取必要的处理措施，使造成的污染控制在局部环境。</w:t>
      </w:r>
    </w:p>
    <w:p>
      <w:pPr>
        <w:numPr>
          <w:ilvl w:val="0"/>
          <w:numId w:val="8"/>
        </w:num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如果发生井下作业废水渗漏、集输管道及计量撬的采出液渗漏，建设单位应立即采取切断措施并及时组织专门力量进行污染物的清除工作，在最短的时间内清除地面及地下的石油类物质，委托具有相应HW08危废处理资质单位对污染土壤进行转运处置，因而，石油类污染物进入土壤和地下潜水的可能性较小。</w:t>
      </w:r>
    </w:p>
    <w:p>
      <w:pPr>
        <w:pStyle w:val="66"/>
        <w:rPr>
          <w:rFonts w:hint="default" w:ascii="Times New Roman" w:hAnsi="Times New Roman" w:cs="Times New Roman"/>
          <w:color w:val="auto"/>
        </w:rPr>
      </w:pPr>
      <w:r>
        <w:rPr>
          <w:rFonts w:hint="default" w:ascii="Times New Roman" w:hAnsi="Times New Roman" w:cs="Times New Roman"/>
          <w:color w:val="auto"/>
        </w:rPr>
        <w:t>6.5.2.2过程控制措施</w:t>
      </w:r>
    </w:p>
    <w:p>
      <w:pPr>
        <w:spacing w:line="360" w:lineRule="auto"/>
        <w:ind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根据本项目特点，从垂直入渗途径，采取过程阻断、污染物削减和分区防控措施保护土壤环境。</w:t>
      </w:r>
    </w:p>
    <w:p>
      <w:pPr>
        <w:pStyle w:val="66"/>
        <w:rPr>
          <w:rFonts w:hint="default" w:ascii="Times New Roman" w:hAnsi="Times New Roman" w:cs="Times New Roman"/>
          <w:color w:val="auto"/>
        </w:rPr>
      </w:pPr>
      <w:r>
        <w:rPr>
          <w:rFonts w:hint="default" w:ascii="Times New Roman" w:hAnsi="Times New Roman" w:cs="Times New Roman"/>
          <w:color w:val="auto"/>
        </w:rPr>
        <w:t>6.5.2.3跟踪监测</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 土壤环境（试行）》（HJ 964-2018）的跟踪监测要求，制定跟踪监测计划，发生事故泄漏时对井场、管线可能影响区域跟踪监测，每5年监测1次。</w:t>
      </w:r>
    </w:p>
    <w:p>
      <w:pPr>
        <w:numPr>
          <w:ilvl w:val="3"/>
          <w:numId w:val="0"/>
        </w:numPr>
        <w:tabs>
          <w:tab w:val="left" w:pos="864"/>
        </w:tabs>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本项目通过采用严格的管理措施，在工艺、设备、集输管道等方面采取源头控制措施，并从垂直入渗途径采取过程阻断、污染物削减和分区防控措施，来尽可能降低项目运营对土壤环境的影响，措施可行。</w:t>
      </w:r>
    </w:p>
    <w:bookmarkEnd w:id="457"/>
    <w:p>
      <w:pPr>
        <w:pStyle w:val="3"/>
        <w:spacing w:before="10" w:after="10"/>
        <w:rPr>
          <w:rFonts w:hint="default" w:ascii="Times New Roman" w:hAnsi="Times New Roman" w:eastAsia="宋体" w:cs="Times New Roman"/>
          <w:color w:val="auto"/>
        </w:rPr>
      </w:pPr>
      <w:bookmarkStart w:id="462" w:name="_Toc4025"/>
      <w:bookmarkStart w:id="463" w:name="_Toc14265"/>
      <w:bookmarkStart w:id="464" w:name="_Toc44088101"/>
      <w:bookmarkStart w:id="465" w:name="_Toc35366105"/>
      <w:bookmarkStart w:id="466" w:name="_Toc30415"/>
      <w:bookmarkStart w:id="467" w:name="_Toc35366497"/>
      <w:r>
        <w:rPr>
          <w:rFonts w:hint="default" w:ascii="Times New Roman" w:hAnsi="Times New Roman" w:eastAsia="宋体" w:cs="Times New Roman"/>
          <w:color w:val="auto"/>
        </w:rPr>
        <w:t>6.7生态环境保护措施</w:t>
      </w:r>
      <w:bookmarkEnd w:id="462"/>
      <w:bookmarkEnd w:id="463"/>
      <w:bookmarkEnd w:id="464"/>
      <w:bookmarkEnd w:id="465"/>
      <w:bookmarkEnd w:id="466"/>
      <w:bookmarkEnd w:id="467"/>
    </w:p>
    <w:p>
      <w:pPr>
        <w:pStyle w:val="86"/>
        <w:rPr>
          <w:rFonts w:hint="default" w:ascii="Times New Roman" w:hAnsi="Times New Roman" w:cs="Times New Roman"/>
          <w:color w:val="auto"/>
        </w:rPr>
      </w:pPr>
      <w:r>
        <w:rPr>
          <w:rFonts w:hint="default" w:ascii="Times New Roman" w:hAnsi="Times New Roman" w:cs="Times New Roman"/>
          <w:color w:val="auto"/>
        </w:rPr>
        <w:t>对油田区域内的临时占地和永久占地合理规划，尽量避让植被较多的区域；严格控制施工作业带宽度，减少临时占地面积；在工程施工过程中和施工结束后，及时对施工场地进行平整，以便后期自然恢复；工程结束后，做好施工场地的恢复工作，并按相关规定对植被损失进行生态经济补偿。</w:t>
      </w:r>
    </w:p>
    <w:p>
      <w:pPr>
        <w:pStyle w:val="86"/>
        <w:rPr>
          <w:rFonts w:hint="default" w:ascii="Times New Roman" w:hAnsi="Times New Roman" w:cs="Times New Roman"/>
          <w:color w:val="auto"/>
          <w:sz w:val="24"/>
          <w:szCs w:val="24"/>
        </w:rPr>
      </w:pPr>
      <w:r>
        <w:rPr>
          <w:rFonts w:hint="default" w:ascii="Times New Roman" w:hAnsi="Times New Roman" w:cs="Times New Roman"/>
          <w:color w:val="auto"/>
        </w:rPr>
        <w:t>生态恢复与补偿措施主要依靠植被自然恢复的方式进行，重点是防止因工程建设造成的水土流失和风蚀沙化。</w:t>
      </w:r>
    </w:p>
    <w:p>
      <w:pPr>
        <w:tabs>
          <w:tab w:val="left" w:pos="3465"/>
        </w:tabs>
        <w:spacing w:line="360" w:lineRule="auto"/>
        <w:outlineLvl w:val="2"/>
        <w:rPr>
          <w:rFonts w:hint="default" w:ascii="Times New Roman" w:hAnsi="Times New Roman" w:eastAsia="宋体" w:cs="Times New Roman"/>
          <w:b/>
          <w:color w:val="auto"/>
          <w:sz w:val="30"/>
          <w:szCs w:val="30"/>
        </w:rPr>
      </w:pPr>
      <w:bookmarkStart w:id="468" w:name="_Toc404849029"/>
      <w:bookmarkStart w:id="469" w:name="_Toc329026278"/>
      <w:bookmarkStart w:id="470" w:name="_Toc330419147"/>
      <w:bookmarkStart w:id="471" w:name="_Toc384828523"/>
      <w:bookmarkStart w:id="472" w:name="_Toc387230409"/>
      <w:bookmarkStart w:id="473" w:name="_Toc382488812"/>
      <w:bookmarkStart w:id="474" w:name="_Toc332318077"/>
      <w:bookmarkStart w:id="475" w:name="_Toc330418931"/>
      <w:bookmarkStart w:id="476" w:name="_Toc312149149"/>
      <w:bookmarkStart w:id="477" w:name="_Toc406490462"/>
      <w:bookmarkStart w:id="478" w:name="_Toc313911468"/>
      <w:r>
        <w:rPr>
          <w:rFonts w:hint="default" w:ascii="Times New Roman" w:hAnsi="Times New Roman" w:eastAsia="宋体" w:cs="Times New Roman"/>
          <w:b/>
          <w:color w:val="auto"/>
          <w:sz w:val="30"/>
          <w:szCs w:val="30"/>
        </w:rPr>
        <w:t>6.7.1施工期生态环境保护措施</w:t>
      </w:r>
      <w:bookmarkEnd w:id="468"/>
      <w:bookmarkEnd w:id="469"/>
      <w:bookmarkEnd w:id="470"/>
      <w:bookmarkEnd w:id="471"/>
      <w:bookmarkEnd w:id="472"/>
      <w:bookmarkEnd w:id="473"/>
      <w:bookmarkEnd w:id="474"/>
      <w:bookmarkEnd w:id="475"/>
      <w:bookmarkEnd w:id="476"/>
      <w:bookmarkEnd w:id="477"/>
      <w:bookmarkEnd w:id="478"/>
    </w:p>
    <w:p>
      <w:pPr>
        <w:pStyle w:val="66"/>
        <w:rPr>
          <w:rFonts w:hint="default" w:ascii="Times New Roman" w:hAnsi="Times New Roman" w:cs="Times New Roman"/>
          <w:color w:val="auto"/>
        </w:rPr>
      </w:pPr>
      <w:r>
        <w:rPr>
          <w:rFonts w:hint="default" w:ascii="Times New Roman" w:hAnsi="Times New Roman" w:cs="Times New Roman"/>
          <w:color w:val="auto"/>
        </w:rPr>
        <w:t>6.7.1.1井场、站场工程生态保护措施要求</w:t>
      </w:r>
    </w:p>
    <w:p>
      <w:pPr>
        <w:pStyle w:val="56"/>
        <w:spacing w:line="360" w:lineRule="auto"/>
        <w:rPr>
          <w:rFonts w:hint="default" w:ascii="Times New Roman" w:hAnsi="Times New Roman" w:cs="Times New Roman"/>
          <w:color w:val="auto"/>
          <w:sz w:val="24"/>
          <w:szCs w:val="24"/>
        </w:rPr>
      </w:pPr>
      <w:bookmarkStart w:id="479" w:name="_Hlk29296325"/>
      <w:r>
        <w:rPr>
          <w:rFonts w:hint="default" w:ascii="Times New Roman" w:hAnsi="Times New Roman" w:cs="Times New Roman"/>
          <w:color w:val="auto"/>
          <w:sz w:val="24"/>
          <w:szCs w:val="24"/>
        </w:rPr>
        <w:t>（1）井场、站场建设前，选址阶段应对施工场地周边进行现场调查，避开植被长势良好、茂密的区域</w:t>
      </w:r>
      <w:bookmarkStart w:id="480" w:name="_Hlk104985695"/>
      <w:r>
        <w:rPr>
          <w:rFonts w:hint="default" w:ascii="Times New Roman" w:hAnsi="Times New Roman" w:cs="Times New Roman"/>
          <w:color w:val="auto"/>
          <w:sz w:val="24"/>
          <w:szCs w:val="24"/>
        </w:rPr>
        <w:t>。选择裸地或植被稀疏的区域进行井场和站场的建设。</w:t>
      </w:r>
      <w:bookmarkEnd w:id="480"/>
    </w:p>
    <w:bookmarkEnd w:id="479"/>
    <w:p>
      <w:pPr>
        <w:pStyle w:val="56"/>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（2）对</w:t>
      </w:r>
      <w:r>
        <w:rPr>
          <w:rFonts w:hint="default" w:ascii="Times New Roman" w:hAnsi="Times New Roman" w:cs="Times New Roman"/>
          <w:color w:val="auto"/>
          <w:sz w:val="24"/>
          <w:szCs w:val="24"/>
        </w:rPr>
        <w:t>井场的临时性占地合理规划，严格控制占地面积</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单</w:t>
      </w:r>
      <w:r>
        <w:rPr>
          <w:rFonts w:hint="default" w:ascii="Times New Roman" w:hAnsi="Times New Roman" w:cs="Times New Roman"/>
          <w:color w:val="auto"/>
          <w:sz w:val="24"/>
          <w:szCs w:val="24"/>
          <w:lang w:val="en-US" w:eastAsia="zh-CN"/>
        </w:rPr>
        <w:t>井场面积控制在</w:t>
      </w:r>
      <w:r>
        <w:rPr>
          <w:rFonts w:hint="eastAsia" w:ascii="Times New Roman" w:hAnsi="Times New Roman" w:cs="Times New Roman"/>
          <w:color w:val="auto"/>
          <w:sz w:val="24"/>
          <w:szCs w:val="24"/>
          <w:lang w:val="en-US" w:eastAsia="zh-CN"/>
        </w:rPr>
        <w:t>8</w:t>
      </w:r>
      <w:r>
        <w:rPr>
          <w:rFonts w:hint="eastAsia" w:cs="Times New Roman"/>
          <w:color w:val="auto"/>
          <w:sz w:val="24"/>
          <w:szCs w:val="24"/>
          <w:lang w:val="en-US" w:eastAsia="zh-CN"/>
        </w:rPr>
        <w:t>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80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、2井式井场</w:t>
      </w:r>
      <w:r>
        <w:rPr>
          <w:rFonts w:hint="default" w:ascii="Times New Roman" w:hAnsi="Times New Roman" w:cs="Times New Roman"/>
          <w:color w:val="auto"/>
          <w:sz w:val="24"/>
          <w:szCs w:val="24"/>
          <w:lang w:val="en-US" w:eastAsia="zh-CN"/>
        </w:rPr>
        <w:t>面积控制在</w:t>
      </w:r>
      <w:r>
        <w:rPr>
          <w:rFonts w:hint="eastAsia" w:ascii="Times New Roman" w:hAnsi="Times New Roman" w:cs="Times New Roman"/>
          <w:color w:val="auto"/>
          <w:sz w:val="24"/>
          <w:szCs w:val="24"/>
          <w:lang w:val="en-US" w:eastAsia="zh-CN"/>
        </w:rPr>
        <w:t>9</w:t>
      </w:r>
      <w:r>
        <w:rPr>
          <w:rFonts w:hint="eastAsia" w:cs="Times New Roman"/>
          <w:color w:val="auto"/>
          <w:sz w:val="24"/>
          <w:szCs w:val="24"/>
          <w:lang w:val="en-US" w:eastAsia="zh-CN"/>
        </w:rPr>
        <w:t>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80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采油井单井</w:t>
      </w:r>
      <w:r>
        <w:rPr>
          <w:rFonts w:hint="default" w:ascii="Times New Roman" w:hAnsi="Times New Roman" w:cs="Times New Roman"/>
          <w:color w:val="auto"/>
          <w:sz w:val="24"/>
          <w:szCs w:val="24"/>
          <w:lang w:val="en-US" w:eastAsia="zh-CN"/>
        </w:rPr>
        <w:t>永久占地面积控制在</w:t>
      </w:r>
      <w:r>
        <w:rPr>
          <w:rFonts w:hint="eastAsia" w:cs="Times New Roman"/>
          <w:color w:val="auto"/>
          <w:sz w:val="24"/>
          <w:szCs w:val="24"/>
          <w:lang w:val="en-US" w:eastAsia="zh-CN"/>
        </w:rPr>
        <w:t>30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25</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，注水井单井</w:t>
      </w:r>
      <w:r>
        <w:rPr>
          <w:rFonts w:hint="default" w:ascii="Times New Roman" w:hAnsi="Times New Roman" w:cs="Times New Roman"/>
          <w:color w:val="auto"/>
          <w:sz w:val="24"/>
          <w:szCs w:val="24"/>
          <w:lang w:val="en-US" w:eastAsia="zh-CN"/>
        </w:rPr>
        <w:t>永久占地面积控制在</w:t>
      </w:r>
      <w:r>
        <w:rPr>
          <w:rFonts w:hint="eastAsia" w:cs="Times New Roman"/>
          <w:color w:val="auto"/>
          <w:sz w:val="24"/>
          <w:szCs w:val="24"/>
          <w:lang w:val="en-US" w:eastAsia="zh-CN"/>
        </w:rPr>
        <w:t>20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20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，2井式井场</w:t>
      </w:r>
      <w:r>
        <w:rPr>
          <w:rFonts w:hint="default" w:ascii="Times New Roman" w:hAnsi="Times New Roman" w:cs="Times New Roman"/>
          <w:color w:val="auto"/>
          <w:sz w:val="24"/>
          <w:szCs w:val="24"/>
          <w:lang w:val="en-US" w:eastAsia="zh-CN"/>
        </w:rPr>
        <w:t>永久占地面积控制在</w:t>
      </w:r>
      <w:r>
        <w:rPr>
          <w:rFonts w:hint="eastAsia" w:cs="Times New Roman"/>
          <w:color w:val="auto"/>
          <w:sz w:val="24"/>
          <w:szCs w:val="24"/>
          <w:lang w:val="en-US" w:eastAsia="zh-CN"/>
        </w:rPr>
        <w:t>40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25</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bookmarkStart w:id="481" w:name="_Hlk42181456"/>
      <w:r>
        <w:rPr>
          <w:rFonts w:hint="default" w:ascii="Times New Roman" w:hAnsi="Times New Roman" w:cs="Times New Roman"/>
          <w:color w:val="auto"/>
          <w:sz w:val="24"/>
          <w:szCs w:val="24"/>
        </w:rPr>
        <w:t>尽量选择在植被稀少或荒漠的区域布点</w:t>
      </w:r>
      <w:bookmarkEnd w:id="481"/>
      <w:r>
        <w:rPr>
          <w:rFonts w:hint="default" w:ascii="Times New Roman" w:hAnsi="Times New Roman" w:cs="Times New Roman"/>
          <w:color w:val="auto"/>
          <w:sz w:val="24"/>
          <w:szCs w:val="24"/>
        </w:rPr>
        <w:t>。采取少占地、少破坏植被的</w:t>
      </w:r>
      <w:r>
        <w:rPr>
          <w:rFonts w:cs="Times New Roman"/>
          <w:color w:val="auto"/>
          <w:sz w:val="24"/>
          <w:szCs w:val="24"/>
        </w:rPr>
        <w:t>原则，缩小施工范围。严格控制施工区域，将临时占地面积控制在最低。</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（3）钻井废弃物100%回收，减少对周围土壤、植被的影响。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（4）一切作业尽量利用</w:t>
      </w:r>
      <w:r>
        <w:rPr>
          <w:rFonts w:hint="eastAsia" w:cs="Times New Roman"/>
          <w:color w:val="auto"/>
          <w:sz w:val="24"/>
          <w:szCs w:val="24"/>
          <w:lang w:eastAsia="zh-CN"/>
        </w:rPr>
        <w:t>现有公路</w:t>
      </w:r>
      <w:r>
        <w:rPr>
          <w:rFonts w:hint="default" w:ascii="Times New Roman" w:hAnsi="Times New Roman" w:cs="Times New Roman"/>
          <w:color w:val="auto"/>
          <w:sz w:val="24"/>
          <w:szCs w:val="24"/>
        </w:rPr>
        <w:t>，按原有车辙行驶，若无原有公路，要严格执行先修路，后施工的原则。不得随意开设便道，杜绝车辆乱碾乱轧的情况发生。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（5）施工结束后，做到井场整洁、无杂物，施工单位应负责及时清理现场，使之尽快恢复原状，将施工期对生态环境的影响降到最低。对于地面工程建</w:t>
      </w:r>
      <w:r>
        <w:rPr>
          <w:rFonts w:hint="default" w:ascii="Times New Roman" w:hAnsi="Times New Roman" w:cs="Times New Roman"/>
          <w:color w:val="auto"/>
          <w:sz w:val="24"/>
          <w:szCs w:val="24"/>
          <w:lang w:val="zh-CN"/>
        </w:rPr>
        <w:t>设临时扰动的地表要及时进行植被恢复工作，</w:t>
      </w:r>
      <w:r>
        <w:rPr>
          <w:rFonts w:hint="default" w:ascii="Times New Roman" w:hAnsi="Times New Roman" w:cs="Times New Roman"/>
          <w:color w:val="auto"/>
          <w:sz w:val="24"/>
          <w:szCs w:val="24"/>
        </w:rPr>
        <w:t>恢复原有生态环境，同时结合灌水，经常保持土壤表层湿度，使植物尽快繁殖定居，形成植物群落，促进其按正常演替规律进行发展，形成永久性的植被，以加速生态环境重建。</w:t>
      </w:r>
      <w:r>
        <w:rPr>
          <w:rFonts w:hint="default" w:ascii="Times New Roman" w:hAnsi="Times New Roman" w:cs="Times New Roman"/>
          <w:color w:val="auto"/>
          <w:sz w:val="24"/>
          <w:szCs w:val="24"/>
          <w:lang w:val="zh-CN"/>
        </w:rPr>
        <w:t>减少地表裸露面积，防止水土流失。迅速恢复被破坏的地表形态，填埋废土坑、平整作业现场、改善植被更新生长条件，防止局部土地退化。</w:t>
      </w:r>
      <w:r>
        <w:rPr>
          <w:rFonts w:hint="default" w:ascii="Times New Roman" w:hAnsi="Times New Roman" w:cs="Times New Roman"/>
          <w:color w:val="auto"/>
          <w:sz w:val="24"/>
          <w:szCs w:val="24"/>
        </w:rPr>
        <w:t>严禁施工人员采摘植被和猎捕野生动物，禁止侵扰野生动物栖息地。施工结束后，凡受到施工车辆、机械破坏的地方都要及时调整，使之尽快恢复原貌。对于拟永久使用的伴行道以及各平台等，建设完成后，应因地制宜地进行地表原始景观恢复。加强管理工作，严禁车辆和人员</w:t>
      </w:r>
      <w:r>
        <w:rPr>
          <w:rFonts w:hint="eastAsia" w:cs="Times New Roman"/>
          <w:color w:val="auto"/>
          <w:sz w:val="24"/>
          <w:szCs w:val="24"/>
          <w:lang w:eastAsia="zh-CN"/>
        </w:rPr>
        <w:t>踩踏</w:t>
      </w:r>
      <w:r>
        <w:rPr>
          <w:rFonts w:hint="default" w:ascii="Times New Roman" w:hAnsi="Times New Roman" w:cs="Times New Roman"/>
          <w:color w:val="auto"/>
          <w:sz w:val="24"/>
          <w:szCs w:val="24"/>
        </w:rPr>
        <w:t>、碾压，车辆要严格行驶在已建的道路上。</w:t>
      </w:r>
    </w:p>
    <w:p>
      <w:pPr>
        <w:pStyle w:val="66"/>
        <w:rPr>
          <w:rFonts w:hint="default" w:ascii="Times New Roman" w:hAnsi="Times New Roman" w:cs="Times New Roman"/>
          <w:color w:val="auto"/>
        </w:rPr>
      </w:pPr>
      <w:r>
        <w:rPr>
          <w:rFonts w:hint="default" w:ascii="Times New Roman" w:hAnsi="Times New Roman" w:cs="Times New Roman"/>
          <w:color w:val="auto"/>
        </w:rPr>
        <w:t>6.7.1.2管线工程生态保护措施要求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（1）对油田区域内的临时性占地（管线埋设）合理规划，严格控制临时占地面积，在选线阶段避开</w:t>
      </w:r>
      <w:bookmarkStart w:id="482" w:name="_Hlk104985773"/>
      <w:r>
        <w:rPr>
          <w:rFonts w:hint="default" w:ascii="Times New Roman" w:hAnsi="Times New Roman" w:cs="Times New Roman"/>
          <w:color w:val="auto"/>
          <w:sz w:val="24"/>
          <w:szCs w:val="24"/>
        </w:rPr>
        <w:t>植被长势良好、茂密的区域</w:t>
      </w:r>
      <w:bookmarkEnd w:id="482"/>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（2）</w:t>
      </w:r>
      <w:bookmarkStart w:id="483" w:name="_Hlk104985813"/>
      <w:r>
        <w:rPr>
          <w:rFonts w:hint="default" w:ascii="Times New Roman" w:hAnsi="Times New Roman" w:eastAsia="宋体" w:cs="Times New Roman"/>
          <w:color w:val="auto"/>
          <w:sz w:val="24"/>
          <w:szCs w:val="24"/>
        </w:rPr>
        <w:t>管道施工作业带应严格控制在规定范围以内，不应随意扩大，施工作业带宽度控制在</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rPr>
        <w:t>m</w:t>
      </w:r>
      <w:bookmarkEnd w:id="483"/>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开</w:t>
      </w:r>
      <w:r>
        <w:rPr>
          <w:rFonts w:hint="eastAsia" w:cs="Times New Roman"/>
          <w:color w:val="auto"/>
          <w:sz w:val="24"/>
          <w:szCs w:val="24"/>
          <w:lang w:val="en-US" w:eastAsia="zh-CN"/>
        </w:rPr>
        <w:t>挖的土方堆放在施工作业带范围内，不单独设置临时堆土场，架空线路临时施工</w:t>
      </w:r>
      <w:r>
        <w:rPr>
          <w:rFonts w:cs="Times New Roman"/>
          <w:color w:val="auto"/>
          <w:sz w:val="24"/>
          <w:szCs w:val="24"/>
        </w:rPr>
        <w:t>作业带宽度控制在</w:t>
      </w:r>
      <w:r>
        <w:rPr>
          <w:rFonts w:hint="eastAsia" w:cs="Times New Roman"/>
          <w:color w:val="auto"/>
          <w:sz w:val="24"/>
          <w:szCs w:val="24"/>
          <w:lang w:val="en-US" w:eastAsia="zh-CN"/>
        </w:rPr>
        <w:t>4</w:t>
      </w:r>
      <w:r>
        <w:rPr>
          <w:rFonts w:cs="Times New Roman"/>
          <w:color w:val="auto"/>
          <w:sz w:val="24"/>
          <w:szCs w:val="24"/>
        </w:rPr>
        <w:t>m，当遇到植被密集区域，可将机械施工改为人工施工，减少施工作业宽度，降低对区域植被的影响。</w:t>
      </w:r>
    </w:p>
    <w:p>
      <w:pPr>
        <w:pStyle w:val="5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（3）管沟</w:t>
      </w:r>
      <w:r>
        <w:rPr>
          <w:rFonts w:hint="eastAsia" w:ascii="Times New Roman" w:hAnsi="Times New Roman" w:eastAsia="宋体" w:cs="Times New Roman"/>
          <w:color w:val="auto"/>
          <w:sz w:val="24"/>
          <w:szCs w:val="24"/>
          <w:lang w:val="en-US" w:eastAsia="zh-CN"/>
        </w:rPr>
        <w:t>、塔基</w:t>
      </w:r>
      <w:r>
        <w:rPr>
          <w:rFonts w:hint="default" w:ascii="Times New Roman" w:hAnsi="Times New Roman" w:eastAsia="宋体" w:cs="Times New Roman"/>
          <w:color w:val="auto"/>
          <w:sz w:val="24"/>
          <w:szCs w:val="24"/>
          <w:lang w:val="en-US" w:eastAsia="zh-CN"/>
        </w:rPr>
        <w:t>开挖，尽可能做到土壤的分层堆放，分类回填，特别是表层土壤应分层堆放，在施工完毕后回铺于地表，减轻对土壤的破坏，以利于植被的恢复和生长。严格控制工程施工临时占地，根据管径的大小尽可能少占地。</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（4）根据地形条件，尽量按地形走向、起伏施工，减少挖填作业量。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（5）管线敷设力求线路顺直，缩短线路长度。在满足有关安全规范的基础上，减少扰动土地。</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对管沟回填后多余的土严禁大量集中弃置，应均匀分散在管线中心两侧，并使管沟与周围自然地表形成平滑过渡，不得形成汇水区域，防止水土流失。管线所经地段的原始地表存在局部凹地时，若有积水的可能，需采用管沟多余土或借土填高以防地表水汇集。对敷设在较平坦地段的管道，应在地貌恢复后使管沟与附近地表自然过渡，回填土与周围地表坡向保持一致，严禁在管沟两侧有积水环境存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（7）施工中要做到分段施工，随挖、随运、随铺、随压，不留疏松地面，提高施工效率，尽可能缩短施工工期。</w:t>
      </w:r>
    </w:p>
    <w:p>
      <w:pPr>
        <w:pStyle w:val="66"/>
        <w:rPr>
          <w:rFonts w:hint="default" w:ascii="Times New Roman" w:hAnsi="Times New Roman" w:cs="Times New Roman"/>
          <w:color w:val="auto"/>
        </w:rPr>
      </w:pPr>
      <w:bookmarkStart w:id="484" w:name="_Hlk36740139"/>
      <w:r>
        <w:rPr>
          <w:rFonts w:hint="default" w:ascii="Times New Roman" w:hAnsi="Times New Roman" w:cs="Times New Roman"/>
          <w:color w:val="auto"/>
        </w:rPr>
        <w:t>6.7.1.3对荒漠植物保护措施要求</w:t>
      </w:r>
    </w:p>
    <w:p>
      <w:pPr>
        <w:spacing w:line="360" w:lineRule="auto"/>
        <w:ind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 xml:space="preserve">（1）施工过程中严格规定车辆和各类工作人员的活动范围，使之限于在施工区范围内活动，最大限度减少对荒漠植物生存环境的踩踏破坏，避免破坏荒漠植物。 </w:t>
      </w:r>
    </w:p>
    <w:p>
      <w:pPr>
        <w:spacing w:line="360" w:lineRule="auto"/>
        <w:ind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（2）确保生产设施正常运行，避免各种污染物对土壤环境的影响，并进一步影响其上部生长的荒漠植被。</w:t>
      </w:r>
    </w:p>
    <w:p>
      <w:pPr>
        <w:spacing w:line="360" w:lineRule="auto"/>
        <w:ind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（3）强化风险意识，制定切实可行的风险防范与应急预案，最大限度降低风险概率，避免可能发生的油品泄漏事故对野生植物生存环境造成威胁。</w:t>
      </w:r>
    </w:p>
    <w:p>
      <w:pPr>
        <w:spacing w:line="360" w:lineRule="auto"/>
        <w:ind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（4）在道路边、油田区，设置“保护生态环境、保护野生动植物”等警示牌。</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（5）保护项目区内的灌木，选择植被生长稀疏地段进行作业。</w:t>
      </w:r>
      <w:bookmarkStart w:id="485" w:name="_Hlk98513121"/>
      <w:r>
        <w:rPr>
          <w:rFonts w:hint="default" w:ascii="Times New Roman" w:hAnsi="Times New Roman" w:cs="Times New Roman"/>
          <w:color w:val="auto"/>
          <w:sz w:val="24"/>
          <w:szCs w:val="24"/>
        </w:rPr>
        <w:t>管线敷设过程中，应确定施工作业线，不随意改线，尽量减少占用和破坏植被，把破坏和影响严格控制在征地范围内，</w:t>
      </w:r>
      <w:bookmarkEnd w:id="485"/>
      <w:r>
        <w:rPr>
          <w:rFonts w:hint="default" w:ascii="Times New Roman" w:hAnsi="Times New Roman" w:cs="Times New Roman"/>
          <w:color w:val="auto"/>
          <w:sz w:val="24"/>
          <w:szCs w:val="24"/>
        </w:rPr>
        <w:t>管线作业带控制在管线两侧</w:t>
      </w:r>
      <w:r>
        <w:rPr>
          <w:rFonts w:hint="eastAsia" w:cs="Times New Roman"/>
          <w:color w:val="auto"/>
          <w:sz w:val="24"/>
          <w:szCs w:val="24"/>
          <w:lang w:val="en-US" w:eastAsia="zh-CN"/>
        </w:rPr>
        <w:t>8</w:t>
      </w:r>
      <w:r>
        <w:rPr>
          <w:rFonts w:hint="default" w:ascii="Times New Roman" w:hAnsi="Times New Roman" w:cs="Times New Roman"/>
          <w:color w:val="auto"/>
          <w:sz w:val="24"/>
          <w:szCs w:val="24"/>
        </w:rPr>
        <w:t>m，尽可能缩小施工作业宽度，减少占地，尽量避开植被，并在道路树立明显标志牌，施工取土应单侧堆土，尽量减少占地面积，减少对地表的碾压破坏。施工结束后对破坏和占用的植被及时恢复。</w:t>
      </w:r>
    </w:p>
    <w:bookmarkEnd w:id="484"/>
    <w:p>
      <w:pPr>
        <w:pStyle w:val="66"/>
        <w:rPr>
          <w:rFonts w:hint="default" w:ascii="Times New Roman" w:hAnsi="Times New Roman" w:cs="Times New Roman"/>
          <w:color w:val="auto"/>
        </w:rPr>
      </w:pPr>
      <w:r>
        <w:rPr>
          <w:rFonts w:hint="default" w:ascii="Times New Roman" w:hAnsi="Times New Roman" w:cs="Times New Roman"/>
          <w:color w:val="auto"/>
        </w:rPr>
        <w:t>6.7.1.</w:t>
      </w:r>
      <w:r>
        <w:rPr>
          <w:rFonts w:hint="default" w:ascii="Times New Roman" w:hAnsi="Times New Roman" w:cs="Times New Roman"/>
          <w:color w:val="auto"/>
          <w:lang w:val="en-US" w:eastAsia="zh-CN"/>
        </w:rPr>
        <w:t>4</w:t>
      </w:r>
      <w:r>
        <w:rPr>
          <w:rFonts w:hint="default" w:ascii="Times New Roman" w:hAnsi="Times New Roman" w:cs="Times New Roman"/>
          <w:color w:val="auto"/>
        </w:rPr>
        <w:t>野生动物的生态环保措施要求</w:t>
      </w:r>
    </w:p>
    <w:p>
      <w:pPr>
        <w:pStyle w:val="56"/>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（1）本项目区域共有国家级保护动物</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种</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沙狐、狼、赤狐、草原斑猫</w:t>
      </w:r>
      <w:r>
        <w:rPr>
          <w:rFonts w:hint="default" w:ascii="Times New Roman" w:hAnsi="Times New Roman" w:cs="Times New Roman"/>
          <w:color w:val="auto"/>
          <w:sz w:val="24"/>
          <w:szCs w:val="24"/>
          <w:lang w:eastAsia="zh-CN"/>
        </w:rPr>
        <w:t>、兔狲、</w:t>
      </w:r>
      <w:r>
        <w:rPr>
          <w:rFonts w:hint="default" w:ascii="Times New Roman" w:hAnsi="Times New Roman" w:cs="Times New Roman"/>
          <w:color w:val="auto"/>
          <w:sz w:val="24"/>
          <w:szCs w:val="24"/>
        </w:rPr>
        <w:t>鹅喉羚、雀鹰</w:t>
      </w:r>
      <w:r>
        <w:rPr>
          <w:rFonts w:hint="default" w:ascii="Times New Roman" w:hAnsi="Times New Roman" w:cs="Times New Roman"/>
          <w:color w:val="auto"/>
          <w:sz w:val="24"/>
          <w:szCs w:val="24"/>
          <w:lang w:eastAsia="zh-CN"/>
        </w:rPr>
        <w:t>、草原鹞、红隼、</w:t>
      </w:r>
      <w:r>
        <w:rPr>
          <w:rFonts w:hint="default" w:ascii="Times New Roman" w:hAnsi="Times New Roman" w:cs="Times New Roman"/>
          <w:color w:val="auto"/>
          <w:sz w:val="24"/>
          <w:szCs w:val="24"/>
        </w:rPr>
        <w:t>云雀、东方沙蟒</w:t>
      </w:r>
      <w:r>
        <w:rPr>
          <w:rFonts w:hint="default" w:ascii="Times New Roman" w:hAnsi="Times New Roman" w:cs="Times New Roman"/>
          <w:color w:val="auto"/>
          <w:sz w:val="24"/>
          <w:szCs w:val="24"/>
          <w:lang w:eastAsia="zh-CN"/>
        </w:rPr>
        <w:t>、黑腹沙鸡、棕尾鵟）</w:t>
      </w:r>
      <w:r>
        <w:rPr>
          <w:rFonts w:hint="default" w:ascii="Times New Roman" w:hAnsi="Times New Roman" w:cs="Times New Roman"/>
          <w:color w:val="auto"/>
          <w:sz w:val="24"/>
          <w:szCs w:val="24"/>
        </w:rPr>
        <w:t>，自治区重点保护动物</w:t>
      </w:r>
      <w:r>
        <w:rPr>
          <w:rFonts w:hint="default" w:ascii="Times New Roman" w:hAnsi="Times New Roman" w:cs="Times New Roman"/>
          <w:color w:val="auto"/>
          <w:sz w:val="24"/>
          <w:szCs w:val="24"/>
          <w:lang w:val="en-US" w:eastAsia="zh-CN"/>
        </w:rPr>
        <w:t>1种（</w:t>
      </w:r>
      <w:r>
        <w:rPr>
          <w:rFonts w:hint="default" w:ascii="Times New Roman" w:hAnsi="Times New Roman" w:cs="Times New Roman"/>
          <w:color w:val="auto"/>
          <w:sz w:val="24"/>
          <w:szCs w:val="24"/>
        </w:rPr>
        <w:t>虎鼬</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设计选线过程中，最大限度避免破坏野生动物的活动场所和生存环境。定期宣讲国家和自治区有关环境保护的法律、法规、条例、政策，如《中华人民共和国野生动物保护法》《新疆国家重点保护野生动物名录》等，宣传野生保护动物保护知识等。此外，向巡线人员发放宣传册、保护动物小鸨图片等，加强宣传教育工作</w:t>
      </w:r>
      <w:r>
        <w:rPr>
          <w:rFonts w:hint="eastAsia" w:cs="Times New Roman"/>
          <w:color w:val="auto"/>
          <w:sz w:val="24"/>
          <w:szCs w:val="24"/>
          <w:lang w:eastAsia="zh-CN"/>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（2）为了更好的保护野生动物，建设单位在项目实施过程中要严格规定工作人员的活动范围，使之限于在施工作业带范围内活动，尽量不侵扰野生动物的栖息地。</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（3）对施工人员开展保护野生动物宣传教育工作，强化保护野生动物的观念，禁止施工人员随意惊吓、捕猎、宰杀野生动物。</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（4）加强管理，确保各生产设施的正常运行，避免强噪声环境的出现，避免对野生动物的惊扰。</w:t>
      </w:r>
    </w:p>
    <w:p>
      <w:pPr>
        <w:pStyle w:val="66"/>
        <w:rPr>
          <w:rFonts w:hint="default" w:ascii="Times New Roman" w:hAnsi="Times New Roman" w:cs="Times New Roman"/>
          <w:color w:val="auto"/>
        </w:rPr>
      </w:pPr>
      <w:r>
        <w:rPr>
          <w:rFonts w:hint="default" w:ascii="Times New Roman" w:hAnsi="Times New Roman" w:cs="Times New Roman"/>
          <w:color w:val="auto"/>
        </w:rPr>
        <w:t>6.7.1.</w:t>
      </w:r>
      <w:r>
        <w:rPr>
          <w:rFonts w:hint="default" w:ascii="Times New Roman" w:hAnsi="Times New Roman" w:cs="Times New Roman"/>
          <w:color w:val="auto"/>
          <w:lang w:val="en-US" w:eastAsia="zh-CN"/>
        </w:rPr>
        <w:t>5</w:t>
      </w:r>
      <w:r>
        <w:rPr>
          <w:rFonts w:hint="default" w:ascii="Times New Roman" w:hAnsi="Times New Roman" w:cs="Times New Roman"/>
          <w:color w:val="auto"/>
        </w:rPr>
        <w:t>开展生态环境监理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建议委托专职人员承担生态监理。采用巡检监理的方式。监理的重点时段是管线和道路施工期和钻井期。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监理的重点内容是：表土分层堆放，管道施工结束后的植被恢复，野生动物保护，以及材料堆放、施工方式等环境保护内容。</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生态监理要求应落实在管线、道路、井工程等项目承包招标书中。</w:t>
      </w:r>
    </w:p>
    <w:p>
      <w:pPr>
        <w:pStyle w:val="66"/>
        <w:rPr>
          <w:rFonts w:hint="default" w:ascii="Times New Roman" w:hAnsi="Times New Roman" w:cs="Times New Roman"/>
          <w:color w:val="auto"/>
        </w:rPr>
      </w:pPr>
      <w:r>
        <w:rPr>
          <w:rFonts w:hint="default" w:ascii="Times New Roman" w:hAnsi="Times New Roman" w:cs="Times New Roman"/>
          <w:color w:val="auto"/>
        </w:rPr>
        <w:t>6.7.1.</w:t>
      </w:r>
      <w:r>
        <w:rPr>
          <w:rFonts w:hint="default" w:ascii="Times New Roman" w:hAnsi="Times New Roman" w:cs="Times New Roman"/>
          <w:color w:val="auto"/>
          <w:lang w:val="en-US" w:eastAsia="zh-CN"/>
        </w:rPr>
        <w:t>6</w:t>
      </w:r>
      <w:r>
        <w:rPr>
          <w:rFonts w:hint="default" w:ascii="Times New Roman" w:hAnsi="Times New Roman" w:cs="Times New Roman"/>
          <w:color w:val="auto"/>
        </w:rPr>
        <w:t>其它生态保护措施要求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（1）在工程管理和施工人员进场前进行环境教育及相关培训；</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严禁施工人员进行非石油生产的其他活动，如：严禁在施工场地外砍伐植被，严禁捕杀任何野生动物；并在施工营地、施工便道及钻井区设置“保护野生动植物”等警示牌，通过宣传和严格的检查管理措施，达到保护生态环境的目的。</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（3）施工期避开大风天气作业，避免风蚀引起的水土流失。所有挖方均进行回填，不产生弃土。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（4）施工结束后，恢复地表原状，将施工迹地平整压实，做到工完、料净、场地清，以利于植被的自然恢复。</w:t>
      </w:r>
    </w:p>
    <w:p>
      <w:pPr>
        <w:pStyle w:val="56"/>
        <w:spacing w:line="360" w:lineRule="auto"/>
        <w:rPr>
          <w:rFonts w:hint="eastAsia" w:ascii="Times New Roman" w:hAnsi="Times New Roman" w:cs="Times New Roman"/>
          <w:color w:val="auto"/>
          <w:lang w:eastAsia="zh-CN"/>
        </w:rPr>
      </w:pPr>
    </w:p>
    <w:p>
      <w:pPr>
        <w:tabs>
          <w:tab w:val="left" w:pos="3465"/>
        </w:tabs>
        <w:spacing w:line="360" w:lineRule="auto"/>
        <w:outlineLvl w:val="2"/>
        <w:rPr>
          <w:rFonts w:hint="default" w:ascii="Times New Roman" w:hAnsi="Times New Roman" w:eastAsia="宋体" w:cs="Times New Roman"/>
          <w:b/>
          <w:color w:val="auto"/>
          <w:sz w:val="30"/>
          <w:szCs w:val="30"/>
        </w:rPr>
      </w:pPr>
      <w:bookmarkStart w:id="486" w:name="_Toc384828524"/>
      <w:bookmarkStart w:id="487" w:name="_Toc387230411"/>
      <w:bookmarkStart w:id="488" w:name="_Toc332318078"/>
      <w:bookmarkStart w:id="489" w:name="_Toc404849031"/>
      <w:bookmarkStart w:id="490" w:name="_Toc406490464"/>
      <w:bookmarkStart w:id="491" w:name="_Toc382488813"/>
      <w:bookmarkStart w:id="492" w:name="_Toc313911469"/>
      <w:bookmarkStart w:id="493" w:name="_Toc312149150"/>
      <w:bookmarkStart w:id="494" w:name="_Toc329026279"/>
      <w:bookmarkStart w:id="495" w:name="_Toc330418932"/>
      <w:bookmarkStart w:id="496" w:name="_Toc330419148"/>
      <w:r>
        <w:rPr>
          <w:rFonts w:hint="default" w:ascii="Times New Roman" w:hAnsi="Times New Roman" w:eastAsia="宋体" w:cs="Times New Roman"/>
          <w:b/>
          <w:color w:val="auto"/>
          <w:sz w:val="30"/>
          <w:szCs w:val="30"/>
        </w:rPr>
        <w:t>6.7.2运营期生态环境保护措施</w:t>
      </w:r>
      <w:bookmarkEnd w:id="486"/>
      <w:bookmarkEnd w:id="487"/>
      <w:bookmarkEnd w:id="488"/>
      <w:bookmarkEnd w:id="489"/>
      <w:bookmarkEnd w:id="490"/>
      <w:bookmarkEnd w:id="491"/>
      <w:bookmarkEnd w:id="492"/>
      <w:bookmarkEnd w:id="493"/>
      <w:bookmarkEnd w:id="494"/>
      <w:bookmarkEnd w:id="495"/>
      <w:bookmarkEnd w:id="496"/>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本项目严格遵守国家和地方有关野生动植物保护和水土保持等法律法规。主要采取以下生态保护措施，这些措施对于减少植被破坏，减缓水土流失，抵制沙漠化发展起到了一定的积极作用。</w:t>
      </w:r>
    </w:p>
    <w:p>
      <w:pPr>
        <w:pStyle w:val="66"/>
        <w:rPr>
          <w:rFonts w:hint="default" w:ascii="Times New Roman" w:hAnsi="Times New Roman" w:cs="Times New Roman"/>
          <w:color w:val="auto"/>
        </w:rPr>
      </w:pPr>
      <w:r>
        <w:rPr>
          <w:rFonts w:hint="default" w:ascii="Times New Roman" w:hAnsi="Times New Roman" w:cs="Times New Roman"/>
          <w:color w:val="auto"/>
        </w:rPr>
        <w:t>6.7.2.1井场等永久占地工程生态保护措施要求</w:t>
      </w:r>
    </w:p>
    <w:p>
      <w:pPr>
        <w:pStyle w:val="56"/>
        <w:spacing w:line="360" w:lineRule="auto"/>
        <w:rPr>
          <w:rFonts w:hint="default" w:ascii="Times New Roman" w:hAnsi="Times New Roman" w:cs="Times New Roman"/>
          <w:color w:val="auto"/>
          <w:sz w:val="24"/>
          <w:szCs w:val="24"/>
        </w:rPr>
      </w:pPr>
      <w:bookmarkStart w:id="497" w:name="_Hlk41398119"/>
      <w:r>
        <w:rPr>
          <w:rFonts w:hint="default" w:ascii="Times New Roman" w:hAnsi="Times New Roman" w:cs="Times New Roman"/>
          <w:color w:val="auto"/>
          <w:sz w:val="24"/>
          <w:szCs w:val="24"/>
        </w:rPr>
        <w:t>永久占地地面硬化：由于油田开发区域内自然条件的限制，植被的自然恢复极其困难，因而对于地面工程永久占地要进行地面硬化处理，以减少风蚀量；对油田区及油田公路、集输管线上方、电力设施底部地面上面实施砾石覆盖措施，减少风蚀量。</w:t>
      </w:r>
    </w:p>
    <w:bookmarkEnd w:id="497"/>
    <w:p>
      <w:pPr>
        <w:pStyle w:val="66"/>
        <w:rPr>
          <w:rFonts w:hint="default" w:ascii="Times New Roman" w:hAnsi="Times New Roman" w:cs="Times New Roman"/>
          <w:color w:val="auto"/>
        </w:rPr>
      </w:pPr>
      <w:r>
        <w:rPr>
          <w:rFonts w:hint="default" w:ascii="Times New Roman" w:hAnsi="Times New Roman" w:cs="Times New Roman"/>
          <w:color w:val="auto"/>
        </w:rPr>
        <w:t>6.7.2.2其它生态保护措施要求</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（1）加强环境保护宣传工作，增强环保意识，特别是注意对野生动物和自然植被的保护。</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（2）在道路边、油田区，设置“保护生态环境、保护野生动植物”等警示牌，并从管理上对作业人员加强宣传教育，切实增强保护生态环境的意识。</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（3）在管线上方设置标志，以防附近的各类施工活动对管线的破坏；</w:t>
      </w:r>
      <w:bookmarkStart w:id="498" w:name="_Hlk42181758"/>
      <w:r>
        <w:rPr>
          <w:rFonts w:hint="default" w:ascii="Times New Roman" w:hAnsi="Times New Roman" w:cs="Times New Roman"/>
          <w:color w:val="auto"/>
          <w:sz w:val="24"/>
          <w:szCs w:val="24"/>
          <w:lang w:val="zh-CN"/>
        </w:rPr>
        <w:t>定时巡查井场、管线等，及时清理落地原油，降低土壤污染。</w:t>
      </w:r>
      <w:bookmarkEnd w:id="498"/>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（4）加强对管线、设备的管理和检查，及时发现问题，及时解决，防止泄漏事故的发生；对泄漏的落地油应及时清理，彻底回收，防止污染扩大蔓延。</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通过上述处理方法，油田运营期产生的污染物不会对环境造成危害。</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6.7.3退役期生态环境保护措施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随着油田开采的不断进行，其储量逐渐下降，最终进入退役期。当油井开发接近尾声时，各种机械设备将停止使用，进驻其中的开发工作人员将陆续撤离，由此带来的大气污染物、生产废水、生活污水、噪声及固体废物等对环境的影响将会消失。</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根据《矿山生态环境保护与恢复治理技术规范（试行）》（HJ651-2013）的相关要求，采取有效预防和保护措施，避免或减轻矿产资源开发活动造成的生态破坏和环境污染。坚持“预防为主、防治结合、过程控制”的原则，将生态环境保护与恢复治理贯穿开采的全过程。</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退役期的环境影响以生态环境的恢复为主，同时封井和井场清理也会产生少量扬尘和建筑垃圾，会对周围的环境造成一定影响。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退役期生态环境保护措施如下：</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（1）扬沙污染防治措施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油田停采后将进行一系列清理工作，包括地面设施拆除、地下截去至少1m的井筒并用水泥灌注封井、井场清理等，在这期间，将会引起扬尘。在闭井施工操作中应注意采取降尘措施，文明施工，防止水泥等的</w:t>
      </w:r>
      <w:r>
        <w:rPr>
          <w:rFonts w:hint="eastAsia" w:cs="Times New Roman"/>
          <w:color w:val="auto"/>
          <w:sz w:val="24"/>
          <w:szCs w:val="24"/>
          <w:lang w:val="zh-CN"/>
        </w:rPr>
        <w:t>撒落</w:t>
      </w:r>
      <w:r>
        <w:rPr>
          <w:rFonts w:hint="default" w:ascii="Times New Roman" w:hAnsi="Times New Roman" w:cs="Times New Roman"/>
          <w:color w:val="auto"/>
          <w:sz w:val="24"/>
          <w:szCs w:val="24"/>
          <w:lang w:val="zh-CN"/>
        </w:rPr>
        <w:t>与飘散，同时在清理井场时防止产生飞灰、扬尘的产生，尽可能降低对周边大气环境的影响。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（2）固体废物污染防治措施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井场清理等工作还会产生部分废弃管线、废弃建筑残渣等固体废物，对这些废弃管线、垃圾等进行集中清理收集，管线外运经清洗后可回收再利用；废弃建筑垃圾由施工单位运至指定位置进行处理。运输过程中，运输车辆均加盖篷布，以防止行驶过程中固体废物的散落。固体废物的妥善处理，可以有效控制对区域环境的影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（3）</w:t>
      </w:r>
      <w:bookmarkStart w:id="499" w:name="_Hlk42183304"/>
      <w:r>
        <w:rPr>
          <w:rFonts w:hint="default" w:ascii="Times New Roman" w:hAnsi="Times New Roman" w:cs="Times New Roman"/>
          <w:color w:val="auto"/>
          <w:sz w:val="24"/>
          <w:szCs w:val="24"/>
          <w:lang w:val="zh-CN"/>
        </w:rPr>
        <w:t>及时清理作业现场，做到“工完、料净、场地清”</w:t>
      </w:r>
      <w:bookmarkEnd w:id="499"/>
      <w:r>
        <w:rPr>
          <w:rFonts w:hint="default" w:ascii="Times New Roman" w:hAnsi="Times New Roman" w:cs="Times New Roman"/>
          <w:color w:val="auto"/>
          <w:sz w:val="24"/>
          <w:szCs w:val="24"/>
          <w:lang w:val="zh-CN"/>
        </w:rPr>
        <w:t>。</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（4）确保对各类废弃井采取的固井、封井措施有效可行，防止其发生油水层窜层，</w:t>
      </w:r>
      <w:bookmarkStart w:id="500" w:name="_Hlk42183465"/>
      <w:r>
        <w:rPr>
          <w:rFonts w:hint="default" w:ascii="Times New Roman" w:hAnsi="Times New Roman" w:cs="Times New Roman"/>
          <w:color w:val="auto"/>
          <w:sz w:val="24"/>
          <w:szCs w:val="24"/>
          <w:lang w:val="zh-CN"/>
        </w:rPr>
        <w:t>污染地下水和土壤</w:t>
      </w:r>
      <w:bookmarkEnd w:id="500"/>
      <w:r>
        <w:rPr>
          <w:rFonts w:hint="default" w:ascii="Times New Roman" w:hAnsi="Times New Roman" w:cs="Times New Roman"/>
          <w:color w:val="auto"/>
          <w:sz w:val="24"/>
          <w:szCs w:val="24"/>
          <w:lang w:val="zh-CN"/>
        </w:rPr>
        <w:t>。</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lang w:val="zh-CN"/>
        </w:rPr>
        <w:t>）井场地表恢复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临时占地范围具备植被恢复条件的，应将永久性占地范围内的水泥平台或沙砾石铺垫清理，随后根据周边区域的自然现状对其进行恢复，使井场恢复到相对自然的一种状态。临时占地范围不具备植被恢复条件的，建议保留井口水泥底座，以防止沙化，起到防沙固沙作用。</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油田设施退役后，人员撤离，区域内没有了人为的扰动，井场范围内的自然植被会逐渐得以恢复，有助于区域生态环境的改善。</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lang w:val="zh-CN"/>
        </w:rPr>
        <w:t>）加强环保宣传</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通过宣传教育的形式，使施工工作人员对于在项目区域生长的</w:t>
      </w:r>
      <w:r>
        <w:rPr>
          <w:rFonts w:hint="default" w:ascii="Times New Roman" w:hAnsi="Times New Roman" w:cs="Times New Roman"/>
          <w:color w:val="auto"/>
          <w:sz w:val="24"/>
          <w:szCs w:val="24"/>
          <w:lang w:val="en-US" w:eastAsia="zh-CN"/>
        </w:rPr>
        <w:t>植被</w:t>
      </w:r>
      <w:r>
        <w:rPr>
          <w:rFonts w:hint="default" w:ascii="Times New Roman" w:hAnsi="Times New Roman" w:cs="Times New Roman"/>
          <w:color w:val="auto"/>
          <w:sz w:val="24"/>
          <w:szCs w:val="24"/>
          <w:lang w:val="zh-CN"/>
        </w:rPr>
        <w:t>有基本的认识与了解。加强对《中华人民共和国野生植物保护条例》的普及、教育工作，强化保护野生动植物的观念。</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通过采取以上生态保护措施，对于减少植被破坏、减缓水土流失、抵制荒漠化发展起到了一定的积极作用，可有效保护脆弱的荒漠生态环境。</w:t>
      </w:r>
    </w:p>
    <w:p>
      <w:pPr>
        <w:pStyle w:val="3"/>
        <w:spacing w:before="10" w:after="10"/>
        <w:rPr>
          <w:rFonts w:hint="default" w:ascii="Times New Roman" w:hAnsi="Times New Roman" w:eastAsia="宋体" w:cs="Times New Roman"/>
          <w:color w:val="auto"/>
        </w:rPr>
      </w:pPr>
      <w:bookmarkStart w:id="501" w:name="_Toc13082"/>
      <w:bookmarkStart w:id="502" w:name="_Toc35366106"/>
      <w:bookmarkStart w:id="503" w:name="_Toc30493"/>
      <w:bookmarkStart w:id="504" w:name="_Toc35366498"/>
      <w:bookmarkStart w:id="505" w:name="_Toc44088102"/>
      <w:bookmarkStart w:id="506" w:name="_Toc6761"/>
      <w:r>
        <w:rPr>
          <w:rFonts w:hint="default" w:ascii="Times New Roman" w:hAnsi="Times New Roman" w:eastAsia="宋体" w:cs="Times New Roman"/>
          <w:color w:val="auto"/>
        </w:rPr>
        <w:t>6.8温室气体管控措施</w:t>
      </w:r>
      <w:bookmarkEnd w:id="501"/>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油气行业是关系国计民生的基础性、战略性产业，是国民经济的压舱石和驱动器，能够发挥保障国家能源安全和产业链平稳运行的关键作用。随着我国设定“双碳目标”、生态文明建设进入</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"https://daqi.bjx.com.cn/zt.asp?topic=%bc%f5%ce%db%bd%b5%cc%bc" \t "_blank" \o "减污降碳新闻专题" </w:instrText>
      </w:r>
      <w:r>
        <w:rPr>
          <w:rFonts w:hint="default" w:ascii="Times New Roman" w:hAnsi="Times New Roman" w:cs="Times New Roman"/>
          <w:color w:val="auto"/>
        </w:rPr>
        <w:fldChar w:fldCharType="separate"/>
      </w:r>
      <w:r>
        <w:rPr>
          <w:rFonts w:hint="default" w:ascii="Times New Roman" w:hAnsi="Times New Roman" w:eastAsia="宋体" w:cs="Times New Roman"/>
          <w:b w:val="0"/>
          <w:bCs/>
          <w:color w:val="auto"/>
          <w:sz w:val="24"/>
        </w:rPr>
        <w:t>减污降碳</w:t>
      </w:r>
      <w:r>
        <w:rPr>
          <w:rFonts w:hint="default" w:ascii="Times New Roman" w:hAnsi="Times New Roman" w:eastAsia="宋体" w:cs="Times New Roman"/>
          <w:b w:val="0"/>
          <w:bCs/>
          <w:color w:val="auto"/>
          <w:sz w:val="24"/>
        </w:rPr>
        <w:fldChar w:fldCharType="end"/>
      </w:r>
      <w:r>
        <w:rPr>
          <w:rFonts w:hint="default" w:ascii="Times New Roman" w:hAnsi="Times New Roman" w:eastAsia="宋体" w:cs="Times New Roman"/>
          <w:b w:val="0"/>
          <w:bCs/>
          <w:color w:val="auto"/>
          <w:sz w:val="24"/>
        </w:rPr>
        <w:t>新阶段。油气行业全价值链从开采、运输、储存到终端应用都会产生大量碳排放，全链温室气体排放量达到全球总量的40%以上，其中生产阶段的排放占20%，使用阶段的排放占80%。要实现碳中和目标，油气行业势必成为减排主体。</w:t>
      </w:r>
    </w:p>
    <w:p>
      <w:pPr>
        <w:pStyle w:val="61"/>
        <w:spacing w:line="360" w:lineRule="auto"/>
        <w:ind w:firstLine="482"/>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（1）绿色低碳发展要求</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在新的历史背景下，油气行业绿色低碳发展应包括绿色产品和服务、绿色生产和工艺、绿色文化和责任三个维度。</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①绿色产品和服务是指优先发展与油气业务相关性强、协同性好的新领域，特别是发挥天然气在能源结构低碳化转型中的重要接替作用，与氢能、太阳能、风能、地热能、生物质能等新能源形成互补，做好社会低碳转型的推动者。同时，发展节能环保、CCUS等新业务，打造绿色供应链，提升绿色低碳产品产业服务水平。</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②绿色生产和工艺是指推动节能减排、生态保护和清洁生产，促进从粗放型生产经营向集约高效型转变，统筹温室气体和污染物的协同控制。扩大生产用能清洁替代规模，加大能源资源的节约利用力度，稳步推进绿色制造体系建设，加强生态环境风险控制，激励企业先行先试零碳排放生产转型，持续提升绿色低碳绩效指标。</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③绿色文化和责任是指将绿色低碳发展作为企业文化建设的重要内容，构建完善的绿色低碳组织架构和决策考核机制、系统科学的风险评估体系、完整高效的监测核查系统，扩大国际合作，提升绿色低碳治理能力。加强绿色环保公益行动，建立企业绿色和谐沟通交流渠道，主动公开企业绿色低碳发展信息。</w:t>
      </w:r>
    </w:p>
    <w:p>
      <w:pPr>
        <w:pStyle w:val="61"/>
        <w:spacing w:line="360" w:lineRule="auto"/>
        <w:ind w:firstLine="482"/>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（2）碳减排路径分析</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麦肯锡分析，油气行业的温室气体排放主要包括二氧化碳与甲烷两类，二氧化碳排放主要由供热与供能需求产生，如使用天然气作为燃料供热及产生蒸汽、自备电厂发电等带来的尾气排放等。以20年为尺度，甲烷的增温潜势约为二氧化碳的86倍，是需要优先控制的一类温室气体。在油气产业链贡献的15%温室气体减排量当中，超过60%来自甲烷减排，剩下40%来自二氧化碳减排；其中上游采油减排占比约10%，下游炼油减排占比约30%。</w:t>
      </w:r>
    </w:p>
    <w:p>
      <w:pPr>
        <w:pStyle w:val="48"/>
        <w:spacing w:line="360" w:lineRule="auto"/>
        <w:rPr>
          <w:rFonts w:hint="default" w:ascii="Times New Roman" w:hAnsi="Times New Roman" w:cs="Times New Roman"/>
          <w:b w:val="0"/>
          <w:color w:val="auto"/>
          <w:sz w:val="24"/>
        </w:rPr>
      </w:pPr>
      <w:r>
        <w:rPr>
          <w:rFonts w:hint="default" w:ascii="Times New Roman" w:hAnsi="Times New Roman" w:cs="Times New Roman"/>
          <w:b w:val="0"/>
          <w:color w:val="auto"/>
          <w:sz w:val="24"/>
        </w:rPr>
        <w:drawing>
          <wp:inline distT="0" distB="0" distL="0" distR="0">
            <wp:extent cx="5267960" cy="3681730"/>
            <wp:effectExtent l="0" t="0" r="8890" b="1397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noChangeArrowheads="1"/>
                    </pic:cNvPicPr>
                  </pic:nvPicPr>
                  <pic:blipFill>
                    <a:blip r:embed="rId51" cstate="print">
                      <a:extLst>
                        <a:ext uri="{28A0092B-C50C-407E-A947-70E740481C1C}">
                          <a14:useLocalDpi xmlns:a14="http://schemas.microsoft.com/office/drawing/2010/main" val="0"/>
                        </a:ext>
                      </a:extLst>
                    </a:blip>
                    <a:srcRect l="120" t="6904"/>
                    <a:stretch>
                      <a:fillRect/>
                    </a:stretch>
                  </pic:blipFill>
                  <pic:spPr>
                    <a:xfrm>
                      <a:off x="0" y="0"/>
                      <a:ext cx="5267960" cy="3681730"/>
                    </a:xfrm>
                    <a:prstGeom prst="rect">
                      <a:avLst/>
                    </a:prstGeom>
                    <a:noFill/>
                    <a:ln>
                      <a:noFill/>
                    </a:ln>
                  </pic:spPr>
                </pic:pic>
              </a:graphicData>
            </a:graphic>
          </wp:inline>
        </w:drawing>
      </w:r>
    </w:p>
    <w:p>
      <w:pPr>
        <w:pStyle w:val="48"/>
        <w:spacing w:line="360" w:lineRule="auto"/>
        <w:rPr>
          <w:rFonts w:hint="default" w:ascii="Times New Roman" w:hAnsi="Times New Roman" w:cs="Times New Roman"/>
          <w:bCs w:val="0"/>
          <w:color w:val="auto"/>
          <w:szCs w:val="21"/>
        </w:rPr>
      </w:pPr>
      <w:r>
        <w:rPr>
          <w:rFonts w:hint="default" w:ascii="Times New Roman" w:hAnsi="Times New Roman" w:cs="Times New Roman"/>
          <w:bCs w:val="0"/>
          <w:color w:val="auto"/>
          <w:szCs w:val="21"/>
        </w:rPr>
        <w:t>图6.8-1  碳排放路径示意图</w:t>
      </w:r>
    </w:p>
    <w:p>
      <w:pPr>
        <w:pStyle w:val="61"/>
        <w:spacing w:line="360" w:lineRule="auto"/>
        <w:ind w:firstLine="482"/>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①减少甲烷逸散</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油气行业现有技术可以解决70%的甲烷逃逸，但因为监管法律有待完善、高投资回报率要求以及对常规采油操作的打扰，甲烷减排技术尚未大规模应用。现有可供选择的技术主要包括：</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更换高排放器件：通过更换高排放泵、压缩机密封件、压缩机密封杆、仪表空气系统和电动机等控制甲烷高排放环节，可贡献甲烷总减排量的30%。替换设备质量的不稳定性可能会导致减排量出现一定程度的偏差。</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安装排放控制装置：通过安装蒸汽回收装置、排污捕获单元、柱塞、火炬燃烧等对甲烷排放环节加以控制，从而减少甲烷排放，占甲烷总减排量的7%。然而排放控制设备（尤其是汽油油气回收系统）质量的不可靠，以及在安装、使用新排放控制设备方面的经验不足会影响总减排量。此外，火炬燃烧是通过燃烧将甲烷转化成二氧化碳，一定程度上还是产生了温室气体。</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3）泄漏检测和修复（简称LDAR）：通过使用红外摄像头等技术定位和修复全价值链泄漏，占甲烷总减排量的26%。然而，由于LDAR提供商的服务质量和专业知识参差不齐，需要定期跟踪泄漏情况，劳动强度相对较大。</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4）其他新兴技术：如数字传感器、预测分析、应用卫星以及无人机检测泄漏、压缩及液化甲烷气副产物的微技术、减少甲烷的催化剂等，占甲烷总减排量的4%。这些新技术需要较高的安装成本和人力资本。</w:t>
      </w:r>
    </w:p>
    <w:p>
      <w:pPr>
        <w:pStyle w:val="61"/>
        <w:spacing w:line="360" w:lineRule="auto"/>
        <w:ind w:firstLine="482"/>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②本身供暖用电的节能</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超过90%的陆上油田已通过电网来为采油设备供电，采油操作本身只在供暖部分排放少量二氧化碳。</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重点是通过改进设备和流程的设计，并购买节能设备等来提高能效。</w:t>
      </w:r>
    </w:p>
    <w:p>
      <w:pPr>
        <w:pStyle w:val="61"/>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对油田生产和生活用能开展清洁替代工作，主要以联合站为中心的生产油区为单元</w:t>
      </w:r>
      <w:r>
        <w:rPr>
          <w:rFonts w:hint="eastAsia" w:eastAsia="宋体" w:cs="Times New Roman"/>
          <w:b w:val="0"/>
          <w:bCs/>
          <w:color w:val="auto"/>
          <w:sz w:val="24"/>
          <w:lang w:eastAsia="zh-CN"/>
        </w:rPr>
        <w:t>，使</w:t>
      </w:r>
      <w:r>
        <w:rPr>
          <w:rFonts w:hint="default" w:ascii="Times New Roman" w:hAnsi="Times New Roman" w:eastAsia="宋体" w:cs="Times New Roman"/>
          <w:b w:val="0"/>
          <w:bCs/>
          <w:color w:val="auto"/>
          <w:sz w:val="24"/>
        </w:rPr>
        <w:t>用太阳能、风能、余热等清洁能源资源对油田用热、用电进行合理性替代。</w:t>
      </w:r>
    </w:p>
    <w:p>
      <w:pPr>
        <w:pStyle w:val="3"/>
        <w:spacing w:before="10" w:after="10"/>
        <w:rPr>
          <w:rFonts w:hint="default" w:ascii="Times New Roman" w:hAnsi="Times New Roman" w:eastAsia="宋体" w:cs="Times New Roman"/>
          <w:color w:val="auto"/>
        </w:rPr>
      </w:pPr>
      <w:bookmarkStart w:id="507" w:name="_Toc28931"/>
      <w:r>
        <w:rPr>
          <w:rFonts w:hint="default" w:ascii="Times New Roman" w:hAnsi="Times New Roman" w:eastAsia="宋体" w:cs="Times New Roman"/>
          <w:color w:val="auto"/>
        </w:rPr>
        <w:t>6.9生态恢复方案</w:t>
      </w:r>
      <w:bookmarkEnd w:id="502"/>
      <w:bookmarkEnd w:id="503"/>
      <w:bookmarkEnd w:id="504"/>
      <w:bookmarkEnd w:id="505"/>
      <w:bookmarkEnd w:id="506"/>
      <w:bookmarkEnd w:id="507"/>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6.9.1生态环境保护与恢复治理的一般要求</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根据《矿山生态环境保护与恢复治理技术规范（试行）》（HJ651-2013）和</w:t>
      </w:r>
      <w:r>
        <w:rPr>
          <w:rFonts w:hint="default" w:ascii="Times New Roman" w:hAnsi="Times New Roman" w:cs="Times New Roman"/>
          <w:color w:val="auto"/>
          <w:sz w:val="24"/>
          <w:szCs w:val="24"/>
          <w:lang w:val="zh-CN" w:eastAsia="zh-CN"/>
        </w:rPr>
        <w:t>《石油天然气项目土地复垦与生态修复技术规范》（GB/T 43936-2024）</w:t>
      </w:r>
      <w:r>
        <w:rPr>
          <w:rFonts w:hint="default" w:ascii="Times New Roman" w:hAnsi="Times New Roman" w:cs="Times New Roman"/>
          <w:color w:val="auto"/>
          <w:sz w:val="24"/>
          <w:szCs w:val="24"/>
          <w:lang w:val="zh-CN"/>
        </w:rPr>
        <w:t>的相关要求，本项目生态环境保护与恢复治理方案需遵循以下要求：</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1）禁止在依法划定的自然保护区、风景名胜区、森林公园、饮用水水源保护区、文物古迹所在地、地质遗迹保护区、基本农田保护区等重要生态保护地以及其他法律法规规定的禁采区域内开采。禁止在重要道路、航道两侧及重要生态环境敏感目标可视范围内进行对景观破坏明显的露天开采。</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（2）油藏开发活动应符合国家和区域主体功能区规划、生态功能区划、生态环境保护规划的要求，采取有效预防和保护措施，避免或减轻矿产资源开发活动造成的生态破坏和环境污染。</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（3）坚持“预防为主、防治结合、过程控制”的原则，将生态环境保护与恢复治理贯穿开采的全过程。</w:t>
      </w:r>
    </w:p>
    <w:p>
      <w:pPr>
        <w:pStyle w:val="56"/>
        <w:spacing w:line="360" w:lineRule="auto"/>
        <w:rPr>
          <w:rFonts w:hint="eastAsia" w:cs="Times New Roman"/>
          <w:color w:val="auto"/>
          <w:sz w:val="24"/>
          <w:szCs w:val="24"/>
          <w:lang w:val="zh-CN"/>
        </w:rPr>
      </w:pPr>
      <w:r>
        <w:rPr>
          <w:rFonts w:hint="eastAsia" w:cs="Times New Roman"/>
          <w:color w:val="auto"/>
          <w:sz w:val="24"/>
          <w:szCs w:val="24"/>
          <w:lang w:val="zh-CN"/>
        </w:rPr>
        <w:t>（</w:t>
      </w:r>
      <w:r>
        <w:rPr>
          <w:rFonts w:hint="eastAsia" w:cs="Times New Roman"/>
          <w:color w:val="auto"/>
          <w:sz w:val="24"/>
          <w:szCs w:val="24"/>
          <w:lang w:val="en-US" w:eastAsia="zh-CN"/>
        </w:rPr>
        <w:t>4</w:t>
      </w:r>
      <w:r>
        <w:rPr>
          <w:rFonts w:hint="eastAsia" w:cs="Times New Roman"/>
          <w:color w:val="auto"/>
          <w:sz w:val="24"/>
          <w:szCs w:val="24"/>
          <w:lang w:val="zh-CN"/>
        </w:rPr>
        <w:t>）在建井结束和井场临时用地主体工程完毕后，应对井场临时用地实施地表废弃物清理工程；在井场闭井工程完毕，拆除砌体和剥离废渣后，应进行井场建设用地地表废弃物清理。</w:t>
      </w:r>
    </w:p>
    <w:p>
      <w:pPr>
        <w:pStyle w:val="56"/>
        <w:spacing w:line="360" w:lineRule="auto"/>
        <w:rPr>
          <w:rFonts w:hint="eastAsia" w:cs="Times New Roman"/>
          <w:color w:val="auto"/>
          <w:sz w:val="24"/>
          <w:szCs w:val="24"/>
          <w:lang w:val="en-US" w:eastAsia="zh-CN"/>
        </w:rPr>
      </w:pPr>
      <w:r>
        <w:rPr>
          <w:rFonts w:hint="eastAsia" w:cs="Times New Roman"/>
          <w:color w:val="auto"/>
          <w:sz w:val="24"/>
          <w:szCs w:val="24"/>
          <w:lang w:val="zh-CN"/>
        </w:rPr>
        <w:t>（</w:t>
      </w:r>
      <w:r>
        <w:rPr>
          <w:rFonts w:hint="eastAsia" w:cs="Times New Roman"/>
          <w:color w:val="auto"/>
          <w:sz w:val="24"/>
          <w:szCs w:val="24"/>
          <w:lang w:val="en-US" w:eastAsia="zh-CN"/>
        </w:rPr>
        <w:t>5</w:t>
      </w:r>
      <w:r>
        <w:rPr>
          <w:rFonts w:hint="eastAsia" w:cs="Times New Roman"/>
          <w:color w:val="auto"/>
          <w:sz w:val="24"/>
          <w:szCs w:val="24"/>
          <w:lang w:val="zh-CN"/>
        </w:rPr>
        <w:t>）</w:t>
      </w:r>
      <w:r>
        <w:rPr>
          <w:rFonts w:hint="eastAsia" w:cs="Times New Roman"/>
          <w:color w:val="auto"/>
          <w:sz w:val="24"/>
          <w:szCs w:val="24"/>
          <w:lang w:val="en-US" w:eastAsia="zh-CN"/>
        </w:rPr>
        <w:t>应充分利用前期表土剥离的土源进行复垦修复，覆土时应分层回填，尽量确保新构土体剖面结构与原土地利用类型或周边的土源进行复垦修复。</w:t>
      </w:r>
    </w:p>
    <w:p>
      <w:pPr>
        <w:pStyle w:val="56"/>
        <w:spacing w:line="360" w:lineRule="auto"/>
        <w:rPr>
          <w:rFonts w:hint="eastAsia" w:cs="Times New Roman"/>
          <w:color w:val="auto"/>
          <w:sz w:val="24"/>
          <w:szCs w:val="24"/>
          <w:lang w:val="en-US" w:eastAsia="zh-CN"/>
        </w:rPr>
      </w:pPr>
      <w:r>
        <w:rPr>
          <w:rFonts w:hint="eastAsia" w:cs="Times New Roman"/>
          <w:color w:val="auto"/>
          <w:sz w:val="24"/>
          <w:szCs w:val="24"/>
          <w:lang w:val="en-US" w:eastAsia="zh-CN"/>
        </w:rPr>
        <w:t>（6）不再使用的管线临时用地应及时实施复垦修复工程，采用埋设方式布设管线的建设用地复垦修复应包括施工结束的临时复垦和不再使用后的完全复垦修复两个阶段。管线平整工程应与管线开挖和回填同步进行。</w:t>
      </w:r>
    </w:p>
    <w:p>
      <w:pPr>
        <w:pStyle w:val="56"/>
        <w:spacing w:line="360" w:lineRule="auto"/>
        <w:rPr>
          <w:rFonts w:hint="default" w:ascii="Times New Roman" w:hAnsi="Times New Roman" w:cs="Times New Roman"/>
          <w:color w:val="auto"/>
          <w:sz w:val="24"/>
          <w:szCs w:val="24"/>
          <w:lang w:val="zh-CN"/>
        </w:rPr>
      </w:pPr>
      <w:r>
        <w:rPr>
          <w:rFonts w:hint="eastAsia" w:cs="Times New Roman"/>
          <w:color w:val="auto"/>
          <w:sz w:val="24"/>
          <w:szCs w:val="24"/>
          <w:lang w:val="en-US" w:eastAsia="zh-CN"/>
        </w:rPr>
        <w:t>（7）植被恢复工程建设标准按照周边相同土地利用类型执行，植被结构、物种选择以及种植方式等应与所在区域相同土地利用类型保持一致，景观上应与周边相协调。</w:t>
      </w:r>
    </w:p>
    <w:p>
      <w:pPr>
        <w:tabs>
          <w:tab w:val="left" w:pos="3465"/>
        </w:tabs>
        <w:spacing w:line="360" w:lineRule="auto"/>
        <w:outlineLvl w:val="2"/>
        <w:rPr>
          <w:rFonts w:hint="default" w:ascii="Times New Roman" w:hAnsi="Times New Roman" w:eastAsia="宋体" w:cs="Times New Roman"/>
          <w:b/>
          <w:color w:val="auto"/>
          <w:sz w:val="30"/>
          <w:szCs w:val="30"/>
        </w:rPr>
      </w:pPr>
      <w:bookmarkStart w:id="508" w:name="_Hlk102745559"/>
      <w:r>
        <w:rPr>
          <w:rFonts w:hint="default" w:ascii="Times New Roman" w:hAnsi="Times New Roman" w:eastAsia="宋体" w:cs="Times New Roman"/>
          <w:b/>
          <w:color w:val="auto"/>
          <w:sz w:val="30"/>
          <w:szCs w:val="30"/>
        </w:rPr>
        <w:t>6.9.2生态环境分区恢复治理</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油田勘探爆破、探查活动结束后，对勘探活动造成的地表土壤破坏进行平整，对地表植被进行恢复，恢复其原有生态功能。</w:t>
      </w:r>
    </w:p>
    <w:p>
      <w:pPr>
        <w:pStyle w:val="66"/>
        <w:rPr>
          <w:rFonts w:hint="default" w:ascii="Times New Roman" w:hAnsi="Times New Roman" w:cs="Times New Roman"/>
          <w:color w:val="auto"/>
        </w:rPr>
      </w:pPr>
      <w:bookmarkStart w:id="509" w:name="_Hlk41398598"/>
      <w:r>
        <w:rPr>
          <w:rFonts w:hint="default" w:ascii="Times New Roman" w:hAnsi="Times New Roman" w:cs="Times New Roman"/>
          <w:color w:val="auto"/>
        </w:rPr>
        <w:t>6.9.2.1井场生态恢复治理</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（1）井场生态恢复治理范围</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本项目部署</w:t>
      </w:r>
      <w:r>
        <w:rPr>
          <w:rFonts w:hint="eastAsia" w:cs="Times New Roman"/>
          <w:color w:val="auto"/>
          <w:sz w:val="24"/>
          <w:szCs w:val="24"/>
          <w:lang w:eastAsia="zh-CN"/>
        </w:rPr>
        <w:t>6口</w:t>
      </w:r>
      <w:r>
        <w:rPr>
          <w:rFonts w:hint="default" w:ascii="Times New Roman" w:hAnsi="Times New Roman" w:cs="Times New Roman"/>
          <w:color w:val="auto"/>
          <w:sz w:val="24"/>
          <w:szCs w:val="24"/>
        </w:rPr>
        <w:t>采油</w:t>
      </w:r>
      <w:r>
        <w:rPr>
          <w:rFonts w:hint="default" w:ascii="Times New Roman" w:hAnsi="Times New Roman" w:cs="Times New Roman"/>
          <w:color w:val="auto"/>
          <w:sz w:val="24"/>
          <w:szCs w:val="24"/>
          <w:lang w:val="zh-CN"/>
        </w:rPr>
        <w:t>井</w:t>
      </w:r>
      <w:r>
        <w:rPr>
          <w:rFonts w:hint="eastAsia" w:cs="Times New Roman"/>
          <w:color w:val="auto"/>
          <w:sz w:val="24"/>
          <w:szCs w:val="24"/>
          <w:lang w:val="zh-CN"/>
        </w:rPr>
        <w:t>、</w:t>
      </w:r>
      <w:r>
        <w:rPr>
          <w:rFonts w:hint="eastAsia" w:cs="Times New Roman"/>
          <w:color w:val="auto"/>
          <w:sz w:val="24"/>
          <w:szCs w:val="24"/>
          <w:lang w:val="en-US" w:eastAsia="zh-CN"/>
        </w:rPr>
        <w:t>2口注水井</w:t>
      </w:r>
      <w:r>
        <w:rPr>
          <w:rFonts w:hint="default" w:ascii="Times New Roman" w:hAnsi="Times New Roman" w:cs="Times New Roman"/>
          <w:color w:val="auto"/>
          <w:sz w:val="24"/>
          <w:szCs w:val="24"/>
          <w:lang w:val="zh-CN"/>
        </w:rPr>
        <w:t>。所有施工范围需进行生态环境恢复治理。</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（2）生态环境恢复治理措施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①永久占地治理措施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施工结束初期，对井场等永久占地范围内的地表进行</w:t>
      </w:r>
      <w:r>
        <w:rPr>
          <w:rFonts w:hint="eastAsia" w:cs="Times New Roman"/>
          <w:color w:val="auto"/>
          <w:sz w:val="24"/>
          <w:szCs w:val="24"/>
          <w:lang w:val="en-US" w:eastAsia="zh-CN"/>
        </w:rPr>
        <w:t>硬化</w:t>
      </w:r>
      <w:r>
        <w:rPr>
          <w:rFonts w:hint="default" w:ascii="Times New Roman" w:hAnsi="Times New Roman" w:cs="Times New Roman"/>
          <w:color w:val="auto"/>
          <w:sz w:val="24"/>
          <w:szCs w:val="24"/>
          <w:lang w:val="zh-CN"/>
        </w:rPr>
        <w:t>，以减少风蚀量。</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②临时占地治理措施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工程施工结束后，应对井场等施工共计</w:t>
      </w:r>
      <w:r>
        <w:rPr>
          <w:rFonts w:hint="eastAsia" w:cs="Times New Roman"/>
          <w:color w:val="auto"/>
          <w:sz w:val="24"/>
          <w:szCs w:val="24"/>
          <w:lang w:val="en-US" w:eastAsia="zh-CN"/>
        </w:rPr>
        <w:t>92046</w:t>
      </w:r>
      <w:r>
        <w:rPr>
          <w:rFonts w:hint="default" w:ascii="Times New Roman" w:hAnsi="Times New Roman" w:cs="Times New Roman"/>
          <w:color w:val="auto"/>
          <w:sz w:val="24"/>
          <w:szCs w:val="24"/>
          <w:lang w:val="zh-CN"/>
        </w:rPr>
        <w:t>m</w:t>
      </w:r>
      <w:r>
        <w:rPr>
          <w:rFonts w:hint="default" w:ascii="Times New Roman" w:hAnsi="Times New Roman" w:cs="Times New Roman"/>
          <w:color w:val="auto"/>
          <w:sz w:val="24"/>
          <w:szCs w:val="24"/>
          <w:vertAlign w:val="superscript"/>
          <w:lang w:val="zh-CN"/>
        </w:rPr>
        <w:t>2</w:t>
      </w:r>
      <w:r>
        <w:rPr>
          <w:rFonts w:hint="default" w:ascii="Times New Roman" w:hAnsi="Times New Roman" w:cs="Times New Roman"/>
          <w:color w:val="auto"/>
          <w:sz w:val="24"/>
          <w:szCs w:val="24"/>
          <w:lang w:val="zh-CN"/>
        </w:rPr>
        <w:t>的临时占地内的土地进行平整，</w:t>
      </w:r>
      <w:r>
        <w:rPr>
          <w:rFonts w:hint="eastAsia" w:cs="Times New Roman"/>
          <w:color w:val="auto"/>
          <w:sz w:val="24"/>
          <w:szCs w:val="24"/>
          <w:lang w:val="en-US" w:eastAsia="zh-CN"/>
        </w:rPr>
        <w:t>不具备植被恢复条件的应</w:t>
      </w:r>
      <w:r>
        <w:rPr>
          <w:rFonts w:hint="default" w:ascii="Times New Roman" w:hAnsi="Times New Roman" w:cs="Times New Roman"/>
          <w:color w:val="auto"/>
          <w:sz w:val="24"/>
          <w:szCs w:val="24"/>
          <w:lang w:val="zh-CN"/>
        </w:rPr>
        <w:t>实施砾石覆盖等措施。</w:t>
      </w:r>
    </w:p>
    <w:p>
      <w:pPr>
        <w:pStyle w:val="56"/>
        <w:spacing w:line="360" w:lineRule="auto"/>
        <w:rPr>
          <w:rFonts w:hint="default" w:ascii="Times New Roman" w:hAnsi="Times New Roman" w:cs="Times New Roman"/>
          <w:color w:val="auto"/>
          <w:sz w:val="24"/>
          <w:szCs w:val="24"/>
          <w:lang w:val="zh-CN"/>
        </w:rPr>
      </w:pPr>
      <w:bookmarkStart w:id="510" w:name="_Hlk36740226"/>
      <w:r>
        <w:rPr>
          <w:rFonts w:hint="default" w:ascii="Times New Roman" w:hAnsi="Times New Roman" w:cs="Times New Roman"/>
          <w:color w:val="auto"/>
          <w:sz w:val="24"/>
          <w:szCs w:val="24"/>
          <w:lang w:val="zh-CN"/>
        </w:rPr>
        <w:t>1）施工前治理措施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钻井开始前应先对井场占地范围内进行平整，尽可能做到土壤的分层堆放，分类回填，特别是表层土壤应分层堆放，单独收集暂存。</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施工产生的弃土集中专门堆放。将弃土装入编织袋堆放在外侧，形成拦挡。</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2）钻井结束后治理措施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①施工结束初期，对井场等永久占地范围内的地表实施水泥硬化或砾石覆盖等措施，以减少风蚀量。施工期临时占地和退役期设施拆除后占地内的植被进行恢复。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②工程施工结束后，应对施工临时占地内的土地进行平整，恢复原有地貌。充分利用前期已收集的弃土覆盖于井场表层，覆盖厚度根据植被类型和场地用途确定。对于恢复状态不好且易发生沙化的地段，根据实际情况对地表进行人工固沙处理，减缓水土流失，对抵制沙漠化发展将起到一定的积极作用。</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fldChar w:fldCharType="begin"/>
      </w:r>
      <w:r>
        <w:rPr>
          <w:rFonts w:hint="default" w:ascii="Times New Roman" w:hAnsi="Times New Roman" w:cs="Times New Roman"/>
          <w:color w:val="auto"/>
          <w:sz w:val="24"/>
          <w:szCs w:val="24"/>
          <w:lang w:val="zh-CN"/>
        </w:rPr>
        <w:instrText xml:space="preserve"> = 3 \* GB3 \* MERGEFORMAT </w:instrText>
      </w:r>
      <w:r>
        <w:rPr>
          <w:rFonts w:hint="default" w:ascii="Times New Roman" w:hAnsi="Times New Roman" w:cs="Times New Roman"/>
          <w:color w:val="auto"/>
          <w:sz w:val="24"/>
          <w:szCs w:val="24"/>
          <w:lang w:val="zh-CN"/>
        </w:rPr>
        <w:fldChar w:fldCharType="separate"/>
      </w:r>
      <w:r>
        <w:rPr>
          <w:rFonts w:hint="default" w:ascii="Times New Roman" w:hAnsi="Times New Roman" w:cs="Times New Roman"/>
          <w:color w:val="auto"/>
          <w:sz w:val="24"/>
          <w:szCs w:val="24"/>
          <w:lang w:val="zh-CN"/>
        </w:rPr>
        <w:t>③</w:t>
      </w:r>
      <w:r>
        <w:rPr>
          <w:rFonts w:hint="default" w:ascii="Times New Roman" w:hAnsi="Times New Roman" w:cs="Times New Roman"/>
          <w:color w:val="auto"/>
          <w:sz w:val="24"/>
          <w:szCs w:val="24"/>
          <w:lang w:val="zh-CN"/>
        </w:rPr>
        <w:fldChar w:fldCharType="end"/>
      </w:r>
      <w:r>
        <w:rPr>
          <w:rFonts w:hint="default" w:ascii="Times New Roman" w:hAnsi="Times New Roman" w:cs="Times New Roman"/>
          <w:color w:val="auto"/>
          <w:sz w:val="24"/>
          <w:szCs w:val="24"/>
          <w:lang w:val="zh-CN"/>
        </w:rPr>
        <w:t>退役期实施封井措施，防止油水串层。</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对井场地表进行砾石压盖，防止由于地表扰动造成的水土流失。工程施工结束后临时占地采取自然恢复的方式对区域植被进行恢复，临时占地内植被在未来3</w:t>
      </w:r>
      <w:r>
        <w:rPr>
          <w:rFonts w:hint="eastAsia" w:cs="Times New Roman"/>
          <w:color w:val="auto"/>
          <w:sz w:val="24"/>
          <w:szCs w:val="24"/>
          <w:lang w:val="zh-CN"/>
        </w:rPr>
        <w:t>～</w:t>
      </w:r>
      <w:r>
        <w:rPr>
          <w:rFonts w:hint="default" w:ascii="Times New Roman" w:hAnsi="Times New Roman" w:cs="Times New Roman"/>
          <w:color w:val="auto"/>
          <w:sz w:val="24"/>
          <w:szCs w:val="24"/>
          <w:lang w:val="zh-CN"/>
        </w:rPr>
        <w:t>5年时间内通过自然降水及温度等因素得以恢复。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典型生态保护措施平面示意见图6.</w:t>
      </w: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lang w:val="zh-CN"/>
        </w:rPr>
        <w:t>-1井场砾石压盖措施典型设计图。</w:t>
      </w:r>
    </w:p>
    <w:p>
      <w:pPr>
        <w:pStyle w:val="56"/>
        <w:ind w:firstLine="440"/>
        <w:rPr>
          <w:rFonts w:hint="default" w:ascii="Times New Roman" w:hAnsi="Times New Roman" w:cs="Times New Roman"/>
          <w:color w:val="auto"/>
          <w:sz w:val="22"/>
          <w:szCs w:val="24"/>
        </w:rPr>
      </w:pPr>
      <w:r>
        <w:rPr>
          <w:rFonts w:hint="default" w:ascii="Times New Roman" w:hAnsi="Times New Roman" w:cs="Times New Roman"/>
          <w:color w:val="auto"/>
          <w:sz w:val="22"/>
          <w:szCs w:val="24"/>
        </w:rPr>
        <w:drawing>
          <wp:inline distT="0" distB="0" distL="114300" distR="114300">
            <wp:extent cx="4662805" cy="1380490"/>
            <wp:effectExtent l="0" t="0" r="4445" b="0"/>
            <wp:docPr id="238" name="图片 41" descr="大北典型设计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1" descr="大北典型设计 Model (2)"/>
                    <pic:cNvPicPr>
                      <a:picLocks noChangeAspect="1"/>
                    </pic:cNvPicPr>
                  </pic:nvPicPr>
                  <pic:blipFill>
                    <a:blip r:embed="rId52" cstate="print"/>
                    <a:srcRect t="6667" b="-6723"/>
                    <a:stretch>
                      <a:fillRect/>
                    </a:stretch>
                  </pic:blipFill>
                  <pic:spPr>
                    <a:xfrm>
                      <a:off x="0" y="0"/>
                      <a:ext cx="4662805" cy="1380490"/>
                    </a:xfrm>
                    <a:prstGeom prst="rect">
                      <a:avLst/>
                    </a:prstGeom>
                    <a:noFill/>
                    <a:ln>
                      <a:noFill/>
                    </a:ln>
                  </pic:spPr>
                </pic:pic>
              </a:graphicData>
            </a:graphic>
          </wp:inline>
        </w:drawing>
      </w:r>
    </w:p>
    <w:p>
      <w:pPr>
        <w:pStyle w:val="48"/>
        <w:spacing w:line="360" w:lineRule="auto"/>
        <w:rPr>
          <w:rFonts w:hint="default" w:ascii="Times New Roman" w:hAnsi="Times New Roman" w:cs="Times New Roman"/>
          <w:color w:val="auto"/>
        </w:rPr>
      </w:pPr>
      <w:r>
        <w:rPr>
          <w:rFonts w:hint="default" w:ascii="Times New Roman" w:hAnsi="Times New Roman" w:cs="Times New Roman"/>
          <w:color w:val="auto"/>
        </w:rPr>
        <w:t>图6.9-1  井场砾石压盖措施典型设计图</w:t>
      </w:r>
    </w:p>
    <w:bookmarkEnd w:id="509"/>
    <w:bookmarkEnd w:id="510"/>
    <w:p>
      <w:pPr>
        <w:pStyle w:val="66"/>
        <w:rPr>
          <w:rFonts w:hint="default" w:ascii="Times New Roman" w:hAnsi="Times New Roman" w:cs="Times New Roman"/>
          <w:color w:val="auto"/>
        </w:rPr>
      </w:pPr>
      <w:r>
        <w:rPr>
          <w:rFonts w:hint="default" w:ascii="Times New Roman" w:hAnsi="Times New Roman" w:cs="Times New Roman"/>
          <w:color w:val="auto"/>
        </w:rPr>
        <w:t>6.9.2.2管线生态恢复治理</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（1）管线生态恢复治理范围</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本项目需新建各类</w:t>
      </w:r>
      <w:r>
        <w:rPr>
          <w:rFonts w:hint="default" w:ascii="Times New Roman" w:hAnsi="Times New Roman" w:cs="Times New Roman"/>
          <w:color w:val="auto"/>
          <w:sz w:val="24"/>
          <w:szCs w:val="24"/>
        </w:rPr>
        <w:t>集输</w:t>
      </w:r>
      <w:r>
        <w:rPr>
          <w:rFonts w:hint="default" w:ascii="Times New Roman" w:hAnsi="Times New Roman" w:cs="Times New Roman"/>
          <w:color w:val="auto"/>
          <w:sz w:val="24"/>
          <w:szCs w:val="24"/>
          <w:lang w:val="zh-CN"/>
        </w:rPr>
        <w:t>管线，共计临时占地</w:t>
      </w:r>
      <w:r>
        <w:rPr>
          <w:rFonts w:hint="default" w:ascii="Times New Roman" w:hAnsi="Times New Roman" w:cs="Times New Roman"/>
          <w:color w:val="auto"/>
          <w:sz w:val="24"/>
          <w:szCs w:val="24"/>
          <w:lang w:val="en-US" w:eastAsia="zh-CN"/>
        </w:rPr>
        <w:t>533</w:t>
      </w: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zh-CN"/>
        </w:rPr>
        <w:t>m</w:t>
      </w:r>
      <w:r>
        <w:rPr>
          <w:rFonts w:hint="default" w:ascii="Times New Roman" w:hAnsi="Times New Roman" w:cs="Times New Roman"/>
          <w:color w:val="auto"/>
          <w:sz w:val="24"/>
          <w:szCs w:val="24"/>
          <w:vertAlign w:val="superscript"/>
          <w:lang w:val="zh-CN"/>
        </w:rPr>
        <w:t>2</w:t>
      </w:r>
      <w:r>
        <w:rPr>
          <w:rFonts w:hint="default" w:ascii="Times New Roman" w:hAnsi="Times New Roman" w:cs="Times New Roman"/>
          <w:color w:val="auto"/>
          <w:sz w:val="24"/>
          <w:szCs w:val="24"/>
          <w:lang w:val="zh-CN"/>
        </w:rPr>
        <w:t>，该范围内需进行生态环境恢复治理。</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（2）生态环境恢复治理措施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①工程保护措施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管道施工作业带宽度控制在</w:t>
      </w:r>
      <w:r>
        <w:rPr>
          <w:rFonts w:hint="eastAsia" w:cs="Times New Roman"/>
          <w:color w:val="auto"/>
          <w:sz w:val="24"/>
          <w:szCs w:val="24"/>
          <w:lang w:val="en-US" w:eastAsia="zh-CN"/>
        </w:rPr>
        <w:t>8</w:t>
      </w:r>
      <w:r>
        <w:rPr>
          <w:rFonts w:hint="default" w:ascii="Times New Roman" w:hAnsi="Times New Roman" w:cs="Times New Roman"/>
          <w:color w:val="auto"/>
          <w:sz w:val="24"/>
          <w:szCs w:val="24"/>
          <w:lang w:val="zh-CN"/>
        </w:rPr>
        <w:t>m范围内，施工过程中注意保护土壤成分和结构。在施工结束后，分层回填管沟，覆土压实，管沟回填后多余土方应作为管廊覆土，不得随意丢弃。施工结束后应对临时占地内地貌进行恢复，尽可能保持植物原有的生存环境，以利于植被恢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②植被恢复措施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工程施工结束后采用自然恢复的方式进行恢复区域植被，临时占地内植被在未来3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zh-CN"/>
        </w:rPr>
        <w:t>5年时间内通过自然降水及温度等因素得以恢复。对于恢复状态不好且易发生沙化的地段，根据实际情况对地表进行人工固沙处理</w:t>
      </w:r>
      <w:bookmarkStart w:id="511" w:name="_Hlk41383037"/>
      <w:r>
        <w:rPr>
          <w:rFonts w:hint="eastAsia" w:cs="Times New Roman"/>
          <w:color w:val="auto"/>
          <w:sz w:val="24"/>
          <w:szCs w:val="24"/>
          <w:lang w:val="zh-CN"/>
        </w:rPr>
        <w:t>。</w:t>
      </w:r>
    </w:p>
    <w:p>
      <w:pPr>
        <w:pStyle w:val="66"/>
        <w:rPr>
          <w:rFonts w:hint="default" w:ascii="Times New Roman" w:hAnsi="Times New Roman" w:cs="Times New Roman"/>
          <w:color w:val="auto"/>
        </w:rPr>
      </w:pPr>
      <w:r>
        <w:rPr>
          <w:rFonts w:hint="default" w:ascii="Times New Roman" w:hAnsi="Times New Roman" w:cs="Times New Roman"/>
          <w:color w:val="auto"/>
        </w:rPr>
        <w:t>6.9.2.2植被恢复措施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工程施工结束后，按照林草部门要求进行恢复，井场恢复后的植被覆盖率不应低于区域范围内同类型土地植被覆盖率，植被类型应与原有类型相似，并与周边自然景观协调，不得使用外来有害物种进行井场、站场植被恢复。</w:t>
      </w:r>
    </w:p>
    <w:p>
      <w:pPr>
        <w:pStyle w:val="66"/>
        <w:rPr>
          <w:rFonts w:hint="default" w:ascii="Times New Roman" w:hAnsi="Times New Roman" w:cs="Times New Roman"/>
          <w:color w:val="auto"/>
        </w:rPr>
      </w:pPr>
      <w:bookmarkStart w:id="512" w:name="_Hlk102743529"/>
      <w:r>
        <w:rPr>
          <w:rFonts w:hint="default" w:ascii="Times New Roman" w:hAnsi="Times New Roman" w:cs="Times New Roman"/>
          <w:color w:val="auto"/>
        </w:rPr>
        <w:t>6.9.2.3闭井期生态保护恢复与重建措施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油田闭井期，根据立地条件和宜林则林、宜草则草、宜农则农的原则，对生态环境进行恢复和重建，评价建议分区采取生态恢复与重建措施。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（1）井场生态恢复与重建措施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①闭井期油井退役或报废后，应当在6个月内将打开的油气层和井口封闭；井场应拆除采油设备、封好井口、拆除井场围墙，挖松固化地面，并对井场土地进行平整、覆土、植被恢复。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②在采油设备拆除过程中产生的落地原油，应统一运往指定地点处置，防止污染周围土壤环境。</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③保留各类绿化、防洪工程、生态保护设施，使油田开发区生态环境功能不变，生态环境质量不低于现状。</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④关闭油井</w:t>
      </w:r>
      <w:r>
        <w:rPr>
          <w:rFonts w:hint="eastAsia" w:cs="Times New Roman"/>
          <w:color w:val="auto"/>
          <w:sz w:val="24"/>
          <w:szCs w:val="24"/>
          <w:lang w:val="zh-CN"/>
        </w:rPr>
        <w:t>应</w:t>
      </w:r>
      <w:r>
        <w:rPr>
          <w:rFonts w:hint="default" w:ascii="Times New Roman" w:hAnsi="Times New Roman" w:cs="Times New Roman"/>
          <w:color w:val="auto"/>
          <w:sz w:val="24"/>
          <w:szCs w:val="24"/>
          <w:lang w:val="zh-CN"/>
        </w:rPr>
        <w:t>封堵油层、封闭井口，并同步实施井场复垦工程措施。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（2）站场生态恢复与重建措施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①闭井期站场应当在退役后12个月内予以拆除，同时挖松固化地面，并对站场土地进行平整、覆土、植被恢复，18个月内达到土地使用功能。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②与水土保持工程措施相结合，防止引发大量水土流失。</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综上所述，项目闭井期在采取生态恢复与重建措施后，可有效地将生态环境的影响降到最低程度。</w:t>
      </w:r>
    </w:p>
    <w:bookmarkEnd w:id="508"/>
    <w:bookmarkEnd w:id="511"/>
    <w:bookmarkEnd w:id="512"/>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6.9.3生态环境恢复进度安排</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生态环境恢复计划将贯穿油田开采及生产的全过程，从钻井至地面设施建设、运营期及退役期。</w:t>
      </w:r>
    </w:p>
    <w:p>
      <w:pPr>
        <w:pStyle w:val="3"/>
        <w:spacing w:before="10" w:after="10"/>
        <w:rPr>
          <w:rFonts w:hint="default" w:ascii="Times New Roman" w:hAnsi="Times New Roman" w:eastAsia="宋体" w:cs="Times New Roman"/>
          <w:color w:val="auto"/>
        </w:rPr>
      </w:pPr>
      <w:bookmarkStart w:id="513" w:name="_Toc44088103"/>
      <w:bookmarkStart w:id="514" w:name="_Toc411"/>
      <w:bookmarkStart w:id="515" w:name="_Toc12184"/>
      <w:bookmarkStart w:id="516" w:name="_Hlk41383330"/>
      <w:r>
        <w:rPr>
          <w:rFonts w:hint="default" w:ascii="Times New Roman" w:hAnsi="Times New Roman" w:eastAsia="宋体" w:cs="Times New Roman"/>
          <w:color w:val="auto"/>
        </w:rPr>
        <w:t>6.10水土保持方案</w:t>
      </w:r>
      <w:bookmarkEnd w:id="513"/>
      <w:bookmarkEnd w:id="514"/>
      <w:bookmarkEnd w:id="515"/>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井场、</w:t>
      </w:r>
      <w:r>
        <w:rPr>
          <w:rFonts w:hint="default" w:ascii="Times New Roman" w:hAnsi="Times New Roman" w:cs="Times New Roman"/>
          <w:color w:val="auto"/>
          <w:sz w:val="24"/>
          <w:szCs w:val="24"/>
        </w:rPr>
        <w:t>管线、</w:t>
      </w:r>
      <w:r>
        <w:rPr>
          <w:rFonts w:hint="default" w:ascii="Times New Roman" w:hAnsi="Times New Roman" w:cs="Times New Roman"/>
          <w:color w:val="auto"/>
          <w:sz w:val="24"/>
          <w:szCs w:val="24"/>
          <w:lang w:val="zh-CN"/>
        </w:rPr>
        <w:t>道路等施工扰动，将使井场、场站及周围的土壤结构和植被遭到破坏，降低水土保持功能，加剧水土流失。不但造成弃土弃渣的直接水土流失加剧，还可能将加剧地表直接破坏区的水土流失，对区域的水土流失有加剧的趋势。</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本环评将从开发建设过程中扰动地表地貌、破坏植被等不利水土保持的因素制定合理可行的水土保持措施，防止砾幕层破坏造成的土壤沙化，尤其是防止在风力作用下形成的风沙流对邻近区域造成危害。项目建设过程中应严格参照水土保持措施执行，防止区域水土流失的加剧。</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6.10.1指导原则</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1）严格遵循《中华人民共和国水土保持法》《中华人民共和国水土保持法实施条例》《新疆维吾尔自治区实施〈中华人民共和国水土保持法〉办法》等有关规定，贯彻执行“预防为主，全面规划，综合防治，因地制宜，加强管理，注重效益”水土保持方针，尽量减少施工过程中造成的人为水土流失。</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2）根据“因地制宜，因害设防、重点治理与一般防治兼顾”的原则，采取各项水土保持措施，做到工程措施、植物措施相结合，治理与开发利用相结合，形成项目建设水土保持的综合治理体系，保证项目在施工和运营期间的安全，控制和减少水土流失，使项目沿线生态环境得到保护、恢复和改善。</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（3）坚持“谁开发谁保护，谁造成水土流失谁治理”的原则，合理界定本项目水土流失防治的责任范围。</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4）各项治理措施要符合有关技术规范要求，采取工程措施与植物措施相结合，永久措施与临时措施相结合的原则，对项目造成的水土流失采取适当的防治措施体系进行治理，治理时坚持“三同时”原则。水土保持工作以控制水土流失、改善生态环境、恢复植被为重点。在不影响水土保持效能的前提下尽量减少资金的投入，要做到经济上合理，技术上可行，实施后有明显的生态和环境效益。</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6.10.2防治目标和范围</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根据</w:t>
      </w:r>
      <w:r>
        <w:rPr>
          <w:rFonts w:hint="default" w:ascii="Times New Roman" w:hAnsi="Times New Roman" w:cs="Times New Roman"/>
          <w:color w:val="auto"/>
          <w:sz w:val="24"/>
          <w:szCs w:val="24"/>
          <w:lang w:val="de-DE"/>
        </w:rPr>
        <w:t>《新疆维吾尔自治区水土保持区划（</w:t>
      </w:r>
      <w:r>
        <w:rPr>
          <w:rFonts w:hint="default" w:ascii="Times New Roman" w:hAnsi="Times New Roman" w:cs="Times New Roman"/>
          <w:color w:val="auto"/>
          <w:sz w:val="24"/>
          <w:szCs w:val="24"/>
        </w:rPr>
        <w:t>2018-2030年）</w:t>
      </w:r>
      <w:r>
        <w:rPr>
          <w:rFonts w:hint="default" w:ascii="Times New Roman" w:hAnsi="Times New Roman" w:cs="Times New Roman"/>
          <w:color w:val="auto"/>
          <w:sz w:val="24"/>
          <w:szCs w:val="24"/>
          <w:lang w:val="de-DE"/>
        </w:rPr>
        <w:t>》，项目所在</w:t>
      </w:r>
      <w:r>
        <w:rPr>
          <w:rFonts w:hint="default" w:ascii="Times New Roman" w:hAnsi="Times New Roman" w:cs="Times New Roman"/>
          <w:color w:val="auto"/>
          <w:sz w:val="24"/>
          <w:szCs w:val="24"/>
        </w:rPr>
        <w:t>地</w:t>
      </w:r>
      <w:r>
        <w:rPr>
          <w:rFonts w:hint="default" w:ascii="Times New Roman" w:hAnsi="Times New Roman" w:cs="Times New Roman"/>
          <w:color w:val="auto"/>
          <w:sz w:val="24"/>
          <w:szCs w:val="24"/>
          <w:lang w:val="de-DE"/>
        </w:rPr>
        <w:t>属于天山北坡国家级水土流失重点预防区。</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总体防治目标是：预防和治理水土流失防治责任范围内的水土流失，减少和控制新增水土流失危害，维持工程施工、运营安全及项目区生态环境的良性循环。为此，在自然环境调查的基础上，根据工程实际设计合理可行的水土保持工程，达到恢复植被，减少水土流失，改善生态环境的目的，同时也为主体工程安全运行提供环境保障。</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6.10.3水土流失防治责任范围</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结合《生产建设项目水土保持技术标准》（GB50433-2018）中的有关规定，根据工程特点和总体布局，确定本项目水土流失防治责任范围包括工程建设区和直接影响区。防治责任范围主体属于</w:t>
      </w:r>
      <w:r>
        <w:rPr>
          <w:rFonts w:hint="default" w:ascii="Times New Roman" w:hAnsi="Times New Roman" w:cs="Times New Roman"/>
          <w:color w:val="auto"/>
          <w:sz w:val="24"/>
          <w:szCs w:val="24"/>
        </w:rPr>
        <w:t>塔城地区和布克赛尔蒙古自治县</w:t>
      </w:r>
      <w:r>
        <w:rPr>
          <w:rFonts w:hint="default" w:ascii="Times New Roman" w:hAnsi="Times New Roman" w:cs="Times New Roman"/>
          <w:color w:val="auto"/>
          <w:sz w:val="24"/>
          <w:szCs w:val="24"/>
          <w:lang w:val="zh-CN"/>
        </w:rPr>
        <w:t>管辖。</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项目建设区：指开发建设单位工程建设征用、占用、租用及管辖等的土地范围，是建设项目直接造成的损坏和扰动的区域。其中用地范围包括井场、管线及道路区。</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直接影响区：项目建设区以外因开发建设活动而造成的水土流失及其直接危害的范围，包括施工过程可能造成践踏、碾压的周边地带，以及因工程建设改变原地貌汇流路径，对周边地区带来潜在水土流失危害的区域。</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6.10.4水土保持措施</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根据水土流失防治分区，在分析评价主体工程中具有水土保持功能措施的基础上，针对项目建设施工活动引发水土流失的特点和危害程度，将水土保持工程措施和植物措施有机结合在一起，合理确定水土保持措施的总体布局。对主体工程中具有水土保持功能工程，</w:t>
      </w:r>
      <w:r>
        <w:rPr>
          <w:rFonts w:hint="eastAsia" w:cs="Times New Roman"/>
          <w:color w:val="auto"/>
          <w:sz w:val="24"/>
          <w:szCs w:val="24"/>
          <w:lang w:val="zh-CN"/>
        </w:rPr>
        <w:t>纳入</w:t>
      </w:r>
      <w:r>
        <w:rPr>
          <w:rFonts w:hint="default" w:ascii="Times New Roman" w:hAnsi="Times New Roman" w:cs="Times New Roman"/>
          <w:color w:val="auto"/>
          <w:sz w:val="24"/>
          <w:szCs w:val="24"/>
          <w:lang w:val="zh-CN"/>
        </w:rPr>
        <w:t>方案的水土保持措施体系当中，使之与方案新增水土保持措施一起，形成一个完整、严密、科学的水土流失防治措施体系。</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（1）井场区</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①</w:t>
      </w:r>
      <w:bookmarkStart w:id="517" w:name="_Hlk42850402"/>
      <w:r>
        <w:rPr>
          <w:rFonts w:hint="default" w:ascii="Times New Roman" w:hAnsi="Times New Roman" w:cs="Times New Roman"/>
          <w:color w:val="auto"/>
          <w:sz w:val="24"/>
          <w:szCs w:val="24"/>
          <w:lang w:val="zh-CN"/>
        </w:rPr>
        <w:t>为保护土地资源，在施工前，对井场所处位置进行表土剥离，剥离的表土作为后期生态恢复；在井场周边修筑地边梗；钻井作业结束后，将井场进行平整，并覆土压实覆盖一层砾石（6cm），防止风蚀现象发生。</w:t>
      </w:r>
      <w:bookmarkEnd w:id="517"/>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②植物措施：项目采油井口及井场、道路及集输管线在选址选线阶段尽量选择在植被稀少或荒漠的区域布点，采取少占地、少破坏植被的原则，缩小施工范围；工程施工结束后采取自然恢复的方式对区域植被进行恢复。</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zh-CN"/>
        </w:rPr>
        <w:t>）管线区</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本项目水土流失主要发生在施工期，本次环评建议对此采用工程措施与植物措施相结合的方式。在工程措施中，要限制施工作业扰动范围，开挖出的土按表层及深层分开堆放。下管后深层土填入下层，表层土覆于上层，然后洒水“封育”。</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由于管线敷设地面还形成一条高于地面的土埂，因此若供排水与地表天然排水方向垂直，则要分段设排水沟。</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此外，要求在</w:t>
      </w:r>
      <w:r>
        <w:rPr>
          <w:rFonts w:hint="default" w:ascii="Times New Roman" w:hAnsi="Times New Roman" w:cs="Times New Roman"/>
          <w:color w:val="auto"/>
          <w:sz w:val="24"/>
          <w:szCs w:val="24"/>
          <w:lang w:val="en-US" w:eastAsia="zh-CN"/>
        </w:rPr>
        <w:t>单井出油管道</w:t>
      </w:r>
      <w:r>
        <w:rPr>
          <w:rFonts w:hint="default" w:ascii="Times New Roman" w:hAnsi="Times New Roman" w:cs="Times New Roman"/>
          <w:color w:val="auto"/>
          <w:sz w:val="24"/>
          <w:szCs w:val="24"/>
          <w:lang w:val="zh-CN"/>
        </w:rPr>
        <w:t>和</w:t>
      </w:r>
      <w:r>
        <w:rPr>
          <w:rFonts w:hint="default" w:ascii="Times New Roman" w:hAnsi="Times New Roman" w:cs="Times New Roman"/>
          <w:color w:val="auto"/>
          <w:sz w:val="24"/>
          <w:szCs w:val="24"/>
          <w:lang w:val="en-US" w:eastAsia="zh-CN"/>
        </w:rPr>
        <w:t>单井注水管道</w:t>
      </w:r>
      <w:r>
        <w:rPr>
          <w:rFonts w:hint="default" w:ascii="Times New Roman" w:hAnsi="Times New Roman" w:cs="Times New Roman"/>
          <w:color w:val="auto"/>
          <w:sz w:val="24"/>
          <w:szCs w:val="24"/>
          <w:lang w:val="zh-CN"/>
        </w:rPr>
        <w:t>施工结束后，在管道覆土上方设置草方格防风固沙、涵养水分。</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lang w:val="zh-CN"/>
        </w:rPr>
        <w:t>）植物措施草树种优选及质量要求</w:t>
      </w:r>
    </w:p>
    <w:p>
      <w:pPr>
        <w:spacing w:line="360" w:lineRule="auto"/>
        <w:ind w:firstLine="480"/>
        <w:rPr>
          <w:rFonts w:hint="default" w:ascii="Times New Roman" w:hAnsi="Times New Roman" w:eastAsia="宋体" w:cs="Times New Roman"/>
          <w:bCs/>
          <w:color w:val="auto"/>
          <w:sz w:val="24"/>
          <w:lang w:val="zh-CN"/>
        </w:rPr>
      </w:pPr>
      <w:r>
        <w:rPr>
          <w:rFonts w:hint="default" w:ascii="Times New Roman" w:hAnsi="Times New Roman" w:eastAsia="宋体" w:cs="Times New Roman"/>
          <w:bCs/>
          <w:color w:val="auto"/>
          <w:sz w:val="24"/>
          <w:lang w:val="zh-CN"/>
        </w:rPr>
        <w:t>本着“因地制宜、适地适树适草”的原则，根据项目自身特点和所处地区的气候特点，选择耐寒、耐旱、抗盐碱沙生植物种作为场内恢复绿化和造林的骨干植物种，如当地适生的优势免灌植物为</w:t>
      </w:r>
      <w:r>
        <w:rPr>
          <w:rFonts w:hint="default" w:ascii="Times New Roman" w:hAnsi="Times New Roman" w:eastAsia="宋体" w:cs="Times New Roman"/>
          <w:bCs/>
          <w:color w:val="auto"/>
          <w:sz w:val="24"/>
        </w:rPr>
        <w:t>沙拐枣</w:t>
      </w:r>
      <w:r>
        <w:rPr>
          <w:rFonts w:hint="default" w:ascii="Times New Roman" w:hAnsi="Times New Roman" w:eastAsia="宋体" w:cs="Times New Roman"/>
          <w:bCs/>
          <w:color w:val="auto"/>
          <w:sz w:val="24"/>
          <w:lang w:val="zh-CN"/>
        </w:rPr>
        <w:t>群系植被等。</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zh-CN"/>
        </w:rPr>
        <w:t>）编制防洪规划和水土保持规划的要求</w:t>
      </w:r>
    </w:p>
    <w:p>
      <w:pPr>
        <w:pStyle w:val="116"/>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lang w:val="zh-CN"/>
        </w:rPr>
        <w:t>建议建设单位必须在项目前期</w:t>
      </w:r>
      <w:r>
        <w:rPr>
          <w:rFonts w:hint="eastAsia" w:cs="Times New Roman"/>
          <w:color w:val="auto"/>
          <w:sz w:val="24"/>
          <w:szCs w:val="24"/>
          <w:lang w:val="zh-CN"/>
        </w:rPr>
        <w:t>按照</w:t>
      </w:r>
      <w:r>
        <w:rPr>
          <w:rFonts w:hint="default" w:ascii="Times New Roman" w:hAnsi="Times New Roman" w:cs="Times New Roman"/>
          <w:color w:val="auto"/>
          <w:sz w:val="24"/>
          <w:szCs w:val="24"/>
          <w:lang w:val="zh-CN"/>
        </w:rPr>
        <w:t>《生产建设项目水土保持技术标准》（GB50433-2018）的要求，编制符合要求的水土保持方案，以便有效防止水土流失。</w:t>
      </w:r>
      <w:r>
        <w:rPr>
          <w:rFonts w:hint="default" w:ascii="Times New Roman" w:hAnsi="Times New Roman" w:eastAsia="宋体" w:cs="Times New Roman"/>
          <w:color w:val="auto"/>
          <w:lang w:eastAsia="zh-CN"/>
        </w:rPr>
        <w:t>本项目水土保持措施体系见图</w:t>
      </w:r>
      <w:r>
        <w:rPr>
          <w:rFonts w:hint="default" w:ascii="Times New Roman" w:hAnsi="Times New Roman" w:eastAsia="宋体" w:cs="Times New Roman"/>
          <w:color w:val="auto"/>
          <w:lang w:val="en-US" w:eastAsia="zh-CN"/>
        </w:rPr>
        <w:t>6.</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lang w:val="en-US" w:eastAsia="zh-CN"/>
        </w:rPr>
        <w:t>-1。</w:t>
      </w:r>
    </w:p>
    <w:p>
      <w:pPr>
        <w:pStyle w:val="11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3789680" cy="1858645"/>
            <wp:effectExtent l="0" t="0" r="1270" b="8255"/>
            <wp:docPr id="21" name="图片 14" descr="173995280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1739952804665"/>
                    <pic:cNvPicPr>
                      <a:picLocks noChangeAspect="1"/>
                    </pic:cNvPicPr>
                  </pic:nvPicPr>
                  <pic:blipFill>
                    <a:blip r:embed="rId53"/>
                    <a:srcRect t="6035"/>
                    <a:stretch>
                      <a:fillRect/>
                    </a:stretch>
                  </pic:blipFill>
                  <pic:spPr>
                    <a:xfrm>
                      <a:off x="0" y="0"/>
                      <a:ext cx="3789680" cy="1858645"/>
                    </a:xfrm>
                    <a:prstGeom prst="rect">
                      <a:avLst/>
                    </a:prstGeom>
                    <a:noFill/>
                    <a:ln>
                      <a:noFill/>
                    </a:ln>
                  </pic:spPr>
                </pic:pic>
              </a:graphicData>
            </a:graphic>
          </wp:inline>
        </w:drawing>
      </w:r>
    </w:p>
    <w:p>
      <w:pPr>
        <w:keepNext w:val="0"/>
        <w:keepLines w:val="0"/>
        <w:pageBreakBefore w:val="0"/>
        <w:kinsoku/>
        <w:wordWrap/>
        <w:topLinePunct w:val="0"/>
        <w:bidi w:val="0"/>
        <w:adjustRightInd w:val="0"/>
        <w:snapToGrid w:val="0"/>
        <w:spacing w:line="24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图6.</w:t>
      </w:r>
      <w:r>
        <w:rPr>
          <w:rFonts w:hint="eastAsia"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lang w:val="en-US" w:eastAsia="zh-CN"/>
        </w:rPr>
        <w:t>-1    项目区水土保持措施体系图</w:t>
      </w:r>
    </w:p>
    <w:bookmarkEnd w:id="516"/>
    <w:p>
      <w:pPr>
        <w:pStyle w:val="3"/>
        <w:spacing w:before="10" w:after="10"/>
        <w:rPr>
          <w:rFonts w:hint="default" w:ascii="Times New Roman" w:hAnsi="Times New Roman" w:eastAsia="宋体" w:cs="Times New Roman"/>
          <w:color w:val="auto"/>
        </w:rPr>
      </w:pPr>
      <w:bookmarkStart w:id="518" w:name="_Toc353"/>
      <w:bookmarkStart w:id="519" w:name="_Toc44088104"/>
      <w:bookmarkStart w:id="520" w:name="_Toc18628"/>
      <w:bookmarkStart w:id="521" w:name="_Hlk102743680"/>
      <w:r>
        <w:rPr>
          <w:rFonts w:hint="default" w:ascii="Times New Roman" w:hAnsi="Times New Roman" w:eastAsia="宋体" w:cs="Times New Roman"/>
          <w:color w:val="auto"/>
        </w:rPr>
        <w:t>6.11防沙治沙方案</w:t>
      </w:r>
      <w:bookmarkEnd w:id="518"/>
      <w:bookmarkEnd w:id="519"/>
      <w:bookmarkEnd w:id="520"/>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根据</w:t>
      </w:r>
      <w:bookmarkStart w:id="522" w:name="_Hlk44082656"/>
      <w:r>
        <w:rPr>
          <w:rFonts w:hint="default" w:ascii="Times New Roman" w:hAnsi="Times New Roman" w:cs="Times New Roman"/>
          <w:color w:val="auto"/>
          <w:sz w:val="24"/>
          <w:szCs w:val="24"/>
          <w:lang w:val="zh-CN"/>
        </w:rPr>
        <w:t>《国家林业局关于做好沙区开发建设项目环评中防沙治沙内容评价工作的意见》（林沙发〔</w:t>
      </w:r>
      <w:r>
        <w:rPr>
          <w:rFonts w:hint="default" w:ascii="Times New Roman" w:hAnsi="Times New Roman" w:cs="Times New Roman"/>
          <w:color w:val="auto"/>
          <w:sz w:val="24"/>
          <w:szCs w:val="24"/>
        </w:rPr>
        <w:t>2013</w:t>
      </w:r>
      <w:r>
        <w:rPr>
          <w:rFonts w:hint="default" w:ascii="Times New Roman" w:hAnsi="Times New Roman" w:cs="Times New Roman"/>
          <w:color w:val="auto"/>
          <w:sz w:val="24"/>
          <w:szCs w:val="24"/>
          <w:lang w:val="zh-CN"/>
        </w:rPr>
        <w:t>〕136号）</w:t>
      </w:r>
      <w:bookmarkEnd w:id="522"/>
      <w:r>
        <w:rPr>
          <w:rFonts w:hint="default" w:ascii="Times New Roman" w:hAnsi="Times New Roman" w:cs="Times New Roman"/>
          <w:color w:val="auto"/>
          <w:sz w:val="24"/>
          <w:szCs w:val="24"/>
          <w:lang w:val="zh-CN"/>
        </w:rPr>
        <w:t>：沙区开发建设项目是指在沙漠、戈壁、沙地、沙化土地和潜在沙化土地上实施的开发建设项目，主要包括在沙区范围内开发的工业、农业、畜牧业、能源、水利、交通、城市建设、旅游、自然资源等建设项目。按照《防沙治沙法》的规定，“沙区开发建设项目都应当包括具有防沙治沙内容的环境影响评价”。</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6.11.1防治目标</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rPr>
        <w:t>《关于加强沙区建设项目环境影响评价工作的通知》（新环环评发〔2020〕138号）中明确</w:t>
      </w:r>
      <w:r>
        <w:rPr>
          <w:rFonts w:hint="default" w:ascii="Times New Roman" w:hAnsi="Times New Roman" w:cs="Times New Roman"/>
          <w:color w:val="auto"/>
          <w:sz w:val="24"/>
          <w:szCs w:val="24"/>
          <w:lang w:val="zh-CN"/>
        </w:rPr>
        <w:t>开展沙区开发建设项目环评中防沙治沙内容评价工作的主要目的，是对开发建设项目实施后可能造成对沙区植被、生态的影响和土地沙化趋势变化进行综合分析、预测和评估，提出预防或者减轻不良影响的对策和措施，为沙区开发建设项目的立项决策提供生态承载能力等方面的科学依据。</w:t>
      </w:r>
    </w:p>
    <w:p>
      <w:pPr>
        <w:pStyle w:val="56"/>
        <w:spacing w:line="360" w:lineRule="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本项目区块开发涉及到区域主要的植被群系为</w:t>
      </w:r>
      <w:r>
        <w:rPr>
          <w:rFonts w:hint="default" w:ascii="Times New Roman" w:hAnsi="Times New Roman" w:cs="Times New Roman"/>
          <w:color w:val="auto"/>
          <w:sz w:val="24"/>
          <w:szCs w:val="24"/>
        </w:rPr>
        <w:t>红皮沙拐枣</w:t>
      </w:r>
      <w:r>
        <w:rPr>
          <w:rFonts w:hint="default" w:ascii="Times New Roman" w:hAnsi="Times New Roman" w:cs="Times New Roman"/>
          <w:color w:val="auto"/>
          <w:sz w:val="24"/>
          <w:szCs w:val="24"/>
          <w:lang w:val="zh-CN"/>
        </w:rPr>
        <w:t>群系。根据《关于加强沙区建设项目环境影响评价工作的通知》（新环环评发【2020】138 号）要求，提出本项目的防沙治沙措施。总体防治目标为：维持生态环境现状，预防遏制新的沙化形成，保护沙区植被。根据工程实际设计合理可行的防沙治沙工程，达到恢复植被，遏制沙化，改善生态环境的目的，同时也为主体工程安全运行提供环境保障。</w:t>
      </w:r>
    </w:p>
    <w:p>
      <w:pPr>
        <w:tabs>
          <w:tab w:val="left" w:pos="3465"/>
        </w:tabs>
        <w:spacing w:line="360" w:lineRule="auto"/>
        <w:outlineLvl w:val="2"/>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6.11.2防沙治沙措施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在防沙、治沙方面，要坚持“因地制宜、因害设防、保护优先、综合治理”的原则，坚持宜乔则乔、宜灌则灌、宜草则草，采取以林草植被建设为主的综合措施，加强地表覆盖，减少尘源。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地处准噶尔盆地，气候干燥，风力强大，地表土质疏松干燥，区域大部分土壤表层为盐土所覆盖，植被分布稀疏，主要为红皮沙拐枣，属于典型沙质荒漠生态系统。由于区域干旱少雨，水资源极度匮乏，植被生长主要靠地下水维持，根据现场调查，在植被遭到破坏的区域，在自然条件下很难得到恢复。由于受到区域土壤、水分等条件的限制，在项目区域进行植被恢复在经济技术条件下将很难实现，因此，本次水土流失防治主要以工程措施为主。</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（1）工程防治措施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lang w:eastAsia="zh-CN"/>
        </w:rPr>
        <w:t>管廊上方土方平整压实，防止沙丘活化，减少水土流失。严格控制管线施工作业带宽度，施工场地应进行清理平整，以便临时占地范围内的自然植被的恢复</w:t>
      </w:r>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②施工中严格按照规定的施工占地要求，划定适宜的堆料场，尽量减少地表植被的破坏。避免在大风、雨天施工，特别是管沟开挖、管道回填作业等。</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③为减少风沙危害，线路走向应尽量与沙龙走向一致，尽量绕开植被，并在垄间通过。与道路走向一致的管道建设，恢复后的地面应低于路面，并置于道路背风一侧；</w:t>
      </w:r>
      <w:r>
        <w:rPr>
          <w:rFonts w:hint="default" w:ascii="Times New Roman" w:hAnsi="Times New Roman" w:cs="Times New Roman"/>
          <w:color w:val="auto"/>
          <w:sz w:val="24"/>
          <w:szCs w:val="24"/>
          <w:lang w:val="zh-TW"/>
        </w:rPr>
        <w:t>尽量避开沙丘，减缓对沙丘活化的影响</w:t>
      </w:r>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井场施工前，对井场所处位置进行表土剥离，剥离的表土作为后期生态恢复；在井场周边修筑地边梗；钻井作业结束后，将井场进行平整，并覆土压实覆盖一层砾石（6cm），防止风蚀现象发生。禁止随意剥离工程占地以外的剥离砾石。</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⑤在施工过程中，加强对占地区域砾幕层的保护，砾幕层恢复采用先收集—临时存放—施工结束后再覆盖—洒水的方式。</w:t>
      </w:r>
      <w:r>
        <w:rPr>
          <w:rFonts w:hint="default" w:ascii="Times New Roman" w:hAnsi="Times New Roman" w:cs="Times New Roman"/>
          <w:color w:val="auto"/>
          <w:sz w:val="24"/>
          <w:szCs w:val="24"/>
          <w:lang w:eastAsia="zh-CN"/>
        </w:rPr>
        <w:t>根据实际情况，在临时占地恢复较差地段采取草方格形式固沙。</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站场建设应尽量利用挖方料，做到土石方平衡。在管道施工结束后，要立即对现场进行回填、平整、形成新的合适坡度，并尽可能覆土压实，基本程序是回填－平整－覆土－压实。工程回填物应首先考虑弃土、弃石和弃渣，并力求做到挖填平衡。</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⑦做好迹地恢复，施工结束后，要做好施工迹地的恢复工作，应结合地形修整成一定形状，与周围环境相协调。</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⑧</w:t>
      </w:r>
      <w:bookmarkStart w:id="523" w:name="_Hlk44083293"/>
      <w:r>
        <w:rPr>
          <w:rFonts w:hint="default" w:ascii="Times New Roman" w:hAnsi="Times New Roman" w:cs="Times New Roman"/>
          <w:color w:val="auto"/>
          <w:sz w:val="24"/>
          <w:szCs w:val="24"/>
        </w:rPr>
        <w:t>工程项目所在地采取风沙防护工程，治理结束后，恢复期应在充分利用既有防沙治沙措施的基础上，进一步采取机械治沙和生物治沙等综合整治措施，控制土地沙漠化的扩展。</w:t>
      </w:r>
      <w:bookmarkEnd w:id="523"/>
    </w:p>
    <w:p>
      <w:pPr>
        <w:pStyle w:val="56"/>
        <w:spacing w:line="360" w:lineRule="auto"/>
        <w:rPr>
          <w:rFonts w:hint="eastAsia" w:cs="Times New Roman"/>
          <w:color w:val="auto"/>
          <w:sz w:val="24"/>
          <w:szCs w:val="24"/>
          <w:lang w:val="en-US" w:eastAsia="zh-CN"/>
        </w:rPr>
      </w:pPr>
      <w:r>
        <w:rPr>
          <w:rFonts w:hint="eastAsia" w:cs="Times New Roman"/>
          <w:color w:val="auto"/>
          <w:sz w:val="24"/>
          <w:szCs w:val="24"/>
          <w:lang w:val="en-US" w:eastAsia="zh-CN"/>
        </w:rPr>
        <w:t>⑨大力宣传《防沙治沙法》，使施工人员知法、懂法、守法，自觉保护林草植被，自觉履行防治义务。禁止在沙化土地上砍挖固沙植物。</w:t>
      </w:r>
    </w:p>
    <w:p>
      <w:pPr>
        <w:pStyle w:val="5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（2）水土流失分区防治措施</w:t>
      </w:r>
    </w:p>
    <w:p>
      <w:pPr>
        <w:pStyle w:val="5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将本项目水土流失防治分区初步划分为2个分区：井场防治区、管线防治区。</w:t>
      </w:r>
    </w:p>
    <w:p>
      <w:pPr>
        <w:pStyle w:val="56"/>
        <w:spacing w:line="360" w:lineRule="auto"/>
        <w:rPr>
          <w:rFonts w:hint="default" w:ascii="Times New Roman" w:hAnsi="Times New Roman" w:cs="Times New Roman"/>
          <w:color w:val="auto"/>
          <w:sz w:val="24"/>
          <w:szCs w:val="24"/>
        </w:rPr>
      </w:pPr>
      <w:r>
        <w:rPr>
          <w:rFonts w:hint="eastAsia" w:cs="Times New Roman"/>
          <w:color w:val="auto"/>
          <w:sz w:val="24"/>
          <w:szCs w:val="24"/>
          <w:lang w:val="en-US" w:eastAsia="zh-CN"/>
        </w:rPr>
        <w:t>油田在建设项目实施过程中严格落实前述防沙治沙措施和水土保持措施，在管线边坡建设草方格，对场站进行硬化，相较于沙漠景观基底而言，增加了人工硬化地面斑块，但占比很小，作业区的开发建设活动未对区域土地沙化造成明显影响。</w:t>
      </w:r>
    </w:p>
    <w:p>
      <w:pPr>
        <w:pStyle w:val="56"/>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管沟挖、填方作业应尽量做到互补平衡，以免造成弃土方堆积和过多借土。对于道路及地面建设产生的弃方不得随处堆放。应合理利用，如建设防洪堤等。</w:t>
      </w:r>
    </w:p>
    <w:p>
      <w:pPr>
        <w:pStyle w:val="56"/>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管沟回填后应予以平整、压实，以免发生水土流失。</w:t>
      </w:r>
    </w:p>
    <w:p>
      <w:pPr>
        <w:pStyle w:val="56"/>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t>管线经过的斜坡、土坎等地段，工程设计中应修筑护坡堡坎的方式来防止水土流失。</w:t>
      </w:r>
    </w:p>
    <w:p>
      <w:pPr>
        <w:pStyle w:val="56"/>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t>在管线施工结束后，在管道覆土上方设置草方格防风固沙、涵养水分。</w:t>
      </w:r>
    </w:p>
    <w:p>
      <w:pPr>
        <w:pStyle w:val="5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草方格常见做法为：将芦苇直接埋入沙层中，在流沙上扎成方格状半隐蔽式沙障。一般具体做法为：芦苇埋入深度约为150～200mm，露出地面高度约为200～300mm，草方格边厚为50mm左右，用铁锹拥沙踏实使之牢固。</w:t>
      </w:r>
    </w:p>
    <w:p>
      <w:pPr>
        <w:pStyle w:val="56"/>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⑤本</w:t>
      </w:r>
      <w:r>
        <w:rPr>
          <w:rFonts w:hint="eastAsia" w:cs="Times New Roman"/>
          <w:color w:val="auto"/>
          <w:sz w:val="24"/>
          <w:szCs w:val="24"/>
          <w:lang w:val="en-US" w:eastAsia="zh-CN"/>
        </w:rPr>
        <w:t>项目井场、</w:t>
      </w:r>
      <w:r>
        <w:rPr>
          <w:rFonts w:hint="eastAsia" w:ascii="宋体" w:hAnsi="宋体" w:eastAsia="宋体" w:cs="宋体"/>
          <w:color w:val="auto"/>
          <w:kern w:val="0"/>
          <w:sz w:val="24"/>
          <w:szCs w:val="24"/>
          <w:lang w:val="en-US" w:eastAsia="zh-CN" w:bidi="ar"/>
        </w:rPr>
        <w:t>电力线路基座</w:t>
      </w:r>
      <w:r>
        <w:rPr>
          <w:rFonts w:hint="eastAsia" w:cs="Times New Roman"/>
          <w:color w:val="auto"/>
          <w:sz w:val="24"/>
          <w:szCs w:val="24"/>
          <w:lang w:val="en-US" w:eastAsia="zh-CN"/>
        </w:rPr>
        <w:t>等永久占地采取地面硬化，减少风沙现象，硬化面积5154m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（3）水土保持管理措施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工程措施的管理要纳入生产管理计划之中，专业人员负责施工设计和技术指导，在责任范围内建立相应的管理措施。根据《中华人民共和国水土保持法》，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项目选线和拟采用的技术标准，应该充分考虑水土流失因素，尽量避开植被茂盛地段，施工期间严格划定施工活动范围，严格控制和管理运输车辆及重型机械的运行范围，不另辟施工便道，不得离开运输道路及随意驾驶。由专人监督负责，以防破坏土壤和植被。</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②严禁在大风、大雨天气下施工，特别是深挖和回填等作业。</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③在管线沿线的植被良好地段，对自然生态环境和自然植被采取封禁，绝对禁止人进入打柴和放牧，并设立警示牌，以提醒施工作业人员。</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④建设项目主管部门应该积极主动，加强水土保持管理，对施工人员进行培训和教育，自觉保持水土，保护植被。严禁施工材料乱堆乱放，不随意乱采乱挖沿线植被。</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⑤对施工迹地恢复平整，以减少区域水土流失量的增加。</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⑥加强施工期管理，加速建设进度，减少施工期水土流失的产生；同时在施工期间，应提前制定严密的交通管理措施。</w:t>
      </w:r>
    </w:p>
    <w:bookmarkEnd w:id="521"/>
    <w:p>
      <w:pPr>
        <w:pStyle w:val="91"/>
        <w:spacing w:before="156" w:after="156"/>
        <w:rPr>
          <w:rFonts w:hint="default" w:ascii="Times New Roman" w:hAnsi="Times New Roman" w:cs="Times New Roman"/>
          <w:color w:val="auto"/>
        </w:rPr>
      </w:pPr>
      <w:bookmarkStart w:id="524" w:name="_Toc16554"/>
      <w:bookmarkStart w:id="525" w:name="_Toc1230"/>
      <w:r>
        <w:rPr>
          <w:rFonts w:hint="default" w:ascii="Times New Roman" w:hAnsi="Times New Roman" w:cs="Times New Roman"/>
          <w:color w:val="auto"/>
        </w:rPr>
        <w:t>6.12防洪措施</w:t>
      </w:r>
      <w:bookmarkEnd w:id="524"/>
      <w:bookmarkEnd w:id="525"/>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由于项目区域周边无常年性地表水体，因此，项目区防洪以防治暴雨山洪为主。</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防洪标准：项目内防洪工程设计标准按100年一遇洪水重现期设计。</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防洪措施：在</w:t>
      </w:r>
      <w:r>
        <w:rPr>
          <w:rFonts w:hint="eastAsia" w:ascii="Times New Roman" w:hAnsi="Times New Roman" w:cs="Times New Roman"/>
          <w:color w:val="auto"/>
          <w:sz w:val="24"/>
          <w:szCs w:val="24"/>
          <w:lang w:val="en-US" w:eastAsia="zh-CN"/>
        </w:rPr>
        <w:t>永久</w:t>
      </w:r>
      <w:r>
        <w:rPr>
          <w:rFonts w:hint="default" w:ascii="Times New Roman" w:hAnsi="Times New Roman" w:cs="Times New Roman"/>
          <w:color w:val="auto"/>
          <w:sz w:val="24"/>
          <w:szCs w:val="24"/>
        </w:rPr>
        <w:t>占地范围</w:t>
      </w:r>
      <w:r>
        <w:rPr>
          <w:rFonts w:hint="eastAsia" w:ascii="Times New Roman" w:hAnsi="Times New Roman" w:cs="Times New Roman"/>
          <w:color w:val="auto"/>
          <w:sz w:val="24"/>
          <w:szCs w:val="24"/>
          <w:lang w:val="en-US" w:eastAsia="zh-CN"/>
        </w:rPr>
        <w:t>边界处</w:t>
      </w:r>
      <w:r>
        <w:rPr>
          <w:rFonts w:hint="default" w:ascii="Times New Roman" w:hAnsi="Times New Roman" w:cs="Times New Roman"/>
          <w:color w:val="auto"/>
          <w:sz w:val="24"/>
          <w:szCs w:val="24"/>
        </w:rPr>
        <w:t>设置符合规定的挡水墙，并与项目区域进行联动，设置防洪渠道，不得影响整个区域的行洪通道。</w:t>
      </w:r>
    </w:p>
    <w:p>
      <w:pPr>
        <w:pStyle w:val="56"/>
        <w:spacing w:line="360" w:lineRule="auto"/>
        <w:ind w:left="0" w:leftChars="0" w:firstLine="0" w:firstLineChars="0"/>
        <w:outlineLvl w:val="1"/>
        <w:rPr>
          <w:rFonts w:hint="default" w:ascii="Times New Roman" w:hAnsi="Times New Roman" w:eastAsia="宋体" w:cs="Times New Roman"/>
          <w:b/>
          <w:bCs/>
          <w:color w:val="auto"/>
          <w:kern w:val="2"/>
          <w:sz w:val="32"/>
          <w:szCs w:val="32"/>
          <w:lang w:val="en-US" w:eastAsia="zh-CN" w:bidi="ar-SA"/>
        </w:rPr>
      </w:pPr>
      <w:bookmarkStart w:id="526" w:name="_Toc2121"/>
      <w:r>
        <w:rPr>
          <w:rFonts w:hint="default" w:ascii="Times New Roman" w:hAnsi="Times New Roman" w:eastAsia="宋体" w:cs="Times New Roman"/>
          <w:b/>
          <w:bCs/>
          <w:color w:val="auto"/>
          <w:kern w:val="2"/>
          <w:sz w:val="32"/>
          <w:szCs w:val="32"/>
          <w:lang w:val="en-US" w:eastAsia="zh-CN" w:bidi="ar-SA"/>
        </w:rPr>
        <w:t>6.13</w:t>
      </w:r>
      <w:r>
        <w:rPr>
          <w:rFonts w:hint="default" w:ascii="Times New Roman" w:hAnsi="Times New Roman" w:eastAsia="宋体" w:cs="Times New Roman"/>
          <w:b/>
          <w:color w:val="auto"/>
          <w:sz w:val="30"/>
          <w:szCs w:val="30"/>
        </w:rPr>
        <w:t>环保投资分析</w:t>
      </w:r>
      <w:bookmarkEnd w:id="526"/>
    </w:p>
    <w:p>
      <w:pPr>
        <w:widowControl w:val="0"/>
        <w:adjustRightInd w:val="0"/>
        <w:spacing w:line="360" w:lineRule="auto"/>
        <w:ind w:firstLine="480"/>
        <w:jc w:val="both"/>
        <w:rPr>
          <w:rFonts w:hint="default" w:ascii="Times New Roman" w:hAnsi="Times New Roman" w:eastAsia="宋体" w:cs="Times New Roman"/>
          <w:bCs/>
          <w:color w:val="auto"/>
          <w:kern w:val="2"/>
          <w:sz w:val="21"/>
          <w:szCs w:val="20"/>
          <w:lang w:val="en-US" w:eastAsia="zh-CN" w:bidi="ar-SA"/>
        </w:rPr>
      </w:pPr>
      <w:bookmarkStart w:id="527" w:name="_Hlk482045269"/>
      <w:bookmarkStart w:id="528" w:name="_Toc15881"/>
      <w:bookmarkStart w:id="529" w:name="_Hlk93002129"/>
      <w:r>
        <w:rPr>
          <w:rFonts w:hint="default" w:ascii="Times New Roman" w:hAnsi="Times New Roman" w:eastAsia="宋体" w:cs="Times New Roman"/>
          <w:bCs/>
          <w:color w:val="auto"/>
          <w:kern w:val="2"/>
          <w:sz w:val="24"/>
          <w:szCs w:val="24"/>
          <w:lang w:val="en-US" w:eastAsia="zh-CN" w:bidi="ar-SA"/>
        </w:rPr>
        <w:t>在油田开发过程中，需要投入必要的资金用于保护环境、污染防治和恢复地貌等，环保措施贯穿于油田开采及生产的全过程，从钻井至地面设施建设、生产运营期及闭井期。经估算该项目总投资</w:t>
      </w:r>
      <w:r>
        <w:rPr>
          <w:rFonts w:hint="eastAsia" w:ascii="Times New Roman" w:hAnsi="Times New Roman" w:eastAsia="宋体" w:cs="Times New Roman"/>
          <w:bCs/>
          <w:color w:val="auto"/>
          <w:kern w:val="2"/>
          <w:sz w:val="24"/>
          <w:szCs w:val="20"/>
          <w:lang w:val="en-US" w:eastAsia="zh-CN" w:bidi="ar-SA"/>
        </w:rPr>
        <w:t>2625.58</w:t>
      </w:r>
      <w:r>
        <w:rPr>
          <w:rFonts w:hint="default" w:ascii="Times New Roman" w:hAnsi="Times New Roman" w:eastAsia="宋体" w:cs="Times New Roman"/>
          <w:bCs/>
          <w:color w:val="auto"/>
          <w:kern w:val="2"/>
          <w:sz w:val="24"/>
          <w:szCs w:val="24"/>
          <w:lang w:val="en-US" w:eastAsia="zh-CN" w:bidi="ar-SA"/>
        </w:rPr>
        <w:t>万元，环保投资约</w:t>
      </w:r>
      <w:r>
        <w:rPr>
          <w:rFonts w:hint="eastAsia" w:ascii="Times New Roman" w:hAnsi="Times New Roman" w:eastAsia="宋体" w:cs="Times New Roman"/>
          <w:bCs/>
          <w:color w:val="auto"/>
          <w:kern w:val="2"/>
          <w:sz w:val="24"/>
          <w:szCs w:val="24"/>
          <w:lang w:val="en-US" w:eastAsia="zh-CN" w:bidi="ar-SA"/>
        </w:rPr>
        <w:t>279.68</w:t>
      </w:r>
      <w:r>
        <w:rPr>
          <w:rFonts w:hint="default" w:ascii="Times New Roman" w:hAnsi="Times New Roman" w:eastAsia="宋体" w:cs="Times New Roman"/>
          <w:bCs/>
          <w:color w:val="auto"/>
          <w:kern w:val="2"/>
          <w:sz w:val="24"/>
          <w:szCs w:val="24"/>
          <w:lang w:val="en-US" w:eastAsia="zh-CN" w:bidi="ar-SA"/>
        </w:rPr>
        <w:t>万元，占总投资的</w:t>
      </w:r>
      <w:r>
        <w:rPr>
          <w:rFonts w:hint="eastAsia" w:ascii="Times New Roman" w:hAnsi="Times New Roman" w:eastAsia="宋体" w:cs="Times New Roman"/>
          <w:bCs/>
          <w:color w:val="auto"/>
          <w:kern w:val="2"/>
          <w:sz w:val="24"/>
          <w:szCs w:val="24"/>
          <w:lang w:val="en-US" w:eastAsia="zh-CN" w:bidi="ar-SA"/>
        </w:rPr>
        <w:t>10.65</w:t>
      </w:r>
      <w:r>
        <w:rPr>
          <w:rFonts w:hint="default" w:ascii="Times New Roman" w:hAnsi="Times New Roman" w:eastAsia="宋体" w:cs="Times New Roman"/>
          <w:bCs/>
          <w:color w:val="auto"/>
          <w:kern w:val="2"/>
          <w:sz w:val="24"/>
          <w:szCs w:val="24"/>
          <w:lang w:val="en-US" w:eastAsia="zh-CN" w:bidi="ar-SA"/>
        </w:rPr>
        <w:t>%。</w:t>
      </w:r>
      <w:bookmarkEnd w:id="527"/>
      <w:r>
        <w:rPr>
          <w:rFonts w:hint="default" w:ascii="Times New Roman" w:hAnsi="Times New Roman" w:eastAsia="宋体" w:cs="Times New Roman"/>
          <w:bCs/>
          <w:color w:val="auto"/>
          <w:kern w:val="2"/>
          <w:sz w:val="24"/>
          <w:szCs w:val="24"/>
          <w:lang w:val="en-US" w:eastAsia="zh-CN" w:bidi="ar-SA"/>
        </w:rPr>
        <w:t>本工程环保投资估算见表6.13-1。</w:t>
      </w:r>
      <w:bookmarkStart w:id="530" w:name="_Ref474410699"/>
    </w:p>
    <w:p>
      <w:pPr>
        <w:widowControl w:val="0"/>
        <w:spacing w:line="360" w:lineRule="auto"/>
        <w:jc w:val="center"/>
        <w:rPr>
          <w:rFonts w:hint="default" w:ascii="Times New Roman" w:hAnsi="Times New Roman" w:eastAsia="宋体" w:cs="Times New Roman"/>
          <w:b/>
          <w:bCs/>
          <w:color w:val="auto"/>
          <w:kern w:val="2"/>
          <w:sz w:val="21"/>
          <w:szCs w:val="24"/>
          <w:lang w:val="en-US" w:eastAsia="zh-CN" w:bidi="ar-SA"/>
        </w:rPr>
      </w:pPr>
      <w:bookmarkStart w:id="531" w:name="_Hlk512503023"/>
      <w:r>
        <w:rPr>
          <w:rFonts w:hint="default" w:ascii="Times New Roman" w:hAnsi="Times New Roman" w:eastAsia="宋体" w:cs="Times New Roman"/>
          <w:b/>
          <w:bCs/>
          <w:color w:val="auto"/>
          <w:kern w:val="2"/>
          <w:sz w:val="21"/>
          <w:szCs w:val="24"/>
          <w:lang w:val="en-US" w:eastAsia="zh-CN" w:bidi="ar-SA"/>
        </w:rPr>
        <w:t>表</w:t>
      </w:r>
      <w:bookmarkEnd w:id="530"/>
      <w:r>
        <w:rPr>
          <w:rFonts w:hint="default" w:ascii="Times New Roman" w:hAnsi="Times New Roman" w:eastAsia="宋体" w:cs="Times New Roman"/>
          <w:b/>
          <w:bCs/>
          <w:color w:val="auto"/>
          <w:kern w:val="2"/>
          <w:sz w:val="21"/>
          <w:szCs w:val="24"/>
          <w:lang w:val="en-US" w:eastAsia="zh-CN" w:bidi="ar-SA"/>
        </w:rPr>
        <w:t xml:space="preserve">6.13-1  </w:t>
      </w:r>
      <w:bookmarkStart w:id="532" w:name="_Hlk92137182"/>
      <w:r>
        <w:rPr>
          <w:rFonts w:hint="default" w:ascii="Times New Roman" w:hAnsi="Times New Roman" w:eastAsia="宋体" w:cs="Times New Roman"/>
          <w:b/>
          <w:bCs/>
          <w:color w:val="auto"/>
          <w:kern w:val="2"/>
          <w:sz w:val="21"/>
          <w:szCs w:val="24"/>
          <w:lang w:val="en-US" w:eastAsia="zh-CN" w:bidi="ar-SA"/>
        </w:rPr>
        <w:t>环境保护投资估算</w:t>
      </w:r>
      <w:bookmarkEnd w:id="532"/>
    </w:p>
    <w:tbl>
      <w:tblPr>
        <w:tblStyle w:val="31"/>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3"/>
        <w:gridCol w:w="2366"/>
        <w:gridCol w:w="4482"/>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blHeader/>
          <w:jc w:val="center"/>
        </w:trPr>
        <w:tc>
          <w:tcPr>
            <w:tcW w:w="513" w:type="dxa"/>
            <w:vAlign w:val="center"/>
          </w:tcPr>
          <w:p>
            <w:pPr>
              <w:widowControl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阶段</w:t>
            </w:r>
          </w:p>
        </w:tc>
        <w:tc>
          <w:tcPr>
            <w:tcW w:w="2366" w:type="dxa"/>
            <w:vAlign w:val="center"/>
          </w:tcPr>
          <w:p>
            <w:pPr>
              <w:widowControl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项目名称</w:t>
            </w:r>
          </w:p>
        </w:tc>
        <w:tc>
          <w:tcPr>
            <w:tcW w:w="4482" w:type="dxa"/>
            <w:vAlign w:val="center"/>
          </w:tcPr>
          <w:p>
            <w:pPr>
              <w:widowControl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环保措施</w:t>
            </w:r>
          </w:p>
        </w:tc>
        <w:tc>
          <w:tcPr>
            <w:tcW w:w="1056" w:type="dxa"/>
            <w:vAlign w:val="center"/>
          </w:tcPr>
          <w:p>
            <w:pPr>
              <w:widowControl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投资</w:t>
            </w:r>
          </w:p>
          <w:p>
            <w:pPr>
              <w:widowControl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restart"/>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施工期</w:t>
            </w: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井场、管线等施工产生的施工扬尘</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粉状材料及临时土方等在井场堆放应采取覆盖防尘布；管线分段施工，缩短施工时间；施工结束后尽快对施工场地进行恢复平整。</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柴油发电机燃油燃烧废气</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采用高效设备，定期维护，采用符合国五标准的柴油，并添加柴油助燃剂等措施</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施工噪声</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采用低噪声设备，定期维护，装设基础减振和设置隔声罩，合理安排施工时间，高噪声施工设备减少夜间使用或禁止使用</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Merge w:val="restart"/>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钻井液、钻井固废、井控装置</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回收罐若干</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不落地处理系统</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岩屑储罐围堰、防渗措施</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危险废物委托有资质的单位处置</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钻井防喷器</w:t>
            </w:r>
            <w:r>
              <w:rPr>
                <w:rFonts w:hint="default" w:ascii="Times New Roman" w:hAnsi="Times New Roman" w:eastAsia="宋体" w:cs="Times New Roman"/>
                <w:b w:val="0"/>
                <w:bCs w:val="0"/>
                <w:color w:val="auto"/>
                <w:kern w:val="0"/>
                <w:sz w:val="21"/>
                <w:szCs w:val="21"/>
                <w:lang w:val="en-US" w:eastAsia="zh-CN" w:bidi="ar-SA"/>
              </w:rPr>
              <w:t>、放喷管线、放喷池</w:t>
            </w:r>
            <w:r>
              <w:rPr>
                <w:rFonts w:hint="default" w:ascii="Times New Roman" w:hAnsi="Times New Roman" w:eastAsia="宋体" w:cs="Times New Roman"/>
                <w:b w:val="0"/>
                <w:bCs w:val="0"/>
                <w:color w:val="auto"/>
                <w:kern w:val="2"/>
                <w:sz w:val="21"/>
                <w:szCs w:val="21"/>
                <w:lang w:val="en-US" w:eastAsia="zh-CN" w:bidi="ar-SA"/>
              </w:rPr>
              <w:t>等安全措施</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设立宣传牌、标志牌加强生态保护宣传</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生活垃圾</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清运至陆梁油田生活垃圾填埋场</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防沙治沙措施</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施工结束后，对施工迹地清理并平整压实，采取防风固沙工程</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pStyle w:val="44"/>
              <w:jc w:val="center"/>
              <w:rPr>
                <w:rFonts w:hint="default" w:ascii="Times New Roman" w:hAnsi="Times New Roman" w:cs="Times New Roman"/>
                <w:b w:val="0"/>
                <w:bCs w:val="0"/>
                <w:color w:val="auto"/>
                <w:sz w:val="21"/>
                <w:szCs w:val="18"/>
                <w:lang w:val="en-US"/>
              </w:rPr>
            </w:pPr>
            <w:r>
              <w:rPr>
                <w:rFonts w:hint="default" w:ascii="Times New Roman" w:hAnsi="Times New Roman" w:cs="Times New Roman"/>
                <w:b w:val="0"/>
                <w:bCs w:val="0"/>
                <w:color w:val="auto"/>
                <w:sz w:val="21"/>
                <w:szCs w:val="18"/>
              </w:rPr>
              <w:t>临时占地</w:t>
            </w:r>
          </w:p>
        </w:tc>
        <w:tc>
          <w:tcPr>
            <w:tcW w:w="4482" w:type="dxa"/>
            <w:vAlign w:val="center"/>
          </w:tcPr>
          <w:p>
            <w:pPr>
              <w:pStyle w:val="44"/>
              <w:jc w:val="center"/>
              <w:rPr>
                <w:rFonts w:hint="default" w:ascii="Times New Roman" w:hAnsi="Times New Roman" w:cs="Times New Roman"/>
                <w:b w:val="0"/>
                <w:bCs w:val="0"/>
                <w:color w:val="auto"/>
                <w:sz w:val="21"/>
                <w:szCs w:val="18"/>
                <w:lang w:val="en-US"/>
              </w:rPr>
            </w:pPr>
            <w:r>
              <w:rPr>
                <w:rFonts w:hint="default" w:ascii="Times New Roman" w:hAnsi="Times New Roman" w:cs="Times New Roman"/>
                <w:b w:val="0"/>
                <w:bCs w:val="0"/>
                <w:color w:val="auto"/>
                <w:sz w:val="21"/>
                <w:szCs w:val="18"/>
              </w:rPr>
              <w:t>完工后迹地清理并平整压实、临时占地释放后植被和土壤的恢复</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restart"/>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运营期</w:t>
            </w: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无组织挥发非甲烷总烃</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选用技术质量可靠的设备、仪表控制、阀门等与站场、管线同步建设</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其他废物（废弃防渗膜、清管废渣）</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定期委托有资质单位处理处置</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废润滑油</w:t>
            </w:r>
            <w:r>
              <w:rPr>
                <w:rFonts w:hint="default" w:ascii="Times New Roman" w:hAnsi="Times New Roman" w:eastAsia="宋体" w:cs="Times New Roman"/>
                <w:b w:val="0"/>
                <w:bCs w:val="0"/>
                <w:color w:val="auto"/>
                <w:kern w:val="2"/>
                <w:sz w:val="21"/>
                <w:szCs w:val="21"/>
                <w:lang w:val="en-US" w:eastAsia="zh-CN" w:bidi="ar-SA"/>
              </w:rPr>
              <w:t>、</w:t>
            </w:r>
            <w:r>
              <w:rPr>
                <w:rFonts w:cs="Times New Roman"/>
                <w:color w:val="auto"/>
              </w:rPr>
              <w:t>落地原油</w:t>
            </w:r>
          </w:p>
        </w:tc>
        <w:tc>
          <w:tcPr>
            <w:tcW w:w="4482" w:type="dxa"/>
            <w:vAlign w:val="center"/>
          </w:tcPr>
          <w:p>
            <w:pPr>
              <w:pStyle w:val="47"/>
              <w:rPr>
                <w:rFonts w:hint="default" w:ascii="Times New Roman" w:hAnsi="Times New Roman" w:eastAsia="宋体" w:cs="Times New Roman"/>
                <w:b w:val="0"/>
                <w:bCs w:val="0"/>
                <w:color w:val="auto"/>
                <w:kern w:val="2"/>
                <w:sz w:val="21"/>
                <w:szCs w:val="21"/>
                <w:lang w:val="en-US" w:eastAsia="zh-CN" w:bidi="ar-SA"/>
              </w:rPr>
            </w:pPr>
            <w:r>
              <w:rPr>
                <w:rFonts w:cs="Times New Roman"/>
                <w:color w:val="auto"/>
              </w:rPr>
              <w:t>回收罐若干，带罐作业，100%回收，运至陆梁集中处理站进行处理</w:t>
            </w:r>
          </w:p>
        </w:tc>
        <w:tc>
          <w:tcPr>
            <w:tcW w:w="1056" w:type="dxa"/>
            <w:vAlign w:val="center"/>
          </w:tcPr>
          <w:p>
            <w:pPr>
              <w:pStyle w:val="47"/>
              <w:rPr>
                <w:rFonts w:hint="default" w:ascii="Times New Roman" w:hAnsi="Times New Roman" w:eastAsia="宋体" w:cs="Times New Roman"/>
                <w:i w:val="0"/>
                <w:iCs w:val="0"/>
                <w:color w:val="auto"/>
                <w:kern w:val="0"/>
                <w:sz w:val="21"/>
                <w:szCs w:val="21"/>
                <w:u w:val="none"/>
                <w:lang w:val="en-US" w:eastAsia="zh-CN" w:bidi="ar"/>
              </w:rPr>
            </w:pPr>
            <w:r>
              <w:rPr>
                <w:rFonts w:cs="Times New Roman"/>
                <w:color w:val="auto"/>
              </w:rPr>
              <w:t>0（依托）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Merge w:val="restart"/>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井下作业废水、废压裂液、废洗井液</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回收罐若干</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由罐车送至陆梁集中处理站污水处理系统处理</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井场噪声</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采用低噪声设备、基础减震、隔声等</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restart"/>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退</w:t>
            </w:r>
          </w:p>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役</w:t>
            </w:r>
          </w:p>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期</w:t>
            </w: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地面构筑物、管线拆除产生的施工扬尘</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严格按照国家</w:t>
            </w:r>
            <w:r>
              <w:rPr>
                <w:rFonts w:hint="eastAsia" w:ascii="Times New Roman" w:hAnsi="Times New Roman" w:eastAsia="宋体" w:cs="Times New Roman"/>
                <w:b w:val="0"/>
                <w:bCs w:val="0"/>
                <w:color w:val="auto"/>
                <w:kern w:val="2"/>
                <w:sz w:val="21"/>
                <w:szCs w:val="21"/>
                <w:lang w:val="en-US" w:eastAsia="zh-CN" w:bidi="ar-SA"/>
              </w:rPr>
              <w:t>生态环境部</w:t>
            </w:r>
            <w:r>
              <w:rPr>
                <w:rFonts w:hint="default" w:ascii="Times New Roman" w:hAnsi="Times New Roman" w:eastAsia="宋体" w:cs="Times New Roman"/>
                <w:b w:val="0"/>
                <w:bCs w:val="0"/>
                <w:color w:val="auto"/>
                <w:kern w:val="2"/>
                <w:sz w:val="21"/>
                <w:szCs w:val="21"/>
                <w:lang w:val="en-US" w:eastAsia="zh-CN" w:bidi="ar-SA"/>
              </w:rPr>
              <w:t>《防治城市扬尘污染技术规范》的要求采取各项防尘抑尘措施</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建筑垃圾</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由施工单位运至指定位置进行处理</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Merge w:val="continue"/>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p>
        </w:tc>
        <w:tc>
          <w:tcPr>
            <w:tcW w:w="2366"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生态保护及恢复</w:t>
            </w:r>
          </w:p>
        </w:tc>
        <w:tc>
          <w:tcPr>
            <w:tcW w:w="4482"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完工后迹地清理并平整压实、施工临时占地和原来站场的永久占地释放后植被和土壤的恢复</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513" w:type="dxa"/>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环境管理</w:t>
            </w:r>
          </w:p>
        </w:tc>
        <w:tc>
          <w:tcPr>
            <w:tcW w:w="2366" w:type="dxa"/>
            <w:vAlign w:val="center"/>
          </w:tcPr>
          <w:p>
            <w:pPr>
              <w:pStyle w:val="44"/>
              <w:overflowPunct w:val="0"/>
              <w:autoSpaceDE w:val="0"/>
              <w:autoSpaceDN w:val="0"/>
              <w:jc w:val="center"/>
              <w:textAlignment w:val="baseline"/>
              <w:rPr>
                <w:rFonts w:hint="default" w:ascii="Times New Roman" w:hAnsi="Times New Roman" w:cs="Times New Roman"/>
                <w:b w:val="0"/>
                <w:bCs/>
                <w:color w:val="auto"/>
                <w:kern w:val="2"/>
                <w:sz w:val="21"/>
                <w:szCs w:val="15"/>
                <w:lang w:val="en-US"/>
              </w:rPr>
            </w:pPr>
            <w:r>
              <w:rPr>
                <w:rFonts w:hint="default" w:ascii="Times New Roman" w:hAnsi="Times New Roman" w:cs="Times New Roman"/>
                <w:b w:val="0"/>
                <w:bCs/>
                <w:color w:val="auto"/>
                <w:kern w:val="2"/>
                <w:sz w:val="21"/>
                <w:szCs w:val="15"/>
                <w:lang w:val="en-US"/>
              </w:rPr>
              <w:t>环境监理、跟踪监测等</w:t>
            </w:r>
          </w:p>
        </w:tc>
        <w:tc>
          <w:tcPr>
            <w:tcW w:w="4482" w:type="dxa"/>
            <w:vAlign w:val="center"/>
          </w:tcPr>
          <w:p>
            <w:pPr>
              <w:pStyle w:val="44"/>
              <w:overflowPunct w:val="0"/>
              <w:autoSpaceDE w:val="0"/>
              <w:autoSpaceDN w:val="0"/>
              <w:jc w:val="center"/>
              <w:textAlignment w:val="baseline"/>
              <w:rPr>
                <w:rFonts w:hint="default" w:ascii="Times New Roman" w:hAnsi="Times New Roman" w:cs="Times New Roman"/>
                <w:b w:val="0"/>
                <w:bCs/>
                <w:color w:val="auto"/>
                <w:kern w:val="2"/>
                <w:sz w:val="21"/>
                <w:szCs w:val="15"/>
                <w:lang w:val="en-US"/>
              </w:rPr>
            </w:pPr>
            <w:r>
              <w:rPr>
                <w:rFonts w:hint="default" w:ascii="Times New Roman" w:hAnsi="Times New Roman" w:cs="Times New Roman"/>
                <w:b w:val="0"/>
                <w:bCs/>
                <w:color w:val="auto"/>
                <w:kern w:val="2"/>
                <w:sz w:val="21"/>
                <w:szCs w:val="15"/>
                <w:lang w:val="en-US"/>
              </w:rPr>
              <w:t>严格监督各项环保措施落实情况，确保各项污染防治措施有效实施</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7361" w:type="dxa"/>
            <w:gridSpan w:val="3"/>
            <w:vAlign w:val="center"/>
          </w:tcPr>
          <w:p>
            <w:pPr>
              <w:widowControl w:val="0"/>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合计</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279.68</w:t>
            </w:r>
          </w:p>
        </w:tc>
      </w:tr>
      <w:bookmarkEnd w:id="528"/>
      <w:bookmarkEnd w:id="529"/>
      <w:bookmarkEnd w:id="531"/>
    </w:tbl>
    <w:p>
      <w:pPr>
        <w:pStyle w:val="56"/>
        <w:spacing w:line="360" w:lineRule="auto"/>
        <w:ind w:left="0" w:leftChars="0" w:firstLine="0" w:firstLineChars="0"/>
        <w:outlineLvl w:val="1"/>
        <w:rPr>
          <w:rFonts w:hint="default" w:ascii="Times New Roman" w:hAnsi="Times New Roman" w:eastAsia="宋体" w:cs="Times New Roman"/>
          <w:b/>
          <w:bCs/>
          <w:color w:val="auto"/>
          <w:kern w:val="2"/>
          <w:sz w:val="32"/>
          <w:szCs w:val="32"/>
          <w:lang w:val="en-US" w:eastAsia="zh-CN" w:bidi="ar-SA"/>
        </w:rPr>
      </w:pPr>
      <w:bookmarkStart w:id="533" w:name="_Toc28253"/>
      <w:r>
        <w:rPr>
          <w:rFonts w:hint="default" w:ascii="Times New Roman" w:hAnsi="Times New Roman" w:eastAsia="宋体" w:cs="Times New Roman"/>
          <w:b/>
          <w:bCs/>
          <w:color w:val="auto"/>
          <w:kern w:val="2"/>
          <w:sz w:val="32"/>
          <w:szCs w:val="32"/>
          <w:lang w:val="en-US" w:eastAsia="zh-CN" w:bidi="ar-SA"/>
        </w:rPr>
        <w:t>6.14环境影响经济损益分析</w:t>
      </w:r>
      <w:bookmarkEnd w:id="533"/>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个项目的开发建设，除对国民经济的发展起着促进作用外，同时也在一定程度上影响着项目拟建地区环境的变化。社会因子、经济因子、环境因子是一个系统的三要素，最终以提高人类的生活质量为目的。它们之间既互相促进，又互相制约，必须通过全面规划、综合平衡、正确地把全局利益和局部利益、长远利益和近期利益结合起来，对环境保护和经济发展进行协调，实现社会效益、经济效益、环境效益的三统一。</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的开发建设必将带来极大的经济效益，可以提高油气田开发的社会效益，但是任何一种开发或生产活动和行为，都不可避免地会对环境（资源）产生一定的影响，特别是与石油相关的建设工程，在忽视环境保护的情况下，所造成的环境污染和生态破坏是相当严重的，环境遭受的经济损失则是巨大的。为了减少不利环境影响造成的经济损失，该项目在开发建设工程和污染防治方面均采取了一定的措施，投入了一定的资金来减少项目建设对环境的影响。</w:t>
      </w:r>
    </w:p>
    <w:p>
      <w:pPr>
        <w:pStyle w:val="4"/>
        <w:spacing w:before="10" w:after="10"/>
        <w:outlineLvl w:val="2"/>
        <w:rPr>
          <w:rFonts w:hint="default" w:ascii="Times New Roman" w:hAnsi="Times New Roman" w:eastAsia="宋体" w:cs="Times New Roman"/>
          <w:color w:val="auto"/>
          <w:sz w:val="30"/>
          <w:szCs w:val="30"/>
        </w:rPr>
      </w:pPr>
      <w:bookmarkStart w:id="534" w:name="_Toc35366501"/>
      <w:bookmarkStart w:id="535" w:name="_Toc35366109"/>
      <w:bookmarkStart w:id="536" w:name="_Toc26528"/>
      <w:bookmarkStart w:id="537" w:name="_Toc44088107"/>
      <w:bookmarkStart w:id="538" w:name="_Toc29390937"/>
      <w:r>
        <w:rPr>
          <w:rFonts w:hint="default" w:ascii="Times New Roman" w:hAnsi="Times New Roman" w:eastAsia="宋体" w:cs="Times New Roman"/>
          <w:color w:val="auto"/>
          <w:sz w:val="30"/>
          <w:szCs w:val="30"/>
          <w:lang w:val="en-US" w:eastAsia="zh-CN"/>
        </w:rPr>
        <w:t>6.14</w:t>
      </w:r>
      <w:r>
        <w:rPr>
          <w:rFonts w:hint="default" w:ascii="Times New Roman" w:hAnsi="Times New Roman" w:eastAsia="宋体" w:cs="Times New Roman"/>
          <w:color w:val="auto"/>
          <w:sz w:val="30"/>
          <w:szCs w:val="30"/>
        </w:rPr>
        <w:t>.1社会效益分析</w:t>
      </w:r>
      <w:bookmarkEnd w:id="534"/>
      <w:bookmarkEnd w:id="535"/>
      <w:bookmarkEnd w:id="536"/>
      <w:bookmarkEnd w:id="537"/>
      <w:bookmarkEnd w:id="538"/>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本项目开发的社会效益主要体现在油田开发对当地工业和经济的发展具有明显的促进作用，能够带动一批相关工业、第三产业的发展，给当地经济发展注入新的活力。</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力开发石油工程是贯彻和落实西部大开发战略的重要举措，是把西部地区资源优势转变为经济优势的有力保证，作为主力油源的新疆油田蕴藏了丰富的石油资源，石油资源的开发及石油产品的发展，将把新疆地区丰富的地下资源变为实实在在的经济收益。同时，资源的开发建设伴随着基础设施的完善，这给新疆地区经济带来了良好的发展机遇。因此，本项目具有良好的社会效益。</w:t>
      </w:r>
    </w:p>
    <w:p>
      <w:pPr>
        <w:pStyle w:val="4"/>
        <w:spacing w:before="10" w:after="10"/>
        <w:outlineLvl w:val="2"/>
        <w:rPr>
          <w:rFonts w:hint="default" w:ascii="Times New Roman" w:hAnsi="Times New Roman" w:eastAsia="宋体" w:cs="Times New Roman"/>
          <w:color w:val="auto"/>
          <w:sz w:val="30"/>
          <w:szCs w:val="30"/>
        </w:rPr>
      </w:pPr>
      <w:bookmarkStart w:id="539" w:name="_Toc9017"/>
      <w:bookmarkStart w:id="540" w:name="_Toc30913"/>
      <w:bookmarkStart w:id="541" w:name="_Toc29390938"/>
      <w:bookmarkStart w:id="542" w:name="_Toc35366110"/>
      <w:bookmarkStart w:id="543" w:name="_Toc44088108"/>
      <w:bookmarkStart w:id="544" w:name="_Toc35366502"/>
      <w:r>
        <w:rPr>
          <w:rFonts w:hint="default" w:ascii="Times New Roman" w:hAnsi="Times New Roman" w:eastAsia="宋体" w:cs="Times New Roman"/>
          <w:color w:val="auto"/>
          <w:sz w:val="30"/>
          <w:szCs w:val="30"/>
          <w:lang w:val="en-US" w:eastAsia="zh-CN"/>
        </w:rPr>
        <w:t>6.14</w:t>
      </w:r>
      <w:r>
        <w:rPr>
          <w:rFonts w:hint="default" w:ascii="Times New Roman" w:hAnsi="Times New Roman" w:eastAsia="宋体" w:cs="Times New Roman"/>
          <w:color w:val="auto"/>
          <w:sz w:val="30"/>
          <w:szCs w:val="30"/>
        </w:rPr>
        <w:t>.</w:t>
      </w:r>
      <w:r>
        <w:rPr>
          <w:rFonts w:hint="default" w:ascii="Times New Roman" w:hAnsi="Times New Roman" w:eastAsia="宋体" w:cs="Times New Roman"/>
          <w:color w:val="auto"/>
          <w:sz w:val="30"/>
          <w:szCs w:val="30"/>
          <w:lang w:val="en-US" w:eastAsia="zh-CN"/>
        </w:rPr>
        <w:t>2</w:t>
      </w:r>
      <w:r>
        <w:rPr>
          <w:rFonts w:hint="default" w:ascii="Times New Roman" w:hAnsi="Times New Roman" w:eastAsia="宋体" w:cs="Times New Roman"/>
          <w:color w:val="auto"/>
          <w:sz w:val="30"/>
          <w:szCs w:val="30"/>
        </w:rPr>
        <w:t>环境经济损益分析</w:t>
      </w:r>
      <w:bookmarkEnd w:id="539"/>
      <w:bookmarkEnd w:id="540"/>
      <w:bookmarkEnd w:id="541"/>
      <w:bookmarkEnd w:id="542"/>
      <w:bookmarkEnd w:id="543"/>
      <w:bookmarkEnd w:id="544"/>
    </w:p>
    <w:p>
      <w:pPr>
        <w:tabs>
          <w:tab w:val="left" w:pos="3465"/>
        </w:tabs>
        <w:spacing w:line="360" w:lineRule="auto"/>
        <w:outlineLvl w:val="3"/>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lang w:val="en-US" w:eastAsia="zh-CN"/>
        </w:rPr>
        <w:t>6.14.2.1</w:t>
      </w:r>
      <w:r>
        <w:rPr>
          <w:rFonts w:hint="default" w:ascii="Times New Roman" w:hAnsi="Times New Roman" w:eastAsia="宋体" w:cs="Times New Roman"/>
          <w:b w:val="0"/>
          <w:bCs/>
          <w:color w:val="auto"/>
          <w:sz w:val="28"/>
          <w:szCs w:val="28"/>
        </w:rPr>
        <w:t>环境损失分析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油田开发建设对环境造成的损失主要表现在：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（1）工程占地造成的环境损失；</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（2）突发事故状态污染物对土壤、植被的污染造成的环境损失；</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（3）其他环境损失。</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工程占地主要为井场建设、外输（输油、注水管线）管道占地、</w:t>
      </w:r>
      <w:r>
        <w:rPr>
          <w:rFonts w:hint="eastAsia" w:cs="Times New Roman"/>
          <w:color w:val="auto"/>
          <w:sz w:val="24"/>
          <w:szCs w:val="24"/>
          <w:lang w:val="en-US" w:eastAsia="zh-CN"/>
        </w:rPr>
        <w:t>输电线路</w:t>
      </w:r>
      <w:r>
        <w:rPr>
          <w:rFonts w:hint="default" w:ascii="Times New Roman" w:hAnsi="Times New Roman" w:cs="Times New Roman"/>
          <w:color w:val="auto"/>
          <w:sz w:val="24"/>
          <w:szCs w:val="24"/>
        </w:rPr>
        <w:t>占地。工程施工与占地对植被、土壤、生态环境都有不利影响。本项目地面建设工程区域主要影响是生态影响，包括破坏原有地表砾幕结构，地表裸露导致水土流失。但在加强施工管理和采取生态恢复等措施后，施工影响是可以接受的。</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施工期短，施工“三废”和噪声影响比较轻。不涉及当地居民搬迁，无大量弃土工程。而且施工期的各种污染物排放均属于短期污染，会随着施工的结束而消失。因此，在正常情况下，基本上不会对周围环境产生影响。但在事故状态下，将对人类生存环境产生影响。如由于自然因素及人为因素的影响，引起管道、井场区泄漏事故，将对周围环境造成较为严重的影响。由于事故程度不同，对环境造成的损失也不同，损失量的估算只能在事故发生后通过各项补偿费用来体现。</w:t>
      </w:r>
    </w:p>
    <w:p>
      <w:pPr>
        <w:pStyle w:val="5"/>
        <w:numPr>
          <w:ilvl w:val="3"/>
          <w:numId w:val="0"/>
        </w:numPr>
        <w:spacing w:before="10" w:after="10"/>
        <w:ind w:leftChars="0"/>
        <w:outlineLvl w:val="3"/>
        <w:rPr>
          <w:rFonts w:hint="default" w:ascii="Times New Roman" w:hAnsi="Times New Roman" w:eastAsia="宋体" w:cs="Times New Roman"/>
          <w:b w:val="0"/>
          <w:bCs w:val="0"/>
          <w:color w:val="auto"/>
          <w:sz w:val="28"/>
          <w:szCs w:val="28"/>
        </w:rPr>
      </w:pPr>
      <w:bookmarkStart w:id="545" w:name="_Toc44088109"/>
      <w:bookmarkStart w:id="546" w:name="_Toc29390939"/>
      <w:bookmarkStart w:id="547" w:name="_Toc35366503"/>
      <w:bookmarkStart w:id="548" w:name="_Toc35366111"/>
      <w:bookmarkStart w:id="549" w:name="_Toc12936"/>
      <w:r>
        <w:rPr>
          <w:rFonts w:hint="default" w:ascii="Times New Roman" w:hAnsi="Times New Roman" w:eastAsia="宋体" w:cs="Times New Roman"/>
          <w:b w:val="0"/>
          <w:bCs w:val="0"/>
          <w:color w:val="auto"/>
          <w:sz w:val="28"/>
          <w:szCs w:val="28"/>
          <w:lang w:val="en-US" w:eastAsia="zh-CN"/>
        </w:rPr>
        <w:t>6.14.2.2环境经济损益分析结论</w:t>
      </w:r>
      <w:bookmarkEnd w:id="545"/>
      <w:bookmarkEnd w:id="546"/>
      <w:bookmarkEnd w:id="547"/>
      <w:bookmarkEnd w:id="548"/>
      <w:bookmarkEnd w:id="549"/>
    </w:p>
    <w:p>
      <w:pPr>
        <w:pStyle w:val="56"/>
        <w:spacing w:line="360" w:lineRule="auto"/>
        <w:rPr>
          <w:rFonts w:hint="default" w:ascii="Times New Roman" w:hAnsi="Times New Roman" w:cs="Times New Roman"/>
          <w:color w:val="auto"/>
          <w:sz w:val="24"/>
          <w:szCs w:val="24"/>
        </w:rPr>
        <w:sectPr>
          <w:headerReference r:id="rId12" w:type="first"/>
          <w:footerReference r:id="rId15" w:type="first"/>
          <w:footerReference r:id="rId13" w:type="default"/>
          <w:headerReference r:id="rId11" w:type="even"/>
          <w:footerReference r:id="rId14" w:type="even"/>
          <w:pgSz w:w="11906" w:h="16838"/>
          <w:pgMar w:top="1440" w:right="1800" w:bottom="1440" w:left="1800" w:header="851" w:footer="567" w:gutter="0"/>
          <w:pgBorders>
            <w:top w:val="none" w:sz="0" w:space="0"/>
            <w:left w:val="none" w:sz="0" w:space="0"/>
            <w:bottom w:val="none" w:sz="0" w:space="0"/>
            <w:right w:val="none" w:sz="0" w:space="0"/>
          </w:pgBorders>
          <w:pgNumType w:fmt="decimal"/>
          <w:cols w:space="720" w:num="1"/>
          <w:docGrid w:type="lines" w:linePitch="326" w:charSpace="0"/>
        </w:sectPr>
      </w:pPr>
      <w:r>
        <w:rPr>
          <w:rFonts w:hint="default" w:ascii="Times New Roman" w:hAnsi="Times New Roman" w:cs="Times New Roman"/>
          <w:color w:val="auto"/>
          <w:sz w:val="24"/>
          <w:szCs w:val="24"/>
        </w:rPr>
        <w:t>项目经分析具有良好的经济效益和社会效益。在建设过程中，由于井场、地面设施建设、道路修建、敷设管线等都需要占用一定量的土地，并因此带来一定的环境损失。因而在油田开发过程中，需要投入必要的资金用于污染防治和恢复地貌等，经估算该项目环境保护投资约</w:t>
      </w:r>
      <w:r>
        <w:rPr>
          <w:rFonts w:hint="eastAsia" w:cs="Times New Roman"/>
          <w:color w:val="auto"/>
          <w:sz w:val="24"/>
          <w:szCs w:val="24"/>
          <w:lang w:eastAsia="zh-CN"/>
        </w:rPr>
        <w:t>279.68</w:t>
      </w:r>
      <w:r>
        <w:rPr>
          <w:rFonts w:hint="default" w:ascii="Times New Roman" w:hAnsi="Times New Roman" w:cs="Times New Roman"/>
          <w:color w:val="auto"/>
          <w:sz w:val="24"/>
          <w:szCs w:val="24"/>
        </w:rPr>
        <w:t>万元，环境保护投资占总投资的</w:t>
      </w:r>
      <w:r>
        <w:rPr>
          <w:rFonts w:hint="eastAsia" w:cs="Times New Roman"/>
          <w:color w:val="auto"/>
          <w:sz w:val="24"/>
          <w:szCs w:val="24"/>
          <w:lang w:val="en-US" w:eastAsia="zh-CN"/>
        </w:rPr>
        <w:t>10.65</w:t>
      </w:r>
      <w:r>
        <w:rPr>
          <w:rFonts w:hint="default" w:ascii="Times New Roman" w:hAnsi="Times New Roman" w:cs="Times New Roman"/>
          <w:color w:val="auto"/>
          <w:sz w:val="24"/>
          <w:szCs w:val="24"/>
        </w:rPr>
        <w:t>%。实施相应的环保措施后，不但能够起到保护环境的效果，同时节约经济开支，为企业带来双赢。</w:t>
      </w:r>
    </w:p>
    <w:p>
      <w:pPr>
        <w:pStyle w:val="2"/>
        <w:spacing w:before="10" w:after="10"/>
        <w:outlineLvl w:val="0"/>
        <w:rPr>
          <w:rFonts w:hint="default" w:ascii="Times New Roman" w:hAnsi="Times New Roman" w:eastAsia="宋体" w:cs="Times New Roman"/>
          <w:color w:val="auto"/>
          <w:sz w:val="44"/>
          <w:szCs w:val="44"/>
        </w:rPr>
      </w:pPr>
      <w:bookmarkStart w:id="550" w:name="_Toc4746"/>
      <w:r>
        <w:rPr>
          <w:rFonts w:hint="default" w:ascii="Times New Roman" w:hAnsi="Times New Roman" w:eastAsia="宋体" w:cs="Times New Roman"/>
          <w:b/>
          <w:bCs w:val="0"/>
          <w:snapToGrid w:val="0"/>
          <w:color w:val="auto"/>
          <w:kern w:val="0"/>
          <w:sz w:val="44"/>
          <w:szCs w:val="44"/>
          <w:lang w:val="en-US" w:eastAsia="zh-CN" w:bidi="ar-SA"/>
        </w:rPr>
        <w:t>7</w:t>
      </w:r>
      <w:r>
        <w:rPr>
          <w:rFonts w:hint="default" w:ascii="Times New Roman" w:hAnsi="Times New Roman" w:eastAsia="宋体" w:cs="Times New Roman"/>
          <w:color w:val="auto"/>
          <w:sz w:val="44"/>
          <w:szCs w:val="44"/>
        </w:rPr>
        <w:t>环境风险评价</w:t>
      </w:r>
      <w:bookmarkEnd w:id="550"/>
    </w:p>
    <w:p>
      <w:pPr>
        <w:tabs>
          <w:tab w:val="left" w:pos="3465"/>
        </w:tabs>
        <w:spacing w:line="360" w:lineRule="auto"/>
        <w:outlineLvl w:val="1"/>
        <w:rPr>
          <w:rFonts w:hint="default" w:ascii="Times New Roman" w:hAnsi="Times New Roman" w:eastAsia="宋体" w:cs="Times New Roman"/>
          <w:b/>
          <w:bCs/>
          <w:color w:val="auto"/>
          <w:kern w:val="44"/>
          <w:sz w:val="32"/>
          <w:szCs w:val="32"/>
        </w:rPr>
      </w:pPr>
      <w:bookmarkStart w:id="551" w:name="_Toc18667"/>
      <w:r>
        <w:rPr>
          <w:rFonts w:hint="default" w:ascii="Times New Roman" w:hAnsi="Times New Roman" w:eastAsia="宋体" w:cs="Times New Roman"/>
          <w:b/>
          <w:bCs/>
          <w:color w:val="auto"/>
          <w:kern w:val="44"/>
          <w:sz w:val="32"/>
          <w:szCs w:val="32"/>
          <w:lang w:val="en-US" w:eastAsia="zh-CN"/>
        </w:rPr>
        <w:t>7</w:t>
      </w:r>
      <w:r>
        <w:rPr>
          <w:rFonts w:hint="default" w:ascii="Times New Roman" w:hAnsi="Times New Roman" w:eastAsia="宋体" w:cs="Times New Roman"/>
          <w:b/>
          <w:bCs/>
          <w:color w:val="auto"/>
          <w:kern w:val="44"/>
          <w:sz w:val="32"/>
          <w:szCs w:val="32"/>
        </w:rPr>
        <w:t>.1环境风险调查</w:t>
      </w:r>
      <w:bookmarkEnd w:id="551"/>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按照《建设项目环境风险评价技术导则》（HJ169-2018）附录B、《危险化学品重大危险源辨识》（GB18218-2018）中涉及的有毒有害、易燃易爆物质进行危险性识别。</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中度危害以上的危险性物质应予以识别，按照物质危险性，结合受影响的环境因素，筛选本工程环境风险评价因子。本工程主要为油气开采项目，结合本项目特性以及主要成分的理化性质，筛选环境风险评价因子主要为原油、天然气、硫化氢</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柴油</w:t>
      </w:r>
      <w:r>
        <w:rPr>
          <w:rFonts w:hint="default" w:ascii="Times New Roman" w:hAnsi="Times New Roman" w:eastAsia="宋体" w:cs="Times New Roman"/>
          <w:color w:val="auto"/>
          <w:sz w:val="24"/>
        </w:rPr>
        <w:t>。</w:t>
      </w:r>
    </w:p>
    <w:p>
      <w:pPr>
        <w:pStyle w:val="90"/>
        <w:spacing w:line="360" w:lineRule="auto"/>
        <w:outlineLvl w:val="1"/>
        <w:rPr>
          <w:rFonts w:hint="default" w:ascii="Times New Roman" w:hAnsi="Times New Roman" w:cs="Times New Roman"/>
          <w:b/>
          <w:bCs/>
          <w:color w:val="auto"/>
          <w:sz w:val="32"/>
          <w:szCs w:val="32"/>
        </w:rPr>
      </w:pPr>
      <w:bookmarkStart w:id="552" w:name="_Toc15805"/>
      <w:r>
        <w:rPr>
          <w:rFonts w:hint="default" w:ascii="Times New Roman" w:hAnsi="Times New Roman" w:cs="Times New Roman"/>
          <w:b/>
          <w:bCs/>
          <w:color w:val="auto"/>
          <w:sz w:val="32"/>
          <w:szCs w:val="32"/>
          <w:lang w:val="en-US" w:eastAsia="zh-CN"/>
        </w:rPr>
        <w:t>7</w:t>
      </w:r>
      <w:r>
        <w:rPr>
          <w:rFonts w:hint="default" w:ascii="Times New Roman" w:hAnsi="Times New Roman" w:cs="Times New Roman"/>
          <w:b/>
          <w:bCs/>
          <w:color w:val="auto"/>
          <w:sz w:val="32"/>
          <w:szCs w:val="32"/>
        </w:rPr>
        <w:t>.2风险潜势初判及评价等级</w:t>
      </w:r>
      <w:bookmarkEnd w:id="552"/>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项目涉及的主要危险物质为原油、伴生气（天然气）及</w:t>
      </w:r>
      <w:r>
        <w:rPr>
          <w:rFonts w:hint="eastAsia" w:ascii="Times New Roman" w:hAnsi="Times New Roman" w:eastAsia="宋体" w:cs="Times New Roman"/>
          <w:color w:val="auto"/>
          <w:sz w:val="24"/>
          <w:lang w:val="en-US" w:eastAsia="zh-CN"/>
        </w:rPr>
        <w:t>柴油</w:t>
      </w:r>
      <w:r>
        <w:rPr>
          <w:rFonts w:hint="default" w:ascii="Times New Roman" w:hAnsi="Times New Roman" w:eastAsia="宋体" w:cs="Times New Roman"/>
          <w:color w:val="auto"/>
          <w:sz w:val="24"/>
        </w:rPr>
        <w:t>。涉及的风险为运行过程中储存罐、集输管线破损造成的油类物质和天然气的泄漏。根据《建设项目环境风险评价技术导则》（HJ169-2018）中的判定方法，当存在多种危险物质时，按照下式计算物质总量与其临界量比值：</w:t>
      </w:r>
    </w:p>
    <w:p>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546860" cy="438150"/>
            <wp:effectExtent l="0" t="0" r="15240" b="0"/>
            <wp:docPr id="2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0"/>
                    <pic:cNvPicPr>
                      <a:picLocks noChangeAspect="1"/>
                    </pic:cNvPicPr>
                  </pic:nvPicPr>
                  <pic:blipFill>
                    <a:blip r:embed="rId54" cstate="print"/>
                    <a:stretch>
                      <a:fillRect/>
                    </a:stretch>
                  </pic:blipFill>
                  <pic:spPr>
                    <a:xfrm>
                      <a:off x="0" y="0"/>
                      <a:ext cx="1546860" cy="438150"/>
                    </a:xfrm>
                    <a:prstGeom prst="rect">
                      <a:avLst/>
                    </a:prstGeom>
                    <a:noFill/>
                    <a:ln>
                      <a:noFill/>
                    </a:ln>
                  </pic:spPr>
                </pic:pic>
              </a:graphicData>
            </a:graphic>
          </wp:inline>
        </w:drawing>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n</w:t>
      </w:r>
      <w:r>
        <w:rPr>
          <w:rFonts w:hint="default" w:ascii="Times New Roman" w:hAnsi="Times New Roman" w:eastAsia="宋体" w:cs="Times New Roman"/>
          <w:color w:val="auto"/>
          <w:sz w:val="24"/>
        </w:rPr>
        <w:t>—每种危险物质的最大存在量，t；</w:t>
      </w:r>
    </w:p>
    <w:p>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n</w:t>
      </w:r>
      <w:r>
        <w:rPr>
          <w:rFonts w:hint="default" w:ascii="Times New Roman" w:hAnsi="Times New Roman" w:eastAsia="宋体" w:cs="Times New Roman"/>
          <w:color w:val="auto"/>
          <w:sz w:val="24"/>
        </w:rPr>
        <w:t>—每种危险物质的临界量，t。</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当Q＜1时，环境风险潜势为</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ROMAN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I</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当Q≥1时，将Q值划分为：（1）1≤Q＜10；（2）10≤Q＜100；（3）Q≥100。</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本项目Q的确定见表</w:t>
      </w:r>
      <w:r>
        <w:rPr>
          <w:rFonts w:hint="default" w:ascii="Times New Roman" w:hAnsi="Times New Roman" w:eastAsia="宋体" w:cs="Times New Roman"/>
          <w:color w:val="auto"/>
          <w:sz w:val="24"/>
          <w:lang w:val="en-US" w:eastAsia="zh-CN"/>
        </w:rPr>
        <w:t>7.2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pPr>
        <w:pStyle w:val="41"/>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7.2</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 xml:space="preserve">  建设项目Q值确定表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095"/>
        <w:gridCol w:w="1326"/>
        <w:gridCol w:w="1608"/>
        <w:gridCol w:w="1337"/>
        <w:gridCol w:w="129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24"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95"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风险单元</w:t>
            </w:r>
          </w:p>
        </w:tc>
        <w:tc>
          <w:tcPr>
            <w:tcW w:w="132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危险物质名称</w:t>
            </w:r>
          </w:p>
        </w:tc>
        <w:tc>
          <w:tcPr>
            <w:tcW w:w="1608"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危险物质在线量q</w:t>
            </w:r>
            <w:r>
              <w:rPr>
                <w:rFonts w:hint="default" w:ascii="Times New Roman" w:hAnsi="Times New Roman" w:cs="Times New Roman"/>
                <w:b/>
                <w:bCs/>
                <w:color w:val="auto"/>
                <w:sz w:val="21"/>
                <w:szCs w:val="21"/>
                <w:vertAlign w:val="subscript"/>
              </w:rPr>
              <w:t>n</w:t>
            </w:r>
          </w:p>
        </w:tc>
        <w:tc>
          <w:tcPr>
            <w:tcW w:w="1337"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临界量Q</w:t>
            </w:r>
            <w:r>
              <w:rPr>
                <w:rFonts w:hint="default" w:ascii="Times New Roman" w:hAnsi="Times New Roman" w:cs="Times New Roman"/>
                <w:b/>
                <w:bCs/>
                <w:color w:val="auto"/>
                <w:sz w:val="21"/>
                <w:szCs w:val="21"/>
                <w:vertAlign w:val="subscript"/>
              </w:rPr>
              <w:t>n</w:t>
            </w:r>
          </w:p>
        </w:tc>
        <w:tc>
          <w:tcPr>
            <w:tcW w:w="129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Q值</w:t>
            </w:r>
          </w:p>
        </w:tc>
        <w:tc>
          <w:tcPr>
            <w:tcW w:w="123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风险潜势等级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24"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c>
          <w:tcPr>
            <w:tcW w:w="1095" w:type="dxa"/>
            <w:vMerge w:val="restart"/>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采油管线</w:t>
            </w:r>
          </w:p>
        </w:tc>
        <w:tc>
          <w:tcPr>
            <w:tcW w:w="132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原油</w:t>
            </w:r>
          </w:p>
        </w:tc>
        <w:tc>
          <w:tcPr>
            <w:tcW w:w="1608"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4.209</w:t>
            </w:r>
          </w:p>
        </w:tc>
        <w:tc>
          <w:tcPr>
            <w:tcW w:w="1337"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2500</w:t>
            </w:r>
          </w:p>
        </w:tc>
        <w:tc>
          <w:tcPr>
            <w:tcW w:w="129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b w:val="0"/>
                <w:bCs w:val="0"/>
                <w:color w:val="auto"/>
                <w:sz w:val="21"/>
                <w:szCs w:val="21"/>
                <w:lang w:val="en-US"/>
              </w:rPr>
              <w:t>0.00</w:t>
            </w:r>
            <w:r>
              <w:rPr>
                <w:rFonts w:hint="eastAsia" w:ascii="Times New Roman" w:hAnsi="Times New Roman" w:cs="Times New Roman"/>
                <w:b w:val="0"/>
                <w:bCs w:val="0"/>
                <w:color w:val="auto"/>
                <w:sz w:val="21"/>
                <w:szCs w:val="21"/>
                <w:lang w:val="en-US" w:eastAsia="zh-CN"/>
              </w:rPr>
              <w:t>168</w:t>
            </w:r>
          </w:p>
        </w:tc>
        <w:tc>
          <w:tcPr>
            <w:tcW w:w="1236" w:type="dxa"/>
            <w:vMerge w:val="restart"/>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fldChar w:fldCharType="begin"/>
            </w:r>
            <w:r>
              <w:rPr>
                <w:rFonts w:hint="default" w:ascii="Times New Roman" w:hAnsi="Times New Roman" w:cs="Times New Roman"/>
                <w:b w:val="0"/>
                <w:bCs w:val="0"/>
                <w:color w:val="auto"/>
                <w:sz w:val="21"/>
                <w:szCs w:val="21"/>
              </w:rPr>
              <w:instrText xml:space="preserve"> = 1 \* ROMAN \* MERGEFORMAT </w:instrText>
            </w:r>
            <w:r>
              <w:rPr>
                <w:rFonts w:hint="default" w:ascii="Times New Roman" w:hAnsi="Times New Roman" w:cs="Times New Roman"/>
                <w:b w:val="0"/>
                <w:bCs w:val="0"/>
                <w:color w:val="auto"/>
                <w:sz w:val="21"/>
                <w:szCs w:val="21"/>
              </w:rPr>
              <w:fldChar w:fldCharType="separate"/>
            </w:r>
            <w:r>
              <w:rPr>
                <w:rFonts w:hint="default" w:ascii="Times New Roman" w:hAnsi="Times New Roman" w:cs="Times New Roman"/>
                <w:b w:val="0"/>
                <w:bCs w:val="0"/>
                <w:color w:val="auto"/>
                <w:sz w:val="21"/>
                <w:szCs w:val="21"/>
              </w:rPr>
              <w:t>I</w:t>
            </w:r>
            <w:r>
              <w:rPr>
                <w:rFonts w:hint="default" w:ascii="Times New Roman" w:hAnsi="Times New Roman" w:cs="Times New Roman"/>
                <w:b w:val="0"/>
                <w:bCs w:val="0"/>
                <w:color w:val="auto"/>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24"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w:t>
            </w:r>
          </w:p>
        </w:tc>
        <w:tc>
          <w:tcPr>
            <w:tcW w:w="1095" w:type="dxa"/>
            <w:vMerge w:val="continue"/>
            <w:tcBorders>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p>
        </w:tc>
        <w:tc>
          <w:tcPr>
            <w:tcW w:w="132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天然气</w:t>
            </w:r>
          </w:p>
        </w:tc>
        <w:tc>
          <w:tcPr>
            <w:tcW w:w="1608"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b w:val="0"/>
                <w:bCs w:val="0"/>
                <w:color w:val="auto"/>
                <w:sz w:val="21"/>
                <w:szCs w:val="21"/>
                <w:lang w:val="en-US"/>
              </w:rPr>
              <w:t>0.0</w:t>
            </w:r>
            <w:r>
              <w:rPr>
                <w:rFonts w:hint="eastAsia" w:ascii="Times New Roman" w:hAnsi="Times New Roman" w:cs="Times New Roman"/>
                <w:b w:val="0"/>
                <w:bCs w:val="0"/>
                <w:color w:val="auto"/>
                <w:sz w:val="21"/>
                <w:szCs w:val="21"/>
                <w:lang w:val="en-US" w:eastAsia="zh-CN"/>
              </w:rPr>
              <w:t>309</w:t>
            </w:r>
          </w:p>
        </w:tc>
        <w:tc>
          <w:tcPr>
            <w:tcW w:w="1337"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w:t>
            </w:r>
          </w:p>
        </w:tc>
        <w:tc>
          <w:tcPr>
            <w:tcW w:w="129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b w:val="0"/>
                <w:bCs w:val="0"/>
                <w:color w:val="auto"/>
                <w:sz w:val="21"/>
                <w:szCs w:val="21"/>
                <w:lang w:val="en-US"/>
              </w:rPr>
              <w:t>0.00</w:t>
            </w:r>
            <w:r>
              <w:rPr>
                <w:rFonts w:hint="eastAsia" w:ascii="Times New Roman" w:hAnsi="Times New Roman" w:cs="Times New Roman"/>
                <w:b w:val="0"/>
                <w:bCs w:val="0"/>
                <w:color w:val="auto"/>
                <w:sz w:val="21"/>
                <w:szCs w:val="21"/>
                <w:lang w:val="en-US" w:eastAsia="zh-CN"/>
              </w:rPr>
              <w:t>613</w:t>
            </w:r>
          </w:p>
        </w:tc>
        <w:tc>
          <w:tcPr>
            <w:tcW w:w="1236" w:type="dxa"/>
            <w:vMerge w:val="continue"/>
            <w:tcBorders>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24"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3</w:t>
            </w:r>
          </w:p>
        </w:tc>
        <w:tc>
          <w:tcPr>
            <w:tcW w:w="1095" w:type="dxa"/>
            <w:vMerge w:val="continue"/>
            <w:tcBorders>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p>
        </w:tc>
        <w:tc>
          <w:tcPr>
            <w:tcW w:w="132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硫化氢</w:t>
            </w:r>
          </w:p>
        </w:tc>
        <w:tc>
          <w:tcPr>
            <w:tcW w:w="1608" w:type="dxa"/>
            <w:tcBorders>
              <w:top w:val="single" w:color="auto" w:sz="4" w:space="0"/>
              <w:left w:val="single" w:color="auto" w:sz="4" w:space="0"/>
              <w:bottom w:val="single" w:color="auto" w:sz="4" w:space="0"/>
              <w:right w:val="single" w:color="auto" w:sz="4" w:space="0"/>
            </w:tcBorders>
            <w:vAlign w:val="center"/>
          </w:tcPr>
          <w:p>
            <w:pPr>
              <w:pStyle w:val="44"/>
              <w:jc w:val="center"/>
              <w:rPr>
                <w:rFonts w:hint="eastAsia" w:ascii="Times New Roman" w:hAnsi="Times New Roman" w:cs="Times New Roman" w:eastAsiaTheme="minorEastAsia"/>
                <w:b w:val="0"/>
                <w:bCs w:val="0"/>
                <w:color w:val="auto"/>
                <w:kern w:val="2"/>
                <w:sz w:val="21"/>
                <w:szCs w:val="21"/>
                <w:lang w:val="en-US" w:eastAsia="zh-CN"/>
              </w:rPr>
            </w:pPr>
            <w:r>
              <w:rPr>
                <w:rFonts w:hint="eastAsia" w:ascii="Times New Roman" w:hAnsi="Times New Roman" w:cs="Times New Roman"/>
                <w:b w:val="0"/>
                <w:bCs w:val="0"/>
                <w:color w:val="auto"/>
                <w:kern w:val="2"/>
                <w:sz w:val="21"/>
                <w:szCs w:val="21"/>
                <w:lang w:val="en-US" w:eastAsia="zh-CN"/>
              </w:rPr>
              <w:t>/</w:t>
            </w:r>
          </w:p>
        </w:tc>
        <w:tc>
          <w:tcPr>
            <w:tcW w:w="1337"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2.5</w:t>
            </w:r>
          </w:p>
        </w:tc>
        <w:tc>
          <w:tcPr>
            <w:tcW w:w="129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eastAsia" w:ascii="Times New Roman" w:hAnsi="Times New Roman" w:cs="Times New Roman" w:eastAsiaTheme="minorEastAsia"/>
                <w:b w:val="0"/>
                <w:bCs w:val="0"/>
                <w:color w:val="auto"/>
                <w:kern w:val="2"/>
                <w:sz w:val="21"/>
                <w:szCs w:val="21"/>
                <w:lang w:val="en-US" w:eastAsia="zh-CN"/>
              </w:rPr>
            </w:pPr>
            <w:r>
              <w:rPr>
                <w:rFonts w:hint="eastAsia" w:ascii="Times New Roman" w:hAnsi="Times New Roman" w:cs="Times New Roman"/>
                <w:b w:val="0"/>
                <w:bCs w:val="0"/>
                <w:color w:val="auto"/>
                <w:kern w:val="2"/>
                <w:sz w:val="21"/>
                <w:szCs w:val="21"/>
                <w:lang w:val="en-US" w:eastAsia="zh-CN"/>
              </w:rPr>
              <w:t>/</w:t>
            </w:r>
          </w:p>
        </w:tc>
        <w:tc>
          <w:tcPr>
            <w:tcW w:w="1236" w:type="dxa"/>
            <w:vMerge w:val="continue"/>
            <w:tcBorders>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624" w:type="dxa"/>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4</w:t>
            </w:r>
          </w:p>
        </w:tc>
        <w:tc>
          <w:tcPr>
            <w:tcW w:w="1095" w:type="dxa"/>
            <w:tcBorders>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井场储罐</w:t>
            </w:r>
          </w:p>
        </w:tc>
        <w:tc>
          <w:tcPr>
            <w:tcW w:w="1326" w:type="dxa"/>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柴油</w:t>
            </w:r>
          </w:p>
        </w:tc>
        <w:tc>
          <w:tcPr>
            <w:tcW w:w="1608" w:type="dxa"/>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16.7</w:t>
            </w:r>
          </w:p>
        </w:tc>
        <w:tc>
          <w:tcPr>
            <w:tcW w:w="1337" w:type="dxa"/>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2500</w:t>
            </w:r>
          </w:p>
        </w:tc>
        <w:tc>
          <w:tcPr>
            <w:tcW w:w="1296" w:type="dxa"/>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rPr>
              <w:t>0.00668</w:t>
            </w:r>
          </w:p>
        </w:tc>
        <w:tc>
          <w:tcPr>
            <w:tcW w:w="1236" w:type="dxa"/>
            <w:vMerge w:val="continue"/>
            <w:tcBorders>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45" w:type="dxa"/>
            <w:gridSpan w:val="3"/>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合计</w:t>
            </w:r>
          </w:p>
        </w:tc>
        <w:tc>
          <w:tcPr>
            <w:tcW w:w="1608"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337" w:type="dxa"/>
            <w:tcBorders>
              <w:top w:val="single" w:color="auto" w:sz="4" w:space="0"/>
              <w:left w:val="single" w:color="auto" w:sz="4" w:space="0"/>
              <w:bottom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296" w:type="dxa"/>
            <w:tcBorders>
              <w:top w:val="single" w:color="auto" w:sz="4" w:space="0"/>
              <w:left w:val="single" w:color="auto" w:sz="4" w:space="0"/>
              <w:bottom w:val="single" w:color="auto" w:sz="4" w:space="0"/>
              <w:right w:val="single" w:color="auto" w:sz="4" w:space="0"/>
            </w:tcBorders>
            <w:vAlign w:val="center"/>
          </w:tcPr>
          <w:p>
            <w:pPr>
              <w:pStyle w:val="44"/>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0.00897</w:t>
            </w:r>
          </w:p>
        </w:tc>
        <w:tc>
          <w:tcPr>
            <w:tcW w:w="1236" w:type="dxa"/>
            <w:tcBorders>
              <w:top w:val="single" w:color="auto" w:sz="4" w:space="0"/>
              <w:left w:val="single" w:color="auto" w:sz="4" w:space="0"/>
              <w:right w:val="single" w:color="auto" w:sz="4" w:space="0"/>
            </w:tcBorders>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r>
    </w:tbl>
    <w:p>
      <w:pPr>
        <w:pStyle w:val="44"/>
        <w:jc w:val="both"/>
        <w:rPr>
          <w:rFonts w:hint="default" w:ascii="Times New Roman" w:hAnsi="Times New Roman" w:cs="Times New Roman" w:eastAsiaTheme="minorEastAsia"/>
          <w:bCs/>
          <w:color w:val="auto"/>
          <w:sz w:val="18"/>
          <w:szCs w:val="18"/>
          <w:lang w:val="en-US" w:eastAsia="zh-CN"/>
        </w:rPr>
      </w:pPr>
      <w:r>
        <w:rPr>
          <w:rFonts w:hint="default" w:ascii="Times New Roman" w:hAnsi="Times New Roman" w:cs="Times New Roman"/>
          <w:bCs/>
          <w:color w:val="auto"/>
          <w:sz w:val="18"/>
          <w:szCs w:val="18"/>
        </w:rPr>
        <w:t>注：</w:t>
      </w:r>
      <w:r>
        <w:rPr>
          <w:rFonts w:hint="default" w:ascii="Times New Roman" w:hAnsi="Times New Roman" w:cs="Times New Roman"/>
          <w:bCs/>
          <w:color w:val="auto"/>
          <w:sz w:val="18"/>
          <w:szCs w:val="18"/>
        </w:rPr>
        <w:fldChar w:fldCharType="begin"/>
      </w:r>
      <w:r>
        <w:rPr>
          <w:rFonts w:hint="default" w:ascii="Times New Roman" w:hAnsi="Times New Roman" w:cs="Times New Roman"/>
          <w:bCs/>
          <w:color w:val="auto"/>
          <w:sz w:val="18"/>
          <w:szCs w:val="18"/>
        </w:rPr>
        <w:instrText xml:space="preserve"> = 1 \* GB3 \* MERGEFORMAT </w:instrText>
      </w:r>
      <w:r>
        <w:rPr>
          <w:rFonts w:hint="default" w:ascii="Times New Roman" w:hAnsi="Times New Roman" w:cs="Times New Roman"/>
          <w:bCs/>
          <w:color w:val="auto"/>
          <w:sz w:val="18"/>
          <w:szCs w:val="18"/>
        </w:rPr>
        <w:fldChar w:fldCharType="separate"/>
      </w:r>
      <w:r>
        <w:rPr>
          <w:rFonts w:hint="default" w:ascii="Times New Roman" w:hAnsi="Times New Roman" w:cs="Times New Roman"/>
          <w:bCs/>
          <w:color w:val="auto"/>
          <w:sz w:val="18"/>
          <w:szCs w:val="18"/>
        </w:rPr>
        <w:t>①</w:t>
      </w:r>
      <w:r>
        <w:rPr>
          <w:rFonts w:hint="default" w:ascii="Times New Roman" w:hAnsi="Times New Roman" w:cs="Times New Roman"/>
          <w:bCs/>
          <w:color w:val="auto"/>
          <w:sz w:val="18"/>
          <w:szCs w:val="18"/>
        </w:rPr>
        <w:fldChar w:fldCharType="end"/>
      </w:r>
      <w:r>
        <w:rPr>
          <w:rFonts w:hint="default" w:ascii="Times New Roman" w:hAnsi="Times New Roman" w:cs="Times New Roman"/>
          <w:bCs/>
          <w:color w:val="auto"/>
          <w:sz w:val="18"/>
          <w:szCs w:val="18"/>
        </w:rPr>
        <w:t>原油密度按照0.</w:t>
      </w:r>
      <w:r>
        <w:rPr>
          <w:rFonts w:hint="default" w:ascii="Times New Roman" w:hAnsi="Times New Roman" w:cs="Times New Roman"/>
          <w:bCs/>
          <w:color w:val="auto"/>
          <w:sz w:val="18"/>
          <w:szCs w:val="18"/>
          <w:lang w:val="en-US"/>
        </w:rPr>
        <w:t>8</w:t>
      </w:r>
      <w:r>
        <w:rPr>
          <w:rFonts w:hint="eastAsia" w:ascii="Times New Roman" w:hAnsi="Times New Roman" w:cs="Times New Roman"/>
          <w:bCs/>
          <w:color w:val="auto"/>
          <w:sz w:val="18"/>
          <w:szCs w:val="18"/>
          <w:lang w:val="en-US" w:eastAsia="zh-CN"/>
        </w:rPr>
        <w:t>51</w:t>
      </w:r>
      <w:r>
        <w:rPr>
          <w:rFonts w:hint="default" w:ascii="Times New Roman" w:hAnsi="Times New Roman" w:cs="Times New Roman"/>
          <w:bCs/>
          <w:color w:val="auto"/>
          <w:sz w:val="18"/>
          <w:szCs w:val="18"/>
        </w:rPr>
        <w:t>t/m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计，</w:t>
      </w:r>
      <w:r>
        <w:rPr>
          <w:rFonts w:hint="default" w:ascii="Times New Roman" w:hAnsi="Times New Roman" w:cs="Times New Roman"/>
          <w:bCs/>
          <w:color w:val="auto"/>
          <w:sz w:val="18"/>
          <w:szCs w:val="18"/>
          <w:lang w:val="en-US"/>
        </w:rPr>
        <w:t>50</w:t>
      </w:r>
      <w:r>
        <w:rPr>
          <w:rFonts w:hint="default" w:ascii="Times New Roman" w:hAnsi="Times New Roman" w:cs="Times New Roman"/>
          <w:bCs/>
          <w:color w:val="auto"/>
          <w:sz w:val="18"/>
          <w:szCs w:val="18"/>
        </w:rPr>
        <w:t>mm</w:t>
      </w:r>
      <w:r>
        <w:rPr>
          <w:rFonts w:hint="default" w:ascii="Times New Roman" w:hAnsi="Times New Roman" w:cs="Times New Roman"/>
          <w:bCs/>
          <w:color w:val="auto"/>
          <w:sz w:val="18"/>
          <w:szCs w:val="18"/>
          <w:lang w:val="en-US"/>
        </w:rPr>
        <w:t>单井出油</w:t>
      </w:r>
      <w:r>
        <w:rPr>
          <w:rFonts w:hint="default" w:ascii="Times New Roman" w:hAnsi="Times New Roman" w:cs="Times New Roman"/>
          <w:bCs/>
          <w:color w:val="auto"/>
          <w:sz w:val="18"/>
          <w:szCs w:val="18"/>
        </w:rPr>
        <w:t>管线长度</w:t>
      </w:r>
      <w:r>
        <w:rPr>
          <w:rFonts w:hint="eastAsia" w:ascii="Times New Roman" w:hAnsi="Times New Roman" w:cs="Times New Roman"/>
          <w:bCs/>
          <w:color w:val="auto"/>
          <w:sz w:val="18"/>
          <w:szCs w:val="18"/>
          <w:lang w:val="en-US" w:eastAsia="zh-CN"/>
        </w:rPr>
        <w:t>4.2</w:t>
      </w:r>
      <w:r>
        <w:rPr>
          <w:rFonts w:hint="default" w:ascii="Times New Roman" w:hAnsi="Times New Roman" w:cs="Times New Roman"/>
          <w:bCs/>
          <w:color w:val="auto"/>
          <w:sz w:val="18"/>
          <w:szCs w:val="18"/>
          <w:lang w:val="en-US"/>
        </w:rPr>
        <w:t>k</w:t>
      </w:r>
      <w:r>
        <w:rPr>
          <w:rFonts w:hint="default" w:ascii="Times New Roman" w:hAnsi="Times New Roman" w:cs="Times New Roman"/>
          <w:bCs/>
          <w:color w:val="auto"/>
          <w:sz w:val="18"/>
          <w:szCs w:val="18"/>
        </w:rPr>
        <w:t>m，则管线容积</w:t>
      </w:r>
      <w:r>
        <w:rPr>
          <w:rFonts w:hint="default" w:ascii="Times New Roman" w:hAnsi="Times New Roman" w:cs="Times New Roman"/>
          <w:bCs/>
          <w:color w:val="auto"/>
          <w:sz w:val="18"/>
          <w:szCs w:val="18"/>
          <w:lang w:val="en-US"/>
        </w:rPr>
        <w:t>为</w:t>
      </w:r>
      <w:r>
        <w:rPr>
          <w:rFonts w:hint="eastAsia" w:ascii="Times New Roman" w:hAnsi="Times New Roman" w:cs="Times New Roman"/>
          <w:bCs/>
          <w:color w:val="auto"/>
          <w:sz w:val="18"/>
          <w:szCs w:val="18"/>
          <w:lang w:val="en-US" w:eastAsia="zh-CN"/>
        </w:rPr>
        <w:t>8.24</w:t>
      </w:r>
      <w:r>
        <w:rPr>
          <w:rFonts w:hint="default" w:ascii="Times New Roman" w:hAnsi="Times New Roman" w:cs="Times New Roman"/>
          <w:bCs/>
          <w:color w:val="auto"/>
          <w:sz w:val="18"/>
          <w:szCs w:val="18"/>
        </w:rPr>
        <w:t>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，计算可得管线中原油在线量为</w:t>
      </w:r>
      <w:r>
        <w:rPr>
          <w:rFonts w:hint="eastAsia" w:ascii="Times New Roman" w:hAnsi="Times New Roman" w:cs="Times New Roman"/>
          <w:bCs/>
          <w:color w:val="auto"/>
          <w:sz w:val="18"/>
          <w:szCs w:val="18"/>
          <w:lang w:val="en-US" w:eastAsia="zh-CN"/>
        </w:rPr>
        <w:t>4.209</w:t>
      </w:r>
      <w:r>
        <w:rPr>
          <w:rFonts w:hint="default" w:ascii="Times New Roman" w:hAnsi="Times New Roman" w:cs="Times New Roman"/>
          <w:bCs/>
          <w:color w:val="auto"/>
          <w:sz w:val="18"/>
          <w:szCs w:val="18"/>
        </w:rPr>
        <w:t>t。</w:t>
      </w:r>
      <w:r>
        <w:rPr>
          <w:rFonts w:hint="eastAsia" w:ascii="Times New Roman" w:hAnsi="Times New Roman" w:cs="Times New Roman"/>
          <w:bCs/>
          <w:color w:val="auto"/>
          <w:sz w:val="18"/>
          <w:szCs w:val="18"/>
          <w:lang w:val="en-US" w:eastAsia="zh-CN"/>
        </w:rPr>
        <w:t>②天然气密度按照0.744kg/m</w:t>
      </w:r>
      <w:r>
        <w:rPr>
          <w:rFonts w:hint="eastAsia" w:ascii="Times New Roman" w:hAnsi="Times New Roman" w:cs="Times New Roman"/>
          <w:bCs/>
          <w:color w:val="auto"/>
          <w:sz w:val="18"/>
          <w:szCs w:val="18"/>
          <w:vertAlign w:val="superscript"/>
          <w:lang w:val="en-US" w:eastAsia="zh-CN"/>
        </w:rPr>
        <w:t>3</w:t>
      </w:r>
      <w:r>
        <w:rPr>
          <w:rFonts w:hint="eastAsia" w:ascii="Times New Roman" w:hAnsi="Times New Roman" w:cs="Times New Roman"/>
          <w:bCs/>
          <w:color w:val="auto"/>
          <w:sz w:val="18"/>
          <w:szCs w:val="18"/>
          <w:lang w:val="en-US" w:eastAsia="zh-CN"/>
        </w:rPr>
        <w:t>计，根据汽油比9.88m</w:t>
      </w:r>
      <w:r>
        <w:rPr>
          <w:rFonts w:hint="eastAsia" w:ascii="Times New Roman" w:hAnsi="Times New Roman" w:cs="Times New Roman"/>
          <w:bCs/>
          <w:color w:val="auto"/>
          <w:sz w:val="18"/>
          <w:szCs w:val="18"/>
          <w:vertAlign w:val="superscript"/>
          <w:lang w:val="en-US" w:eastAsia="zh-CN"/>
        </w:rPr>
        <w:t>3</w:t>
      </w:r>
      <w:r>
        <w:rPr>
          <w:rFonts w:hint="eastAsia" w:ascii="Times New Roman" w:hAnsi="Times New Roman" w:cs="Times New Roman"/>
          <w:bCs/>
          <w:color w:val="auto"/>
          <w:sz w:val="18"/>
          <w:szCs w:val="18"/>
          <w:lang w:val="en-US" w:eastAsia="zh-CN"/>
        </w:rPr>
        <w:t>/t核算，</w:t>
      </w:r>
      <w:r>
        <w:rPr>
          <w:rFonts w:hint="default" w:ascii="Times New Roman" w:hAnsi="Times New Roman" w:cs="Times New Roman"/>
          <w:bCs/>
          <w:color w:val="auto"/>
          <w:sz w:val="18"/>
          <w:szCs w:val="18"/>
        </w:rPr>
        <w:t>计算可得管线中</w:t>
      </w:r>
      <w:r>
        <w:rPr>
          <w:rFonts w:hint="eastAsia" w:ascii="Times New Roman" w:hAnsi="Times New Roman" w:cs="Times New Roman"/>
          <w:bCs/>
          <w:color w:val="auto"/>
          <w:sz w:val="18"/>
          <w:szCs w:val="18"/>
          <w:lang w:val="en-US" w:eastAsia="zh-CN"/>
        </w:rPr>
        <w:t>天然气</w:t>
      </w:r>
      <w:r>
        <w:rPr>
          <w:rFonts w:hint="default" w:ascii="Times New Roman" w:hAnsi="Times New Roman" w:cs="Times New Roman"/>
          <w:bCs/>
          <w:color w:val="auto"/>
          <w:sz w:val="18"/>
          <w:szCs w:val="18"/>
        </w:rPr>
        <w:t>在线量为</w:t>
      </w:r>
      <w:r>
        <w:rPr>
          <w:rFonts w:hint="eastAsia" w:ascii="Times New Roman" w:hAnsi="Times New Roman" w:cs="Times New Roman"/>
          <w:bCs/>
          <w:color w:val="auto"/>
          <w:sz w:val="18"/>
          <w:szCs w:val="18"/>
          <w:lang w:val="en-US" w:eastAsia="zh-CN"/>
        </w:rPr>
        <w:t>0.0309</w:t>
      </w:r>
      <w:r>
        <w:rPr>
          <w:rFonts w:hint="default" w:ascii="Times New Roman" w:hAnsi="Times New Roman" w:cs="Times New Roman"/>
          <w:bCs/>
          <w:color w:val="auto"/>
          <w:sz w:val="18"/>
          <w:szCs w:val="18"/>
        </w:rPr>
        <w:t>t。</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综上，本项目Q=</w:t>
      </w:r>
      <w:r>
        <w:rPr>
          <w:rFonts w:hint="eastAsia" w:ascii="Times New Roman" w:hAnsi="Times New Roman" w:eastAsia="宋体" w:cs="Times New Roman"/>
          <w:color w:val="auto"/>
          <w:sz w:val="24"/>
          <w:lang w:eastAsia="zh-CN"/>
        </w:rPr>
        <w:t>0.00897</w:t>
      </w:r>
      <w:r>
        <w:rPr>
          <w:rFonts w:hint="default" w:ascii="Times New Roman" w:hAnsi="Times New Roman" w:eastAsia="宋体" w:cs="Times New Roman"/>
          <w:color w:val="auto"/>
          <w:sz w:val="24"/>
        </w:rPr>
        <w:t>&lt;1，工程环境风险潜势为</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ROMAN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I</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，进行简单分析。</w:t>
      </w:r>
    </w:p>
    <w:p>
      <w:pPr>
        <w:tabs>
          <w:tab w:val="left" w:pos="3465"/>
        </w:tabs>
        <w:spacing w:line="360" w:lineRule="auto"/>
        <w:outlineLvl w:val="1"/>
        <w:rPr>
          <w:rFonts w:hint="default" w:ascii="Times New Roman" w:hAnsi="Times New Roman" w:eastAsia="宋体" w:cs="Times New Roman"/>
          <w:b/>
          <w:color w:val="auto"/>
          <w:sz w:val="32"/>
          <w:szCs w:val="32"/>
        </w:rPr>
      </w:pPr>
      <w:bookmarkStart w:id="553" w:name="_Toc21844"/>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w:t>
      </w:r>
      <w:r>
        <w:rPr>
          <w:rFonts w:hint="default" w:ascii="Times New Roman" w:hAnsi="Times New Roman" w:eastAsia="宋体" w:cs="Times New Roman"/>
          <w:b/>
          <w:color w:val="auto"/>
          <w:sz w:val="32"/>
          <w:szCs w:val="32"/>
          <w:lang w:val="en-US" w:eastAsia="zh-CN"/>
        </w:rPr>
        <w:t>3</w:t>
      </w:r>
      <w:r>
        <w:rPr>
          <w:rFonts w:hint="default" w:ascii="Times New Roman" w:hAnsi="Times New Roman" w:eastAsia="宋体" w:cs="Times New Roman"/>
          <w:b/>
          <w:color w:val="auto"/>
          <w:sz w:val="32"/>
          <w:szCs w:val="32"/>
        </w:rPr>
        <w:t>环境敏感目标调查</w:t>
      </w:r>
      <w:bookmarkEnd w:id="553"/>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本项目环境风险评价范围内环境敏感目标详见表2.7-1。</w:t>
      </w:r>
    </w:p>
    <w:p>
      <w:pPr>
        <w:tabs>
          <w:tab w:val="left" w:pos="3465"/>
        </w:tabs>
        <w:spacing w:line="360" w:lineRule="auto"/>
        <w:outlineLvl w:val="1"/>
        <w:rPr>
          <w:rFonts w:hint="default" w:ascii="Times New Roman" w:hAnsi="Times New Roman" w:eastAsia="宋体" w:cs="Times New Roman"/>
          <w:b/>
          <w:color w:val="auto"/>
          <w:sz w:val="32"/>
          <w:szCs w:val="32"/>
        </w:rPr>
      </w:pPr>
      <w:bookmarkStart w:id="554" w:name="_Toc12956"/>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w:t>
      </w:r>
      <w:r>
        <w:rPr>
          <w:rFonts w:hint="default" w:ascii="Times New Roman" w:hAnsi="Times New Roman" w:eastAsia="宋体" w:cs="Times New Roman"/>
          <w:b/>
          <w:color w:val="auto"/>
          <w:sz w:val="32"/>
          <w:szCs w:val="32"/>
          <w:lang w:val="en-US" w:eastAsia="zh-CN"/>
        </w:rPr>
        <w:t>4</w:t>
      </w:r>
      <w:r>
        <w:rPr>
          <w:rFonts w:hint="default" w:ascii="Times New Roman" w:hAnsi="Times New Roman" w:eastAsia="宋体" w:cs="Times New Roman"/>
          <w:b/>
          <w:color w:val="auto"/>
          <w:sz w:val="32"/>
          <w:szCs w:val="32"/>
        </w:rPr>
        <w:t>环境风险识别</w:t>
      </w:r>
      <w:bookmarkEnd w:id="554"/>
    </w:p>
    <w:p>
      <w:pPr>
        <w:pStyle w:val="90"/>
        <w:spacing w:line="360" w:lineRule="auto"/>
        <w:outlineLvl w:val="2"/>
        <w:rPr>
          <w:rFonts w:hint="default" w:ascii="Times New Roman" w:hAnsi="Times New Roman" w:cs="Times New Roman"/>
          <w:b/>
          <w:bCs/>
          <w:color w:val="auto"/>
          <w:sz w:val="30"/>
          <w:szCs w:val="30"/>
          <w:lang w:val="en-US" w:eastAsia="zh-CN"/>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4</w:t>
      </w:r>
      <w:r>
        <w:rPr>
          <w:rFonts w:hint="default" w:ascii="Times New Roman" w:hAnsi="Times New Roman" w:cs="Times New Roman"/>
          <w:b/>
          <w:bCs/>
          <w:color w:val="auto"/>
          <w:sz w:val="30"/>
          <w:szCs w:val="30"/>
        </w:rPr>
        <w:t>.1</w:t>
      </w:r>
      <w:r>
        <w:rPr>
          <w:rFonts w:hint="default" w:ascii="Times New Roman" w:hAnsi="Times New Roman" w:cs="Times New Roman"/>
          <w:b/>
          <w:bCs/>
          <w:color w:val="auto"/>
          <w:sz w:val="30"/>
          <w:szCs w:val="30"/>
          <w:lang w:val="en-US" w:eastAsia="zh-CN"/>
        </w:rPr>
        <w:t>物质危险性识别</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本项目钻井、完井、修井、采油、油气集输、注水等生产过程中所涉及的危险物质主要有原油、伴生气、硫化氢、柴油等。</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原油</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原油理化性质、危险危害特性及防护措施见表</w:t>
      </w:r>
      <w:r>
        <w:rPr>
          <w:rFonts w:hint="default" w:ascii="Times New Roman" w:hAnsi="Times New Roman" w:eastAsia="宋体" w:cs="Times New Roman"/>
          <w:color w:val="auto"/>
          <w:sz w:val="24"/>
          <w:lang w:val="en-US" w:eastAsia="zh-CN"/>
        </w:rPr>
        <w:t>7.4</w:t>
      </w:r>
      <w:r>
        <w:rPr>
          <w:rFonts w:hint="default" w:ascii="Times New Roman" w:hAnsi="Times New Roman" w:eastAsia="宋体" w:cs="Times New Roman"/>
          <w:color w:val="auto"/>
          <w:sz w:val="24"/>
        </w:rPr>
        <w:t>-1。</w:t>
      </w:r>
    </w:p>
    <w:p>
      <w:pPr>
        <w:pStyle w:val="41"/>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7.4</w:t>
      </w:r>
      <w:r>
        <w:rPr>
          <w:rFonts w:hint="default" w:ascii="Times New Roman" w:hAnsi="Times New Roman" w:cs="Times New Roman"/>
          <w:b/>
          <w:bCs/>
          <w:color w:val="auto"/>
          <w:sz w:val="21"/>
          <w:szCs w:val="21"/>
        </w:rPr>
        <w:t>-1  原油理化性质、危险危害特性及防护措施表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3" w:type="dxa"/>
            <w:vAlign w:val="center"/>
          </w:tcPr>
          <w:p>
            <w:pPr>
              <w:pStyle w:val="44"/>
              <w:ind w:left="0" w:firstLine="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特别警示</w:t>
            </w:r>
          </w:p>
        </w:tc>
        <w:tc>
          <w:tcPr>
            <w:tcW w:w="7839" w:type="dxa"/>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易燃易爆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3" w:type="dxa"/>
            <w:vAlign w:val="center"/>
          </w:tcPr>
          <w:p>
            <w:pPr>
              <w:pStyle w:val="44"/>
              <w:ind w:left="0" w:firstLine="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理化特性</w:t>
            </w:r>
          </w:p>
        </w:tc>
        <w:tc>
          <w:tcPr>
            <w:tcW w:w="7839" w:type="dxa"/>
            <w:vAlign w:val="center"/>
          </w:tcPr>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原油是指从凝析气田或者油田伴生天然气凝析出来的液相组分，又称天然汽油。其主要成分是C</w:t>
            </w:r>
            <w:r>
              <w:rPr>
                <w:rFonts w:hint="default" w:ascii="Times New Roman" w:hAnsi="Times New Roman" w:cs="Times New Roman"/>
                <w:b w:val="0"/>
                <w:bCs w:val="0"/>
                <w:color w:val="auto"/>
                <w:sz w:val="21"/>
                <w:szCs w:val="21"/>
                <w:vertAlign w:val="subscript"/>
              </w:rPr>
              <w:t>5</w:t>
            </w:r>
            <w:r>
              <w:rPr>
                <w:rFonts w:hint="default" w:ascii="Times New Roman" w:hAnsi="Times New Roman" w:cs="Times New Roman"/>
                <w:b w:val="0"/>
                <w:bCs w:val="0"/>
                <w:color w:val="auto"/>
                <w:sz w:val="21"/>
                <w:szCs w:val="21"/>
              </w:rPr>
              <w:t>至C</w:t>
            </w:r>
            <w:r>
              <w:rPr>
                <w:rFonts w:hint="default" w:ascii="Times New Roman" w:hAnsi="Times New Roman" w:cs="Times New Roman"/>
                <w:b w:val="0"/>
                <w:bCs w:val="0"/>
                <w:color w:val="auto"/>
                <w:sz w:val="21"/>
                <w:szCs w:val="21"/>
                <w:vertAlign w:val="subscript"/>
              </w:rPr>
              <w:t>11+</w:t>
            </w:r>
            <w:r>
              <w:rPr>
                <w:rFonts w:hint="default" w:ascii="Times New Roman" w:hAnsi="Times New Roman" w:cs="Times New Roman"/>
                <w:b w:val="0"/>
                <w:bCs w:val="0"/>
                <w:color w:val="auto"/>
                <w:sz w:val="21"/>
                <w:szCs w:val="21"/>
              </w:rPr>
              <w:t>烃类的混合物，并含有少量的大于C</w:t>
            </w:r>
            <w:r>
              <w:rPr>
                <w:rFonts w:hint="default" w:ascii="Times New Roman" w:hAnsi="Times New Roman" w:cs="Times New Roman"/>
                <w:b w:val="0"/>
                <w:bCs w:val="0"/>
                <w:color w:val="auto"/>
                <w:sz w:val="21"/>
                <w:szCs w:val="21"/>
                <w:vertAlign w:val="subscript"/>
              </w:rPr>
              <w:t>8</w:t>
            </w:r>
            <w:r>
              <w:rPr>
                <w:rFonts w:hint="default" w:ascii="Times New Roman" w:hAnsi="Times New Roman" w:cs="Times New Roman"/>
                <w:b w:val="0"/>
                <w:bCs w:val="0"/>
                <w:color w:val="auto"/>
                <w:sz w:val="21"/>
                <w:szCs w:val="21"/>
              </w:rPr>
              <w:t>的烃类以及二氧化硫、噻吩类、硫醇类、硫醚类和多硫化物等杂质，其馏分多在20℃-200℃之间，挥发性好。</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【主要用途】</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是生产溶剂油优质的原料。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3" w:type="dxa"/>
            <w:vAlign w:val="center"/>
          </w:tcPr>
          <w:p>
            <w:pPr>
              <w:pStyle w:val="44"/>
              <w:ind w:left="0" w:firstLine="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危害信息</w:t>
            </w:r>
          </w:p>
        </w:tc>
        <w:tc>
          <w:tcPr>
            <w:tcW w:w="7839" w:type="dxa"/>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【燃烧和爆炸危险性】</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其蒸气与空气可形成爆炸性混合物，遇明火、高热能引起燃烧爆炸。与氧化剂能发生强烈反应。其蒸气比空气重，能在较低处扩散到相当远的地方，遇火源会着火回燃。</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【健康危害】</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蒸气可引起眼及上呼吸道刺激症状，如浓度过高，几分钟即可引起呼吸困难、</w:t>
            </w:r>
            <w:r>
              <w:rPr>
                <w:rFonts w:hint="eastAsia" w:ascii="Times New Roman" w:hAnsi="Times New Roman" w:cs="Times New Roman"/>
                <w:b w:val="0"/>
                <w:bCs w:val="0"/>
                <w:color w:val="auto"/>
                <w:sz w:val="21"/>
                <w:szCs w:val="21"/>
                <w:lang w:eastAsia="zh-CN"/>
              </w:rPr>
              <w:t>发绀</w:t>
            </w:r>
            <w:r>
              <w:rPr>
                <w:rFonts w:hint="default" w:ascii="Times New Roman" w:hAnsi="Times New Roman" w:cs="Times New Roman"/>
                <w:b w:val="0"/>
                <w:bCs w:val="0"/>
                <w:color w:val="auto"/>
                <w:sz w:val="21"/>
                <w:szCs w:val="21"/>
              </w:rPr>
              <w:t>等缺氧症状。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3" w:type="dxa"/>
            <w:vAlign w:val="center"/>
          </w:tcPr>
          <w:p>
            <w:pPr>
              <w:pStyle w:val="44"/>
              <w:ind w:left="0" w:firstLine="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 xml:space="preserve">安全措施 </w:t>
            </w:r>
          </w:p>
        </w:tc>
        <w:tc>
          <w:tcPr>
            <w:tcW w:w="7839" w:type="dxa"/>
            <w:vAlign w:val="center"/>
          </w:tcPr>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【操作安全】</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密闭操作，注意通风。操作人员必须经过专门培训，严格遵守操作规程。建议操作人员佩戴自吸过滤式防毒面具（半面罩），戴化学安全防护眼镜，穿防静电工作服，戴橡胶耐油手套。远离火种、热源，工作场所严禁吸烟。使用防爆型的通风系统和设备。防止蒸气泄漏到工作场所空气中。避免与氧化剂、还原剂、碱类接触。灌装时应控制流速，且有接地装置，防止静电积聚。搬运时要轻装轻卸，防止包装及容器损坏。配备相应品种和数量的消防器材及泄漏应急处理设备。倒空的容器可能残留有害物。</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【储存安全】</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【运输安全】</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运输时运输车辆应配备相应品种和数量的消防器材及泄漏应急处理设备。夏季最好早晚运输。运输时所用的槽（罐）车应有接地链，槽内可设孔隔板以减少</w:t>
            </w:r>
            <w:r>
              <w:rPr>
                <w:rFonts w:hint="eastAsia" w:ascii="Times New Roman" w:hAnsi="Times New Roman" w:cs="Times New Roman"/>
                <w:b w:val="0"/>
                <w:bCs w:val="0"/>
                <w:color w:val="auto"/>
                <w:sz w:val="21"/>
                <w:szCs w:val="21"/>
                <w:lang w:eastAsia="zh-CN"/>
              </w:rPr>
              <w:t>振荡</w:t>
            </w:r>
            <w:r>
              <w:rPr>
                <w:rFonts w:hint="default" w:ascii="Times New Roman" w:hAnsi="Times New Roman" w:cs="Times New Roman"/>
                <w:b w:val="0"/>
                <w:bCs w:val="0"/>
                <w:color w:val="auto"/>
                <w:sz w:val="21"/>
                <w:szCs w:val="21"/>
              </w:rPr>
              <w:t>产生静电。严禁与氧化剂、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3" w:type="dxa"/>
            <w:vAlign w:val="center"/>
          </w:tcPr>
          <w:p>
            <w:pPr>
              <w:pStyle w:val="44"/>
              <w:ind w:left="0" w:firstLine="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应急处置原则</w:t>
            </w:r>
          </w:p>
        </w:tc>
        <w:tc>
          <w:tcPr>
            <w:tcW w:w="7839" w:type="dxa"/>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【急救措施】</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皮肤接触：脱去污染的衣着，用大量流动清水彻底冲洗。</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眼睛接触：立即翻开上下眼睑，用流动清水或生理盐水冲洗至少15分钟，就医。吸入：迅速脱离现场至空气新鲜处。保持呼吸道通畅。呼吸困难时给输氧。呼吸停止时，立即进行人工呼吸。就医。</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食入：催吐，就医。</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【灭火方法】</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【泄漏应急处置】</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切断火源：在确保安全情况下堵漏。禁止泄漏物进入受限制的空间（如下水道等），以避免发生爆炸。喷水雾可减少蒸发。用砂土、蛭石或其他惰性材料吸收，然后收集运至废物处理场所。或在保证安全情况下，就地焚烧。如大量泄漏，利用围堤收容，然后收集、转移、回收或无害处理后废弃。</w:t>
            </w:r>
          </w:p>
        </w:tc>
      </w:tr>
    </w:tbl>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天然气</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天然气中甲烷、乙烷属单纯窒息性气体，对人体基本无毒。其他组分如丙烷、异丁烷、正丁烷、异戊烷、正戊烷等都为微毒或低毒物质。天然气还有少量二氧化碳、氮气等气体。天然气理化性质、危险危害特性及防护措施见表</w:t>
      </w:r>
      <w:r>
        <w:rPr>
          <w:rFonts w:hint="default" w:ascii="Times New Roman" w:hAnsi="Times New Roman" w:eastAsia="宋体" w:cs="Times New Roman"/>
          <w:color w:val="auto"/>
          <w:sz w:val="24"/>
          <w:lang w:val="en-US" w:eastAsia="zh-CN"/>
        </w:rPr>
        <w:t>7.4</w:t>
      </w:r>
      <w:r>
        <w:rPr>
          <w:rFonts w:hint="default" w:ascii="Times New Roman" w:hAnsi="Times New Roman" w:eastAsia="宋体" w:cs="Times New Roman"/>
          <w:color w:val="auto"/>
          <w:sz w:val="24"/>
        </w:rPr>
        <w:t>-2。</w:t>
      </w:r>
    </w:p>
    <w:p>
      <w:pPr>
        <w:pStyle w:val="41"/>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7.4</w:t>
      </w:r>
      <w:r>
        <w:rPr>
          <w:rFonts w:hint="default" w:ascii="Times New Roman" w:hAnsi="Times New Roman" w:cs="Times New Roman"/>
          <w:b/>
          <w:bCs/>
          <w:color w:val="auto"/>
          <w:sz w:val="21"/>
          <w:szCs w:val="21"/>
        </w:rPr>
        <w:t>-2  天然气理化性质、危险危害特性及防护措施表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113"/>
        <w:gridCol w:w="1161"/>
        <w:gridCol w:w="1703"/>
        <w:gridCol w:w="1035"/>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restart"/>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化学品名称</w:t>
            </w:r>
          </w:p>
        </w:tc>
        <w:tc>
          <w:tcPr>
            <w:tcW w:w="227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化学品中文名称</w:t>
            </w:r>
          </w:p>
        </w:tc>
        <w:tc>
          <w:tcPr>
            <w:tcW w:w="4782" w:type="dxa"/>
            <w:gridSpan w:val="3"/>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continue"/>
            <w:vAlign w:val="center"/>
          </w:tcPr>
          <w:p>
            <w:pPr>
              <w:pStyle w:val="44"/>
              <w:rPr>
                <w:rFonts w:hint="default" w:ascii="Times New Roman" w:hAnsi="Times New Roman" w:cs="Times New Roman"/>
                <w:b w:val="0"/>
                <w:bCs w:val="0"/>
                <w:color w:val="auto"/>
                <w:sz w:val="21"/>
                <w:szCs w:val="21"/>
              </w:rPr>
            </w:pPr>
          </w:p>
        </w:tc>
        <w:tc>
          <w:tcPr>
            <w:tcW w:w="227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化学品英文名称</w:t>
            </w:r>
          </w:p>
        </w:tc>
        <w:tc>
          <w:tcPr>
            <w:tcW w:w="4782" w:type="dxa"/>
            <w:gridSpan w:val="3"/>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Natural gas dehydration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restart"/>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成分/组成信息</w:t>
            </w:r>
          </w:p>
        </w:tc>
        <w:tc>
          <w:tcPr>
            <w:tcW w:w="227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主要有害成分</w:t>
            </w:r>
          </w:p>
        </w:tc>
        <w:tc>
          <w:tcPr>
            <w:tcW w:w="4782" w:type="dxa"/>
            <w:gridSpan w:val="3"/>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continue"/>
            <w:vAlign w:val="center"/>
          </w:tcPr>
          <w:p>
            <w:pPr>
              <w:pStyle w:val="44"/>
              <w:rPr>
                <w:rFonts w:hint="default" w:ascii="Times New Roman" w:hAnsi="Times New Roman" w:cs="Times New Roman"/>
                <w:b w:val="0"/>
                <w:bCs w:val="0"/>
                <w:color w:val="auto"/>
                <w:sz w:val="21"/>
                <w:szCs w:val="21"/>
              </w:rPr>
            </w:pPr>
          </w:p>
        </w:tc>
        <w:tc>
          <w:tcPr>
            <w:tcW w:w="227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分子式</w:t>
            </w:r>
          </w:p>
        </w:tc>
        <w:tc>
          <w:tcPr>
            <w:tcW w:w="1703"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CH</w:t>
            </w:r>
            <w:r>
              <w:rPr>
                <w:rFonts w:hint="default" w:ascii="Times New Roman" w:hAnsi="Times New Roman" w:cs="Times New Roman"/>
                <w:b w:val="0"/>
                <w:bCs w:val="0"/>
                <w:color w:val="auto"/>
                <w:sz w:val="21"/>
                <w:szCs w:val="21"/>
                <w:vertAlign w:val="subscript"/>
              </w:rPr>
              <w:t>4</w:t>
            </w:r>
          </w:p>
        </w:tc>
        <w:tc>
          <w:tcPr>
            <w:tcW w:w="1035"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分子量</w:t>
            </w:r>
          </w:p>
        </w:tc>
        <w:tc>
          <w:tcPr>
            <w:tcW w:w="2044"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危险特性</w:t>
            </w:r>
          </w:p>
        </w:tc>
        <w:tc>
          <w:tcPr>
            <w:tcW w:w="7056" w:type="dxa"/>
            <w:gridSpan w:val="5"/>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【危险性类别】</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第2.1类易燃气体。侵入途径：吸入。</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健康危害：空气中甲烷浓度过高，能使人窒息。当空气中甲烷达25%～30%时，可引起头痛、头晕、乏力、注意力不集中、呼吸和心跳加速、共济失调。若不及时脱离，可致窒息死亡。皮肤接触液化气体可致冻伤。</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【环境危害】对环境有害。</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【燃爆危险】易燃，与空气混合能形成爆炸性混合物。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急救措施</w:t>
            </w:r>
          </w:p>
        </w:tc>
        <w:tc>
          <w:tcPr>
            <w:tcW w:w="7056" w:type="dxa"/>
            <w:gridSpan w:val="5"/>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【皮肤接触】如果发生冻伤，将患部浸泡于保持在38℃~42℃的温水中复温。不要涂擦。不要使用热水或辐射热。使用清洁、干燥的敷料包扎。如有不适感，就医。</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【吸入】迅速脱离现场至空气新鲜处。保持呼吸道通畅。如呼吸困难，给输氧。呼吸、心跳停止，立即进行心肺复苏术。就医。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消防措施</w:t>
            </w:r>
          </w:p>
        </w:tc>
        <w:tc>
          <w:tcPr>
            <w:tcW w:w="7056" w:type="dxa"/>
            <w:gridSpan w:val="5"/>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【危险特性】易燃，与空气混合能形成爆炸性混合物，遇热源和明火有燃烧爆炸的危险。与五氧化溴、氯气、次氯酸、三氟化氮、液氧、二氟化氧及其他强氧化剂接触发生剧烈反应。</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【有害燃烧产物】一氧化碳。</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灭火方法】用雾状水、泡沫、二氧化碳、干粉灭火。切断气源。若不能切断气源，则不允许熄灭泄漏处的火焰。消防人员必须佩戴空气呼吸器、穿全身防火防毒服，在上风向灭火。尽可能将容器从火场移至空旷处。喷水保持火场容器冷却，直至灭火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泄漏应急处理</w:t>
            </w:r>
          </w:p>
        </w:tc>
        <w:tc>
          <w:tcPr>
            <w:tcW w:w="7056" w:type="dxa"/>
            <w:gridSpan w:val="5"/>
            <w:vAlign w:val="center"/>
          </w:tcPr>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消除所有点火源。根据气体扩散的影响区域划定警戒区，无关人员从侧风、上风向撤离至安全区。建议应急处理人员戴正压自给式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限制性空间扩散。隔离泄漏区直至气体散尽。</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储存注意事项：钢瓶装本品储存于阴凉、通风的易燃气体专用库房。远离火种、热源。库温不宜超过30℃。应与氧化剂等分开存放，切忌混储。采用防爆型照明、通风设施。禁止使用易产生火花的机械设备和工具。储区应备有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操作处置与储存</w:t>
            </w:r>
          </w:p>
        </w:tc>
        <w:tc>
          <w:tcPr>
            <w:tcW w:w="7056" w:type="dxa"/>
            <w:gridSpan w:val="5"/>
            <w:vAlign w:val="center"/>
          </w:tcPr>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操作注意事项】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接触控制/个体防护</w:t>
            </w:r>
          </w:p>
        </w:tc>
        <w:tc>
          <w:tcPr>
            <w:tcW w:w="7056" w:type="dxa"/>
            <w:gridSpan w:val="5"/>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【工程控制】生产过程密闭，全面通风。</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【呼吸系统防护】一般不需要特殊防护，但建议特殊情况下﹐佩戴过滤式防毒面具（半面罩）。</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【眼睛防护】一般不需要特殊防护，高浓度接触时可戴安全防护眼镜。</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【身体防护】穿防静电工作服。</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【手防护】戴一般作业防护手套。</w:t>
            </w:r>
          </w:p>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【其他防护】工作现场严禁吸烟。避免长期反复接触。进入限制性空间或其他高浓度区作业，须有人监护。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restart"/>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理化特性</w:t>
            </w:r>
          </w:p>
        </w:tc>
        <w:tc>
          <w:tcPr>
            <w:tcW w:w="1113" w:type="dxa"/>
            <w:vAlign w:val="center"/>
          </w:tcPr>
          <w:p>
            <w:pPr>
              <w:pStyle w:val="44"/>
              <w:ind w:left="0" w:firstLine="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外观与性状</w:t>
            </w:r>
          </w:p>
        </w:tc>
        <w:tc>
          <w:tcPr>
            <w:tcW w:w="286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无色无味气体</w:t>
            </w:r>
          </w:p>
        </w:tc>
        <w:tc>
          <w:tcPr>
            <w:tcW w:w="1035" w:type="dxa"/>
            <w:vAlign w:val="center"/>
          </w:tcPr>
          <w:p>
            <w:pPr>
              <w:pStyle w:val="44"/>
              <w:ind w:left="0" w:firstLine="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饱和蒸气压</w:t>
            </w:r>
          </w:p>
        </w:tc>
        <w:tc>
          <w:tcPr>
            <w:tcW w:w="2044"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53.32kPa/-168.8℃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continue"/>
            <w:vAlign w:val="center"/>
          </w:tcPr>
          <w:p>
            <w:pPr>
              <w:pStyle w:val="44"/>
              <w:rPr>
                <w:rFonts w:hint="default" w:ascii="Times New Roman" w:hAnsi="Times New Roman" w:cs="Times New Roman"/>
                <w:b w:val="0"/>
                <w:bCs w:val="0"/>
                <w:color w:val="auto"/>
                <w:sz w:val="21"/>
                <w:szCs w:val="21"/>
              </w:rPr>
            </w:pPr>
          </w:p>
        </w:tc>
        <w:tc>
          <w:tcPr>
            <w:tcW w:w="1113"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沸点</w:t>
            </w:r>
          </w:p>
        </w:tc>
        <w:tc>
          <w:tcPr>
            <w:tcW w:w="286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-161.4℃</w:t>
            </w:r>
          </w:p>
        </w:tc>
        <w:tc>
          <w:tcPr>
            <w:tcW w:w="1035"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闪点</w:t>
            </w:r>
          </w:p>
        </w:tc>
        <w:tc>
          <w:tcPr>
            <w:tcW w:w="2044"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continue"/>
            <w:vAlign w:val="center"/>
          </w:tcPr>
          <w:p>
            <w:pPr>
              <w:pStyle w:val="44"/>
              <w:rPr>
                <w:rFonts w:hint="default" w:ascii="Times New Roman" w:hAnsi="Times New Roman" w:cs="Times New Roman"/>
                <w:b w:val="0"/>
                <w:bCs w:val="0"/>
                <w:color w:val="auto"/>
                <w:sz w:val="21"/>
                <w:szCs w:val="21"/>
              </w:rPr>
            </w:pPr>
          </w:p>
        </w:tc>
        <w:tc>
          <w:tcPr>
            <w:tcW w:w="1113"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熔点</w:t>
            </w:r>
          </w:p>
        </w:tc>
        <w:tc>
          <w:tcPr>
            <w:tcW w:w="286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-182.6℃</w:t>
            </w:r>
          </w:p>
        </w:tc>
        <w:tc>
          <w:tcPr>
            <w:tcW w:w="1035"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溶解性</w:t>
            </w:r>
          </w:p>
        </w:tc>
        <w:tc>
          <w:tcPr>
            <w:tcW w:w="2044"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微溶于水，溶于乙醇、乙醚、苯、甲苯等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continue"/>
            <w:vAlign w:val="center"/>
          </w:tcPr>
          <w:p>
            <w:pPr>
              <w:pStyle w:val="44"/>
              <w:rPr>
                <w:rFonts w:hint="default" w:ascii="Times New Roman" w:hAnsi="Times New Roman" w:cs="Times New Roman"/>
                <w:b w:val="0"/>
                <w:bCs w:val="0"/>
                <w:color w:val="auto"/>
                <w:sz w:val="21"/>
                <w:szCs w:val="21"/>
              </w:rPr>
            </w:pPr>
          </w:p>
        </w:tc>
        <w:tc>
          <w:tcPr>
            <w:tcW w:w="1113"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密度</w:t>
            </w:r>
          </w:p>
        </w:tc>
        <w:tc>
          <w:tcPr>
            <w:tcW w:w="286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相对密度（水=1）：0.42（-161.4℃）</w:t>
            </w:r>
          </w:p>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相对蒸汽密度（空气=1）；0.6</w:t>
            </w:r>
          </w:p>
        </w:tc>
        <w:tc>
          <w:tcPr>
            <w:tcW w:w="1035"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稳定性</w:t>
            </w:r>
          </w:p>
        </w:tc>
        <w:tc>
          <w:tcPr>
            <w:tcW w:w="2044"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Merge w:val="continue"/>
            <w:vAlign w:val="center"/>
          </w:tcPr>
          <w:p>
            <w:pPr>
              <w:pStyle w:val="44"/>
              <w:rPr>
                <w:rFonts w:hint="default" w:ascii="Times New Roman" w:hAnsi="Times New Roman" w:cs="Times New Roman"/>
                <w:b w:val="0"/>
                <w:bCs w:val="0"/>
                <w:color w:val="auto"/>
                <w:sz w:val="21"/>
                <w:szCs w:val="21"/>
              </w:rPr>
            </w:pPr>
          </w:p>
        </w:tc>
        <w:tc>
          <w:tcPr>
            <w:tcW w:w="1113"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爆炸极限</w:t>
            </w:r>
          </w:p>
        </w:tc>
        <w:tc>
          <w:tcPr>
            <w:tcW w:w="2864" w:type="dxa"/>
            <w:gridSpan w:val="2"/>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w:t>
            </w:r>
            <w:r>
              <w:rPr>
                <w:rFonts w:hint="eastAsia"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15%（V%）</w:t>
            </w:r>
          </w:p>
        </w:tc>
        <w:tc>
          <w:tcPr>
            <w:tcW w:w="1035"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引燃温度</w:t>
            </w:r>
          </w:p>
        </w:tc>
        <w:tc>
          <w:tcPr>
            <w:tcW w:w="2044"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ind w:left="0" w:firstLine="0"/>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稳定性和反应活性</w:t>
            </w:r>
          </w:p>
        </w:tc>
        <w:tc>
          <w:tcPr>
            <w:tcW w:w="7056" w:type="dxa"/>
            <w:gridSpan w:val="5"/>
            <w:vAlign w:val="center"/>
          </w:tcPr>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稳定性：稳定；禁配物：强氧化剂、强酸、强碱、卤素；避免接触的条件：高热，火源和不相容物质；聚合危害：不发生；分解产物：一氧化碳、二氧化碳。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毒理学资料</w:t>
            </w:r>
          </w:p>
        </w:tc>
        <w:tc>
          <w:tcPr>
            <w:tcW w:w="7056" w:type="dxa"/>
            <w:gridSpan w:val="5"/>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LC</w:t>
            </w:r>
            <w:r>
              <w:rPr>
                <w:rFonts w:hint="default" w:ascii="Times New Roman" w:hAnsi="Times New Roman" w:cs="Times New Roman"/>
                <w:b w:val="0"/>
                <w:bCs w:val="0"/>
                <w:color w:val="auto"/>
                <w:sz w:val="21"/>
                <w:szCs w:val="21"/>
                <w:vertAlign w:val="subscript"/>
              </w:rPr>
              <w:t>50</w:t>
            </w:r>
            <w:r>
              <w:rPr>
                <w:rFonts w:hint="eastAsia"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50%（小鼠吸入，2h）。</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LD</w:t>
            </w:r>
            <w:r>
              <w:rPr>
                <w:rFonts w:hint="default" w:ascii="Times New Roman" w:hAnsi="Times New Roman" w:cs="Times New Roman"/>
                <w:b w:val="0"/>
                <w:bCs w:val="0"/>
                <w:color w:val="auto"/>
                <w:sz w:val="21"/>
                <w:szCs w:val="21"/>
                <w:vertAlign w:val="subscript"/>
              </w:rPr>
              <w:t>50</w:t>
            </w:r>
            <w:r>
              <w:rPr>
                <w:rFonts w:hint="default" w:ascii="Times New Roman" w:hAnsi="Times New Roman" w:cs="Times New Roman"/>
                <w:b w:val="0"/>
                <w:bCs w:val="0"/>
                <w:color w:val="auto"/>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生态学资料</w:t>
            </w:r>
          </w:p>
        </w:tc>
        <w:tc>
          <w:tcPr>
            <w:tcW w:w="7056" w:type="dxa"/>
            <w:gridSpan w:val="5"/>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【其他有害作用】温室气体。应特别注意对地表水、土壤、大气和饮用水的污染。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废弃处置</w:t>
            </w:r>
          </w:p>
        </w:tc>
        <w:tc>
          <w:tcPr>
            <w:tcW w:w="7056" w:type="dxa"/>
            <w:gridSpan w:val="5"/>
            <w:vAlign w:val="center"/>
          </w:tcPr>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【废弃物性质】危险废物。废弃处置方法：建议用焚烧法处置。</w:t>
            </w:r>
          </w:p>
          <w:p>
            <w:pPr>
              <w:pStyle w:val="44"/>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废弃注意事项：处置前应参阅国家和地方有关法规。把倒空的容器归还厂商或在规定场所掩埋。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66" w:type="dxa"/>
            <w:vAlign w:val="center"/>
          </w:tcPr>
          <w:p>
            <w:pPr>
              <w:pStyle w:val="44"/>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运输信息</w:t>
            </w:r>
          </w:p>
        </w:tc>
        <w:tc>
          <w:tcPr>
            <w:tcW w:w="7056" w:type="dxa"/>
            <w:gridSpan w:val="5"/>
            <w:vAlign w:val="center"/>
          </w:tcPr>
          <w:p>
            <w:pPr>
              <w:pStyle w:val="44"/>
              <w:ind w:left="0" w:firstLine="0"/>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运输注意事项】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曝晒。中途停留时应远离火种、热源</w:t>
            </w:r>
            <w:r>
              <w:rPr>
                <w:rFonts w:hint="eastAsia"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公路运输时要按规定路线行驶，勿在居民区和人口稠密区停留。铁路运输时要禁止溜放。</w:t>
            </w:r>
          </w:p>
        </w:tc>
      </w:tr>
    </w:tbl>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硫化氢</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硫化氢理化性质、危险危害特性及防护措施见表</w:t>
      </w:r>
      <w:r>
        <w:rPr>
          <w:rFonts w:hint="default" w:ascii="Times New Roman" w:hAnsi="Times New Roman" w:eastAsia="宋体" w:cs="Times New Roman"/>
          <w:color w:val="auto"/>
          <w:sz w:val="24"/>
          <w:lang w:val="en-US" w:eastAsia="zh-CN"/>
        </w:rPr>
        <w:t>7.4</w:t>
      </w:r>
      <w:r>
        <w:rPr>
          <w:rFonts w:hint="default" w:ascii="Times New Roman" w:hAnsi="Times New Roman" w:eastAsia="宋体" w:cs="Times New Roman"/>
          <w:color w:val="auto"/>
          <w:sz w:val="24"/>
        </w:rPr>
        <w:t>-3。</w:t>
      </w:r>
    </w:p>
    <w:p>
      <w:pPr>
        <w:spacing w:line="360" w:lineRule="auto"/>
        <w:ind w:firstLine="48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7.4</w:t>
      </w:r>
      <w:r>
        <w:rPr>
          <w:rFonts w:hint="default" w:ascii="Times New Roman" w:hAnsi="Times New Roman" w:eastAsia="宋体" w:cs="Times New Roman"/>
          <w:b/>
          <w:bCs/>
          <w:color w:val="auto"/>
          <w:szCs w:val="21"/>
        </w:rPr>
        <w:t>-3  硫化氢理化性质、危险危害特性及防护措施表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化学名称</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硫化氢（H</w:t>
            </w:r>
            <w:r>
              <w:rPr>
                <w:rFonts w:hint="default" w:ascii="Times New Roman" w:hAnsi="Times New Roman" w:eastAsia="宋体" w:cs="Times New Roman"/>
                <w:color w:val="auto"/>
                <w:szCs w:val="21"/>
                <w:vertAlign w:val="subscript"/>
              </w:rPr>
              <w:t>2</w:t>
            </w:r>
            <w:r>
              <w:rPr>
                <w:rFonts w:hint="default" w:ascii="Times New Roman" w:hAnsi="Times New Roman" w:eastAsia="宋体" w:cs="Times New Roman"/>
                <w:color w:val="auto"/>
                <w:szCs w:val="21"/>
              </w:rPr>
              <w:t>S）</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外观及性状</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无色、有恶臭的气体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熔点</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-85.5℃</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沸点</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饱和蒸汽</w:t>
            </w:r>
            <w:r>
              <w:rPr>
                <w:rFonts w:hint="default" w:ascii="Times New Roman" w:hAnsi="Times New Roman" w:eastAsia="宋体" w:cs="Times New Roman"/>
                <w:color w:val="auto"/>
                <w:szCs w:val="21"/>
              </w:rPr>
              <w:t>压（kPa）</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2026.5（25.5℃）</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临界温度</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爆炸上限%（V/V）</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46.0</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爆炸下限%（V/V）</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溶解性</w:t>
            </w:r>
          </w:p>
        </w:tc>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溶于水、乙醇</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引燃温度</w:t>
            </w:r>
          </w:p>
        </w:tc>
        <w:tc>
          <w:tcPr>
            <w:tcW w:w="2131"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危险特性</w:t>
            </w:r>
          </w:p>
        </w:tc>
        <w:tc>
          <w:tcPr>
            <w:tcW w:w="6392" w:type="dxa"/>
            <w:gridSpan w:val="3"/>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【健康危害】本品是强烈的神经毒物，对</w:t>
            </w:r>
            <w:r>
              <w:rPr>
                <w:rFonts w:hint="eastAsia" w:ascii="Times New Roman" w:hAnsi="Times New Roman" w:eastAsia="宋体" w:cs="Times New Roman"/>
                <w:color w:val="auto"/>
                <w:szCs w:val="21"/>
                <w:lang w:eastAsia="zh-CN"/>
              </w:rPr>
              <w:t>黏膜</w:t>
            </w:r>
            <w:r>
              <w:rPr>
                <w:rFonts w:hint="default" w:ascii="Times New Roman" w:hAnsi="Times New Roman" w:eastAsia="宋体" w:cs="Times New Roman"/>
                <w:color w:val="auto"/>
                <w:szCs w:val="21"/>
              </w:rPr>
              <w:t>有强烈刺激作用。急性中毒：短期内吸入高浓度硫化氢后出现流泪、眼痛、眼内异物感、畏光、视物模糊、流涕、咽喉部灼热：感、咳嗽、胸闷、头痛、头晕、乏力、意识模糊等。部分患者可有心肌损害。重者可出现脑水肿、肺水肿。极高浓度（1000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以上）时可在数秒钟内突然昏迷，呼吸和心跳骤停，发生闪电型死亡。高浓度接触眼结膜发生水肿和角膜溃疡。长期低浓度接触，引起神经衰弱综合征和</w:t>
            </w:r>
            <w:r>
              <w:rPr>
                <w:rFonts w:hint="eastAsia" w:ascii="Times New Roman" w:hAnsi="Times New Roman" w:eastAsia="宋体" w:cs="Times New Roman"/>
                <w:color w:val="auto"/>
                <w:szCs w:val="21"/>
                <w:lang w:eastAsia="zh-CN"/>
              </w:rPr>
              <w:t>自主神经</w:t>
            </w:r>
            <w:r>
              <w:rPr>
                <w:rFonts w:hint="default" w:ascii="Times New Roman" w:hAnsi="Times New Roman" w:eastAsia="宋体" w:cs="Times New Roman"/>
                <w:color w:val="auto"/>
                <w:szCs w:val="21"/>
              </w:rPr>
              <w:t>功能紊乱。</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【环境危害】对环境有危害，对水体和大气可造成污染。</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【燃爆危险】本品易燃，具强刺激性。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急救措施</w:t>
            </w:r>
          </w:p>
        </w:tc>
        <w:tc>
          <w:tcPr>
            <w:tcW w:w="6392" w:type="dxa"/>
            <w:gridSpan w:val="3"/>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【眼睛接触】立即提起眼睑，用大量流动清水或生理盐水彻底冲洗至少15分钟。就医。</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【吸入】迅速脱离现场至空气新鲜处。保持呼吸道通畅。如呼吸困难，给输氧。如呼吸停止，立即进行人工呼吸。就医。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消防措施</w:t>
            </w:r>
          </w:p>
        </w:tc>
        <w:tc>
          <w:tcPr>
            <w:tcW w:w="6392" w:type="dxa"/>
            <w:gridSpan w:val="3"/>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特性】易燃，与空气混合能形成爆炸性混合物，遇明火、高热能引起燃烧爆炸。与浓硝酸、发烟硝酸或其他强氧化剂剧烈反应，发生爆炸。气体比空气重，能在较低处扩散到相当远的地方，遇火源会着火回燃。</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【有害燃烧产物】氧化硫。</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灭火方法】消防人员必须穿全身防火防毒服，在上风向灭火。切断气源。若不能切断气源，则不允许熄灭泄漏处的火焰。喷水冷却容器，可能的话将容器从火场移至空旷处。灭火剂：雾状水、抗溶性泡沫、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泄漏应急处理</w:t>
            </w:r>
          </w:p>
        </w:tc>
        <w:tc>
          <w:tcPr>
            <w:tcW w:w="6392" w:type="dxa"/>
            <w:gridSpan w:val="3"/>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处理】迅速撤离泄漏污染区人员至上风处，并立即进行隔离，小泄漏时隔离150m，大泄漏时隔离300m，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氨化铁水溶液，管路装止回装置以防溶液吸回。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操作处置与储存</w:t>
            </w:r>
          </w:p>
        </w:tc>
        <w:tc>
          <w:tcPr>
            <w:tcW w:w="6392" w:type="dxa"/>
            <w:gridSpan w:val="3"/>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【操作注意事项】严加密闭，提供充分的局部排风和全面通风。操作人员必须经过专门培训，严格遵守操作规程。建议</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操作人员佩戴过滤式防毒面具（半面罩），戴化学安全防护眼镜，穿防静电工作服，戴防化学品手套。远离火种、热源，工作场所严禁吸烟。使用防爆型的通风系统和设备。防止气体泄漏到工作场所空气中。避免与氧化剂、碱类接触。在传送过程中，钢瓶和容器必须接地和跨接，防止产生静电。搬运时轻装轻卸，防止钢瓶及附件破损。配备相应品种和数量的消防器材及泄漏应急处理设备。</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储存注意事项】储存于阴凉、通风的库房。远离火种、热源。库温不宜超过30℃。保持容器密封。应与氧化剂、碱类分开存放，切忌混储。采用防爆型照明、通风设施。禁止使用易产生火花的机械设备和工具。储区应备有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生态学资料</w:t>
            </w:r>
          </w:p>
        </w:tc>
        <w:tc>
          <w:tcPr>
            <w:tcW w:w="6392" w:type="dxa"/>
            <w:gridSpan w:val="3"/>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【其他有害作用】该物质对环境有危害，应注意对空气和水体的污染。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废弃处置</w:t>
            </w:r>
          </w:p>
        </w:tc>
        <w:tc>
          <w:tcPr>
            <w:tcW w:w="6392" w:type="dxa"/>
            <w:gridSpan w:val="3"/>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【废弃处置方法】用焚烧法处置。焚烧炉排出的硫氧化物通过洗涤器除去。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运输信息</w:t>
            </w:r>
          </w:p>
        </w:tc>
        <w:tc>
          <w:tcPr>
            <w:tcW w:w="6392" w:type="dxa"/>
            <w:gridSpan w:val="3"/>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注意事项】铁路运输时应严格按照铁道部《危险货物运输规则》中的危险货物配装表进行配装。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碱类、食用化学品等混装混运。夏季应早晚运输，防止日光曝晒。中途停留时应远离火种、热源。公路运输时要按规定路线行驶，禁止在居民区和人口稠密区停留。铁路运输时要禁止溜放。</w:t>
            </w:r>
          </w:p>
        </w:tc>
      </w:tr>
    </w:tbl>
    <w:p>
      <w:pPr>
        <w:pStyle w:val="90"/>
        <w:spacing w:line="360" w:lineRule="auto"/>
        <w:ind w:firstLine="480" w:firstLineChars="200"/>
        <w:outlineLvl w:val="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④柴油</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柴油的理化性质及危险特性见表7.4-4。</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表7.4-4    柴油的理化性质及危害特性</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187"/>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tcPr>
          <w:p>
            <w:pP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标识</w:t>
            </w: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中文名：柴油</w:t>
            </w:r>
          </w:p>
        </w:tc>
        <w:tc>
          <w:tcPr>
            <w:tcW w:w="4261"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英文名：dieseloil;dieselfuel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restart"/>
          </w:tcPr>
          <w:p>
            <w:pP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理化性质</w:t>
            </w:r>
          </w:p>
        </w:tc>
        <w:tc>
          <w:tcPr>
            <w:tcW w:w="7448" w:type="dxa"/>
            <w:gridSpan w:val="2"/>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外观与现状：稍</w:t>
            </w:r>
            <w:r>
              <w:rPr>
                <w:rFonts w:hint="eastAsia" w:ascii="Times New Roman" w:hAnsi="Times New Roman" w:eastAsia="宋体" w:cs="Times New Roman"/>
                <w:color w:val="auto"/>
                <w:kern w:val="0"/>
                <w:sz w:val="21"/>
                <w:szCs w:val="21"/>
                <w:lang w:val="en-US" w:eastAsia="zh-CN" w:bidi="ar"/>
              </w:rPr>
              <w:t>有黏性</w:t>
            </w:r>
            <w:r>
              <w:rPr>
                <w:rFonts w:hint="default" w:ascii="Times New Roman" w:hAnsi="Times New Roman" w:eastAsia="宋体" w:cs="Times New Roman"/>
                <w:color w:val="auto"/>
                <w:kern w:val="0"/>
                <w:sz w:val="21"/>
                <w:szCs w:val="21"/>
                <w:lang w:val="en-US" w:eastAsia="zh-CN" w:bidi="ar"/>
              </w:rPr>
              <w:t>的浅黄至棕色液体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7448" w:type="dxa"/>
            <w:gridSpan w:val="2"/>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主要成分：烷烃、芳烃、烯烃等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熔点（℃）：﹤-35～20</w:t>
            </w:r>
          </w:p>
        </w:tc>
        <w:tc>
          <w:tcPr>
            <w:tcW w:w="4261"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沸点（℃）：280～370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相对密度（水=1）：0.8～0.9</w:t>
            </w:r>
          </w:p>
        </w:tc>
        <w:tc>
          <w:tcPr>
            <w:tcW w:w="4261"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禁忌物：强化剂、卤素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稳定性：稳定</w:t>
            </w:r>
          </w:p>
        </w:tc>
        <w:tc>
          <w:tcPr>
            <w:tcW w:w="4261"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电阻率（欧.米）：1012</w:t>
            </w:r>
          </w:p>
        </w:tc>
        <w:tc>
          <w:tcPr>
            <w:tcW w:w="4261" w:type="dxa"/>
          </w:tcPr>
          <w:p>
            <w:pPr>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restart"/>
          </w:tcPr>
          <w:p>
            <w:pP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危险特性</w:t>
            </w: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危险性类别：丙 A 类易燃液体</w:t>
            </w:r>
          </w:p>
        </w:tc>
        <w:tc>
          <w:tcPr>
            <w:tcW w:w="4261"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燃烧性：易燃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自然温度</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：257</w:t>
            </w:r>
          </w:p>
        </w:tc>
        <w:tc>
          <w:tcPr>
            <w:tcW w:w="4261"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闪电</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爆炸下限（%）：1.5</w:t>
            </w:r>
          </w:p>
        </w:tc>
        <w:tc>
          <w:tcPr>
            <w:tcW w:w="4261"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爆炸上限（%）：4.5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3187"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燃烧热（KJ/kg）43732</w:t>
            </w:r>
          </w:p>
        </w:tc>
        <w:tc>
          <w:tcPr>
            <w:tcW w:w="4261" w:type="dxa"/>
          </w:tcPr>
          <w:p>
            <w:pPr>
              <w:keepNext w:val="0"/>
              <w:keepLines w:val="0"/>
              <w:widowControl/>
              <w:suppressLineNumbers w:val="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7448" w:type="dxa"/>
            <w:gridSpan w:val="2"/>
          </w:tcPr>
          <w:p>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危险特性：遇明火、高热或与氧化剂接触，有引起燃烧爆炸的危险。若遇高热，容</w:t>
            </w:r>
          </w:p>
          <w:p>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器压力增大，有开裂和爆炸的危险。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7448" w:type="dxa"/>
            <w:gridSpan w:val="2"/>
          </w:tcPr>
          <w:p>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灭火的方法：喷水冷却容器，可能的话将容器从火场移至空旷处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7448" w:type="dxa"/>
            <w:gridSpan w:val="2"/>
          </w:tcPr>
          <w:p>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灭火剂：泡沫、干粉、二氧化碳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restart"/>
          </w:tcPr>
          <w:p>
            <w:pP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健康危害</w:t>
            </w:r>
          </w:p>
        </w:tc>
        <w:tc>
          <w:tcPr>
            <w:tcW w:w="7448" w:type="dxa"/>
            <w:gridSpan w:val="2"/>
          </w:tcPr>
          <w:p>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侵入途径：吸入、食入、经皮肤吸收。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4" w:type="dxa"/>
            <w:vMerge w:val="continue"/>
          </w:tcPr>
          <w:p>
            <w:pPr>
              <w:rPr>
                <w:rFonts w:hint="default" w:ascii="Times New Roman" w:hAnsi="Times New Roman" w:cs="Times New Roman"/>
                <w:color w:val="auto"/>
                <w:vertAlign w:val="baseline"/>
                <w:lang w:val="en-US" w:eastAsia="zh-CN"/>
              </w:rPr>
            </w:pPr>
          </w:p>
        </w:tc>
        <w:tc>
          <w:tcPr>
            <w:tcW w:w="7448" w:type="dxa"/>
            <w:gridSpan w:val="2"/>
          </w:tcPr>
          <w:p>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健康危害：皮肤接触柴油可能引起接触性皮炎。油性痤疮；吸入可引起吸入性肺炎。</w:t>
            </w:r>
          </w:p>
          <w:p>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能引起胎盘进入胎儿血中。柴油废气可引起眼、鼻刺激症状，头晕及头痛。</w:t>
            </w:r>
          </w:p>
        </w:tc>
      </w:tr>
    </w:tbl>
    <w:p>
      <w:pPr>
        <w:rPr>
          <w:rFonts w:hint="default" w:ascii="Times New Roman" w:hAnsi="Times New Roman" w:cs="Times New Roman"/>
          <w:b w:val="0"/>
          <w:bCs w:val="0"/>
          <w:color w:val="auto"/>
          <w:sz w:val="30"/>
          <w:szCs w:val="30"/>
          <w:lang w:val="en-US" w:eastAsia="zh-CN"/>
        </w:rPr>
      </w:pPr>
      <w:r>
        <w:rPr>
          <w:rFonts w:hint="default" w:ascii="Times New Roman" w:hAnsi="Times New Roman" w:cs="Times New Roman"/>
          <w:b w:val="0"/>
          <w:bCs w:val="0"/>
          <w:color w:val="auto"/>
          <w:sz w:val="30"/>
          <w:szCs w:val="30"/>
          <w:lang w:val="en-US" w:eastAsia="zh-CN"/>
        </w:rPr>
        <w:t>7.4.2全过程生产系统危险性识别</w:t>
      </w:r>
    </w:p>
    <w:p>
      <w:pPr>
        <w:pStyle w:val="90"/>
        <w:numPr>
          <w:ilvl w:val="0"/>
          <w:numId w:val="9"/>
        </w:numPr>
        <w:spacing w:line="360" w:lineRule="auto"/>
        <w:ind w:firstLine="480" w:firstLineChars="200"/>
        <w:outlineLvl w:val="2"/>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钻井过程危险因素识别</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钻井过程中危险因素及可能产生的事故见表7.4-5。</w:t>
      </w:r>
    </w:p>
    <w:p>
      <w:pPr>
        <w:numPr>
          <w:ilvl w:val="0"/>
          <w:numId w:val="0"/>
        </w:numPr>
        <w:spacing w:line="360" w:lineRule="auto"/>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表7.4-5    钻井过程主要危险及有害因素分析</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4023"/>
        <w:gridCol w:w="3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主要危险、有害因素</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可能导致的事故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地层压力不准</w:t>
            </w:r>
            <w:r>
              <w:rPr>
                <w:rFonts w:hint="eastAsia" w:ascii="Times New Roman" w:hAnsi="Times New Roman" w:eastAsia="宋体" w:cs="Times New Roman"/>
                <w:color w:val="auto"/>
                <w:kern w:val="0"/>
                <w:sz w:val="21"/>
                <w:szCs w:val="21"/>
                <w:lang w:val="en-US" w:eastAsia="zh-CN" w:bidi="ar"/>
              </w:rPr>
              <w:t>；导</w:t>
            </w:r>
            <w:r>
              <w:rPr>
                <w:rFonts w:hint="default" w:ascii="Times New Roman" w:hAnsi="Times New Roman" w:eastAsia="宋体" w:cs="Times New Roman"/>
                <w:color w:val="auto"/>
                <w:kern w:val="0"/>
                <w:sz w:val="21"/>
                <w:szCs w:val="21"/>
                <w:lang w:val="en-US" w:eastAsia="zh-CN" w:bidi="ar"/>
              </w:rPr>
              <w:t>致设计不准确，钻井液密度低于地层空隙压力梯度，埋下井喷事故</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井喷失控、天然气燃烧爆炸、大气环境及人群健康影响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井控设备及管材在安装、使用前未按有关规定进行检验合格后使用</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管线、设备失效导致井喷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防喷器件、管线有刺漏，压力等级不符合要求；非金属材料不符合要求，密封失效</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管线、设备失效导致井喷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司钻控制下放速度不当或操作不平稳</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发生井漏事故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节流管汇与井喷器连接不平直，容易使节流管汇作用发挥不完全；节流管汇试压未到额定工作压力或稳定时间不够，导致井控管失效</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井喷失控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阀板与阀座之间密封不好或是井控装置部件表面生锈腐蚀使节流压井管失效，方钻杆上下旋转开关不灵活，有可能因不能正常开关而发生井喷事故</w:t>
            </w:r>
          </w:p>
        </w:tc>
        <w:tc>
          <w:tcPr>
            <w:tcW w:w="3628" w:type="dxa"/>
          </w:tcPr>
          <w:p>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天然气燃烧爆炸、大气环境及人群健康影响</w:t>
            </w:r>
          </w:p>
          <w:p>
            <w:pPr>
              <w:adjustRightInd w:val="0"/>
              <w:spacing w:line="240" w:lineRule="auto"/>
              <w:contextualSpacing/>
              <w:jc w:val="center"/>
              <w:rPr>
                <w:rFonts w:hint="default"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未及时发现溢流显示或发现后处理不当等</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导致天然气溢出，发生天然气燃烧爆炸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换装井口、起下管柱作业和循环施工作业中，对作业时间估计不足，压井时间短，井内压力失衡导致井喷或井喷失控</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天然气燃烧爆炸、大气环境及人群健康影响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安装井下安全阀，因作业所需时间较长，若压井时间不足，井内压力失衡导致井喷或井喷失控</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天然气燃烧爆炸、大气环境及人群健康影响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1" w:type="dxa"/>
          </w:tcPr>
          <w:p>
            <w:pPr>
              <w:adjustRightInd w:val="0"/>
              <w:spacing w:line="240" w:lineRule="auto"/>
              <w:contextualSpacing/>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4023"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暴雨、洪水、钻井泥浆暂存池泄漏，柴油罐</w:t>
            </w:r>
            <w:r>
              <w:rPr>
                <w:rFonts w:hint="eastAsia" w:ascii="Times New Roman" w:hAnsi="Times New Roman" w:eastAsia="宋体" w:cs="Times New Roman"/>
                <w:color w:val="auto"/>
                <w:kern w:val="0"/>
                <w:sz w:val="21"/>
                <w:szCs w:val="21"/>
                <w:lang w:val="en-US" w:eastAsia="zh-CN" w:bidi="ar"/>
              </w:rPr>
              <w:t>泄漏</w:t>
            </w:r>
          </w:p>
        </w:tc>
        <w:tc>
          <w:tcPr>
            <w:tcW w:w="3628" w:type="dxa"/>
          </w:tcPr>
          <w:p>
            <w:pPr>
              <w:keepNext w:val="0"/>
              <w:keepLines w:val="0"/>
              <w:widowControl/>
              <w:suppressLineNumbers w:val="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废水和柴油外溢，污染地下水</w:t>
            </w:r>
          </w:p>
        </w:tc>
      </w:tr>
    </w:tbl>
    <w:p>
      <w:pPr>
        <w:numPr>
          <w:ilvl w:val="0"/>
          <w:numId w:val="0"/>
        </w:num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（2）运营期危险因素识别</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工程分析，本工程开发建设过程中采油、油气集输等环节均接触到易燃、易爆的危险性物质，而且生产工艺条件较苛刻，多为高压操作，因此事故风险较大，可能造成环境危害的风险事故主要包括火灾、爆炸、油品泄漏等，具体危害和环境影响可见表7.4-6。</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表7.4-6    油田生产事故风险类型、来源及危害识别一览表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104"/>
        <w:gridCol w:w="1637"/>
        <w:gridCol w:w="3177"/>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6" w:type="dxa"/>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功能单元</w:t>
            </w:r>
          </w:p>
        </w:tc>
        <w:tc>
          <w:tcPr>
            <w:tcW w:w="1104" w:type="dxa"/>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事故类型</w:t>
            </w:r>
          </w:p>
        </w:tc>
        <w:tc>
          <w:tcPr>
            <w:tcW w:w="1637" w:type="dxa"/>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事故原因</w:t>
            </w:r>
          </w:p>
        </w:tc>
        <w:tc>
          <w:tcPr>
            <w:tcW w:w="3177" w:type="dxa"/>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事故后果</w:t>
            </w:r>
          </w:p>
        </w:tc>
        <w:tc>
          <w:tcPr>
            <w:tcW w:w="1528" w:type="dxa"/>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6" w:type="dxa"/>
          </w:tcPr>
          <w:p>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管线</w:t>
            </w:r>
          </w:p>
        </w:tc>
        <w:tc>
          <w:tcPr>
            <w:tcW w:w="1104" w:type="dxa"/>
          </w:tcPr>
          <w:p>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集输管线泄漏</w:t>
            </w:r>
          </w:p>
        </w:tc>
        <w:tc>
          <w:tcPr>
            <w:tcW w:w="1637" w:type="dxa"/>
          </w:tcPr>
          <w:p>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管道腐蚀，施工、操作不当或自然灾害等外力作用导致管线破裂，导致火灾、爆炸、油品泄漏事故</w:t>
            </w:r>
          </w:p>
        </w:tc>
        <w:tc>
          <w:tcPr>
            <w:tcW w:w="3177" w:type="dxa"/>
          </w:tcPr>
          <w:p>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油品及天然气泄漏后，遇火源会发生火灾、爆炸事故，燃烧产生的次生CO引发周围人员CO中毒事件，油类物质渗流至地下水；天然气泄漏后，进入大气引发中毒事故。</w:t>
            </w:r>
          </w:p>
        </w:tc>
        <w:tc>
          <w:tcPr>
            <w:tcW w:w="1528" w:type="dxa"/>
          </w:tcPr>
          <w:p>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大气、土壤、地下水</w:t>
            </w:r>
          </w:p>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vertAlign w:val="baseline"/>
                <w:lang w:val="en-US" w:eastAsia="zh-CN" w:bidi="ar"/>
              </w:rPr>
            </w:pPr>
          </w:p>
        </w:tc>
      </w:tr>
    </w:tbl>
    <w:p>
      <w:pPr>
        <w:keepNext w:val="0"/>
        <w:keepLines w:val="0"/>
        <w:widowControl/>
        <w:suppressLineNumbers w:val="0"/>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kern w:val="0"/>
          <w:sz w:val="24"/>
          <w:szCs w:val="24"/>
          <w:lang w:val="en-US" w:eastAsia="zh-CN" w:bidi="ar"/>
        </w:rPr>
        <w:t>井下作业危险性识别</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①井喷事故风险 </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井喷为井场常见事故。如果井底压力小于地层压力，地层流体将进入井筒并推动钻井液外溢，即发生溢流。此时，如果对地下油、气压力平衡控制不当，不能及时控制溢流，会造成油、水或其他混合物迅速喷到地面，即发生井喷。井喷会引发油气泄漏及火灾爆炸，对空气环境、水环境及生态环境造成危害，致使人员伤亡、财产损失。陆梁油田</w:t>
      </w:r>
      <w:r>
        <w:rPr>
          <w:rFonts w:hint="eastAsia" w:ascii="Times New Roman" w:hAnsi="Times New Roman" w:eastAsia="宋体" w:cs="Times New Roman"/>
          <w:color w:val="auto"/>
          <w:kern w:val="0"/>
          <w:sz w:val="24"/>
          <w:szCs w:val="24"/>
          <w:lang w:val="en-US" w:eastAsia="zh-CN" w:bidi="ar"/>
        </w:rPr>
        <w:t>陆136井区</w:t>
      </w:r>
      <w:r>
        <w:rPr>
          <w:rFonts w:hint="default" w:ascii="Times New Roman" w:hAnsi="Times New Roman" w:eastAsia="宋体" w:cs="Times New Roman"/>
          <w:color w:val="auto"/>
          <w:kern w:val="0"/>
          <w:sz w:val="24"/>
          <w:szCs w:val="24"/>
          <w:lang w:val="en-US" w:eastAsia="zh-CN" w:bidi="ar"/>
        </w:rPr>
        <w:t>已开发多年，对区域的油气藏情况已基本掌握，井喷的可能性很小，但</w:t>
      </w:r>
      <w:r>
        <w:rPr>
          <w:rFonts w:hint="eastAsia" w:ascii="Times New Roman" w:hAnsi="Times New Roman" w:eastAsia="宋体" w:cs="Times New Roman"/>
          <w:color w:val="auto"/>
          <w:kern w:val="0"/>
          <w:sz w:val="24"/>
          <w:szCs w:val="24"/>
          <w:lang w:val="en-US" w:eastAsia="zh-CN" w:bidi="ar"/>
        </w:rPr>
        <w:t>也</w:t>
      </w:r>
      <w:r>
        <w:rPr>
          <w:rFonts w:hint="default" w:ascii="Times New Roman" w:hAnsi="Times New Roman" w:eastAsia="宋体" w:cs="Times New Roman"/>
          <w:color w:val="auto"/>
          <w:kern w:val="0"/>
          <w:sz w:val="24"/>
          <w:szCs w:val="24"/>
          <w:lang w:val="en-US" w:eastAsia="zh-CN" w:bidi="ar"/>
        </w:rPr>
        <w:t xml:space="preserve">并非绝对不可能，从最不利的角度，本次评价依然将其作为一种风险事故考虑。 </w:t>
      </w:r>
    </w:p>
    <w:p>
      <w:pPr>
        <w:keepNext w:val="0"/>
        <w:keepLines w:val="0"/>
        <w:widowControl/>
        <w:suppressLineNumbers w:val="0"/>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②井漏事故风险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
        </w:rPr>
        <w:t>固井套管下入深度不够或固井质量不好可能引发污染地下水事故，如油气上窜造成地下水污染等。</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输送管道危险性识别</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道输送是一种安全可行的输送方式，但存在于环境中的管道会受到各种环境因素的作用，同时管道本身的设计、管材制造、施工、操作运行和管理等各环节都可能存在着缺陷和失误，所有这些因素都可能导致事故的发生。发生的事故主要为管线破裂造成的油气泄漏，事故发生时会有大量的油气溢出，对周围环境造成直接污染，而且泄漏的油气遇到明火还可能产生火灾、爆炸事故。</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按照长输管道易发事故不同的特点，可将造成事故的危险因素分成以下几类：</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管道腐蚀穿孔：本工程天然气外输管道具有防腐层，然而，如防腐质量差、管道施工时造成防腐层机械损害、土壤中含水、盐、碱及地下杂散电流等</w:t>
      </w:r>
      <w:r>
        <w:rPr>
          <w:rFonts w:hint="default" w:ascii="Times New Roman" w:hAnsi="Times New Roman" w:eastAsia="宋体" w:cs="Times New Roman"/>
          <w:color w:val="auto"/>
          <w:sz w:val="24"/>
          <w:lang w:eastAsia="zh-CN"/>
        </w:rPr>
        <w:t>因</w:t>
      </w:r>
      <w:r>
        <w:rPr>
          <w:rFonts w:hint="default" w:ascii="Times New Roman" w:hAnsi="Times New Roman" w:eastAsia="宋体" w:cs="Times New Roman"/>
          <w:color w:val="auto"/>
          <w:sz w:val="24"/>
        </w:rPr>
        <w:t>素都会造成管道腐蚀，严峻的可造成管道穿孔，引发事故。</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管道材料缺陷或焊口缺陷隐患：这类事故多数是因焊缝或管道母材中的缺陷在带压输送中引起管道破裂。另外，管道的施工温度与输气温度之间存在一定的温度差，造成管道沿其轴向产生热应力，这一热应力因约束力变小从而产生热变形，弯头内弧向里凹，形成</w:t>
      </w:r>
      <w:r>
        <w:rPr>
          <w:rFonts w:hint="eastAsia" w:ascii="Times New Roman" w:hAnsi="Times New Roman" w:eastAsia="宋体" w:cs="Times New Roman"/>
          <w:color w:val="auto"/>
          <w:sz w:val="24"/>
          <w:lang w:eastAsia="zh-CN"/>
        </w:rPr>
        <w:t>褶皱</w:t>
      </w:r>
      <w:r>
        <w:rPr>
          <w:rFonts w:hint="default" w:ascii="Times New Roman" w:hAnsi="Times New Roman" w:eastAsia="宋体" w:cs="Times New Roman"/>
          <w:color w:val="auto"/>
          <w:sz w:val="24"/>
        </w:rPr>
        <w:t>，外弧曲率变大，管壁因拉伸变薄，也会形成破裂。</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第三方破坏：第三方破坏包括意外重大的机械损害、操作失误及人为破坏等可能。</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自然灾难：地震、洪水、塌陷、雷击等自然灾难都可能对管道造成破坏，引发事故。</w:t>
      </w:r>
    </w:p>
    <w:p>
      <w:pPr>
        <w:adjustRightInd w:val="0"/>
        <w:spacing w:line="360" w:lineRule="auto"/>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设备事故：输气设备、设施等性能不行、质量不高也能够引发事故。</w:t>
      </w:r>
    </w:p>
    <w:p>
      <w:pPr>
        <w:pStyle w:val="90"/>
        <w:spacing w:line="360" w:lineRule="auto"/>
        <w:ind w:firstLine="480" w:firstLineChars="200"/>
        <w:outlineLvl w:val="9"/>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w:t>
      </w:r>
      <w:r>
        <w:rPr>
          <w:rFonts w:hint="default" w:ascii="Times New Roman" w:hAnsi="Times New Roman" w:cs="Times New Roman"/>
          <w:b w:val="0"/>
          <w:bCs w:val="0"/>
          <w:color w:val="auto"/>
          <w:szCs w:val="24"/>
          <w:lang w:val="en-US" w:eastAsia="zh-CN"/>
        </w:rPr>
        <w:t>5</w:t>
      </w:r>
      <w:r>
        <w:rPr>
          <w:rFonts w:hint="default" w:ascii="Times New Roman" w:hAnsi="Times New Roman" w:cs="Times New Roman"/>
          <w:b w:val="0"/>
          <w:bCs w:val="0"/>
          <w:color w:val="auto"/>
          <w:szCs w:val="24"/>
        </w:rPr>
        <w:t>）储罐危险性识别</w:t>
      </w:r>
    </w:p>
    <w:p>
      <w:pPr>
        <w:pStyle w:val="90"/>
        <w:spacing w:line="360" w:lineRule="auto"/>
        <w:ind w:firstLine="480" w:firstLineChars="200"/>
        <w:outlineLvl w:val="9"/>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本项目建设期井场设置柴油储罐、钻井液储罐等罐体，由于储罐设计、管材制造、施工、操作运行和管理等各环节都可能存在着缺陷和失误，所有这些因素都可能导致罐体内液体泄漏事故发生，对周围地下水、土壤、大气等环境造成污染。</w:t>
      </w:r>
    </w:p>
    <w:p>
      <w:pPr>
        <w:pStyle w:val="90"/>
        <w:spacing w:line="360" w:lineRule="auto"/>
        <w:ind w:firstLine="480" w:firstLineChars="200"/>
        <w:outlineLvl w:val="9"/>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w:t>
      </w:r>
      <w:r>
        <w:rPr>
          <w:rFonts w:hint="default" w:ascii="Times New Roman" w:hAnsi="Times New Roman" w:cs="Times New Roman"/>
          <w:b w:val="0"/>
          <w:bCs w:val="0"/>
          <w:color w:val="auto"/>
          <w:szCs w:val="24"/>
          <w:lang w:val="en-US" w:eastAsia="zh-CN"/>
        </w:rPr>
        <w:t>6</w:t>
      </w:r>
      <w:r>
        <w:rPr>
          <w:rFonts w:hint="default" w:ascii="Times New Roman" w:hAnsi="Times New Roman" w:cs="Times New Roman"/>
          <w:b w:val="0"/>
          <w:bCs w:val="0"/>
          <w:color w:val="auto"/>
          <w:szCs w:val="24"/>
        </w:rPr>
        <w:t>）运输风险识别</w:t>
      </w:r>
    </w:p>
    <w:p>
      <w:pPr>
        <w:pStyle w:val="90"/>
        <w:spacing w:line="360" w:lineRule="auto"/>
        <w:ind w:firstLine="480" w:firstLineChars="200"/>
        <w:outlineLvl w:val="9"/>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本项目建设期钻井液采用罐车拉运至井场，运营期井下作业过程采用罐车将井下作业废水、废洗井液、压裂返排液拉至陆梁集中处理站进行处置。因车辆本身的设计、制造、操作、管理等各环节，罐体可能因腐蚀过薄甚至穿孔、焊缝开裂、密封损坏、附件失灵等原因，在拉运过程有泄漏事故发生的风险。事故发生时罐车内储存物溢出，对周围环境造成直接污染。</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4</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3环境</w:t>
      </w:r>
      <w:r>
        <w:rPr>
          <w:rFonts w:hint="default" w:ascii="Times New Roman" w:hAnsi="Times New Roman" w:cs="Times New Roman"/>
          <w:b/>
          <w:bCs/>
          <w:color w:val="auto"/>
          <w:sz w:val="30"/>
          <w:szCs w:val="30"/>
        </w:rPr>
        <w:t>风险类型识别</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w:t>
      </w:r>
      <w:r>
        <w:rPr>
          <w:rFonts w:hint="eastAsia" w:ascii="Times New Roman" w:hAnsi="Times New Roman" w:eastAsia="宋体" w:cs="Times New Roman"/>
          <w:color w:val="auto"/>
          <w:sz w:val="24"/>
          <w:lang w:eastAsia="zh-CN"/>
        </w:rPr>
        <w:t>分析</w:t>
      </w:r>
      <w:r>
        <w:rPr>
          <w:rFonts w:hint="default" w:ascii="Times New Roman" w:hAnsi="Times New Roman" w:eastAsia="宋体" w:cs="Times New Roman"/>
          <w:color w:val="auto"/>
          <w:sz w:val="24"/>
        </w:rPr>
        <w:t>本项目可能涉及的危险物质及危险场所及危险特性，本项目可能发生的环境风险主要包括井喷、井漏、油类泄漏、火灾、爆炸等引发的伴生/次生污染物排放。</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
        </w:rPr>
        <w:t>运营期管线发生破损造成原油泄漏，会污染土壤和大气，泄漏原油有可能通过包气带渗漏进入地下含水层，污染地下水；泄漏的油气若遇明火，发生火灾、爆炸，污染大气环境。</w:t>
      </w:r>
    </w:p>
    <w:p>
      <w:pPr>
        <w:tabs>
          <w:tab w:val="left" w:pos="3465"/>
        </w:tabs>
        <w:spacing w:line="360" w:lineRule="auto"/>
        <w:outlineLvl w:val="1"/>
        <w:rPr>
          <w:rFonts w:hint="default" w:ascii="Times New Roman" w:hAnsi="Times New Roman" w:eastAsia="宋体" w:cs="Times New Roman"/>
          <w:b/>
          <w:color w:val="auto"/>
          <w:sz w:val="32"/>
          <w:szCs w:val="32"/>
        </w:rPr>
      </w:pPr>
      <w:bookmarkStart w:id="555" w:name="_Toc27135"/>
      <w:bookmarkStart w:id="556" w:name="_Toc23567"/>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w:t>
      </w:r>
      <w:r>
        <w:rPr>
          <w:rFonts w:hint="default" w:ascii="Times New Roman" w:hAnsi="Times New Roman" w:eastAsia="宋体" w:cs="Times New Roman"/>
          <w:b/>
          <w:color w:val="auto"/>
          <w:sz w:val="32"/>
          <w:szCs w:val="32"/>
          <w:lang w:val="en-US" w:eastAsia="zh-CN"/>
        </w:rPr>
        <w:t>5</w:t>
      </w:r>
      <w:r>
        <w:rPr>
          <w:rFonts w:hint="default" w:ascii="Times New Roman" w:hAnsi="Times New Roman" w:eastAsia="宋体" w:cs="Times New Roman"/>
          <w:b/>
          <w:color w:val="auto"/>
          <w:sz w:val="32"/>
          <w:szCs w:val="32"/>
        </w:rPr>
        <w:t>环境风险影响分析</w:t>
      </w:r>
      <w:bookmarkEnd w:id="555"/>
      <w:bookmarkEnd w:id="556"/>
    </w:p>
    <w:p>
      <w:pPr>
        <w:pStyle w:val="60"/>
        <w:outlineLvl w:val="2"/>
        <w:rPr>
          <w:rFonts w:hint="default" w:ascii="Times New Roman" w:hAnsi="Times New Roman" w:cs="Times New Roman"/>
          <w:b/>
          <w:bCs/>
          <w:color w:val="auto"/>
          <w:sz w:val="30"/>
          <w:szCs w:val="30"/>
          <w:lang w:val="en-US" w:eastAsia="zh-CN"/>
        </w:rPr>
      </w:pPr>
      <w:r>
        <w:rPr>
          <w:rFonts w:hint="default" w:ascii="Times New Roman" w:hAnsi="Times New Roman" w:cs="Times New Roman"/>
          <w:b/>
          <w:bCs/>
          <w:color w:val="auto"/>
          <w:sz w:val="30"/>
          <w:szCs w:val="30"/>
          <w:lang w:val="en-US" w:eastAsia="zh-CN"/>
        </w:rPr>
        <w:t>7.5.1井喷事故影响分析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对土壤的影响分析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喷持续时间越长，对土壤造成的污染越严重。但根据已有的相关资料，井喷事故主要影响事故区域内的表层土壤。若发生井喷事故，污染土壤应及时收集，委托有危废处置资质单位处理。采取以上措施后，井喷对土壤的影响较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对水环境影响分析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喷事故一旦发生，大量的油气喷出井口，散落于井场周围，除造成重大经济损失外，还会造成严重的环境污染。根据测算，井喷发生后，喷出的液量较大，一般需要1～2d才能得以控制。据类比资料显示，井喷污染范围在半径300m左右时，井喷持续时间2d，井喷范围内土壤表层可见有蜡状的喷散物，井喷的影响范围及影响程度较大。但从事故井区土壤剖面分析，井喷事故后石油类污染物主要聚集在土壤剖面1m以内，石油类污染物很难下渗到2m以下，对地下水体的影响概率不大，及时采取有效措施治理污染，井喷不会造成地下水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对植被的影响分析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井喷发生时，原油中的轻组分挥发，在对空气环境产生影响的同时，也对周围植物产生影响，井场周围半径500m范围内的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w:t>
      </w:r>
      <w:r>
        <w:rPr>
          <w:rFonts w:hint="default" w:ascii="Times New Roman" w:hAnsi="Times New Roman" w:eastAsia="宋体" w:cs="Times New Roman"/>
          <w:color w:val="auto"/>
          <w:sz w:val="24"/>
          <w:szCs w:val="24"/>
        </w:rPr>
        <w:t>减弱</w:t>
      </w:r>
      <w:r>
        <w:rPr>
          <w:rFonts w:hint="default" w:ascii="Times New Roman" w:hAnsi="Times New Roman" w:cs="Times New Roman"/>
          <w:color w:val="auto"/>
          <w:sz w:val="24"/>
          <w:szCs w:val="24"/>
        </w:rPr>
        <w:t>，甚至使这一区域变为裸地。由于这一影响使土壤结构受石油类污染而发生变化，因此，被污染区域的植被不易恢复。若井喷时发生火灾，结果将使燃烧范围内的植被全部死亡。必须采取严格有效的风险防范措施，防止、</w:t>
      </w:r>
      <w:r>
        <w:rPr>
          <w:rFonts w:hint="eastAsia" w:ascii="Times New Roman" w:hAnsi="Times New Roman" w:cs="Times New Roman"/>
          <w:color w:val="auto"/>
          <w:sz w:val="24"/>
          <w:szCs w:val="24"/>
          <w:lang w:eastAsia="zh-CN"/>
        </w:rPr>
        <w:t>防止</w:t>
      </w:r>
      <w:r>
        <w:rPr>
          <w:rFonts w:hint="default" w:ascii="Times New Roman" w:hAnsi="Times New Roman" w:cs="Times New Roman"/>
          <w:color w:val="auto"/>
          <w:sz w:val="24"/>
          <w:szCs w:val="24"/>
        </w:rPr>
        <w:t>井喷事故风险发生。</w:t>
      </w:r>
    </w:p>
    <w:p>
      <w:pPr>
        <w:pStyle w:val="60"/>
        <w:outlineLvl w:val="2"/>
        <w:rPr>
          <w:rFonts w:hint="default" w:ascii="Times New Roman" w:hAnsi="Times New Roman" w:cs="Times New Roman"/>
          <w:b/>
          <w:bCs/>
          <w:color w:val="auto"/>
          <w:sz w:val="30"/>
          <w:szCs w:val="30"/>
          <w:lang w:val="en-US" w:eastAsia="zh-CN"/>
        </w:rPr>
      </w:pPr>
      <w:r>
        <w:rPr>
          <w:rFonts w:hint="default" w:ascii="Times New Roman" w:hAnsi="Times New Roman" w:cs="Times New Roman"/>
          <w:b/>
          <w:bCs/>
          <w:color w:val="auto"/>
          <w:sz w:val="30"/>
          <w:szCs w:val="30"/>
          <w:lang w:val="en-US" w:eastAsia="zh-CN"/>
        </w:rPr>
        <w:t>7.5.2井漏事故影响分析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井漏事故主要为运营期油水窜层。井漏事故对地下水的污染是采出液漏失于地下水含水层中，由于采出液中含石油类，均会造成地下含水层水质污染。本项目采用双层套管，表层套管完全封闭各含水层，固井水泥均上返地面，这样，在各含水层与井筒间形成双层套管、单层水泥环的保护措施，将事故风险降低到最低。</w:t>
      </w:r>
    </w:p>
    <w:p>
      <w:pPr>
        <w:pStyle w:val="60"/>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5</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3原油泄漏</w:t>
      </w:r>
      <w:r>
        <w:rPr>
          <w:rFonts w:hint="default" w:ascii="Times New Roman" w:hAnsi="Times New Roman" w:cs="Times New Roman"/>
          <w:b/>
          <w:bCs/>
          <w:color w:val="auto"/>
          <w:sz w:val="30"/>
          <w:szCs w:val="30"/>
        </w:rPr>
        <w:t>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原油泄漏的油品下渗而可能导致地下水污染风险的发生。发生泄漏事故后，及时维修处理，即使有少量的污染物泄漏，也很难通过防渗层渗入包气带。故在正常工况下，定期对储罐及集输管线上的设置安全保护设施，如截断阀进行检查，</w:t>
      </w:r>
      <w:r>
        <w:rPr>
          <w:rFonts w:hint="eastAsia" w:cs="Times New Roman"/>
          <w:color w:val="auto"/>
          <w:sz w:val="24"/>
          <w:szCs w:val="24"/>
          <w:lang w:eastAsia="zh-CN"/>
        </w:rPr>
        <w:t>加大</w:t>
      </w:r>
      <w:r>
        <w:rPr>
          <w:rFonts w:hint="default" w:ascii="Times New Roman" w:hAnsi="Times New Roman" w:cs="Times New Roman"/>
          <w:color w:val="auto"/>
          <w:sz w:val="24"/>
          <w:szCs w:val="24"/>
        </w:rPr>
        <w:t>检修力度，发生泄漏事故及时找到泄漏点，及时维修，并将受污染的土壤全部回收，送至主体装置区进行处理，污染物从源头和末端均得到控制，没有污染地下水的通道，污染物不会渗入地下污染地下水体。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泄漏事故不可控时，泄漏的油品经土层渗漏，通过包气带进入含水层。根据《采油废水中石油类污染物在土壤中的迁移规律研究》（岳占林文）中结论：盐土尽管颗粒较粗、结构较松散、孔隙比较大，但对石油类物质的截留作用是非常显著的，石油类很难在土壤剖面中随水下渗迁移，基本上被截留在0cm～10cm或0cm～20cm表层土壤中，其中表层0cm～5cm土壤截留了90%以上的泄漏原油。因此，即使发生输油管线泄漏事故，做到及时发现、及时处理，彻底清除泄漏油品、被污染的土壤，不会对当地地下水体环境产生大的影响。</w:t>
      </w:r>
    </w:p>
    <w:p>
      <w:pPr>
        <w:pStyle w:val="60"/>
        <w:outlineLvl w:val="2"/>
        <w:rPr>
          <w:rFonts w:hint="default" w:ascii="Times New Roman" w:hAnsi="Times New Roman" w:eastAsia="黑体" w:cs="Times New Roman"/>
          <w:b/>
          <w:bCs w:val="0"/>
          <w:snapToGrid/>
          <w:color w:val="auto"/>
          <w:kern w:val="2"/>
          <w:sz w:val="30"/>
          <w:szCs w:val="30"/>
          <w:lang w:val="en-US" w:eastAsia="zh-CN" w:bidi="ar-SA"/>
        </w:rPr>
      </w:pPr>
      <w:r>
        <w:rPr>
          <w:rFonts w:hint="default" w:ascii="Times New Roman" w:hAnsi="Times New Roman" w:eastAsia="黑体" w:cs="Times New Roman"/>
          <w:b/>
          <w:bCs w:val="0"/>
          <w:snapToGrid/>
          <w:color w:val="auto"/>
          <w:kern w:val="2"/>
          <w:sz w:val="30"/>
          <w:szCs w:val="30"/>
          <w:lang w:val="en-US" w:eastAsia="zh-CN" w:bidi="ar-SA"/>
        </w:rPr>
        <w:t>7.5.4管线泄漏环境影响分析</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管线泄漏对生态系统的影响主要表现为对土壤和植被的破坏。</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对土壤的影响分析</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管线泄漏对土壤环境的影响是比较显著的，泄漏的石油可使土壤透气性下降、土壤理化性状发生变化，影响到土地功能，进而影响荒漠植被的生长，并可影响局部的生态环境。</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原油发生泄漏时，相当于向土壤中直接注入原油，泄漏的原油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根据类比调查结果可知，原油泄漏事故发生后，在非渗透性的基岩及</w:t>
      </w:r>
      <w:r>
        <w:rPr>
          <w:rFonts w:hint="eastAsia" w:cs="Times New Roman"/>
          <w:color w:val="auto"/>
          <w:sz w:val="24"/>
          <w:szCs w:val="24"/>
          <w:lang w:eastAsia="zh-CN"/>
        </w:rPr>
        <w:t>黏重</w:t>
      </w:r>
      <w:r>
        <w:rPr>
          <w:rFonts w:hint="default" w:ascii="Times New Roman" w:hAnsi="Times New Roman" w:eastAsia="宋体" w:cs="Times New Roman"/>
          <w:color w:val="auto"/>
          <w:sz w:val="24"/>
          <w:szCs w:val="24"/>
        </w:rPr>
        <w:t>土壤上污染（扩展）面积较大，而疏松土质上影响的扩展范围较小；</w:t>
      </w:r>
      <w:r>
        <w:rPr>
          <w:rFonts w:hint="eastAsia" w:cs="Times New Roman"/>
          <w:color w:val="auto"/>
          <w:sz w:val="24"/>
          <w:szCs w:val="24"/>
          <w:lang w:eastAsia="zh-CN"/>
        </w:rPr>
        <w:t>黏重</w:t>
      </w:r>
      <w:r>
        <w:rPr>
          <w:rFonts w:hint="default" w:ascii="Times New Roman" w:hAnsi="Times New Roman" w:eastAsia="宋体" w:cs="Times New Roman"/>
          <w:color w:val="auto"/>
          <w:sz w:val="24"/>
          <w:szCs w:val="24"/>
        </w:rPr>
        <w:t>土壤多为耕作土，原油覆于地表会使土壤透气性下降，降低土壤肥力。在泄漏事故发生的最初，原油在土壤中下渗至一定深度，随泄漏历时的延长，下渗深度增加不大（落地原油一般在土壤表层20cm以上深度内积聚）。</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对植被的影响</w:t>
      </w:r>
    </w:p>
    <w:p>
      <w:pPr>
        <w:pStyle w:val="56"/>
        <w:spacing w:line="360" w:lineRule="auto"/>
        <w:rPr>
          <w:rFonts w:hint="default" w:ascii="Times New Roman" w:hAnsi="Times New Roman" w:eastAsia="宋体" w:cs="Times New Roman"/>
          <w:color w:val="auto"/>
          <w:sz w:val="24"/>
          <w:szCs w:val="24"/>
        </w:rPr>
      </w:pPr>
      <w:bookmarkStart w:id="557" w:name="_Toc44088092"/>
      <w:bookmarkStart w:id="558" w:name="_Toc35366097"/>
      <w:bookmarkStart w:id="559" w:name="_Toc35366488"/>
      <w:bookmarkStart w:id="560" w:name="_Hlk36740485"/>
      <w:r>
        <w:rPr>
          <w:rFonts w:hint="default" w:ascii="Times New Roman" w:hAnsi="Times New Roman" w:eastAsia="宋体" w:cs="Times New Roman"/>
          <w:color w:val="auto"/>
          <w:sz w:val="24"/>
          <w:szCs w:val="24"/>
        </w:rPr>
        <w:t>管线泄漏对植被的影响主要为原油污染土壤造成的土壤理性化性状变化间接影响植物生长，严重时会导致植物死亡；</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另外，如果原油泄漏的同时发生火灾爆炸事故，导致植被燃烧，则对事故区附近的植被将产生灾害性影响。</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接触毒性危害</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接触毒性主要是低沸点烃类物质对植物细胞的类脂膜结构的溶解作用，每类化合物的毒性都随着分子极性的增大而增大，随着分子量的增大而减小。油品低沸点组分较易通过蒸发和淋滤从潮湿但排水良好土壤中的生物活性表层中清除掉，所以这些组分的影响是短期的。油类物质中的低沸点成分对植物嫩芽和根系的脆弱部分有很大的接触毒性，但对乔木和灌木的木质部分影响很小。</w:t>
      </w:r>
    </w:p>
    <w:p>
      <w:pPr>
        <w:pStyle w:val="5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间接有害影响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土壤中油类物质污染对植被的间接影响一般为植物根系中氧缺乏（因为烃被微生物降解时消耗了土壤中的氧）。这种缺氧条件可促使生物产生对植物有害的化合物，微生物还要与植物竞争无机养分。油品组分也会改变土壤的物理结构，降低其储存水分和空气的能力。所有这些不利影响既可以立即表现出来，也</w:t>
      </w:r>
      <w:r>
        <w:rPr>
          <w:rFonts w:hint="eastAsia" w:cs="Times New Roman"/>
          <w:color w:val="auto"/>
          <w:sz w:val="24"/>
          <w:szCs w:val="24"/>
          <w:lang w:eastAsia="zh-CN"/>
        </w:rPr>
        <w:t>可以</w:t>
      </w:r>
      <w:r>
        <w:rPr>
          <w:rFonts w:hint="default" w:ascii="Times New Roman" w:hAnsi="Times New Roman" w:eastAsia="宋体" w:cs="Times New Roman"/>
          <w:color w:val="auto"/>
          <w:sz w:val="24"/>
          <w:szCs w:val="24"/>
        </w:rPr>
        <w:t>在污染油被生物降解时表现出来。中等规模的油品类泄漏，其生物降解一旦结束，上述不利影响就会消失，这是因为土壤的有机质和结合氮都有所增加的缘故。</w:t>
      </w:r>
    </w:p>
    <w:p>
      <w:pPr>
        <w:pStyle w:val="60"/>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5</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5储罐泄漏</w:t>
      </w:r>
      <w:r>
        <w:rPr>
          <w:rFonts w:hint="default" w:ascii="Times New Roman" w:hAnsi="Times New Roman" w:cs="Times New Roman"/>
          <w:b/>
          <w:bCs/>
          <w:color w:val="auto"/>
          <w:sz w:val="30"/>
          <w:szCs w:val="30"/>
        </w:rPr>
        <w:t>环境影响分析</w:t>
      </w:r>
    </w:p>
    <w:p>
      <w:pPr>
        <w:pStyle w:val="56"/>
        <w:spacing w:line="360" w:lineRule="auto"/>
        <w:ind w:left="0"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对大气环境影响分析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柴油</w:t>
      </w:r>
      <w:r>
        <w:rPr>
          <w:rFonts w:hint="default" w:ascii="Times New Roman" w:hAnsi="Times New Roman" w:cs="Times New Roman"/>
          <w:color w:val="auto"/>
          <w:sz w:val="24"/>
          <w:szCs w:val="24"/>
          <w:lang w:eastAsia="zh-CN"/>
        </w:rPr>
        <w:t>储罐</w:t>
      </w:r>
      <w:r>
        <w:rPr>
          <w:rFonts w:hint="default" w:ascii="Times New Roman" w:hAnsi="Times New Roman" w:cs="Times New Roman"/>
          <w:color w:val="auto"/>
          <w:sz w:val="24"/>
          <w:szCs w:val="24"/>
        </w:rPr>
        <w:t>发生泄漏后，油类物质进入环境空气，其中非甲烷总烃可能会对周围环境空气产生影响，若遇明火，可发生火灾、爆炸，火灾、爆炸产生的伴生/次生污染物可能对环境空气产生一定的影响。由于项目区地域空旷，扩散条件较好，发生事故后，及时采取相应的措施，不会对周围环境空气产生明显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对土壤环境影响分析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泄漏的油类物质可使土壤透气性下降、土壤理化性状发生变化。泄漏的油品如果进入土壤，从而使土壤质地、结构发生改变，</w:t>
      </w:r>
      <w:r>
        <w:rPr>
          <w:rFonts w:hint="default" w:ascii="Times New Roman" w:hAnsi="Times New Roman" w:cs="Times New Roman"/>
          <w:color w:val="auto"/>
          <w:sz w:val="24"/>
          <w:szCs w:val="24"/>
          <w:lang w:eastAsia="zh-CN"/>
        </w:rPr>
        <w:t>影响</w:t>
      </w:r>
      <w:r>
        <w:rPr>
          <w:rFonts w:hint="default" w:ascii="Times New Roman" w:hAnsi="Times New Roman" w:cs="Times New Roman"/>
          <w:color w:val="auto"/>
          <w:sz w:val="24"/>
          <w:szCs w:val="24"/>
        </w:rPr>
        <w:t>土地功能，进而影响项目区植被的生长，并可影响局部的生态环境。</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储罐发生泄漏时，相当于向土壤中直接注入油类物质，泄漏的油类物质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钻井期井场采取分区防渗措施，各储罐采用钢质材料，同时在储罐与地表接触面，均采用铺设防渗膜进行防渗，储罐位于室内，一旦发生泄漏，可及时清理，尽可能回收，发生事故后，及时采取应急救援措施，不会对周围土壤环境产生明显影响。</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对地下水环境影响分析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储罐泄漏的油品下渗而可能导致地下水污染风险的发生。发生泄漏事故后，及时维修处理，即使有少量的污染物泄漏，也很难通过防渗层渗入包气带。</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单井井场施工期柴油最大储量为16.7t，作为停电应急备用电源燃料，柴油采用专用清洁储罐储存，储罐采用钢制材质且密封性较好；柴油储罐在室内储存，室内地表采取防渗措施，柴油储罐底部与室内地面接触处再次铺设防渗膜，防止发生泄漏污染地表；如柴油罐体发生泄漏，底部铺设的防渗膜可有效保护地表，防止油品污染储罐区域，因此发生渗漏污染地下水的风险事故概率较低。</w:t>
      </w:r>
    </w:p>
    <w:p>
      <w:pPr>
        <w:keepNext w:val="0"/>
        <w:keepLines w:val="0"/>
        <w:widowControl/>
        <w:suppressLineNumbers w:val="0"/>
        <w:jc w:val="left"/>
        <w:rPr>
          <w:rFonts w:hint="default" w:ascii="Times New Roman" w:hAnsi="Times New Roman" w:eastAsia="宋体" w:cs="Times New Roman"/>
          <w:b/>
          <w:bCs/>
          <w:snapToGrid w:val="0"/>
          <w:color w:val="auto"/>
          <w:kern w:val="2"/>
          <w:sz w:val="30"/>
          <w:szCs w:val="30"/>
          <w:lang w:val="en-US" w:eastAsia="zh-CN" w:bidi="ar-SA"/>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5</w:t>
      </w:r>
      <w:r>
        <w:rPr>
          <w:rFonts w:hint="default" w:ascii="Times New Roman" w:hAnsi="Times New Roman" w:cs="Times New Roman"/>
          <w:b/>
          <w:bCs/>
          <w:color w:val="auto"/>
          <w:sz w:val="30"/>
          <w:szCs w:val="30"/>
        </w:rPr>
        <w:t>.</w:t>
      </w:r>
      <w:r>
        <w:rPr>
          <w:rFonts w:hint="eastAsia" w:ascii="Times New Roman" w:hAnsi="Times New Roman" w:cs="Times New Roman"/>
          <w:b/>
          <w:bCs/>
          <w:color w:val="auto"/>
          <w:sz w:val="30"/>
          <w:szCs w:val="30"/>
          <w:lang w:val="en-US" w:eastAsia="zh-CN"/>
        </w:rPr>
        <w:t>6</w:t>
      </w:r>
      <w:r>
        <w:rPr>
          <w:rFonts w:hint="default" w:ascii="Times New Roman" w:hAnsi="Times New Roman" w:eastAsia="宋体" w:cs="Times New Roman"/>
          <w:b/>
          <w:bCs/>
          <w:snapToGrid w:val="0"/>
          <w:color w:val="auto"/>
          <w:kern w:val="2"/>
          <w:sz w:val="30"/>
          <w:szCs w:val="30"/>
          <w:lang w:val="en-US" w:eastAsia="zh-CN" w:bidi="ar-SA"/>
        </w:rPr>
        <w:t>井下作业</w:t>
      </w:r>
      <w:r>
        <w:rPr>
          <w:rFonts w:hint="eastAsia" w:ascii="Times New Roman" w:hAnsi="Times New Roman" w:eastAsia="宋体" w:cs="Times New Roman"/>
          <w:b/>
          <w:bCs/>
          <w:snapToGrid w:val="0"/>
          <w:color w:val="auto"/>
          <w:kern w:val="2"/>
          <w:sz w:val="30"/>
          <w:szCs w:val="30"/>
          <w:lang w:val="en-US" w:eastAsia="zh-CN" w:bidi="ar-SA"/>
        </w:rPr>
        <w:t>影响分析</w:t>
      </w:r>
    </w:p>
    <w:p>
      <w:pPr>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kern w:val="0"/>
          <w:sz w:val="24"/>
          <w:szCs w:val="24"/>
          <w:lang w:eastAsia="en-US"/>
        </w:rPr>
        <w:t>若本项目井下作业时</w:t>
      </w:r>
      <w:r>
        <w:rPr>
          <w:rFonts w:hint="default" w:ascii="Times New Roman" w:hAnsi="Times New Roman" w:eastAsia="宋体" w:cs="Times New Roman"/>
          <w:snapToGrid w:val="0"/>
          <w:color w:val="auto"/>
          <w:kern w:val="0"/>
          <w:sz w:val="24"/>
          <w:szCs w:val="24"/>
          <w:lang w:eastAsia="zh-CN"/>
        </w:rPr>
        <w:t>，</w:t>
      </w:r>
      <w:r>
        <w:rPr>
          <w:rFonts w:hint="default" w:ascii="Times New Roman" w:hAnsi="Times New Roman" w:eastAsia="宋体" w:cs="Times New Roman"/>
          <w:snapToGrid w:val="0"/>
          <w:color w:val="auto"/>
          <w:kern w:val="0"/>
          <w:sz w:val="24"/>
          <w:szCs w:val="24"/>
          <w:lang w:eastAsia="en-US"/>
        </w:rPr>
        <w:t>产生</w:t>
      </w:r>
      <w:r>
        <w:rPr>
          <w:rFonts w:hint="default" w:ascii="Times New Roman" w:hAnsi="Times New Roman" w:eastAsia="宋体" w:cs="Times New Roman"/>
          <w:snapToGrid w:val="0"/>
          <w:color w:val="auto"/>
          <w:kern w:val="0"/>
          <w:sz w:val="24"/>
          <w:szCs w:val="24"/>
          <w:lang w:eastAsia="zh-CN"/>
        </w:rPr>
        <w:t>的</w:t>
      </w:r>
      <w:r>
        <w:rPr>
          <w:rFonts w:hint="default" w:ascii="Times New Roman" w:hAnsi="Times New Roman" w:eastAsia="宋体" w:cs="Times New Roman"/>
          <w:snapToGrid w:val="0"/>
          <w:color w:val="auto"/>
          <w:kern w:val="0"/>
          <w:sz w:val="24"/>
          <w:szCs w:val="24"/>
          <w:lang w:eastAsia="en-US"/>
        </w:rPr>
        <w:t>井下作业废水（</w:t>
      </w:r>
      <w:r>
        <w:rPr>
          <w:rFonts w:hint="default" w:ascii="Times New Roman" w:hAnsi="Times New Roman" w:eastAsia="宋体" w:cs="Times New Roman"/>
          <w:snapToGrid w:val="0"/>
          <w:color w:val="auto"/>
          <w:kern w:val="0"/>
          <w:sz w:val="24"/>
          <w:szCs w:val="24"/>
          <w:lang w:val="en-US" w:eastAsia="zh-CN"/>
        </w:rPr>
        <w:t>洗井废水、压裂返排液及修井废水）</w:t>
      </w:r>
      <w:r>
        <w:rPr>
          <w:rFonts w:hint="default" w:ascii="Times New Roman" w:hAnsi="Times New Roman" w:eastAsia="宋体" w:cs="Times New Roman"/>
          <w:snapToGrid w:val="0"/>
          <w:color w:val="auto"/>
          <w:kern w:val="0"/>
          <w:sz w:val="24"/>
          <w:szCs w:val="24"/>
          <w:lang w:eastAsia="en-US"/>
        </w:rPr>
        <w:t>及油品若不慎滴落在地，含油废水和落地油会对周围土壤产生污染。落地油量越大污染面积越大，对土壤的污染越严重。泄漏物进入土壤环境中，会影响土壤中微生物生存，破坏土壤结构，增加土壤中石油类污染物。</w:t>
      </w:r>
    </w:p>
    <w:p>
      <w:pPr>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kern w:val="0"/>
          <w:sz w:val="24"/>
          <w:szCs w:val="24"/>
          <w:lang w:eastAsia="en-US"/>
        </w:rPr>
        <w:t>根据类比调查结果：非渗透性的基岩及粘重土壤上污染（扩展）面积较大，而疏松土质上影响扩展范围较小；</w:t>
      </w:r>
      <w:r>
        <w:rPr>
          <w:rFonts w:hint="default" w:ascii="Times New Roman" w:hAnsi="Times New Roman" w:eastAsia="宋体" w:cs="Times New Roman"/>
          <w:snapToGrid w:val="0"/>
          <w:color w:val="auto"/>
          <w:kern w:val="0"/>
          <w:sz w:val="24"/>
          <w:szCs w:val="24"/>
          <w:lang w:eastAsia="zh-CN"/>
        </w:rPr>
        <w:t>项目所在区域土壤为</w:t>
      </w:r>
      <w:r>
        <w:rPr>
          <w:rFonts w:hint="default" w:ascii="Times New Roman" w:hAnsi="Times New Roman" w:eastAsia="宋体" w:cs="Times New Roman"/>
          <w:snapToGrid w:val="0"/>
          <w:color w:val="auto"/>
          <w:spacing w:val="4"/>
          <w:kern w:val="0"/>
          <w:sz w:val="24"/>
          <w:szCs w:val="24"/>
          <w:lang w:val="en-US" w:eastAsia="zh-CN"/>
        </w:rPr>
        <w:t>荒漠风沙土</w:t>
      </w:r>
      <w:r>
        <w:rPr>
          <w:rFonts w:hint="default" w:ascii="Times New Roman" w:hAnsi="Times New Roman" w:eastAsia="宋体" w:cs="Times New Roman"/>
          <w:snapToGrid w:val="0"/>
          <w:color w:val="auto"/>
          <w:kern w:val="0"/>
          <w:sz w:val="24"/>
          <w:szCs w:val="24"/>
          <w:lang w:eastAsia="en-US"/>
        </w:rPr>
        <w:t>，原油覆于地表会使土壤透气性下降，降低土壤肥力，影响植被的生长和恢复。在泄漏事故发生的初期，原油在土壤中下渗至一定深度，随泄漏历时的延长，下渗深度增加不大（落地原油一般在土壤内部20cm左右范围内积聚）。</w:t>
      </w:r>
    </w:p>
    <w:p>
      <w:pPr>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kern w:val="0"/>
          <w:sz w:val="28"/>
          <w:szCs w:val="21"/>
          <w:lang w:val="en-US" w:eastAsia="zh-CN"/>
        </w:rPr>
      </w:pPr>
      <w:r>
        <w:rPr>
          <w:rFonts w:hint="default" w:ascii="Times New Roman" w:hAnsi="Times New Roman" w:eastAsia="宋体" w:cs="Times New Roman"/>
          <w:snapToGrid w:val="0"/>
          <w:color w:val="auto"/>
          <w:kern w:val="0"/>
          <w:sz w:val="24"/>
          <w:szCs w:val="24"/>
          <w:lang w:eastAsia="en-US"/>
        </w:rPr>
        <w:t>建设单位井下带罐作业，作业区域铺设防渗膜防止井下作业废水</w:t>
      </w:r>
      <w:r>
        <w:rPr>
          <w:rFonts w:hint="default" w:ascii="Times New Roman" w:hAnsi="Times New Roman" w:eastAsia="宋体" w:cs="Times New Roman"/>
          <w:snapToGrid w:val="0"/>
          <w:color w:val="auto"/>
          <w:kern w:val="0"/>
          <w:sz w:val="24"/>
          <w:szCs w:val="24"/>
          <w:lang w:eastAsia="zh-CN"/>
        </w:rPr>
        <w:t>（</w:t>
      </w:r>
      <w:r>
        <w:rPr>
          <w:rFonts w:hint="default" w:ascii="Times New Roman" w:hAnsi="Times New Roman" w:eastAsia="宋体" w:cs="Times New Roman"/>
          <w:snapToGrid w:val="0"/>
          <w:color w:val="auto"/>
          <w:kern w:val="0"/>
          <w:sz w:val="24"/>
          <w:szCs w:val="24"/>
          <w:lang w:val="en-US" w:eastAsia="zh-CN"/>
        </w:rPr>
        <w:t>洗井废水、压裂返排液及修井废水）</w:t>
      </w:r>
      <w:r>
        <w:rPr>
          <w:rFonts w:hint="default" w:ascii="Times New Roman" w:hAnsi="Times New Roman" w:eastAsia="宋体" w:cs="Times New Roman"/>
          <w:snapToGrid w:val="0"/>
          <w:color w:val="auto"/>
          <w:kern w:val="0"/>
          <w:sz w:val="24"/>
          <w:szCs w:val="24"/>
          <w:lang w:eastAsia="en-US"/>
        </w:rPr>
        <w:t>和原油落地，若不慎落地应及时收集落地油及受污染土壤，交由有危废处置资质的单位处理。</w:t>
      </w:r>
    </w:p>
    <w:p>
      <w:pPr>
        <w:keepNext w:val="0"/>
        <w:keepLines w:val="0"/>
        <w:widowControl/>
        <w:suppressLineNumbers w:val="0"/>
        <w:jc w:val="left"/>
        <w:rPr>
          <w:rFonts w:hint="default" w:ascii="Times New Roman" w:hAnsi="Times New Roman" w:cs="Times New Roman"/>
          <w:b/>
          <w:bCs/>
          <w:color w:val="auto"/>
          <w:sz w:val="30"/>
          <w:szCs w:val="30"/>
          <w:lang w:val="en-US" w:eastAsia="zh-CN"/>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5</w:t>
      </w:r>
      <w:r>
        <w:rPr>
          <w:rFonts w:hint="default" w:ascii="Times New Roman" w:hAnsi="Times New Roman" w:cs="Times New Roman"/>
          <w:b/>
          <w:bCs/>
          <w:color w:val="auto"/>
          <w:sz w:val="30"/>
          <w:szCs w:val="30"/>
        </w:rPr>
        <w:t>.</w:t>
      </w:r>
      <w:r>
        <w:rPr>
          <w:rFonts w:hint="eastAsia"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lang w:val="en-US" w:eastAsia="zh-CN"/>
        </w:rPr>
        <w:t>钻井泥浆泄漏</w:t>
      </w:r>
    </w:p>
    <w:p>
      <w:pPr>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kern w:val="0"/>
          <w:sz w:val="24"/>
          <w:szCs w:val="24"/>
          <w:lang w:eastAsia="en-US"/>
        </w:rPr>
        <w:t>本项目</w:t>
      </w:r>
      <w:r>
        <w:rPr>
          <w:rFonts w:hint="default" w:ascii="Times New Roman" w:hAnsi="Times New Roman" w:eastAsia="宋体" w:cs="Times New Roman"/>
          <w:snapToGrid w:val="0"/>
          <w:color w:val="auto"/>
          <w:kern w:val="0"/>
          <w:sz w:val="24"/>
          <w:szCs w:val="24"/>
          <w:lang w:eastAsia="zh-CN"/>
        </w:rPr>
        <w:t>钻井采用非磺化类钻井泥浆，泥浆在罐内循环使用，待钻井结束后，储罐内剩余钻井泥浆直接由钻井液公司回收，用于后续钻井液配置，不进入外环境，故一般情况下不会对环境造成污染。若在钻井期间，出现泥浆储罐破裂，导致泥浆进入土壤，从而会污染土壤环境。由于现在钻井采用泥浆不落地技术，为地上储罐，无埋地储罐，故一般不会出现长期泄漏，从而污染到地下水的情况。</w:t>
      </w:r>
    </w:p>
    <w:p>
      <w:pPr>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kern w:val="0"/>
          <w:sz w:val="24"/>
          <w:szCs w:val="24"/>
          <w:lang w:eastAsia="zh-CN"/>
        </w:rPr>
        <w:t>本项目</w:t>
      </w:r>
      <w:r>
        <w:rPr>
          <w:rFonts w:hint="default" w:ascii="Times New Roman" w:hAnsi="Times New Roman" w:eastAsia="宋体" w:cs="Times New Roman"/>
          <w:snapToGrid w:val="0"/>
          <w:color w:val="auto"/>
          <w:kern w:val="0"/>
          <w:sz w:val="24"/>
          <w:szCs w:val="24"/>
          <w:lang w:eastAsia="en-US"/>
        </w:rPr>
        <w:t>钻井液</w:t>
      </w:r>
      <w:r>
        <w:rPr>
          <w:rFonts w:hint="default" w:ascii="Times New Roman" w:hAnsi="Times New Roman" w:eastAsia="宋体" w:cs="Times New Roman"/>
          <w:snapToGrid w:val="0"/>
          <w:color w:val="auto"/>
          <w:kern w:val="0"/>
          <w:sz w:val="24"/>
          <w:szCs w:val="24"/>
          <w:lang w:eastAsia="zh-CN"/>
        </w:rPr>
        <w:t>采用</w:t>
      </w:r>
      <w:r>
        <w:rPr>
          <w:rFonts w:hint="default" w:ascii="Times New Roman" w:hAnsi="Times New Roman" w:eastAsia="宋体" w:cs="Times New Roman"/>
          <w:snapToGrid w:val="0"/>
          <w:color w:val="auto"/>
          <w:kern w:val="0"/>
          <w:sz w:val="24"/>
          <w:szCs w:val="24"/>
          <w:lang w:eastAsia="en-US"/>
        </w:rPr>
        <w:t>“非磺”钻井液体系</w:t>
      </w:r>
      <w:r>
        <w:rPr>
          <w:rFonts w:hint="default" w:ascii="Times New Roman" w:hAnsi="Times New Roman" w:eastAsia="宋体" w:cs="Times New Roman"/>
          <w:snapToGrid w:val="0"/>
          <w:color w:val="auto"/>
          <w:kern w:val="0"/>
          <w:sz w:val="24"/>
          <w:szCs w:val="24"/>
          <w:lang w:eastAsia="zh-CN"/>
        </w:rPr>
        <w:t>，主要配方</w:t>
      </w:r>
      <w:r>
        <w:rPr>
          <w:rFonts w:hint="default" w:ascii="Times New Roman" w:hAnsi="Times New Roman" w:eastAsia="宋体" w:cs="Times New Roman"/>
          <w:snapToGrid w:val="0"/>
          <w:color w:val="auto"/>
          <w:kern w:val="0"/>
          <w:sz w:val="24"/>
          <w:szCs w:val="24"/>
          <w:lang w:eastAsia="en-US"/>
        </w:rPr>
        <w:t>：</w:t>
      </w:r>
      <w:r>
        <w:rPr>
          <w:rFonts w:hint="default" w:ascii="Times New Roman" w:hAnsi="Times New Roman" w:eastAsia="宋体" w:cs="Times New Roman"/>
          <w:snapToGrid w:val="0"/>
          <w:color w:val="auto"/>
          <w:kern w:val="0"/>
          <w:sz w:val="24"/>
          <w:szCs w:val="24"/>
          <w:lang w:eastAsia="zh-CN"/>
        </w:rPr>
        <w:t>一开“</w:t>
      </w:r>
      <w:r>
        <w:rPr>
          <w:rFonts w:hint="default" w:ascii="Times New Roman" w:hAnsi="Times New Roman" w:eastAsia="宋体" w:cs="Times New Roman"/>
          <w:color w:val="auto"/>
          <w:spacing w:val="-4"/>
          <w:sz w:val="24"/>
        </w:rPr>
        <w:t>6%</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8%坂土+0.2%</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0.4%Na</w:t>
      </w:r>
      <w:r>
        <w:rPr>
          <w:rFonts w:hint="default" w:ascii="Times New Roman" w:hAnsi="Times New Roman" w:eastAsia="宋体" w:cs="Times New Roman"/>
          <w:color w:val="auto"/>
          <w:spacing w:val="-4"/>
          <w:sz w:val="24"/>
          <w:vertAlign w:val="subscript"/>
        </w:rPr>
        <w:t>2</w:t>
      </w:r>
      <w:r>
        <w:rPr>
          <w:rFonts w:hint="default" w:ascii="Times New Roman" w:hAnsi="Times New Roman" w:eastAsia="宋体" w:cs="Times New Roman"/>
          <w:color w:val="auto"/>
          <w:spacing w:val="-4"/>
          <w:sz w:val="24"/>
        </w:rPr>
        <w:t>CO</w:t>
      </w:r>
      <w:r>
        <w:rPr>
          <w:rFonts w:hint="default" w:ascii="Times New Roman" w:hAnsi="Times New Roman" w:eastAsia="宋体" w:cs="Times New Roman"/>
          <w:color w:val="auto"/>
          <w:spacing w:val="-4"/>
          <w:sz w:val="24"/>
          <w:vertAlign w:val="subscript"/>
        </w:rPr>
        <w:t>3</w:t>
      </w:r>
      <w:r>
        <w:rPr>
          <w:rFonts w:hint="default" w:ascii="Times New Roman" w:hAnsi="Times New Roman" w:eastAsia="宋体" w:cs="Times New Roman"/>
          <w:color w:val="auto"/>
          <w:spacing w:val="-4"/>
          <w:sz w:val="24"/>
        </w:rPr>
        <w:t>+0.2%</w:t>
      </w:r>
      <w:r>
        <w:rPr>
          <w:rFonts w:hint="default" w:ascii="Times New Roman" w:hAnsi="Times New Roman" w:eastAsia="宋体" w:cs="Times New Roman"/>
          <w:color w:val="auto"/>
          <w:spacing w:val="-4"/>
          <w:sz w:val="24"/>
          <w:lang w:eastAsia="zh-CN"/>
        </w:rPr>
        <w:t>～</w:t>
      </w:r>
      <w:r>
        <w:rPr>
          <w:rFonts w:hint="default" w:ascii="Times New Roman" w:hAnsi="Times New Roman" w:eastAsia="宋体" w:cs="Times New Roman"/>
          <w:color w:val="auto"/>
          <w:spacing w:val="-4"/>
          <w:sz w:val="24"/>
        </w:rPr>
        <w:t>0.4%CMC（中）</w:t>
      </w:r>
      <w:r>
        <w:rPr>
          <w:rFonts w:hint="default" w:ascii="Times New Roman" w:hAnsi="Times New Roman" w:eastAsia="宋体" w:cs="Times New Roman"/>
          <w:snapToGrid w:val="0"/>
          <w:color w:val="auto"/>
          <w:kern w:val="0"/>
          <w:sz w:val="24"/>
          <w:szCs w:val="24"/>
          <w:lang w:eastAsia="zh-CN"/>
        </w:rPr>
        <w:t>”和二开“</w:t>
      </w:r>
      <w:r>
        <w:rPr>
          <w:rFonts w:hint="default" w:ascii="Times New Roman" w:hAnsi="Times New Roman" w:eastAsia="宋体" w:cs="Times New Roman"/>
          <w:bCs/>
          <w:color w:val="auto"/>
          <w:w w:val="105"/>
          <w:sz w:val="24"/>
        </w:rPr>
        <w:t>4%坂土+0.2%Na</w:t>
      </w:r>
      <w:r>
        <w:rPr>
          <w:rFonts w:hint="default" w:ascii="Times New Roman" w:hAnsi="Times New Roman" w:eastAsia="宋体" w:cs="Times New Roman"/>
          <w:bCs/>
          <w:color w:val="auto"/>
          <w:w w:val="105"/>
          <w:sz w:val="24"/>
          <w:vertAlign w:val="subscript"/>
        </w:rPr>
        <w:t>2</w:t>
      </w:r>
      <w:r>
        <w:rPr>
          <w:rFonts w:hint="default" w:ascii="Times New Roman" w:hAnsi="Times New Roman" w:eastAsia="宋体" w:cs="Times New Roman"/>
          <w:bCs/>
          <w:color w:val="auto"/>
          <w:w w:val="105"/>
          <w:sz w:val="24"/>
        </w:rPr>
        <w:t>CO</w:t>
      </w:r>
      <w:r>
        <w:rPr>
          <w:rFonts w:hint="default" w:ascii="Times New Roman" w:hAnsi="Times New Roman" w:eastAsia="宋体" w:cs="Times New Roman"/>
          <w:bCs/>
          <w:color w:val="auto"/>
          <w:w w:val="105"/>
          <w:sz w:val="24"/>
          <w:vertAlign w:val="subscript"/>
        </w:rPr>
        <w:t>3</w:t>
      </w:r>
      <w:r>
        <w:rPr>
          <w:rFonts w:hint="default" w:ascii="Times New Roman" w:hAnsi="Times New Roman" w:eastAsia="宋体" w:cs="Times New Roman"/>
          <w:bCs/>
          <w:color w:val="auto"/>
          <w:w w:val="105"/>
          <w:sz w:val="24"/>
        </w:rPr>
        <w:t>+0.5%NaOH+0.5%</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0.7%SP-8+0.5%</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0.7%PMHA-2+1%</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2%HY-2+0.5%复配铵盐+2%</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3%阳离子乳化沥青+3%</w:t>
      </w:r>
      <w:r>
        <w:rPr>
          <w:rFonts w:hint="default" w:ascii="Times New Roman" w:hAnsi="Times New Roman" w:eastAsia="宋体" w:cs="Times New Roman"/>
          <w:bCs/>
          <w:color w:val="auto"/>
          <w:w w:val="105"/>
          <w:sz w:val="24"/>
          <w:lang w:eastAsia="zh-CN"/>
        </w:rPr>
        <w:t>～</w:t>
      </w:r>
      <w:r>
        <w:rPr>
          <w:rFonts w:hint="default" w:ascii="Times New Roman" w:hAnsi="Times New Roman" w:eastAsia="宋体" w:cs="Times New Roman"/>
          <w:bCs/>
          <w:color w:val="auto"/>
          <w:w w:val="105"/>
          <w:sz w:val="24"/>
        </w:rPr>
        <w:t>4%YB-1+1%YB-3+2%超细碳酸钙+1%WC-1+1%液体润滑剂+重晶石</w:t>
      </w:r>
      <w:r>
        <w:rPr>
          <w:rFonts w:hint="default" w:ascii="Times New Roman" w:hAnsi="Times New Roman" w:eastAsia="宋体" w:cs="Times New Roman"/>
          <w:snapToGrid w:val="0"/>
          <w:color w:val="auto"/>
          <w:kern w:val="0"/>
          <w:sz w:val="24"/>
          <w:szCs w:val="24"/>
          <w:lang w:eastAsia="zh-CN"/>
        </w:rPr>
        <w:t>”，不</w:t>
      </w:r>
      <w:r>
        <w:rPr>
          <w:rFonts w:hint="default" w:ascii="Times New Roman" w:hAnsi="Times New Roman" w:eastAsia="宋体" w:cs="Times New Roman"/>
          <w:snapToGrid w:val="0"/>
          <w:color w:val="auto"/>
          <w:kern w:val="0"/>
          <w:sz w:val="24"/>
          <w:szCs w:val="24"/>
          <w:lang w:eastAsia="en-US"/>
        </w:rPr>
        <w:t>使用有毒有害钻井液及化学处理剂，</w:t>
      </w:r>
      <w:r>
        <w:rPr>
          <w:rFonts w:hint="default" w:ascii="Times New Roman" w:hAnsi="Times New Roman" w:eastAsia="宋体" w:cs="Times New Roman"/>
          <w:snapToGrid w:val="0"/>
          <w:color w:val="auto"/>
          <w:kern w:val="0"/>
          <w:sz w:val="24"/>
          <w:szCs w:val="24"/>
          <w:lang w:eastAsia="zh-CN"/>
        </w:rPr>
        <w:t>事故情况下</w:t>
      </w:r>
      <w:r>
        <w:rPr>
          <w:rFonts w:hint="default" w:ascii="Times New Roman" w:hAnsi="Times New Roman" w:eastAsia="宋体" w:cs="Times New Roman"/>
          <w:snapToGrid w:val="0"/>
          <w:color w:val="auto"/>
          <w:kern w:val="0"/>
          <w:sz w:val="24"/>
          <w:szCs w:val="24"/>
          <w:lang w:eastAsia="en-US"/>
        </w:rPr>
        <w:t>对</w:t>
      </w:r>
      <w:r>
        <w:rPr>
          <w:rFonts w:hint="default" w:ascii="Times New Roman" w:hAnsi="Times New Roman" w:eastAsia="宋体" w:cs="Times New Roman"/>
          <w:snapToGrid w:val="0"/>
          <w:color w:val="auto"/>
          <w:kern w:val="0"/>
          <w:sz w:val="24"/>
          <w:szCs w:val="24"/>
          <w:lang w:eastAsia="zh-CN"/>
        </w:rPr>
        <w:t>土壤污染在可控制范围内。</w:t>
      </w:r>
    </w:p>
    <w:p>
      <w:pPr>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eastAsia="en-US"/>
        </w:rPr>
      </w:pPr>
      <w:r>
        <w:rPr>
          <w:rFonts w:hint="default" w:ascii="Times New Roman" w:hAnsi="Times New Roman" w:eastAsia="宋体" w:cs="Times New Roman"/>
          <w:snapToGrid w:val="0"/>
          <w:color w:val="auto"/>
          <w:kern w:val="0"/>
          <w:sz w:val="24"/>
          <w:szCs w:val="24"/>
          <w:lang w:eastAsia="zh-CN"/>
        </w:rPr>
        <w:t>发生</w:t>
      </w:r>
      <w:r>
        <w:rPr>
          <w:rFonts w:hint="default" w:ascii="Times New Roman" w:hAnsi="Times New Roman" w:eastAsia="宋体" w:cs="Times New Roman"/>
          <w:snapToGrid w:val="0"/>
          <w:color w:val="auto"/>
          <w:kern w:val="0"/>
          <w:sz w:val="24"/>
          <w:szCs w:val="24"/>
          <w:lang w:eastAsia="en-US"/>
        </w:rPr>
        <w:t>泄漏事故初期，</w:t>
      </w:r>
      <w:r>
        <w:rPr>
          <w:rFonts w:hint="default" w:ascii="Times New Roman" w:hAnsi="Times New Roman" w:eastAsia="宋体" w:cs="Times New Roman"/>
          <w:snapToGrid w:val="0"/>
          <w:color w:val="auto"/>
          <w:kern w:val="0"/>
          <w:sz w:val="24"/>
          <w:szCs w:val="24"/>
          <w:lang w:eastAsia="zh-CN"/>
        </w:rPr>
        <w:t>及时更换破损储罐，收集泄漏钻井液和被污染的土壤，收集后装入罐内，委托岩屑处置公司统一处置。</w:t>
      </w:r>
    </w:p>
    <w:p>
      <w:pPr>
        <w:keepNext w:val="0"/>
        <w:keepLines w:val="0"/>
        <w:widowControl/>
        <w:suppressLineNumbers w:val="0"/>
        <w:jc w:val="left"/>
        <w:rPr>
          <w:rFonts w:hint="default" w:ascii="Times New Roman" w:hAnsi="Times New Roman" w:eastAsia="宋体" w:cs="Times New Roman"/>
          <w:b/>
          <w:bCs/>
          <w:snapToGrid w:val="0"/>
          <w:color w:val="auto"/>
          <w:kern w:val="2"/>
          <w:sz w:val="30"/>
          <w:szCs w:val="30"/>
          <w:lang w:val="en-US" w:eastAsia="zh-CN" w:bidi="ar-SA"/>
        </w:rPr>
      </w:pPr>
      <w:r>
        <w:rPr>
          <w:rFonts w:hint="default" w:ascii="Times New Roman" w:hAnsi="Times New Roman" w:eastAsia="宋体" w:cs="Times New Roman"/>
          <w:b/>
          <w:bCs/>
          <w:snapToGrid w:val="0"/>
          <w:color w:val="auto"/>
          <w:kern w:val="2"/>
          <w:sz w:val="30"/>
          <w:szCs w:val="30"/>
          <w:lang w:val="en-US" w:eastAsia="zh-CN" w:bidi="ar-SA"/>
        </w:rPr>
        <w:t>7.5.</w:t>
      </w:r>
      <w:r>
        <w:rPr>
          <w:rFonts w:hint="eastAsia" w:ascii="Times New Roman" w:hAnsi="Times New Roman" w:eastAsia="宋体" w:cs="Times New Roman"/>
          <w:b/>
          <w:bCs/>
          <w:snapToGrid w:val="0"/>
          <w:color w:val="auto"/>
          <w:kern w:val="2"/>
          <w:sz w:val="30"/>
          <w:szCs w:val="30"/>
          <w:lang w:val="en-US" w:eastAsia="zh-CN" w:bidi="ar-SA"/>
        </w:rPr>
        <w:t>8</w:t>
      </w:r>
      <w:r>
        <w:rPr>
          <w:rFonts w:hint="default" w:ascii="Times New Roman" w:hAnsi="Times New Roman" w:eastAsia="宋体" w:cs="Times New Roman"/>
          <w:b/>
          <w:bCs/>
          <w:snapToGrid w:val="0"/>
          <w:color w:val="auto"/>
          <w:kern w:val="2"/>
          <w:sz w:val="30"/>
          <w:szCs w:val="30"/>
          <w:lang w:val="en-US" w:eastAsia="zh-CN" w:bidi="ar-SA"/>
        </w:rPr>
        <w:t xml:space="preserve">硫化氢泄漏环境影响分析 </w:t>
      </w:r>
    </w:p>
    <w:p>
      <w:pPr>
        <w:pStyle w:val="90"/>
        <w:spacing w:line="360" w:lineRule="auto"/>
        <w:ind w:firstLine="480" w:firstLineChars="200"/>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b w:val="0"/>
          <w:bCs w:val="0"/>
          <w:color w:val="auto"/>
          <w:szCs w:val="24"/>
        </w:rPr>
        <w:t>根据钻井资料和采油资料，项目区</w:t>
      </w:r>
      <w:r>
        <w:rPr>
          <w:rFonts w:hint="eastAsia" w:cs="Times New Roman"/>
          <w:b w:val="0"/>
          <w:bCs w:val="0"/>
          <w:color w:val="auto"/>
          <w:szCs w:val="24"/>
          <w:lang w:val="en-US" w:eastAsia="zh-CN"/>
        </w:rPr>
        <w:t>不</w:t>
      </w:r>
      <w:r>
        <w:rPr>
          <w:rFonts w:hint="default" w:ascii="Times New Roman" w:hAnsi="Times New Roman" w:cs="Times New Roman"/>
          <w:b w:val="0"/>
          <w:bCs w:val="0"/>
          <w:color w:val="auto"/>
          <w:szCs w:val="24"/>
        </w:rPr>
        <w:t>存在硫化氢</w:t>
      </w:r>
      <w:r>
        <w:rPr>
          <w:rFonts w:hint="eastAsia" w:cs="Times New Roman"/>
          <w:b w:val="0"/>
          <w:bCs w:val="0"/>
          <w:color w:val="auto"/>
          <w:szCs w:val="24"/>
          <w:lang w:eastAsia="zh-CN"/>
        </w:rPr>
        <w:t>。</w:t>
      </w:r>
      <w:r>
        <w:rPr>
          <w:rFonts w:hint="default" w:ascii="Times New Roman" w:hAnsi="Times New Roman" w:cs="Times New Roman"/>
          <w:b w:val="0"/>
          <w:bCs w:val="0"/>
          <w:color w:val="auto"/>
          <w:szCs w:val="24"/>
        </w:rPr>
        <w:t>硫化氢易燃，与空气混合能形成爆炸性混合物，遇明火、高热能引起燃烧爆炸。如发生硫化氢泄漏事故，将对井场人员及周围环境造成严重影响。</w:t>
      </w:r>
    </w:p>
    <w:p>
      <w:pPr>
        <w:pStyle w:val="112"/>
        <w:numPr>
          <w:ilvl w:val="0"/>
          <w:numId w:val="0"/>
        </w:numPr>
        <w:tabs>
          <w:tab w:val="left" w:pos="709"/>
        </w:tabs>
        <w:spacing w:before="156" w:beforeLines="50" w:after="156" w:afterLines="50" w:line="360" w:lineRule="auto"/>
        <w:ind w:leftChars="0"/>
        <w:rPr>
          <w:rFonts w:hint="default" w:ascii="Times New Roman" w:hAnsi="Times New Roman" w:eastAsia="宋体" w:cs="Times New Roman"/>
          <w:b/>
          <w:bCs/>
          <w:snapToGrid w:val="0"/>
          <w:color w:val="auto"/>
          <w:kern w:val="2"/>
          <w:sz w:val="30"/>
          <w:szCs w:val="30"/>
          <w:lang w:val="en-US" w:eastAsia="zh-CN" w:bidi="ar-SA"/>
        </w:rPr>
      </w:pPr>
      <w:r>
        <w:rPr>
          <w:rFonts w:hint="default" w:ascii="Times New Roman" w:hAnsi="Times New Roman" w:eastAsia="宋体" w:cs="Times New Roman"/>
          <w:b/>
          <w:bCs/>
          <w:snapToGrid w:val="0"/>
          <w:color w:val="auto"/>
          <w:kern w:val="2"/>
          <w:sz w:val="30"/>
          <w:szCs w:val="30"/>
          <w:lang w:val="en-US" w:eastAsia="zh-CN" w:bidi="ar-SA"/>
        </w:rPr>
        <w:t>7.5.</w:t>
      </w:r>
      <w:r>
        <w:rPr>
          <w:rFonts w:hint="eastAsia" w:ascii="Times New Roman" w:hAnsi="Times New Roman" w:eastAsia="宋体" w:cs="Times New Roman"/>
          <w:b/>
          <w:bCs/>
          <w:snapToGrid w:val="0"/>
          <w:color w:val="auto"/>
          <w:kern w:val="2"/>
          <w:sz w:val="30"/>
          <w:szCs w:val="30"/>
          <w:lang w:val="en-US" w:eastAsia="zh-CN" w:bidi="ar-SA"/>
        </w:rPr>
        <w:t>9</w:t>
      </w:r>
      <w:r>
        <w:rPr>
          <w:rFonts w:hint="default" w:ascii="Times New Roman" w:hAnsi="Times New Roman" w:eastAsia="宋体" w:cs="Times New Roman"/>
          <w:b/>
          <w:bCs/>
          <w:snapToGrid w:val="0"/>
          <w:color w:val="auto"/>
          <w:kern w:val="2"/>
          <w:sz w:val="30"/>
          <w:szCs w:val="30"/>
          <w:lang w:val="en-US" w:eastAsia="zh-CN" w:bidi="ar-SA"/>
        </w:rPr>
        <w:t>运输风险的环境影响分析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rPr>
        <w:t>本项目运营期井下作业废水由罐车拉运至</w:t>
      </w:r>
      <w:r>
        <w:rPr>
          <w:rFonts w:hint="default" w:ascii="Times New Roman" w:hAnsi="Times New Roman" w:cs="Times New Roman"/>
          <w:color w:val="auto"/>
          <w:sz w:val="24"/>
          <w:szCs w:val="24"/>
          <w:lang w:val="en-US" w:eastAsia="zh-CN"/>
        </w:rPr>
        <w:t>陆梁集中处理站</w:t>
      </w:r>
      <w:r>
        <w:rPr>
          <w:rFonts w:hint="default" w:ascii="Times New Roman" w:hAnsi="Times New Roman" w:cs="Times New Roman"/>
          <w:color w:val="auto"/>
          <w:sz w:val="24"/>
          <w:szCs w:val="24"/>
        </w:rPr>
        <w:t>，运输过程中因车辆本身的设计、制造、操作、管理等各环节有存在缺陷的可能性，可能发生泄漏事故的风险。事故发生时罐车内液体溢出，对周围环境造成直接污染，泄漏的油气如遇到明火还可能发生火灾、爆炸事故。</w:t>
      </w:r>
    </w:p>
    <w:p>
      <w:pPr>
        <w:tabs>
          <w:tab w:val="left" w:pos="3465"/>
        </w:tabs>
        <w:spacing w:line="360" w:lineRule="auto"/>
        <w:outlineLvl w:val="1"/>
        <w:rPr>
          <w:rFonts w:hint="default" w:ascii="Times New Roman" w:hAnsi="Times New Roman" w:eastAsia="宋体" w:cs="Times New Roman"/>
          <w:b/>
          <w:color w:val="auto"/>
          <w:sz w:val="32"/>
          <w:szCs w:val="32"/>
        </w:rPr>
      </w:pPr>
      <w:bookmarkStart w:id="561" w:name="_Toc21382"/>
      <w:bookmarkStart w:id="562" w:name="_Toc4688"/>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w:t>
      </w:r>
      <w:r>
        <w:rPr>
          <w:rFonts w:hint="default" w:ascii="Times New Roman" w:hAnsi="Times New Roman" w:eastAsia="宋体" w:cs="Times New Roman"/>
          <w:b/>
          <w:color w:val="auto"/>
          <w:sz w:val="32"/>
          <w:szCs w:val="32"/>
          <w:lang w:val="en-US" w:eastAsia="zh-CN"/>
        </w:rPr>
        <w:t>6</w:t>
      </w:r>
      <w:r>
        <w:rPr>
          <w:rFonts w:hint="default" w:ascii="Times New Roman" w:hAnsi="Times New Roman" w:eastAsia="宋体" w:cs="Times New Roman"/>
          <w:b/>
          <w:color w:val="auto"/>
          <w:sz w:val="32"/>
          <w:szCs w:val="32"/>
        </w:rPr>
        <w:t>环境风险防范措施</w:t>
      </w:r>
      <w:bookmarkEnd w:id="557"/>
      <w:bookmarkEnd w:id="558"/>
      <w:bookmarkEnd w:id="559"/>
      <w:bookmarkEnd w:id="561"/>
      <w:bookmarkEnd w:id="562"/>
    </w:p>
    <w:p>
      <w:pPr>
        <w:pStyle w:val="90"/>
        <w:spacing w:line="360" w:lineRule="auto"/>
        <w:outlineLvl w:val="2"/>
        <w:rPr>
          <w:rFonts w:hint="default" w:ascii="Times New Roman" w:hAnsi="Times New Roman" w:cs="Times New Roman"/>
          <w:b/>
          <w:bCs/>
          <w:color w:val="auto"/>
          <w:sz w:val="30"/>
          <w:szCs w:val="30"/>
        </w:rPr>
      </w:pPr>
      <w:bookmarkStart w:id="563" w:name="_Hlk93320726"/>
      <w:bookmarkStart w:id="564" w:name="_Hlk28444213"/>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.1钻井风险防范措施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建设单位以及施工钻井队结合行业作业规范，设置有专职安全环保管理人员，把安全、环境管理纳入生产管理的各个环节，为防止事故的发生能起到非常积极的作用。现场作业严格按照《健康、安全与环境管理体系第1部分：规范》（Q/SY1002.1-2013）；《健康、安全与环境管理体系第2部分：实施指南》（Q/SY1002.2-2014）；《健康、安全与环境管理体系第3部分：审核指南》（Q/SY1002.3-2015）；《石油天然气钻井作业健康、安全与环境管理导则》（Q/SY 08053-2017）的要求执行。建设单位依托项目管理部门负责指导本项目的环境保护和安全工作，建立事故应急领导小组，设置抢险组、消防组、救护组、警戒组和环境保护组，负责整个工程的环境风险管理，建立与地方政府的环境风险应急联动机制。本项目按照一级井控要求落实好环境风险防范、应急措施以及管理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（2）在井场右侧设置1条放喷管线，要加强对放喷系统的维护、保养、检查，一旦发现问题，及时整改，放喷过程中若发现管线泄漏，应立即关闭井口，停止放喷作业。</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在钻井泥浆循环时，如果泥浆液面快速上升，应立即停泵，在阻流管线打开的情况下立即关井，然后慢慢关闭阻流器。如发现泥浆罐液面在慢速上升，且在一次起下钻之后发生溢流时，应采用旋转头和橡胶阻流器继续钻进，防止井喷发生。</w:t>
      </w:r>
    </w:p>
    <w:p>
      <w:pPr>
        <w:pStyle w:val="5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lang w:val="en-US" w:eastAsia="zh-CN"/>
        </w:rPr>
        <w:t>本项目采用水基钻井液，泥浆池属于一般防渗</w:t>
      </w:r>
      <w:r>
        <w:rPr>
          <w:rFonts w:hint="default" w:ascii="Times New Roman" w:hAnsi="Times New Roman" w:eastAsia="宋体" w:cs="Times New Roman"/>
          <w:color w:val="auto"/>
          <w:sz w:val="24"/>
          <w:szCs w:val="24"/>
          <w:lang w:val="en-US" w:eastAsia="zh-CN"/>
        </w:rPr>
        <w:t>区，防渗技术要求为等效</w:t>
      </w:r>
      <w:r>
        <w:rPr>
          <w:rFonts w:hint="eastAsia" w:cs="Times New Roman"/>
          <w:color w:val="auto"/>
          <w:sz w:val="24"/>
          <w:szCs w:val="24"/>
          <w:lang w:val="en-US" w:eastAsia="zh-CN"/>
        </w:rPr>
        <w:t>粘土</w:t>
      </w:r>
      <w:r>
        <w:rPr>
          <w:rFonts w:hint="default" w:ascii="Times New Roman" w:hAnsi="Times New Roman" w:eastAsia="宋体" w:cs="Times New Roman"/>
          <w:color w:val="auto"/>
          <w:sz w:val="24"/>
          <w:szCs w:val="24"/>
          <w:lang w:val="en-US" w:eastAsia="zh-CN"/>
        </w:rPr>
        <w:t>防渗层Mb≥1.5m，渗透系数K≤1×10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w:t>
      </w:r>
    </w:p>
    <w:p>
      <w:pPr>
        <w:pStyle w:val="5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井喷事件发生时，通过放喷管线将井喷液体排放至应急放喷池内，待事故结束后，对应急放喷池内物体进行清理，污染的土壤由有相应处理资质单位转运、处理。</w:t>
      </w:r>
      <w:r>
        <w:rPr>
          <w:rFonts w:hint="default" w:ascii="Times New Roman" w:hAnsi="Times New Roman" w:cs="Times New Roman"/>
          <w:color w:val="auto"/>
          <w:sz w:val="24"/>
          <w:szCs w:val="24"/>
          <w:lang w:val="en-US" w:eastAsia="zh-CN"/>
        </w:rPr>
        <w:t>防喷池为重点防渗区，</w:t>
      </w:r>
      <w:r>
        <w:rPr>
          <w:rFonts w:hint="default" w:ascii="Times New Roman" w:hAnsi="Times New Roman" w:eastAsia="宋体" w:cs="Times New Roman"/>
          <w:color w:val="auto"/>
          <w:sz w:val="24"/>
          <w:szCs w:val="24"/>
          <w:lang w:val="en-US" w:eastAsia="zh-CN"/>
        </w:rPr>
        <w:t>防渗技术要求为等效黏土防渗层Mb≥6.0m，渗透系数K≤1×10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）井控操作实行持证上岗，各岗位的钻井人员有明确的分工，并且应经过井控专业培训。在油气层中钻进，每班进行一次防喷操作演习。</w:t>
      </w:r>
    </w:p>
    <w:bookmarkEnd w:id="563"/>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.2井下作业风险防范措施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（1）设计、生产中采取有效预防措施，严格遵守钻井、井下作业的安全规定，在井口安装防喷器和控制装置，降低井喷发生的可能性。</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（2）固井作业时要求选用优质水泥浆固井，保证固井质量合格。固井质量检查以声幅和变密度测井曲线为主，声幅、变密度测井选择最佳时间测井，测深要达到要求。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（3）钻井、井下作业时要求带罐操作，最大限度避免落地原油产生，原油落地</w:t>
      </w:r>
      <w:r>
        <w:rPr>
          <w:rFonts w:hint="default" w:ascii="Times New Roman" w:hAnsi="Times New Roman" w:cs="Times New Roman"/>
          <w:color w:val="auto"/>
          <w:sz w:val="24"/>
          <w:szCs w:val="24"/>
          <w:lang w:eastAsia="zh-CN"/>
        </w:rPr>
        <w:t>污染</w:t>
      </w:r>
      <w:r>
        <w:rPr>
          <w:rFonts w:hint="default" w:ascii="Times New Roman" w:hAnsi="Times New Roman" w:cs="Times New Roman"/>
          <w:color w:val="auto"/>
          <w:sz w:val="24"/>
          <w:szCs w:val="24"/>
        </w:rPr>
        <w:t>的土壤交由具备相应危废处理资质的单位进行回收、处置。</w:t>
      </w:r>
    </w:p>
    <w:bookmarkEnd w:id="564"/>
    <w:p>
      <w:pPr>
        <w:spacing w:line="360" w:lineRule="auto"/>
        <w:outlineLvl w:val="2"/>
        <w:rPr>
          <w:rFonts w:hint="default" w:ascii="Times New Roman" w:hAnsi="Times New Roman" w:eastAsia="宋体" w:cs="Times New Roman"/>
          <w:b/>
          <w:bCs w:val="0"/>
          <w:snapToGrid w:val="0"/>
          <w:color w:val="auto"/>
          <w:kern w:val="0"/>
          <w:sz w:val="30"/>
          <w:szCs w:val="30"/>
        </w:rPr>
      </w:pPr>
      <w:r>
        <w:rPr>
          <w:rFonts w:hint="default" w:ascii="Times New Roman" w:hAnsi="Times New Roman" w:eastAsia="宋体" w:cs="Times New Roman"/>
          <w:b/>
          <w:bCs w:val="0"/>
          <w:snapToGrid w:val="0"/>
          <w:color w:val="auto"/>
          <w:kern w:val="0"/>
          <w:sz w:val="30"/>
          <w:szCs w:val="30"/>
          <w:lang w:val="en-US" w:eastAsia="zh-CN"/>
        </w:rPr>
        <w:t>7</w:t>
      </w:r>
      <w:r>
        <w:rPr>
          <w:rFonts w:hint="default" w:ascii="Times New Roman" w:hAnsi="Times New Roman" w:eastAsia="宋体" w:cs="Times New Roman"/>
          <w:b/>
          <w:bCs w:val="0"/>
          <w:snapToGrid w:val="0"/>
          <w:color w:val="auto"/>
          <w:kern w:val="0"/>
          <w:sz w:val="30"/>
          <w:szCs w:val="30"/>
        </w:rPr>
        <w:t>.</w:t>
      </w:r>
      <w:r>
        <w:rPr>
          <w:rFonts w:hint="default" w:ascii="Times New Roman" w:hAnsi="Times New Roman" w:eastAsia="宋体" w:cs="Times New Roman"/>
          <w:b/>
          <w:bCs w:val="0"/>
          <w:snapToGrid w:val="0"/>
          <w:color w:val="auto"/>
          <w:kern w:val="0"/>
          <w:sz w:val="30"/>
          <w:szCs w:val="30"/>
          <w:lang w:val="en-US" w:eastAsia="zh-CN"/>
        </w:rPr>
        <w:t>6</w:t>
      </w:r>
      <w:r>
        <w:rPr>
          <w:rFonts w:hint="default" w:ascii="Times New Roman" w:hAnsi="Times New Roman" w:eastAsia="宋体" w:cs="Times New Roman"/>
          <w:b/>
          <w:bCs w:val="0"/>
          <w:snapToGrid w:val="0"/>
          <w:color w:val="auto"/>
          <w:kern w:val="0"/>
          <w:sz w:val="30"/>
          <w:szCs w:val="30"/>
        </w:rPr>
        <w:t>.3 H</w:t>
      </w:r>
      <w:r>
        <w:rPr>
          <w:rFonts w:hint="default" w:ascii="Times New Roman" w:hAnsi="Times New Roman" w:eastAsia="宋体" w:cs="Times New Roman"/>
          <w:b/>
          <w:bCs w:val="0"/>
          <w:snapToGrid w:val="0"/>
          <w:color w:val="auto"/>
          <w:kern w:val="0"/>
          <w:sz w:val="30"/>
          <w:szCs w:val="30"/>
          <w:vertAlign w:val="subscript"/>
        </w:rPr>
        <w:t>2</w:t>
      </w:r>
      <w:r>
        <w:rPr>
          <w:rFonts w:hint="default" w:ascii="Times New Roman" w:hAnsi="Times New Roman" w:eastAsia="宋体" w:cs="Times New Roman"/>
          <w:b/>
          <w:bCs w:val="0"/>
          <w:snapToGrid w:val="0"/>
          <w:color w:val="auto"/>
          <w:kern w:val="0"/>
          <w:sz w:val="30"/>
          <w:szCs w:val="30"/>
        </w:rPr>
        <w:t>S的防范措施</w:t>
      </w:r>
    </w:p>
    <w:p>
      <w:pPr>
        <w:wordWrap w:val="0"/>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依据该区域原油物性，钻井期不含硫化氢，但采油过程中</w:t>
      </w:r>
      <w:r>
        <w:rPr>
          <w:rFonts w:hint="eastAsia" w:ascii="Times New Roman" w:hAnsi="Times New Roman" w:eastAsia="宋体" w:cs="Times New Roman"/>
          <w:color w:val="auto"/>
          <w:sz w:val="24"/>
          <w:lang w:val="en-US" w:eastAsia="zh-CN"/>
        </w:rPr>
        <w:t>可能会有</w:t>
      </w:r>
      <w:r>
        <w:rPr>
          <w:rFonts w:hint="default" w:ascii="Times New Roman" w:hAnsi="Times New Roman" w:eastAsia="宋体" w:cs="Times New Roman"/>
          <w:color w:val="auto"/>
          <w:sz w:val="24"/>
        </w:rPr>
        <w:t>硫化氢产生，项目应做好硫化氢监测和防范工作。施工井队应</w:t>
      </w:r>
      <w:r>
        <w:rPr>
          <w:rFonts w:hint="eastAsia" w:ascii="Times New Roman" w:hAnsi="Times New Roman" w:eastAsia="宋体" w:cs="Times New Roman"/>
          <w:color w:val="auto"/>
          <w:sz w:val="24"/>
          <w:lang w:eastAsia="zh-CN"/>
        </w:rPr>
        <w:t>配备</w:t>
      </w:r>
      <w:r>
        <w:rPr>
          <w:rFonts w:hint="default" w:ascii="Times New Roman" w:hAnsi="Times New Roman" w:eastAsia="宋体" w:cs="Times New Roman"/>
          <w:color w:val="auto"/>
          <w:sz w:val="24"/>
        </w:rPr>
        <w:t>至少3套的便携式硫化氢监测仪，做好硫化氢检测工作，制定防硫化氢应急预案。在井场大门口、钻台、振动筛、坐岗房、防喷器液控房等五处设立风向标（风袋、风飘带、风旗或其他适用的装置），并在不同方向上划定两个紧急集合点，一旦发生紧急情况，作业人员可向上风方向疏散。作业期间，应至少有一人携带便携式硫化氢检测仪，定时进行巡回检测。当监测到硫化氢浓度大于15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时，应实时监视硫化氢浓度示值；当监测到硫化氢浓度达到安全临界浓度30mg/m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或怀疑存在硫化氢氮浓度不清的区域之前，应使用正压式呼吸器呼吸，直到该区域安全或人员返回安全区域。按照《含硫化氢井测井安全防护规范》（Q/SY08311-2022）标准规定执行，按照</w:t>
      </w:r>
      <w:r>
        <w:rPr>
          <w:rFonts w:hint="default" w:ascii="Times New Roman" w:hAnsi="Times New Roman" w:eastAsia="宋体" w:cs="Times New Roman"/>
          <w:color w:val="auto"/>
          <w:sz w:val="24"/>
          <w:lang w:val="zh-TW" w:eastAsia="zh-TW"/>
        </w:rPr>
        <w:t>《硫化氢环境人身防护规范》（SY/T 6277-2017）</w:t>
      </w:r>
      <w:r>
        <w:rPr>
          <w:rFonts w:hint="default" w:ascii="Times New Roman" w:hAnsi="Times New Roman" w:eastAsia="宋体" w:cs="Times New Roman"/>
          <w:color w:val="auto"/>
          <w:sz w:val="24"/>
          <w:lang w:val="zh-TW"/>
        </w:rPr>
        <w:t>、</w:t>
      </w:r>
      <w:r>
        <w:rPr>
          <w:rFonts w:hint="default" w:ascii="Times New Roman" w:hAnsi="Times New Roman" w:eastAsia="宋体" w:cs="Times New Roman"/>
          <w:color w:val="auto"/>
          <w:sz w:val="24"/>
          <w:lang w:val="zh-TW" w:eastAsia="zh-TW"/>
        </w:rPr>
        <w:t>《硫化氢环境天然气采集与处理安全规范》（SY/T 6137-2017）要求进行</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lang w:val="zh-TW" w:eastAsia="zh-TW"/>
        </w:rPr>
        <w:t>监测与安全防护</w:t>
      </w:r>
      <w:r>
        <w:rPr>
          <w:rFonts w:hint="default" w:ascii="Times New Roman" w:hAnsi="Times New Roman" w:eastAsia="宋体" w:cs="Times New Roman"/>
          <w:color w:val="auto"/>
          <w:sz w:val="24"/>
        </w:rPr>
        <w:t>。</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.4井场事故风险防范措施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bookmarkStart w:id="565" w:name="_Hlk42267790"/>
      <w:r>
        <w:rPr>
          <w:rFonts w:hint="default" w:ascii="Times New Roman" w:hAnsi="Times New Roman" w:cs="Times New Roman"/>
          <w:color w:val="auto"/>
          <w:sz w:val="24"/>
          <w:szCs w:val="24"/>
        </w:rPr>
        <w:t>井场设置明显的禁止烟火标志；井场钻井设备及电器设备、照明灯具</w:t>
      </w:r>
      <w:bookmarkStart w:id="566" w:name="_Hlk103960410"/>
      <w:r>
        <w:rPr>
          <w:rFonts w:hint="default" w:ascii="Times New Roman" w:hAnsi="Times New Roman" w:cs="Times New Roman"/>
          <w:color w:val="auto"/>
          <w:sz w:val="24"/>
          <w:szCs w:val="24"/>
        </w:rPr>
        <w:t>符合防火防爆的安全要求</w:t>
      </w:r>
      <w:bookmarkEnd w:id="565"/>
      <w:bookmarkEnd w:id="566"/>
      <w:r>
        <w:rPr>
          <w:rFonts w:hint="default" w:ascii="Times New Roman" w:hAnsi="Times New Roman" w:cs="Times New Roman"/>
          <w:color w:val="auto"/>
          <w:sz w:val="24"/>
          <w:szCs w:val="24"/>
        </w:rPr>
        <w:t>；井场内所有设备、管线均应做好防雷、防静电接地；井场安装探照灯，以备井喷时钻台照明。</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（2）在井架上、井场路口等处设置风向标，以便发生事故时人员能迅速向上风向疏散。</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bookmarkStart w:id="567" w:name="_Hlk103960427"/>
      <w:r>
        <w:rPr>
          <w:rFonts w:hint="default" w:ascii="Times New Roman" w:hAnsi="Times New Roman" w:cs="Times New Roman"/>
          <w:color w:val="auto"/>
          <w:sz w:val="24"/>
          <w:szCs w:val="24"/>
        </w:rPr>
        <w:t>按消防规定配备泡沫灭火器、干粉灭火器、消防铁锹和其他消防器材，并定期进行检查，保持完好可用</w:t>
      </w:r>
      <w:bookmarkEnd w:id="567"/>
      <w:r>
        <w:rPr>
          <w:rFonts w:hint="default" w:ascii="Times New Roman" w:hAnsi="Times New Roman" w:cs="Times New Roman"/>
          <w:color w:val="auto"/>
          <w:sz w:val="24"/>
          <w:szCs w:val="24"/>
        </w:rPr>
        <w:t>。</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bookmarkStart w:id="568" w:name="_Hlk103960258"/>
      <w:r>
        <w:rPr>
          <w:rFonts w:hint="default" w:ascii="Times New Roman" w:hAnsi="Times New Roman" w:cs="Times New Roman"/>
          <w:color w:val="auto"/>
          <w:sz w:val="24"/>
          <w:szCs w:val="24"/>
        </w:rPr>
        <w:t>储罐设置在井场主导风向下风向，并与井口距离不得小于50m。</w:t>
      </w:r>
      <w:bookmarkEnd w:id="568"/>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（5）在可能发生原油泄漏或油气积聚的场所应按照规范设置可燃气体浓度检测报警装置，以便及时发现事故隐患。</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（6）在柴油储罐区铺设防渗膜并设置20cm的围堰，当发生储罐泄漏的情况时，及时处理，对泄漏的柴油收集后判断能否利用，对不能利用的柴油委托有资质单位进行处理。</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.5井喷预防措施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防止井喷的主要措施是安装防喷器和井控装置，同时采用随时调整泥浆密度，修井采用清水循环压井等技术，以最大限度地</w:t>
      </w:r>
      <w:r>
        <w:rPr>
          <w:rFonts w:hint="eastAsia" w:cs="Times New Roman"/>
          <w:color w:val="auto"/>
          <w:sz w:val="24"/>
          <w:szCs w:val="24"/>
          <w:lang w:eastAsia="zh-CN"/>
        </w:rPr>
        <w:t>防止</w:t>
      </w:r>
      <w:r>
        <w:rPr>
          <w:rFonts w:hint="default" w:ascii="Times New Roman" w:hAnsi="Times New Roman" w:cs="Times New Roman"/>
          <w:color w:val="auto"/>
          <w:sz w:val="24"/>
          <w:szCs w:val="24"/>
        </w:rPr>
        <w:t>井喷事故的发生。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在钻井泥浆循环时，如果泥浆液面快速上升，应立即停泵，在阻流管线打开的情况下立即关井，然后慢慢关闭阻流器。如发现泥浆罐液面在慢速上升，且在一次起下钻之后发生溢流时，应采用旋转头和橡胶阻流器继续钻进，防止井喷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（2）井下作业之前，在井场周围划分高压区和低压区，高压泵、高压汇管、井口装置等高压设备均布置于高压区内，施工过程中，高压区无关人员全部撤离，并设置安全警戒岗。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起下钻时，当发现井内液体流出，而钻杆在井内时，应立即接上回压阀或管内防喷器并关井。若发现流体流出而钻铤正位于防喷器处时，立即接上回压阀或管内防喷器，用多效万能防喷器关井；在突然发生井内液体大量流出的情况下，应将井内钻具下过钻铤，在钻杆处关闭全密封闸板。如果不下过钻铤，则可用万能防喷器关井。当钻头从井眼中起出后发现井内液体流出时，要立即关闭全封闭闸板。</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作业班应按钻进、起下钻杆、起下钻铤和空井发生溢流四种工况，按“逢五逢十”防喷演习制度进行防喷演习。作业班每月不少于一次不同工况的防喷演习。二开前应进行四种工况的防喷演习。换班人员应在第一次下钻作业中进行四种工况的防喷演习，演习不合格不得进行下步作业。</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（5）每一次井下作业施工前，必须对高压汇管进行试压，试压压力大于施工压力，施工后必须探伤，更换不符合要求的汇管。</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.6废压裂液、洗井液泄漏事故风险防范措施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采用质量合格的压裂液罐和废液收集罐。加强日常管理，对压裂液罐和废液收集罐采取监控设施，做好罐体防腐防漏工作，严防压裂液罐和废液收集罐泄漏。</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.7油气集输事故风险防范措施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（1）施工阶段的事故防范措施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①集输管线敷设前，应加强对管材质量的检查，严禁使用不合格产品。在施工过程中加强监理，确保施工质量。</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②在集输管线的敷设线路上设置永久性标志，包括里程桩、转角桩、交叉标志和警示牌等。</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③建立施工质量保证体系，提高施工检验人员水平，加强检验手段。</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④选择有丰富经验的单位进行施工，并对其施工质量进行监理。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（2）运行阶段的事故防范措施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①严格控制油品质量，定期清管。</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②加强自动控制系统的管理和控制，严格控制压力平衡。</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③定期对管线进行</w:t>
      </w:r>
      <w:r>
        <w:rPr>
          <w:rFonts w:hint="eastAsia" w:cs="Times New Roman"/>
          <w:color w:val="auto"/>
          <w:sz w:val="24"/>
          <w:szCs w:val="24"/>
          <w:lang w:eastAsia="zh-CN"/>
        </w:rPr>
        <w:t>超声检查</w:t>
      </w:r>
      <w:r>
        <w:rPr>
          <w:rFonts w:hint="default" w:ascii="Times New Roman" w:hAnsi="Times New Roman" w:cs="Times New Roman"/>
          <w:color w:val="auto"/>
          <w:sz w:val="24"/>
          <w:szCs w:val="24"/>
        </w:rPr>
        <w:t>，对壁厚低于规定要求的管段及时更换，消除爆管的隐患。</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④定期检查管道安全保护系统，在发生泄漏事故时能够及时处理。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⑤加大巡线频率，提高巡线有效性，发现对管道安全有影响的行为，及时制止、采取相应措施并向上级报告。</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⑥按规定进行设备维修、保养，及时更换易损及老化部件，防止油气泄漏事故的发生。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⑦完善各站场的环境保护工程，及时清除、处理各种污染物，保持安全设施的完好，避免火灾的发生。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8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⑧</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管线刺漏防范措施。输气管线采用复合高压输送管，并进行防腐。定期对管线进行壁厚检测，制作壁厚趋势图，计算管线腐蚀速率进而全面掌握管线腐蚀情况。如出现管线刺漏情况，及时关井、关闭管线截断阀进行抢修。</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（3）管理措施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①在管道系统投产运行前，应制定出供正常、异常或紧急状态下的操作手册和维修手册，并对操作、维修人员进行培训，持证上岗。</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②制定应急操作规程，在规程中说明发生管道事故时应采取的操作步骤。</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③规定抢修进度，限制事故的影响，说明与人员有关的安全问题。</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④定期对管线进行巡视，加强管线和</w:t>
      </w:r>
      <w:r>
        <w:rPr>
          <w:rFonts w:hint="eastAsia" w:cs="Times New Roman"/>
          <w:color w:val="auto"/>
          <w:sz w:val="24"/>
          <w:szCs w:val="24"/>
          <w:lang w:eastAsia="zh-CN"/>
        </w:rPr>
        <w:t>警示标志</w:t>
      </w:r>
      <w:r>
        <w:rPr>
          <w:rFonts w:hint="default" w:ascii="Times New Roman" w:hAnsi="Times New Roman" w:cs="Times New Roman"/>
          <w:color w:val="auto"/>
          <w:sz w:val="24"/>
          <w:szCs w:val="24"/>
        </w:rPr>
        <w:t>的管理工作。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⑤增强职工安全意识，识别事故发生前异常状态，并采取相应措施。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⑥配备适当的管道抢修、灭火及人员抢救设备。</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⑦对重要的仪器设备有完善的检查项目和维护方法；按计划进行定期维护；有专门档案（包括维护记录档案），文件齐全。</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.8原油泄漏事故防范措施</w:t>
      </w:r>
    </w:p>
    <w:p>
      <w:pPr>
        <w:pStyle w:val="56"/>
        <w:spacing w:line="360" w:lineRule="auto"/>
        <w:rPr>
          <w:rFonts w:hint="default" w:ascii="Times New Roman" w:hAnsi="Times New Roman" w:cs="Times New Roman"/>
          <w:color w:val="auto"/>
          <w:sz w:val="24"/>
          <w:szCs w:val="24"/>
        </w:rPr>
      </w:pPr>
      <w:bookmarkStart w:id="569" w:name="_Hlk41382993"/>
      <w:r>
        <w:rPr>
          <w:rFonts w:hint="default" w:ascii="Times New Roman" w:hAnsi="Times New Roman" w:cs="Times New Roman"/>
          <w:color w:val="auto"/>
          <w:sz w:val="24"/>
          <w:szCs w:val="24"/>
        </w:rPr>
        <w:t>（1）所有区段的管道设计均要符合《输油管道工程设计规范》（GB50253-2014）的要求。</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（2）加强《石油天然气管道保护条例》的宣传力度，普及原油管道输送知识，发现问题及时报告。</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（3）建设涉及的管道均采用保温无缝钢管，使用防腐降阻剂进行防腐。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（4）按规定进行设备维修、保养，及时更换易损老化部件，防止原油泄漏事故发生。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（5）完善站场的环境保护工程，及时清除、处理各种污染物，保持安全设施的完好，避免火灾的发生。</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（6）确保各装置的安全距离，构筑物区域内设置接地装置，定期检测设备接地电阻及防雷设施。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（7）按规定配置齐全各类消防设施，并定期进行检查，保持完好可用。</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（8）操作中必须使用防爆工具，严禁用铁器敲打管线、阀门、设备。</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（9）制定事故应急预案，配备适当的抢修、灭火及人员抢救设备。</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（10）管道发生断裂、漏油事故时，按顺序停泵或关井。</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.9废水、废液运输事故风险防范措施</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（1）危险废物须按照《危险废物收集 贮存运输技术规范》（HJ2025-2012）相关要求，由专业人员进行押运。</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（2）建设单位与危废资质单位共同研究危险废物运输的有关事宜，运输过程全控制，确保危险废物的运输安全可靠，减少或避免运输过程中的二次污染和可能造成的环境风险。</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（3）对于污水、废液等的转运均要制定管理计划，如实记录有关信息，健全资料台账，转移车辆安装GPS全程定位，并保存相关影像资料。</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（4）出车前须对罐车的罐体、压力表、阀门等安全技术状况进行检查，发现故障排除后方可投入运行。</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（5）加强各类储罐的日常管理及安全检查，要严格按章操作，废水、废液及生活污水装车、卸车时，加强管理，避免跑冒滴漏现象，防止发生泄漏等安全事故。</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（6）运输时提高拉运人员技术素质、加强责任心，严禁废水随意倾倒，贯彻安全驾驶机动车辆的行为规定，严格遵守交通法规，防止发生运输车辆事故。</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（7）行车途中应勤检查，若有泄漏，应查找泄漏点，采取相应的应急措施，防止液体继续泄漏，受到污染的土壤要全部回收，委托具有相应危险废物处置资质单位进行处置。</w:t>
      </w:r>
    </w:p>
    <w:p>
      <w:pPr>
        <w:pStyle w:val="115"/>
        <w:widowControl/>
        <w:kinsoku/>
        <w:overflowPunct w:val="0"/>
        <w:autoSpaceDE w:val="0"/>
        <w:autoSpaceDN w:val="0"/>
        <w:adjustRightInd/>
        <w:snapToGrid/>
        <w:ind w:firstLine="480"/>
        <w:textAlignment w:val="baseline"/>
        <w:rPr>
          <w:rFonts w:hint="eastAsia" w:ascii="Times New Roman" w:hAnsi="Times New Roman" w:eastAsia="宋体" w:cs="Times New Roman"/>
          <w:b/>
          <w:bCs/>
          <w:snapToGrid w:val="0"/>
          <w:color w:val="auto"/>
          <w:kern w:val="0"/>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8</w:t>
      </w:r>
      <w:r>
        <w:rPr>
          <w:rFonts w:hint="eastAsia" w:cs="Times New Roman"/>
          <w:color w:val="auto"/>
          <w:sz w:val="24"/>
          <w:szCs w:val="24"/>
          <w:lang w:eastAsia="zh-CN"/>
        </w:rPr>
        <w:t>）</w:t>
      </w:r>
      <w:r>
        <w:rPr>
          <w:rFonts w:hint="eastAsia" w:ascii="Times New Roman" w:hAnsi="Times New Roman" w:eastAsia="宋体" w:cs="Times New Roman"/>
          <w:b/>
          <w:bCs/>
          <w:snapToGrid w:val="0"/>
          <w:color w:val="auto"/>
          <w:kern w:val="0"/>
          <w:lang w:val="en-US" w:eastAsia="zh-CN"/>
        </w:rPr>
        <w:t>钻井柴油运输防范措施</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fldChar w:fldCharType="begin"/>
      </w:r>
      <w:r>
        <w:rPr>
          <w:rFonts w:hint="default" w:ascii="Times New Roman" w:hAnsi="Times New Roman" w:eastAsia="宋体" w:cs="Times New Roman"/>
          <w:snapToGrid w:val="0"/>
          <w:color w:val="auto"/>
          <w:kern w:val="0"/>
          <w:sz w:val="24"/>
          <w:szCs w:val="20"/>
          <w:lang w:val="en-US" w:eastAsia="zh-CN" w:bidi="ar-SA"/>
        </w:rPr>
        <w:instrText xml:space="preserve"> = 1 \* GB3 \* MERGEFORMAT </w:instrText>
      </w:r>
      <w:r>
        <w:rPr>
          <w:rFonts w:hint="default" w:ascii="Times New Roman" w:hAnsi="Times New Roman" w:eastAsia="宋体" w:cs="Times New Roman"/>
          <w:snapToGrid w:val="0"/>
          <w:color w:val="auto"/>
          <w:kern w:val="0"/>
          <w:sz w:val="24"/>
          <w:szCs w:val="20"/>
          <w:lang w:val="en-US" w:eastAsia="zh-CN" w:bidi="ar-SA"/>
        </w:rPr>
        <w:fldChar w:fldCharType="separate"/>
      </w:r>
      <w:r>
        <w:rPr>
          <w:rFonts w:ascii="Times New Roman" w:hAnsi="Times New Roman" w:eastAsia="仿宋" w:cs="宋体"/>
          <w:snapToGrid w:val="0"/>
          <w:color w:val="auto"/>
          <w:kern w:val="0"/>
          <w:sz w:val="24"/>
          <w:szCs w:val="20"/>
          <w:lang w:val="en-US" w:eastAsia="en-US" w:bidi="ar-SA"/>
        </w:rPr>
        <w:t>①</w:t>
      </w:r>
      <w:r>
        <w:rPr>
          <w:rFonts w:hint="default" w:ascii="Times New Roman" w:hAnsi="Times New Roman" w:eastAsia="宋体" w:cs="Times New Roman"/>
          <w:snapToGrid w:val="0"/>
          <w:color w:val="auto"/>
          <w:kern w:val="0"/>
          <w:sz w:val="24"/>
          <w:szCs w:val="20"/>
          <w:lang w:val="en-US" w:eastAsia="zh-CN" w:bidi="ar-SA"/>
        </w:rPr>
        <w:fldChar w:fldCharType="end"/>
      </w:r>
      <w:r>
        <w:rPr>
          <w:rFonts w:hint="default" w:ascii="Times New Roman" w:hAnsi="Times New Roman" w:eastAsia="宋体" w:cs="Times New Roman"/>
          <w:snapToGrid w:val="0"/>
          <w:color w:val="auto"/>
          <w:kern w:val="0"/>
          <w:sz w:val="24"/>
          <w:szCs w:val="20"/>
          <w:lang w:val="en-US" w:eastAsia="zh-CN" w:bidi="ar-SA"/>
        </w:rPr>
        <w:t>责任单位</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eastAsia" w:ascii="Times New Roman" w:hAnsi="Times New Roman" w:eastAsia="宋体" w:cs="Times New Roman"/>
          <w:snapToGrid w:val="0"/>
          <w:color w:val="auto"/>
          <w:kern w:val="0"/>
          <w:sz w:val="24"/>
          <w:szCs w:val="20"/>
          <w:lang w:val="en-US" w:eastAsia="zh-CN" w:bidi="ar-SA"/>
        </w:rPr>
        <w:t>本项目仅钻井期需要使用柴油进行发电，柴油运输、暂存和使用责任单位均为钻井公司，监管由开发公司项目部负责监管，主要责任如下：</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运输：负责柴油的安全运输，包括车辆维护、驾驶员培训等。</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储存：</w:t>
      </w:r>
      <w:r>
        <w:rPr>
          <w:rFonts w:hint="eastAsia" w:ascii="Times New Roman" w:hAnsi="Times New Roman" w:eastAsia="宋体" w:cs="Times New Roman"/>
          <w:snapToGrid w:val="0"/>
          <w:color w:val="auto"/>
          <w:kern w:val="0"/>
          <w:sz w:val="24"/>
          <w:szCs w:val="20"/>
          <w:lang w:val="en-US" w:eastAsia="zh-CN" w:bidi="ar-SA"/>
        </w:rPr>
        <w:t>井场采取柴油储罐防渗措施，</w:t>
      </w:r>
      <w:r>
        <w:rPr>
          <w:rFonts w:hint="default" w:ascii="Times New Roman" w:hAnsi="Times New Roman" w:eastAsia="宋体" w:cs="Times New Roman"/>
          <w:snapToGrid w:val="0"/>
          <w:color w:val="auto"/>
          <w:kern w:val="0"/>
          <w:sz w:val="24"/>
          <w:szCs w:val="20"/>
          <w:lang w:val="en-US" w:eastAsia="zh-CN" w:bidi="ar-SA"/>
        </w:rPr>
        <w:t>负责柴油的安全储存，防止泄漏和污染。</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监管：负责监督柴油运输、储存和使用，确保符合法律法规。</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fldChar w:fldCharType="begin"/>
      </w:r>
      <w:r>
        <w:rPr>
          <w:rFonts w:hint="default" w:ascii="Times New Roman" w:hAnsi="Times New Roman" w:eastAsia="宋体" w:cs="Times New Roman"/>
          <w:snapToGrid w:val="0"/>
          <w:color w:val="auto"/>
          <w:kern w:val="0"/>
          <w:sz w:val="24"/>
          <w:szCs w:val="20"/>
          <w:lang w:val="en-US" w:eastAsia="zh-CN" w:bidi="ar-SA"/>
        </w:rPr>
        <w:instrText xml:space="preserve"> = 2 \* GB3 \* MERGEFORMAT </w:instrText>
      </w:r>
      <w:r>
        <w:rPr>
          <w:rFonts w:hint="default" w:ascii="Times New Roman" w:hAnsi="Times New Roman" w:eastAsia="宋体" w:cs="Times New Roman"/>
          <w:snapToGrid w:val="0"/>
          <w:color w:val="auto"/>
          <w:kern w:val="0"/>
          <w:sz w:val="24"/>
          <w:szCs w:val="20"/>
          <w:lang w:val="en-US" w:eastAsia="zh-CN" w:bidi="ar-SA"/>
        </w:rPr>
        <w:fldChar w:fldCharType="separate"/>
      </w:r>
      <w:r>
        <w:rPr>
          <w:rFonts w:ascii="Times New Roman" w:hAnsi="Times New Roman" w:eastAsia="仿宋" w:cs="宋体"/>
          <w:snapToGrid w:val="0"/>
          <w:color w:val="auto"/>
          <w:kern w:val="0"/>
          <w:sz w:val="24"/>
          <w:szCs w:val="20"/>
          <w:lang w:val="en-US" w:eastAsia="en-US" w:bidi="ar-SA"/>
        </w:rPr>
        <w:t>②</w:t>
      </w:r>
      <w:r>
        <w:rPr>
          <w:rFonts w:hint="default" w:ascii="Times New Roman" w:hAnsi="Times New Roman" w:eastAsia="宋体" w:cs="Times New Roman"/>
          <w:snapToGrid w:val="0"/>
          <w:color w:val="auto"/>
          <w:kern w:val="0"/>
          <w:sz w:val="24"/>
          <w:szCs w:val="20"/>
          <w:lang w:val="en-US" w:eastAsia="zh-CN" w:bidi="ar-SA"/>
        </w:rPr>
        <w:fldChar w:fldCharType="end"/>
      </w:r>
      <w:r>
        <w:rPr>
          <w:rFonts w:hint="default" w:ascii="Times New Roman" w:hAnsi="Times New Roman" w:eastAsia="宋体" w:cs="Times New Roman"/>
          <w:snapToGrid w:val="0"/>
          <w:color w:val="auto"/>
          <w:kern w:val="0"/>
          <w:sz w:val="24"/>
          <w:szCs w:val="20"/>
          <w:lang w:val="en-US" w:eastAsia="zh-CN" w:bidi="ar-SA"/>
        </w:rPr>
        <w:t>运输环境风险管控要求</w:t>
      </w:r>
    </w:p>
    <w:p>
      <w:pPr>
        <w:kinsoku/>
        <w:overflowPunct w:val="0"/>
        <w:autoSpaceDE w:val="0"/>
        <w:autoSpaceDN w:val="0"/>
        <w:adjustRightInd/>
        <w:snapToGrid/>
        <w:spacing w:line="360" w:lineRule="auto"/>
        <w:ind w:left="0" w:leftChars="0"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车辆要求：使用专用危险品运输车辆，定期检查维护。车辆配备防泄漏、防火、防爆装置。</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驾驶员要求：驾驶员需持有危险品运输从业资格证，定期接受安全培训。</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运输路线要求：选择安全路线，避开人口密集区和环境敏感区。运输过程中实时监控车辆状态。</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应急预案：制定应急预案，定期演练，确保能迅速应对泄漏、火灾等事故。</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环境保护措施：运输过程中防止柴油泄漏，配备应急处理设备。发生泄漏时立即采取措施，防止污染扩散。</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法律法规遵守：遵守《危险化学品安全管理条例》等相关法规，确保运输安全。</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fldChar w:fldCharType="begin"/>
      </w:r>
      <w:r>
        <w:rPr>
          <w:rFonts w:hint="default" w:ascii="Times New Roman" w:hAnsi="Times New Roman" w:eastAsia="宋体" w:cs="Times New Roman"/>
          <w:snapToGrid w:val="0"/>
          <w:color w:val="auto"/>
          <w:kern w:val="0"/>
          <w:sz w:val="24"/>
          <w:szCs w:val="20"/>
          <w:lang w:val="en-US" w:eastAsia="zh-CN" w:bidi="ar-SA"/>
        </w:rPr>
        <w:instrText xml:space="preserve"> = 3 \* GB3 \* MERGEFORMAT </w:instrText>
      </w:r>
      <w:r>
        <w:rPr>
          <w:rFonts w:hint="default" w:ascii="Times New Roman" w:hAnsi="Times New Roman" w:eastAsia="宋体" w:cs="Times New Roman"/>
          <w:snapToGrid w:val="0"/>
          <w:color w:val="auto"/>
          <w:kern w:val="0"/>
          <w:sz w:val="24"/>
          <w:szCs w:val="20"/>
          <w:lang w:val="en-US" w:eastAsia="zh-CN" w:bidi="ar-SA"/>
        </w:rPr>
        <w:fldChar w:fldCharType="separate"/>
      </w:r>
      <w:r>
        <w:rPr>
          <w:rFonts w:ascii="Times New Roman" w:hAnsi="Times New Roman" w:eastAsia="仿宋" w:cs="宋体"/>
          <w:snapToGrid w:val="0"/>
          <w:color w:val="auto"/>
          <w:kern w:val="0"/>
          <w:sz w:val="24"/>
          <w:szCs w:val="20"/>
          <w:lang w:val="en-US" w:eastAsia="en-US" w:bidi="ar-SA"/>
        </w:rPr>
        <w:t>③</w:t>
      </w:r>
      <w:r>
        <w:rPr>
          <w:rFonts w:hint="default" w:ascii="Times New Roman" w:hAnsi="Times New Roman" w:eastAsia="宋体" w:cs="Times New Roman"/>
          <w:snapToGrid w:val="0"/>
          <w:color w:val="auto"/>
          <w:kern w:val="0"/>
          <w:sz w:val="24"/>
          <w:szCs w:val="20"/>
          <w:lang w:val="en-US" w:eastAsia="zh-CN" w:bidi="ar-SA"/>
        </w:rPr>
        <w:fldChar w:fldCharType="end"/>
      </w:r>
      <w:r>
        <w:rPr>
          <w:rFonts w:hint="default" w:ascii="Times New Roman" w:hAnsi="Times New Roman" w:eastAsia="宋体" w:cs="Times New Roman"/>
          <w:snapToGrid w:val="0"/>
          <w:color w:val="auto"/>
          <w:kern w:val="0"/>
          <w:sz w:val="24"/>
          <w:szCs w:val="20"/>
          <w:lang w:val="en-US" w:eastAsia="zh-CN" w:bidi="ar-SA"/>
        </w:rPr>
        <w:t>监管与处罚</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监管措施：定期检查运输车辆、驾驶员资质及运输记录。使用GPS等技术实时监控运输过程。</w:t>
      </w:r>
    </w:p>
    <w:p>
      <w:pPr>
        <w:kinsoku/>
        <w:overflowPunct w:val="0"/>
        <w:autoSpaceDE w:val="0"/>
        <w:autoSpaceDN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0"/>
          <w:lang w:val="en-US" w:eastAsia="zh-CN" w:bidi="ar-SA"/>
        </w:rPr>
      </w:pPr>
      <w:r>
        <w:rPr>
          <w:rFonts w:hint="default" w:ascii="Times New Roman" w:hAnsi="Times New Roman" w:eastAsia="宋体" w:cs="Times New Roman"/>
          <w:snapToGrid w:val="0"/>
          <w:color w:val="auto"/>
          <w:kern w:val="0"/>
          <w:sz w:val="24"/>
          <w:szCs w:val="20"/>
          <w:lang w:val="en-US" w:eastAsia="zh-CN" w:bidi="ar-SA"/>
        </w:rPr>
        <w:t>处罚措施：对违规行为进行罚款、吊销执照等处罚，严重者追究刑事责任。</w:t>
      </w:r>
    </w:p>
    <w:bookmarkEnd w:id="569"/>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6</w:t>
      </w:r>
      <w:r>
        <w:rPr>
          <w:rFonts w:hint="default" w:ascii="Times New Roman" w:hAnsi="Times New Roman" w:cs="Times New Roman"/>
          <w:b/>
          <w:bCs/>
          <w:color w:val="auto"/>
          <w:sz w:val="30"/>
          <w:szCs w:val="30"/>
        </w:rPr>
        <w:t>.10重视和加强管理</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除采取上述</w:t>
      </w:r>
      <w:r>
        <w:rPr>
          <w:rFonts w:hint="eastAsia" w:cs="Times New Roman"/>
          <w:color w:val="auto"/>
          <w:sz w:val="24"/>
          <w:szCs w:val="24"/>
          <w:lang w:eastAsia="zh-CN"/>
        </w:rPr>
        <w:t>风险</w:t>
      </w:r>
      <w:r>
        <w:rPr>
          <w:rFonts w:hint="default" w:ascii="Times New Roman" w:hAnsi="Times New Roman" w:cs="Times New Roman"/>
          <w:color w:val="auto"/>
          <w:sz w:val="24"/>
          <w:szCs w:val="24"/>
        </w:rPr>
        <w:t xml:space="preserve">防范措施外，还应通过提高人员素质，加强责任心教育，完善有关操作条例等方法来防止人为因素引发的事故。 </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（1）加强各级干部、职工的风险意识和环境意识教育，增强安全、环保意识。建立健全各种规章制度、规程，使制度落到实处，严格遵守，杜绝违章作业。</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（2）对生产操作的工人必须培训经考核后上岗，使其了解工艺过程，熟悉操作规程，对各种情况能进行正确判断，并严格遵守开、停工规程。</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（3）经常对职工进行爱岗教育，使职工安心本职工作，遵守劳动纪律，避免因责任心不强、操作中疏忽大意、擅离职守等原因造成的事故。</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（4）对事故易发部位、易泄漏地点，除本岗工人及时检查外，应设安全员巡检。</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对本工程具有较大危险因素的重点部位（如：井控装置、管线、储罐等）进行必要的定期巡检。</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（5）施工、设备、材料应按规章进行认真的检查、验收。设计、工艺、管理三部门通力合作，严防不合格设备、材料蒙混过关。</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（6）提高自动化水平，保证各系统在优化和安全状态下进行操作。</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（7）对各种典型的事故要注意研究，充分吸取教训，并注意在技术措施上的改进和防范，尽可能减少人为的</w:t>
      </w:r>
      <w:r>
        <w:rPr>
          <w:rFonts w:hint="eastAsia" w:cs="Times New Roman"/>
          <w:color w:val="auto"/>
          <w:sz w:val="24"/>
          <w:szCs w:val="24"/>
          <w:lang w:eastAsia="zh-CN"/>
        </w:rPr>
        <w:t>繁琐</w:t>
      </w:r>
      <w:r>
        <w:rPr>
          <w:rFonts w:hint="default" w:ascii="Times New Roman" w:hAnsi="Times New Roman" w:cs="Times New Roman"/>
          <w:color w:val="auto"/>
          <w:sz w:val="24"/>
          <w:szCs w:val="24"/>
        </w:rPr>
        <w:t>操作过程。</w:t>
      </w:r>
      <w:bookmarkEnd w:id="560"/>
      <w:bookmarkStart w:id="570" w:name="_Toc35366098"/>
      <w:bookmarkStart w:id="571" w:name="_Toc44088093"/>
      <w:bookmarkStart w:id="572" w:name="_Toc35366489"/>
    </w:p>
    <w:p>
      <w:pPr>
        <w:tabs>
          <w:tab w:val="left" w:pos="3465"/>
        </w:tabs>
        <w:spacing w:line="360" w:lineRule="auto"/>
        <w:outlineLvl w:val="1"/>
        <w:rPr>
          <w:rFonts w:hint="default" w:ascii="Times New Roman" w:hAnsi="Times New Roman" w:eastAsia="宋体" w:cs="Times New Roman"/>
          <w:b/>
          <w:color w:val="auto"/>
          <w:sz w:val="32"/>
          <w:szCs w:val="32"/>
        </w:rPr>
      </w:pPr>
      <w:bookmarkStart w:id="573" w:name="_Toc10908"/>
      <w:bookmarkStart w:id="574" w:name="_Toc12638"/>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w:t>
      </w:r>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风险事故应急处理措施</w:t>
      </w:r>
      <w:bookmarkEnd w:id="573"/>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.1火灾、爆炸事故应急措施</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（1）火灾爆炸发生后，岗位人员报火警（119），并及时向生产调度报告，生产调度报告应急小组指挥部领导，并向毗邻单位提出安全防范要求。</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（2）值班调度电话通知应急救援组织机构组长，应急救援组织机构启动应急救援预案，迅速拉响火警报警器。</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（3）事故点当班负责人立即通知停止输油、卸油等相关操作，只有在消防人员的保护下才能进行转、倒油等工艺处理。</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（4）设置警戒区域，封锁通往现场的各个路口，禁止无关人员和车辆进入，防止因火灾或爆炸而造成不必要的损失和伤亡。</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（5）进入现场的人员必须佩戴或使用安全防护装备和穿好防火服。</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（6）根据风险评价结果，如发生火灾，附近工作人员应紧急撤离，防止火灾燃烧中CO和烟尘超标对人体的危害。</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（7）组织环保分析专业人员负责对各个重点部位土壤、环境空气进行实时监测，及时上报检测结果，方便应急小组决策。</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.2突发有毒气体扩散事件的处理</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（1）采取有效措施，尽快切断污染源。</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（2）迅速了解事发地地形地貌、气象条件、重要保护目标及其分布等情况。</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（3）布点监测，确定污染物种类、浓度，以及现场空气动力学数据（气温、气压、风向、风力等）。</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（4）做好可能受污染人群的疏散及中毒人员的救治工作。</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（5）对污染状况进行跟踪监测，预测污染扩散强度、速度和影响范围，及时调整对策。</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.3安全防护</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（1）应急人员的安全防护</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现场处置人员应根据不同类型环境事件的特点，佩戴相应的专业防护装备，采取安全防护措施。</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（2）受灾群众的安全防护</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（3）协助政府现场应急救援指挥部组织群众的安全防护工作，主要工作内容包括：告知群众应采取的安全防护措施；设立紧急避难场所；组织群众安全疏散撤离。</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.4油气泄漏应急措施</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（1）管道发生断裂、漏油事故时，按顺序停泵或关井；在断裂或泄漏点筑堤，防止泄漏的原油漫流。汇集在堤内的地表油，用罐车及时收集拉运至</w:t>
      </w:r>
      <w:r>
        <w:rPr>
          <w:rFonts w:hint="default" w:ascii="Times New Roman" w:hAnsi="Times New Roman" w:eastAsia="宋体" w:cs="Times New Roman"/>
          <w:color w:val="auto"/>
          <w:sz w:val="24"/>
          <w:lang w:val="en-US" w:eastAsia="zh-CN"/>
        </w:rPr>
        <w:t>陆梁集中处理站</w:t>
      </w:r>
      <w:r>
        <w:rPr>
          <w:rFonts w:hint="default" w:ascii="Times New Roman" w:hAnsi="Times New Roman" w:eastAsia="宋体" w:cs="Times New Roman"/>
          <w:color w:val="auto"/>
          <w:sz w:val="24"/>
        </w:rPr>
        <w:t>处理，将受污染的土壤委托有相应处置资质单位进行处理。</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发现站内管线、阀门、法兰、储罐等泄漏，应立即佩戴安全防护装备对泄漏点进行紧固或带压非焊堵漏，并立即切断油气来源。容器内部有压力时，对于容器和其连接的进出口管线、接口和第一道阀以内，不得进行修理、焊接、紧固，特殊情况需要带压紧固等必须由使用单位经现场评价后制定检修方案和应急方案，现场请示应急指挥小组并落实好安全措施后，方可作业。</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（3）泄漏事故发生时，在岗人员必须佩戴正压呼吸器及安全防护装备，划定危险区域。</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（4）若泄漏量很大，工艺操作人员迅速切断泄漏点，不能切断的要采取停车工艺处理。</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（5）事故发生后，应根据现场实际状况和风向划定警戒区域，用警戒绳圈定，警戒线内人员</w:t>
      </w:r>
      <w:r>
        <w:rPr>
          <w:rFonts w:hint="eastAsia" w:ascii="Times New Roman" w:hAnsi="Times New Roman" w:eastAsia="宋体" w:cs="Times New Roman"/>
          <w:color w:val="auto"/>
          <w:sz w:val="24"/>
          <w:lang w:eastAsia="zh-CN"/>
        </w:rPr>
        <w:t>必须</w:t>
      </w:r>
      <w:r>
        <w:rPr>
          <w:rFonts w:hint="default" w:ascii="Times New Roman" w:hAnsi="Times New Roman" w:eastAsia="宋体" w:cs="Times New Roman"/>
          <w:color w:val="auto"/>
          <w:sz w:val="24"/>
        </w:rPr>
        <w:t>佩戴安全防护用具。</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（6）严重泄漏事故岗位人员应立即向厂调度及消防队、急救中心等部门报警求救，同时通知临近事故点人员进行必要的防护和撤离。</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.5井喷事故应急措施</w:t>
      </w:r>
    </w:p>
    <w:p>
      <w:pPr>
        <w:pStyle w:val="65"/>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一旦发生井喷，绝大多数井都能通过防喷器关闭，然后采取压井措施控制井喷；最后还可用向事故井打定位斜井等方法处理井喷，并尽快采取措施回收原油。事故处理中要有专人负责，管好电源、火源，以免火灾发生。井喷时，需要对井喷的油泥等污染物进行收集，并委托有资质单位进行处理。事故状态下泄漏的落地油100%进行回收，收集的废油运至</w:t>
      </w:r>
      <w:r>
        <w:rPr>
          <w:rFonts w:hint="default" w:ascii="Times New Roman" w:hAnsi="Times New Roman" w:eastAsia="宋体" w:cs="Times New Roman"/>
          <w:color w:val="auto"/>
          <w:lang w:val="en-US" w:eastAsia="zh-CN"/>
        </w:rPr>
        <w:t>陆梁集中处理站</w:t>
      </w:r>
      <w:r>
        <w:rPr>
          <w:rFonts w:hint="default" w:ascii="Times New Roman" w:hAnsi="Times New Roman" w:eastAsia="宋体" w:cs="Times New Roman"/>
          <w:color w:val="auto"/>
        </w:rPr>
        <w:t>处理。受污染的土壤交由有相应处置资质单位转运、处置。</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.6运输风险防范措施</w:t>
      </w:r>
    </w:p>
    <w:p>
      <w:pPr>
        <w:spacing w:line="360" w:lineRule="auto"/>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运营单位应配备具有危险货物运输资质的驾驶员和押运员。出车前必须对车辆的安全技术状况进行认真检查，发现故障排除后方可投入运行。车辆在采出液装卸过程中应安装隔热和熄灭火星装置，并配装导静电橡胶拖地带装置。行车要遵守交通、消防、治安等法律法规。控制车速，保持与前车安全距离，严禁违法超车，不能疲劳驾驶。行车途中应勤检查，若有原油泄漏，应查找泄漏点，采取相应的应急措施，防止液体继续泄漏，将受到污染的土壤要全部回收，送至有相应处置资质单位处置。</w:t>
      </w:r>
    </w:p>
    <w:p>
      <w:pPr>
        <w:tabs>
          <w:tab w:val="left" w:pos="3465"/>
        </w:tabs>
        <w:spacing w:line="360" w:lineRule="auto"/>
        <w:outlineLvl w:val="1"/>
        <w:rPr>
          <w:rFonts w:hint="default" w:ascii="Times New Roman" w:hAnsi="Times New Roman" w:eastAsia="宋体" w:cs="Times New Roman"/>
          <w:b/>
          <w:color w:val="auto"/>
          <w:sz w:val="32"/>
          <w:szCs w:val="32"/>
        </w:rPr>
      </w:pPr>
      <w:bookmarkStart w:id="575" w:name="_Toc25112"/>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w:t>
      </w:r>
      <w:r>
        <w:rPr>
          <w:rFonts w:hint="default" w:ascii="Times New Roman" w:hAnsi="Times New Roman" w:eastAsia="宋体" w:cs="Times New Roman"/>
          <w:b/>
          <w:color w:val="auto"/>
          <w:sz w:val="32"/>
          <w:szCs w:val="32"/>
          <w:lang w:val="en-US" w:eastAsia="zh-CN"/>
        </w:rPr>
        <w:t>8</w:t>
      </w:r>
      <w:r>
        <w:rPr>
          <w:rFonts w:hint="default" w:ascii="Times New Roman" w:hAnsi="Times New Roman" w:eastAsia="宋体" w:cs="Times New Roman"/>
          <w:b/>
          <w:color w:val="auto"/>
          <w:sz w:val="32"/>
          <w:szCs w:val="32"/>
        </w:rPr>
        <w:t>环境风险管理</w:t>
      </w:r>
      <w:bookmarkEnd w:id="575"/>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环境管理目标是采用最低合理可行原则管控环境风险。采取的环境风险防范措施应与社会经济技术发展水平相适应，运用科学的技术手段和管理方法，对环境风险进行有效的预防、监控、响应。</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中国石油新疆油田分公司陆梁油田作业区</w:t>
      </w:r>
      <w:r>
        <w:rPr>
          <w:rFonts w:hint="default" w:ascii="Times New Roman" w:hAnsi="Times New Roman" w:eastAsia="宋体" w:cs="Times New Roman"/>
          <w:color w:val="auto"/>
          <w:sz w:val="24"/>
        </w:rPr>
        <w:t>全面推行HSE健康、安全、环境体系，制定了该厂和基层站、队的HSE方针、目标、特定工作程序和作业指导书，落实了组织机构、岗位职责及HSE安全防护设施资源配置等，逐年形成了自下而上的完整的安全管理网络和管理制度体系。环境风险管理措施情况见表</w:t>
      </w:r>
      <w:r>
        <w:rPr>
          <w:rFonts w:hint="default" w:ascii="Times New Roman" w:hAnsi="Times New Roman" w:eastAsia="宋体" w:cs="Times New Roman"/>
          <w:color w:val="auto"/>
          <w:sz w:val="24"/>
          <w:lang w:val="en-US" w:eastAsia="zh-CN"/>
        </w:rPr>
        <w:t>7.8</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pPr>
        <w:pStyle w:val="41"/>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7.8</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 xml:space="preserve">  环境风险管理情况</w:t>
      </w:r>
    </w:p>
    <w:tbl>
      <w:tblPr>
        <w:tblStyle w:val="3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3671"/>
        <w:gridCol w:w="4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blHeader/>
        </w:trPr>
        <w:tc>
          <w:tcPr>
            <w:tcW w:w="667" w:type="dxa"/>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671" w:type="dxa"/>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检查项目</w:t>
            </w:r>
          </w:p>
        </w:tc>
        <w:tc>
          <w:tcPr>
            <w:tcW w:w="4184" w:type="dxa"/>
            <w:vAlign w:val="center"/>
          </w:tcPr>
          <w:p>
            <w:pPr>
              <w:pStyle w:val="44"/>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现有状态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环境风险评估工作开展，环境风险隐患排查开展情况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已开展系统的风险评估和风险排查工作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环境风险隐患排查台账建设及管理情况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已建立环境风险隐患排查台账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周边企事业单位签订突发环境事件应急联动协议的情况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已与周边主要单位签订应急联动协议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环境应急组织机构设置和专职人员的配备情况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依托专职消防人员及机构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环境应急培训和演练情况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各单位已开展环境应急培训和演练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应急物资和装备保障工作情况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应急物资储备满足要求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污染防治设施运行情况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污水处理设施运行良好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8</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与环保部门联系情况，发生事故信息通报是否及时准确</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能够及时与环保部门联系，发生事故时信息通报及时准确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9</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企业的事故预防与应急能力建设</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拥有比较完善的突发事件应急预案和机构人员，相关制度也比较完善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环境风险教育和宣传，环境安全文化建设情况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已开展环境风险教育和宣传，环境安全文化建设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11</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消防验收意见及消防检查情况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建设项目严格按照消防要求进行消防设计审核和消防验收，消防检查合格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12</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安全生产许可</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获得安全生产许可证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667"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13</w:t>
            </w:r>
          </w:p>
        </w:tc>
        <w:tc>
          <w:tcPr>
            <w:tcW w:w="3671"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环境影响评价及批复的其他环境风险防控措施落实情况</w:t>
            </w:r>
          </w:p>
        </w:tc>
        <w:tc>
          <w:tcPr>
            <w:tcW w:w="4184" w:type="dxa"/>
            <w:vAlign w:val="center"/>
          </w:tcPr>
          <w:p>
            <w:pPr>
              <w:pStyle w:val="44"/>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建设项目按环保“三同时”要求执行，并严格落实批复中要求的各项环境风险防控措施</w:t>
            </w:r>
          </w:p>
        </w:tc>
      </w:tr>
    </w:tbl>
    <w:p>
      <w:pPr>
        <w:pStyle w:val="90"/>
        <w:spacing w:line="360" w:lineRule="auto"/>
        <w:outlineLvl w:val="2"/>
        <w:rPr>
          <w:rFonts w:hint="default" w:ascii="Times New Roman" w:hAnsi="Times New Roman" w:cs="Times New Roman"/>
          <w:b/>
          <w:bCs/>
          <w:color w:val="auto"/>
          <w:sz w:val="30"/>
          <w:szCs w:val="30"/>
        </w:rPr>
      </w:pPr>
      <w:bookmarkStart w:id="576" w:name="_Toc17994"/>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8</w:t>
      </w:r>
      <w:r>
        <w:rPr>
          <w:rFonts w:hint="default" w:ascii="Times New Roman" w:hAnsi="Times New Roman" w:cs="Times New Roman"/>
          <w:b/>
          <w:bCs/>
          <w:color w:val="auto"/>
          <w:sz w:val="30"/>
          <w:szCs w:val="30"/>
        </w:rPr>
        <w:t>.1消防设施及安全管理</w:t>
      </w:r>
      <w:bookmarkEnd w:id="576"/>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（1）消防设施</w:t>
      </w:r>
    </w:p>
    <w:p>
      <w:pPr>
        <w:pStyle w:val="8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采油井场不设消防水设施。本项目的输送</w:t>
      </w:r>
      <w:r>
        <w:rPr>
          <w:rFonts w:hint="default" w:ascii="Times New Roman" w:hAnsi="Times New Roman" w:eastAsia="宋体" w:cs="Times New Roman"/>
          <w:color w:val="auto"/>
          <w:kern w:val="0"/>
        </w:rPr>
        <w:t>系统为</w:t>
      </w:r>
      <w:r>
        <w:rPr>
          <w:rFonts w:hint="default" w:ascii="Times New Roman" w:hAnsi="Times New Roman" w:eastAsia="宋体" w:cs="Times New Roman"/>
          <w:color w:val="auto"/>
        </w:rPr>
        <w:t>管输方式</w:t>
      </w:r>
      <w:r>
        <w:rPr>
          <w:rFonts w:hint="default" w:ascii="Times New Roman" w:hAnsi="Times New Roman" w:eastAsia="宋体" w:cs="Times New Roman"/>
          <w:color w:val="auto"/>
          <w:kern w:val="0"/>
        </w:rPr>
        <w:t>，易燃易爆和可燃物料在操作条件下置于管道中，各个连接处采用密封措施。</w:t>
      </w:r>
      <w:r>
        <w:rPr>
          <w:rFonts w:hint="default" w:ascii="Times New Roman" w:hAnsi="Times New Roman" w:eastAsia="宋体" w:cs="Times New Roman"/>
          <w:color w:val="auto"/>
        </w:rPr>
        <w:t>根据《石油天然气工程设计防火规范》（GB50183-2015），采油井场属于五级站场，站场可不设置消防给水设施，初期火灾，由站场及单体配置的灭火器和消防器材扑救即可满足要求。</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（2）消防安全管理</w:t>
      </w:r>
    </w:p>
    <w:p>
      <w:pPr>
        <w:pStyle w:val="90"/>
        <w:spacing w:line="360" w:lineRule="auto"/>
        <w:ind w:firstLine="480" w:firstLineChars="200"/>
        <w:outlineLvl w:val="9"/>
        <w:rPr>
          <w:rFonts w:hint="default" w:ascii="Times New Roman" w:hAnsi="Times New Roman" w:cs="Times New Roman"/>
          <w:b w:val="0"/>
          <w:bCs w:val="0"/>
          <w:color w:val="auto"/>
          <w:kern w:val="0"/>
          <w:szCs w:val="24"/>
        </w:rPr>
      </w:pPr>
      <w:bookmarkStart w:id="577" w:name="_Toc1745"/>
      <w:r>
        <w:rPr>
          <w:rFonts w:hint="default" w:ascii="Times New Roman" w:hAnsi="Times New Roman" w:cs="Times New Roman"/>
          <w:b w:val="0"/>
          <w:bCs w:val="0"/>
          <w:color w:val="auto"/>
          <w:kern w:val="0"/>
          <w:szCs w:val="24"/>
        </w:rPr>
        <w:t>陆梁油田作业区有较健全的消防安全制度和操作规程，设兼职消防安全责任人，并有消防安全教育等记录。疏散通道、安全出口管理符合要求，已建立防火档案，每日进行防火巡查，各站定期进行消防培训，电工操作工等均持证上岗。制定有灭火疏散预案，并定期进行消防演练。</w:t>
      </w:r>
    </w:p>
    <w:p>
      <w:pPr>
        <w:pStyle w:val="90"/>
        <w:spacing w:line="360" w:lineRule="auto"/>
        <w:outlineLvl w:val="2"/>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lang w:val="en-US" w:eastAsia="zh-CN"/>
        </w:rPr>
        <w:t>7</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val="en-US" w:eastAsia="zh-CN"/>
        </w:rPr>
        <w:t>8</w:t>
      </w:r>
      <w:r>
        <w:rPr>
          <w:rFonts w:hint="default" w:ascii="Times New Roman" w:hAnsi="Times New Roman" w:cs="Times New Roman"/>
          <w:b/>
          <w:bCs/>
          <w:color w:val="auto"/>
          <w:sz w:val="30"/>
          <w:szCs w:val="30"/>
        </w:rPr>
        <w:t>.2安全生产管理</w:t>
      </w:r>
      <w:bookmarkEnd w:id="577"/>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中国石油新疆油田分公司有健全的安全管理机构和网络，主要负责人和各级安全管理及监督人员安全生产知识和管理能力基本适应安全生产管理的需要。制定有内容较为全面具体、操作性较强的安全管理制度、安全生产责任制及安全操作规程，并能较好地执行。新建、改扩建工程“三同时”管理较为规范，压力容器、特种设备、防雷防静电接地、长输管道、工艺管道、安全阀、压力表、气体报警器、职业病危害因素、个体防护用品检验检测工作到位，职工教育培训工作较有成效，各类从业人员按国家有关要求进行了适当的安全教育培训持证上岗，事故应急救援预案体系健全。综上所述，</w:t>
      </w:r>
      <w:r>
        <w:rPr>
          <w:rFonts w:hint="default" w:ascii="Times New Roman" w:hAnsi="Times New Roman" w:eastAsia="宋体" w:cs="Times New Roman"/>
          <w:color w:val="auto"/>
          <w:kern w:val="0"/>
          <w:sz w:val="24"/>
        </w:rPr>
        <w:t>中国石油新疆油田分公司</w:t>
      </w:r>
      <w:r>
        <w:rPr>
          <w:rFonts w:hint="default" w:ascii="Times New Roman" w:hAnsi="Times New Roman" w:eastAsia="宋体" w:cs="Times New Roman"/>
          <w:color w:val="auto"/>
          <w:sz w:val="24"/>
        </w:rPr>
        <w:t>安全管理现状总体良好，能够满足企业安全生产的需要。</w:t>
      </w:r>
    </w:p>
    <w:p>
      <w:pPr>
        <w:tabs>
          <w:tab w:val="left" w:pos="3465"/>
        </w:tabs>
        <w:spacing w:line="360" w:lineRule="auto"/>
        <w:outlineLvl w:val="1"/>
        <w:rPr>
          <w:rFonts w:hint="default" w:ascii="Times New Roman" w:hAnsi="Times New Roman" w:eastAsia="宋体" w:cs="Times New Roman"/>
          <w:b/>
          <w:color w:val="auto"/>
          <w:sz w:val="32"/>
          <w:szCs w:val="32"/>
        </w:rPr>
      </w:pPr>
      <w:bookmarkStart w:id="578" w:name="_Toc26077"/>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w:t>
      </w:r>
      <w:r>
        <w:rPr>
          <w:rFonts w:hint="default" w:ascii="Times New Roman" w:hAnsi="Times New Roman" w:eastAsia="宋体" w:cs="Times New Roman"/>
          <w:b/>
          <w:color w:val="auto"/>
          <w:sz w:val="32"/>
          <w:szCs w:val="32"/>
          <w:lang w:val="en-US" w:eastAsia="zh-CN"/>
        </w:rPr>
        <w:t>9</w:t>
      </w:r>
      <w:r>
        <w:rPr>
          <w:rFonts w:hint="default" w:ascii="Times New Roman" w:hAnsi="Times New Roman" w:eastAsia="宋体" w:cs="Times New Roman"/>
          <w:b/>
          <w:color w:val="auto"/>
          <w:sz w:val="32"/>
          <w:szCs w:val="32"/>
        </w:rPr>
        <w:t>突发环境事件应急预案</w:t>
      </w:r>
      <w:bookmarkEnd w:id="570"/>
      <w:bookmarkEnd w:id="571"/>
      <w:bookmarkEnd w:id="572"/>
      <w:bookmarkEnd w:id="574"/>
      <w:bookmarkEnd w:id="578"/>
    </w:p>
    <w:p>
      <w:pPr>
        <w:spacing w:line="360" w:lineRule="auto"/>
        <w:ind w:firstLine="480"/>
        <w:rPr>
          <w:rFonts w:hint="default" w:ascii="Times New Roman" w:hAnsi="Times New Roman" w:eastAsia="宋体" w:cs="Times New Roman"/>
          <w:color w:val="auto"/>
          <w:sz w:val="24"/>
          <w:highlight w:val="cyan"/>
        </w:rPr>
      </w:pPr>
      <w:bookmarkStart w:id="579" w:name="_Toc35366099"/>
      <w:bookmarkStart w:id="580" w:name="_Toc44088094"/>
      <w:bookmarkStart w:id="581" w:name="_Toc19873"/>
      <w:bookmarkStart w:id="582" w:name="_Toc35366490"/>
      <w:r>
        <w:rPr>
          <w:rFonts w:hint="default" w:ascii="Times New Roman" w:hAnsi="Times New Roman" w:eastAsia="宋体" w:cs="Times New Roman"/>
          <w:color w:val="auto"/>
          <w:sz w:val="24"/>
        </w:rPr>
        <w:t>本项目投产后归属中国石油新疆油田分公司陆梁油田作业区管辖。陆梁油田作业区已制定了完善的突发环境事件应急预案，并取得塔城地区生态环境局的备案，备案编号为654200-2022-024-M。</w:t>
      </w:r>
      <w:r>
        <w:rPr>
          <w:rFonts w:hint="default" w:ascii="Times New Roman" w:hAnsi="Times New Roman" w:eastAsia="宋体" w:cs="Times New Roman"/>
          <w:color w:val="auto"/>
          <w:sz w:val="24"/>
          <w:lang w:val="en-US" w:eastAsia="zh-CN"/>
        </w:rPr>
        <w:t>按照环境风险管理规定，应</w:t>
      </w:r>
      <w:r>
        <w:rPr>
          <w:rFonts w:hint="default" w:ascii="Times New Roman" w:hAnsi="Times New Roman" w:eastAsia="宋体" w:cs="Times New Roman"/>
          <w:color w:val="auto"/>
          <w:sz w:val="24"/>
        </w:rPr>
        <w:t>将本次建设内容突发环境事件应急预案纳入新疆油田分公司陆梁油田作业区现有突发环境事件应急预案中，对现有突发环境事件应急预案进行必要的完善和补充。本评价要求建设单位应该按照突发环境事件应急预案管理暂行办法，每三年至少修订一次应急预案并备案</w:t>
      </w:r>
      <w:r>
        <w:rPr>
          <w:rFonts w:hint="default" w:ascii="Times New Roman" w:hAnsi="Times New Roman" w:eastAsia="宋体" w:cs="Times New Roman"/>
          <w:color w:val="auto"/>
          <w:sz w:val="24"/>
          <w:lang w:eastAsia="zh-CN"/>
        </w:rPr>
        <w:t>，并将本项目实施区域、建设内容及相应环境风险纳入修编环境应急预案中。</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本工程应急预案应急处置措施如下：</w:t>
      </w:r>
    </w:p>
    <w:p>
      <w:pPr>
        <w:spacing w:line="360" w:lineRule="auto"/>
        <w:outlineLvl w:val="2"/>
        <w:rPr>
          <w:rFonts w:hint="default" w:ascii="Times New Roman" w:hAnsi="Times New Roman" w:eastAsia="宋体" w:cs="Times New Roman"/>
          <w:b/>
          <w:bCs w:val="0"/>
          <w:snapToGrid w:val="0"/>
          <w:color w:val="auto"/>
          <w:kern w:val="0"/>
          <w:sz w:val="30"/>
          <w:szCs w:val="30"/>
        </w:rPr>
      </w:pPr>
      <w:r>
        <w:rPr>
          <w:rFonts w:hint="default" w:ascii="Times New Roman" w:hAnsi="Times New Roman" w:eastAsia="宋体" w:cs="Times New Roman"/>
          <w:b/>
          <w:bCs w:val="0"/>
          <w:snapToGrid w:val="0"/>
          <w:color w:val="auto"/>
          <w:kern w:val="0"/>
          <w:sz w:val="30"/>
          <w:szCs w:val="30"/>
          <w:lang w:val="en-US" w:eastAsia="zh-CN"/>
        </w:rPr>
        <w:t>7</w:t>
      </w:r>
      <w:r>
        <w:rPr>
          <w:rFonts w:hint="default" w:ascii="Times New Roman" w:hAnsi="Times New Roman" w:eastAsia="宋体" w:cs="Times New Roman"/>
          <w:b/>
          <w:bCs w:val="0"/>
          <w:snapToGrid w:val="0"/>
          <w:color w:val="auto"/>
          <w:kern w:val="0"/>
          <w:sz w:val="30"/>
          <w:szCs w:val="30"/>
        </w:rPr>
        <w:t>.</w:t>
      </w:r>
      <w:r>
        <w:rPr>
          <w:rFonts w:hint="default" w:ascii="Times New Roman" w:hAnsi="Times New Roman" w:eastAsia="宋体" w:cs="Times New Roman"/>
          <w:b/>
          <w:bCs w:val="0"/>
          <w:snapToGrid w:val="0"/>
          <w:color w:val="auto"/>
          <w:kern w:val="0"/>
          <w:sz w:val="30"/>
          <w:szCs w:val="30"/>
          <w:lang w:val="en-US" w:eastAsia="zh-CN"/>
        </w:rPr>
        <w:t>9</w:t>
      </w:r>
      <w:r>
        <w:rPr>
          <w:rFonts w:hint="default" w:ascii="Times New Roman" w:hAnsi="Times New Roman" w:eastAsia="宋体" w:cs="Times New Roman"/>
          <w:b/>
          <w:bCs w:val="0"/>
          <w:snapToGrid w:val="0"/>
          <w:color w:val="auto"/>
          <w:kern w:val="0"/>
          <w:sz w:val="30"/>
          <w:szCs w:val="30"/>
        </w:rPr>
        <w:t>.1井场泄漏处置</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（1）伴有甲烷、二氧化氮等有害气体逸散时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①应迅速封闭事故现场，抢救现场窒息人员，发出甲烷、二氧化氮报警信号，进行交通管制，禁止外人进入现场，控制事态发展；</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②监测有害气体浓度，根据现场风向，协调当地政府部门疏散现场及周边无关人员；</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③现场人员生命受到威胁、撤离现场无望时，现场应急指挥应立即发出点火指令。</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（2）引发火灾、爆炸时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①现场发生火灾、爆炸，应立即</w:t>
      </w:r>
      <w:r>
        <w:rPr>
          <w:rFonts w:hint="eastAsia" w:ascii="Times New Roman" w:hAnsi="Times New Roman" w:eastAsia="宋体" w:cs="Times New Roman"/>
          <w:color w:val="auto"/>
          <w:sz w:val="24"/>
          <w:lang w:eastAsia="zh-CN"/>
        </w:rPr>
        <w:t>切断</w:t>
      </w:r>
      <w:r>
        <w:rPr>
          <w:rFonts w:hint="default" w:ascii="Times New Roman" w:hAnsi="Times New Roman" w:eastAsia="宋体" w:cs="Times New Roman"/>
          <w:color w:val="auto"/>
          <w:sz w:val="24"/>
        </w:rPr>
        <w:t>引火源，并组织灭火；</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②确定警戒范围，撤离无关人员。</w:t>
      </w:r>
    </w:p>
    <w:p>
      <w:pPr>
        <w:spacing w:line="360" w:lineRule="auto"/>
        <w:outlineLvl w:val="2"/>
        <w:rPr>
          <w:rFonts w:hint="default" w:ascii="Times New Roman" w:hAnsi="Times New Roman" w:eastAsia="宋体" w:cs="Times New Roman"/>
          <w:b/>
          <w:bCs w:val="0"/>
          <w:snapToGrid w:val="0"/>
          <w:color w:val="auto"/>
          <w:kern w:val="0"/>
          <w:sz w:val="30"/>
          <w:szCs w:val="30"/>
        </w:rPr>
      </w:pPr>
      <w:r>
        <w:rPr>
          <w:rFonts w:hint="default" w:ascii="Times New Roman" w:hAnsi="Times New Roman" w:eastAsia="宋体" w:cs="Times New Roman"/>
          <w:b/>
          <w:bCs w:val="0"/>
          <w:snapToGrid w:val="0"/>
          <w:color w:val="auto"/>
          <w:kern w:val="0"/>
          <w:sz w:val="30"/>
          <w:szCs w:val="30"/>
          <w:lang w:val="en-US" w:eastAsia="zh-CN"/>
        </w:rPr>
        <w:t>7</w:t>
      </w:r>
      <w:r>
        <w:rPr>
          <w:rFonts w:hint="default" w:ascii="Times New Roman" w:hAnsi="Times New Roman" w:eastAsia="宋体" w:cs="Times New Roman"/>
          <w:b/>
          <w:bCs w:val="0"/>
          <w:snapToGrid w:val="0"/>
          <w:color w:val="auto"/>
          <w:kern w:val="0"/>
          <w:sz w:val="30"/>
          <w:szCs w:val="30"/>
        </w:rPr>
        <w:t>.</w:t>
      </w:r>
      <w:r>
        <w:rPr>
          <w:rFonts w:hint="default" w:ascii="Times New Roman" w:hAnsi="Times New Roman" w:eastAsia="宋体" w:cs="Times New Roman"/>
          <w:b/>
          <w:bCs w:val="0"/>
          <w:snapToGrid w:val="0"/>
          <w:color w:val="auto"/>
          <w:kern w:val="0"/>
          <w:sz w:val="30"/>
          <w:szCs w:val="30"/>
          <w:lang w:val="en-US" w:eastAsia="zh-CN"/>
        </w:rPr>
        <w:t>9</w:t>
      </w:r>
      <w:r>
        <w:rPr>
          <w:rFonts w:hint="default" w:ascii="Times New Roman" w:hAnsi="Times New Roman" w:eastAsia="宋体" w:cs="Times New Roman"/>
          <w:b/>
          <w:bCs w:val="0"/>
          <w:snapToGrid w:val="0"/>
          <w:color w:val="auto"/>
          <w:kern w:val="0"/>
          <w:sz w:val="30"/>
          <w:szCs w:val="30"/>
        </w:rPr>
        <w:t>.2管道泄漏处置</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（1）输油管道破裂泄漏时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①如出现人员伤亡，在确保安全前提下先组织力量抢救受伤人员；</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②切断管道泄漏源，封闭事件现场和危险区域，周边设置警示标识，同时组织人员切断周边着火源，防止事态扩大和引发次生事故；</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③配合地方政府有关部门设置警戒线，划定安全区域，组织撤离、疏散周边居民、群众；</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④组织输油管道泄漏的围控、处置；</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⑤原油管道泄漏原油回收并妥善处理；</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⑥对污染现场进行清理，并确保达到环境保护要求。</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（2）管道破裂泄漏时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①应迅速停运泄漏管道，必要时实行紧急放空。同时，封闭事故现场，发出天然气泄漏报警；</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②组织专业医疗救护小组抢救现场中毒人员和受伤人员；</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③监测有害气体浓度，根据现场风向，加强现场人员的个人防护，疏散现场及周边无关人员和公众；</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④条件允许时，迅速组织力量对泄漏管道进行封堵、抢修作业。</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（3）油气管道泄漏引发火灾、爆炸时</w:t>
      </w:r>
    </w:p>
    <w:p>
      <w:pPr>
        <w:spacing w:line="360" w:lineRule="auto"/>
        <w:ind w:left="420" w:left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①立即切断泄漏源，封闭泄漏现场；</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②组织专业医疗救护小组抢救现场受伤人员；</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③组织现场消防力量进行灭火；</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④组织力量对泄漏管道进行封堵、抢修；</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⑤对污染物进行隔离，并组织清理；</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⑥采取隔离、警戒和疏散措施，避免无关人员进入事发区域，并合理布置消防和救援力量；</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⑦当重点要害部位存在有毒有害气体泄漏时，应进行有毒有害气体检测；</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⑧迅速将受伤、中毒人员送医院抢救，并根据需要配备医疗救护人员、治疗药物和器材；</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⑨当重点要害部位可燃物料存量较多时，尽量采取工艺处理措施，转移可燃物料，切断危险区与外界装置、设施的连通，组织专家组和相关技术人员制定方案；</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⑩火灾扑救过程中，专家组应根据危险区的危害因素和火灾发展趋势进行动态评估，及时提出灭火指导意见；</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⑪灭火完毕后，立即清理火灾现场，组织力量对泄漏点封堵抢险。</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（4）井喷失控</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①伴有甲烷等有毒有害气体逸散时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a.应迅速封闭事故现场，抢救现场窒息人员，发出甲烷报警信号，进行交通管制，禁止外人进入现场，控制事态发展；</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b.监测有毒有害气体浓度，根据现场风向，协同当地政府疏散现场及周边无关人员；</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c.现场人员生命受到威胁、井口失控、撤离现场无望时，现场应急指挥应立即发出点火指令；</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d.条件允许时，迅速组织应急救援队伍抢装井口和实施压井作业。</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②引发火灾、爆炸时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a.现场发生火灾、爆炸，应立即阻断引火源，并组织灭火；条件允许时，迅速组织抢装井口和压井作业；</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b.井场四周设置围堤，防止喷出物污染环境；</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c.依据井喷事件程度确定警戒范围，撤离无关人员。</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③遇险人员应急撤离条件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a.井喷失控后，经采取措施无效，危及设施及</w:t>
      </w:r>
      <w:r>
        <w:rPr>
          <w:rFonts w:hint="eastAsia" w:ascii="Times New Roman" w:hAnsi="Times New Roman" w:eastAsia="宋体" w:cs="Times New Roman"/>
          <w:color w:val="auto"/>
          <w:sz w:val="24"/>
          <w:lang w:eastAsia="zh-CN"/>
        </w:rPr>
        <w:t>人民生命安全</w:t>
      </w:r>
      <w:r>
        <w:rPr>
          <w:rFonts w:hint="default" w:ascii="Times New Roman" w:hAnsi="Times New Roman" w:eastAsia="宋体" w:cs="Times New Roman"/>
          <w:color w:val="auto"/>
          <w:sz w:val="24"/>
        </w:rPr>
        <w:t>或引起重大火灾无法控制时；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b.空气中甲烷、二氧化氮分别达到浓度25%～30%、3%以上，且无法有效控制时；</w:t>
      </w:r>
    </w:p>
    <w:p>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c.由于各种原因（如油气泄漏）导致设施发生火灾，经采取措施无效，危及设施及</w:t>
      </w:r>
      <w:r>
        <w:rPr>
          <w:rFonts w:hint="eastAsia" w:ascii="Times New Roman" w:hAnsi="Times New Roman" w:eastAsia="宋体" w:cs="Times New Roman"/>
          <w:color w:val="auto"/>
          <w:sz w:val="24"/>
          <w:lang w:eastAsia="zh-CN"/>
        </w:rPr>
        <w:t>人民生命安全</w:t>
      </w:r>
      <w:r>
        <w:rPr>
          <w:rFonts w:hint="default" w:ascii="Times New Roman" w:hAnsi="Times New Roman" w:eastAsia="宋体" w:cs="Times New Roman"/>
          <w:color w:val="auto"/>
          <w:sz w:val="24"/>
        </w:rPr>
        <w:t>时；</w:t>
      </w:r>
    </w:p>
    <w:p>
      <w:pPr>
        <w:pStyle w:val="91"/>
        <w:spacing w:beforeLines="0" w:afterLines="0" w:line="360" w:lineRule="auto"/>
        <w:ind w:firstLine="480" w:firstLineChars="200"/>
        <w:outlineLvl w:val="9"/>
        <w:rPr>
          <w:rFonts w:hint="default" w:ascii="Times New Roman" w:hAnsi="Times New Roman" w:cs="Times New Roman"/>
          <w:b w:val="0"/>
          <w:bCs w:val="0"/>
          <w:color w:val="auto"/>
          <w:sz w:val="24"/>
          <w:szCs w:val="24"/>
        </w:rPr>
      </w:pPr>
      <w:bookmarkStart w:id="583" w:name="_Toc14237"/>
      <w:bookmarkStart w:id="584" w:name="_Toc22807"/>
      <w:bookmarkStart w:id="585" w:name="_Toc29449"/>
      <w:bookmarkStart w:id="586" w:name="_Toc31381"/>
      <w:bookmarkStart w:id="587" w:name="_Toc27370"/>
      <w:bookmarkStart w:id="588" w:name="_Toc30446"/>
      <w:bookmarkStart w:id="589" w:name="_Toc18488"/>
      <w:bookmarkStart w:id="590" w:name="_Toc28736"/>
      <w:bookmarkStart w:id="591" w:name="_Toc21939"/>
      <w:r>
        <w:rPr>
          <w:rFonts w:hint="default" w:ascii="Times New Roman" w:hAnsi="Times New Roman" w:cs="Times New Roman"/>
          <w:b w:val="0"/>
          <w:bCs w:val="0"/>
          <w:color w:val="auto"/>
          <w:sz w:val="24"/>
          <w:szCs w:val="24"/>
        </w:rPr>
        <w:t>d.由于各种原因导致设施发生爆炸，危及整个设施和</w:t>
      </w:r>
      <w:r>
        <w:rPr>
          <w:rFonts w:hint="eastAsia" w:cs="Times New Roman"/>
          <w:b w:val="0"/>
          <w:bCs w:val="0"/>
          <w:color w:val="auto"/>
          <w:sz w:val="24"/>
          <w:szCs w:val="24"/>
          <w:lang w:eastAsia="zh-CN"/>
        </w:rPr>
        <w:t>人民生命安全</w:t>
      </w:r>
      <w:r>
        <w:rPr>
          <w:rFonts w:hint="default" w:ascii="Times New Roman" w:hAnsi="Times New Roman" w:cs="Times New Roman"/>
          <w:b w:val="0"/>
          <w:bCs w:val="0"/>
          <w:color w:val="auto"/>
          <w:sz w:val="24"/>
          <w:szCs w:val="24"/>
        </w:rPr>
        <w:t>时。</w:t>
      </w:r>
      <w:bookmarkEnd w:id="583"/>
      <w:bookmarkEnd w:id="584"/>
      <w:bookmarkEnd w:id="585"/>
      <w:bookmarkEnd w:id="586"/>
      <w:bookmarkEnd w:id="587"/>
      <w:bookmarkEnd w:id="588"/>
      <w:bookmarkEnd w:id="589"/>
      <w:bookmarkEnd w:id="590"/>
      <w:bookmarkEnd w:id="591"/>
    </w:p>
    <w:p>
      <w:pPr>
        <w:tabs>
          <w:tab w:val="left" w:pos="3465"/>
        </w:tabs>
        <w:spacing w:line="360" w:lineRule="auto"/>
        <w:outlineLvl w:val="1"/>
        <w:rPr>
          <w:rFonts w:hint="default" w:ascii="Times New Roman" w:hAnsi="Times New Roman" w:eastAsia="宋体" w:cs="Times New Roman"/>
          <w:b/>
          <w:color w:val="auto"/>
          <w:sz w:val="32"/>
          <w:szCs w:val="32"/>
        </w:rPr>
      </w:pPr>
      <w:bookmarkStart w:id="592" w:name="_Toc16453"/>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w:t>
      </w:r>
      <w:r>
        <w:rPr>
          <w:rFonts w:hint="default" w:ascii="Times New Roman" w:hAnsi="Times New Roman" w:eastAsia="宋体" w:cs="Times New Roman"/>
          <w:b/>
          <w:color w:val="auto"/>
          <w:sz w:val="32"/>
          <w:szCs w:val="32"/>
          <w:lang w:val="en-US" w:eastAsia="zh-CN"/>
        </w:rPr>
        <w:t>10</w:t>
      </w:r>
      <w:r>
        <w:rPr>
          <w:rFonts w:hint="default" w:ascii="Times New Roman" w:hAnsi="Times New Roman" w:eastAsia="宋体" w:cs="Times New Roman"/>
          <w:b/>
          <w:color w:val="auto"/>
          <w:sz w:val="32"/>
          <w:szCs w:val="32"/>
        </w:rPr>
        <w:t>环境风险评价小结</w:t>
      </w:r>
      <w:bookmarkEnd w:id="579"/>
      <w:bookmarkEnd w:id="580"/>
      <w:bookmarkEnd w:id="581"/>
      <w:bookmarkEnd w:id="582"/>
      <w:bookmarkEnd w:id="592"/>
    </w:p>
    <w:p>
      <w:pPr>
        <w:pStyle w:val="56"/>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本工程发生风险事故的类型主要为集输管线和储罐破裂泄漏、火灾及爆炸等类型。</w:t>
      </w:r>
    </w:p>
    <w:p>
      <w:pPr>
        <w:pStyle w:val="56"/>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经过风险分析和评价，本项目须加强管理，严格落实本报告提出的各项事故风险防范措施、制定应急预案，尽可能避免各类事故的发生和发展，将事故发生概率降低，减小事故造成的损失，避免当地环境受到污染。</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综上，</w:t>
      </w:r>
      <w:r>
        <w:rPr>
          <w:rFonts w:hint="default" w:ascii="Times New Roman" w:hAnsi="Times New Roman" w:cs="Times New Roman"/>
          <w:color w:val="auto"/>
          <w:sz w:val="24"/>
          <w:szCs w:val="24"/>
        </w:rPr>
        <w:t>在采取评价中提出的风险事故防范措施和工程中应增加的污染事故预防及减轻措施后，能有效预防事故的发生，将建设项目风险降至最低程度，可使项目建设、运营中的环境风险控制在可接受的范围内。因此，该项目建设从环境风险的角度认为</w:t>
      </w:r>
      <w:r>
        <w:rPr>
          <w:rFonts w:hint="default" w:ascii="Times New Roman" w:hAnsi="Times New Roman" w:cs="Times New Roman"/>
          <w:color w:val="auto"/>
          <w:kern w:val="0"/>
          <w:sz w:val="24"/>
          <w:szCs w:val="24"/>
        </w:rPr>
        <w:t>风险水平可接受</w:t>
      </w:r>
      <w:r>
        <w:rPr>
          <w:rFonts w:hint="default" w:ascii="Times New Roman" w:hAnsi="Times New Roman" w:cs="Times New Roman"/>
          <w:color w:val="auto"/>
          <w:sz w:val="24"/>
          <w:szCs w:val="24"/>
        </w:rPr>
        <w:t>。</w:t>
      </w:r>
    </w:p>
    <w:p>
      <w:pPr>
        <w:pStyle w:val="48"/>
        <w:spacing w:line="360" w:lineRule="auto"/>
        <w:rPr>
          <w:rFonts w:hint="default" w:ascii="Times New Roman" w:hAnsi="Times New Roman" w:cs="Times New Roman"/>
          <w:color w:val="auto"/>
        </w:rPr>
      </w:pPr>
      <w:bookmarkStart w:id="593" w:name="_Hlk41380285"/>
      <w:r>
        <w:rPr>
          <w:rFonts w:hint="default" w:ascii="Times New Roman" w:hAnsi="Times New Roman" w:cs="Times New Roman"/>
          <w:color w:val="auto"/>
        </w:rPr>
        <w:t>表</w:t>
      </w:r>
      <w:r>
        <w:rPr>
          <w:rFonts w:hint="default" w:ascii="Times New Roman" w:hAnsi="Times New Roman" w:cs="Times New Roman"/>
          <w:color w:val="auto"/>
          <w:lang w:val="en-US" w:eastAsia="zh-CN"/>
        </w:rPr>
        <w:t>7.10</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建设项目环境风险简单分析内容表</w:t>
      </w:r>
    </w:p>
    <w:tbl>
      <w:tblPr>
        <w:tblStyle w:val="31"/>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753"/>
        <w:gridCol w:w="1189"/>
        <w:gridCol w:w="1487"/>
        <w:gridCol w:w="1487"/>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trHeight w:val="312" w:hRule="atLeast"/>
          <w:jc w:val="center"/>
        </w:trPr>
        <w:tc>
          <w:tcPr>
            <w:tcW w:w="27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建设项目名称</w:t>
            </w:r>
          </w:p>
        </w:tc>
        <w:tc>
          <w:tcPr>
            <w:tcW w:w="5665" w:type="dxa"/>
            <w:gridSpan w:val="4"/>
            <w:vAlign w:val="center"/>
          </w:tcPr>
          <w:p>
            <w:pPr>
              <w:pStyle w:val="47"/>
              <w:rPr>
                <w:rFonts w:hint="eastAsia" w:ascii="Times New Roman" w:hAnsi="Times New Roman" w:eastAsia="宋体" w:cs="Times New Roman"/>
                <w:color w:val="auto"/>
                <w:lang w:eastAsia="zh-CN"/>
              </w:rPr>
            </w:pPr>
            <w:r>
              <w:rPr>
                <w:rFonts w:hint="eastAsia" w:cs="Times New Roman"/>
                <w:color w:val="auto"/>
                <w:lang w:val="en-GB" w:eastAsia="zh-CN" w:bidi="hi-IN"/>
              </w:rPr>
              <w:t>陆136井区侏罗系头屯河组油藏2025年建设工程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trHeight w:val="312" w:hRule="atLeast"/>
          <w:jc w:val="center"/>
        </w:trPr>
        <w:tc>
          <w:tcPr>
            <w:tcW w:w="27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建设地点</w:t>
            </w:r>
          </w:p>
        </w:tc>
        <w:tc>
          <w:tcPr>
            <w:tcW w:w="5665" w:type="dxa"/>
            <w:gridSpan w:val="4"/>
            <w:vAlign w:val="center"/>
          </w:tcPr>
          <w:p>
            <w:pPr>
              <w:pStyle w:val="47"/>
              <w:rPr>
                <w:rFonts w:hint="default" w:ascii="Times New Roman" w:hAnsi="Times New Roman" w:cs="Times New Roman"/>
                <w:color w:val="auto"/>
              </w:rPr>
            </w:pPr>
            <w:r>
              <w:rPr>
                <w:rFonts w:hint="default" w:ascii="Times New Roman" w:hAnsi="Times New Roman" w:cs="Times New Roman"/>
                <w:color w:val="auto"/>
                <w:lang w:bidi="hi-IN"/>
              </w:rPr>
              <w:t>新疆维吾尔自治区塔城地区和布克赛尔蒙古自治县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trHeight w:val="312" w:hRule="atLeast"/>
          <w:jc w:val="center"/>
        </w:trPr>
        <w:tc>
          <w:tcPr>
            <w:tcW w:w="27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地理坐标</w:t>
            </w:r>
          </w:p>
        </w:tc>
        <w:tc>
          <w:tcPr>
            <w:tcW w:w="1189"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经度</w:t>
            </w:r>
          </w:p>
        </w:tc>
        <w:tc>
          <w:tcPr>
            <w:tcW w:w="148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86°55′41.572″</w:t>
            </w:r>
          </w:p>
        </w:tc>
        <w:tc>
          <w:tcPr>
            <w:tcW w:w="1487"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纬度</w:t>
            </w:r>
          </w:p>
        </w:tc>
        <w:tc>
          <w:tcPr>
            <w:tcW w:w="1502"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45°52′16.977″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trHeight w:val="312" w:hRule="atLeast"/>
          <w:jc w:val="center"/>
        </w:trPr>
        <w:tc>
          <w:tcPr>
            <w:tcW w:w="27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主要危险物质及分布</w:t>
            </w:r>
          </w:p>
        </w:tc>
        <w:tc>
          <w:tcPr>
            <w:tcW w:w="5665" w:type="dxa"/>
            <w:gridSpan w:val="4"/>
            <w:vAlign w:val="center"/>
          </w:tcPr>
          <w:p>
            <w:pPr>
              <w:pStyle w:val="47"/>
              <w:rPr>
                <w:rFonts w:hint="default" w:ascii="Times New Roman" w:hAnsi="Times New Roman" w:eastAsia="宋体" w:cs="Times New Roman"/>
                <w:color w:val="auto"/>
                <w:lang w:val="en-US" w:eastAsia="zh-CN"/>
              </w:rPr>
            </w:pPr>
            <w:r>
              <w:rPr>
                <w:rFonts w:hint="default" w:ascii="Times New Roman" w:hAnsi="Times New Roman" w:cs="Times New Roman"/>
                <w:color w:val="auto"/>
              </w:rPr>
              <w:t>原油、天然气、硫化氢</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trHeight w:val="312" w:hRule="atLeast"/>
          <w:jc w:val="center"/>
        </w:trPr>
        <w:tc>
          <w:tcPr>
            <w:tcW w:w="27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环境影响途径及危害后果</w:t>
            </w:r>
          </w:p>
          <w:p>
            <w:pPr>
              <w:pStyle w:val="47"/>
              <w:rPr>
                <w:rFonts w:hint="default" w:ascii="Times New Roman" w:hAnsi="Times New Roman" w:cs="Times New Roman"/>
                <w:color w:val="auto"/>
              </w:rPr>
            </w:pPr>
            <w:r>
              <w:rPr>
                <w:rFonts w:hint="default" w:ascii="Times New Roman" w:hAnsi="Times New Roman" w:cs="Times New Roman"/>
                <w:color w:val="auto"/>
              </w:rPr>
              <w:t>（大气、地表水、地下水等）</w:t>
            </w:r>
          </w:p>
        </w:tc>
        <w:tc>
          <w:tcPr>
            <w:tcW w:w="5665" w:type="dxa"/>
            <w:gridSpan w:val="4"/>
            <w:vAlign w:val="center"/>
          </w:tcPr>
          <w:p>
            <w:pPr>
              <w:pStyle w:val="47"/>
              <w:rPr>
                <w:rFonts w:hint="default" w:ascii="Times New Roman" w:hAnsi="Times New Roman" w:cs="Times New Roman"/>
                <w:color w:val="auto"/>
              </w:rPr>
            </w:pPr>
            <w:r>
              <w:rPr>
                <w:rFonts w:hint="default" w:ascii="Times New Roman" w:hAnsi="Times New Roman" w:cs="Times New Roman"/>
                <w:color w:val="auto"/>
              </w:rPr>
              <w:t>原油泄漏导致火灾爆炸事故对大气、地下水的影响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trHeight w:val="312" w:hRule="atLeast"/>
          <w:jc w:val="center"/>
        </w:trPr>
        <w:tc>
          <w:tcPr>
            <w:tcW w:w="2753" w:type="dxa"/>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风险防范措施要求</w:t>
            </w:r>
          </w:p>
        </w:tc>
        <w:tc>
          <w:tcPr>
            <w:tcW w:w="5665" w:type="dxa"/>
            <w:gridSpan w:val="4"/>
            <w:vAlign w:val="center"/>
          </w:tcPr>
          <w:p>
            <w:pPr>
              <w:pStyle w:val="47"/>
              <w:rPr>
                <w:rFonts w:hint="default" w:ascii="Times New Roman" w:hAnsi="Times New Roman" w:cs="Times New Roman"/>
                <w:color w:val="auto"/>
              </w:rPr>
            </w:pPr>
            <w:r>
              <w:rPr>
                <w:rFonts w:hint="default" w:ascii="Times New Roman" w:hAnsi="Times New Roman" w:cs="Times New Roman"/>
                <w:color w:val="auto"/>
              </w:rPr>
              <w:t>项目须加强管理，严格落实本报告提出的各项事故风险防范措施、制定应急预案，尽可能避免各类事故的发生和发展，将事故发生概率降低，</w:t>
            </w:r>
            <w:r>
              <w:rPr>
                <w:rFonts w:hint="eastAsia" w:cs="Times New Roman"/>
                <w:color w:val="auto"/>
                <w:lang w:eastAsia="zh-CN"/>
              </w:rPr>
              <w:t>减少</w:t>
            </w:r>
            <w:r>
              <w:rPr>
                <w:rFonts w:hint="default" w:ascii="Times New Roman" w:hAnsi="Times New Roman" w:cs="Times New Roman"/>
                <w:color w:val="auto"/>
              </w:rPr>
              <w:t>事故造成的损失，避免当地环境受到污染。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trHeight w:val="312" w:hRule="atLeast"/>
          <w:jc w:val="center"/>
        </w:trPr>
        <w:tc>
          <w:tcPr>
            <w:tcW w:w="8418" w:type="dxa"/>
            <w:gridSpan w:val="5"/>
            <w:vAlign w:val="center"/>
          </w:tcPr>
          <w:p>
            <w:pPr>
              <w:pStyle w:val="47"/>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填报说明（列出项目相关信息及评价说明）：</w:t>
            </w:r>
          </w:p>
          <w:p>
            <w:pPr>
              <w:pStyle w:val="47"/>
              <w:jc w:val="left"/>
              <w:rPr>
                <w:rFonts w:hint="default" w:ascii="Times New Roman" w:hAnsi="Times New Roman" w:cs="Times New Roman"/>
                <w:color w:val="auto"/>
              </w:rPr>
            </w:pPr>
            <w:r>
              <w:rPr>
                <w:rFonts w:hint="default" w:ascii="Times New Roman" w:hAnsi="Times New Roman" w:cs="Times New Roman"/>
                <w:color w:val="auto"/>
                <w:sz w:val="18"/>
                <w:szCs w:val="18"/>
              </w:rPr>
              <w:t>在采取评价中提出的风险事故防范措施和工程中应增加的污染事故预防及减轻措施后，能有效预防事故的发生，将建设项目风险降至最低程度，可使项目建设、运营中的环境风险控制在可接受的范围内。因此，该项目建设从环境风险的角度认为风险水平可接受。</w:t>
            </w:r>
          </w:p>
        </w:tc>
      </w:tr>
      <w:bookmarkEnd w:id="593"/>
    </w:tbl>
    <w:p>
      <w:pPr>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7.10</w:t>
      </w:r>
      <w:r>
        <w:rPr>
          <w:rFonts w:hint="default" w:ascii="Times New Roman" w:hAnsi="Times New Roman" w:eastAsia="宋体" w:cs="Times New Roman"/>
          <w:b/>
          <w:bCs/>
          <w:color w:val="auto"/>
          <w:szCs w:val="21"/>
        </w:rPr>
        <w:t>-</w:t>
      </w:r>
      <w:r>
        <w:rPr>
          <w:rFonts w:hint="default" w:ascii="Times New Roman" w:hAnsi="Times New Roman" w:eastAsia="宋体" w:cs="Times New Roman"/>
          <w:b/>
          <w:bCs/>
          <w:color w:val="auto"/>
          <w:szCs w:val="21"/>
          <w:lang w:val="en-US" w:eastAsia="zh-CN"/>
        </w:rPr>
        <w:t>2</w:t>
      </w:r>
      <w:r>
        <w:rPr>
          <w:rFonts w:hint="default" w:ascii="Times New Roman" w:hAnsi="Times New Roman" w:eastAsia="宋体" w:cs="Times New Roman"/>
          <w:b/>
          <w:bCs/>
          <w:color w:val="auto"/>
          <w:szCs w:val="21"/>
        </w:rPr>
        <w:t xml:space="preserve">  建设项目环境风险评价自查表</w:t>
      </w:r>
    </w:p>
    <w:tbl>
      <w:tblPr>
        <w:tblStyle w:val="3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25"/>
        <w:gridCol w:w="1019"/>
        <w:gridCol w:w="612"/>
        <w:gridCol w:w="786"/>
        <w:gridCol w:w="261"/>
        <w:gridCol w:w="513"/>
        <w:gridCol w:w="269"/>
        <w:gridCol w:w="354"/>
        <w:gridCol w:w="135"/>
        <w:gridCol w:w="104"/>
        <w:gridCol w:w="748"/>
        <w:gridCol w:w="181"/>
        <w:gridCol w:w="230"/>
        <w:gridCol w:w="230"/>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工作内容</w:t>
            </w:r>
          </w:p>
        </w:tc>
        <w:tc>
          <w:tcPr>
            <w:tcW w:w="6614" w:type="dxa"/>
            <w:gridSpan w:val="1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对项目进行环境风险调查与评价，并提出相应的预防与应急处置措施。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风险调查</w:t>
            </w:r>
          </w:p>
        </w:tc>
        <w:tc>
          <w:tcPr>
            <w:tcW w:w="1225"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危险物质</w:t>
            </w: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1398"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原油</w:t>
            </w:r>
          </w:p>
        </w:tc>
        <w:tc>
          <w:tcPr>
            <w:tcW w:w="1397"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伴生气</w:t>
            </w:r>
          </w:p>
        </w:tc>
        <w:tc>
          <w:tcPr>
            <w:tcW w:w="1398"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硫化氢</w:t>
            </w:r>
          </w:p>
        </w:tc>
        <w:tc>
          <w:tcPr>
            <w:tcW w:w="1402"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tcBorders>
              <w:tl2br w:val="nil"/>
              <w:tr2bl w:val="nil"/>
            </w:tcBorders>
            <w:vAlign w:val="center"/>
          </w:tcPr>
          <w:p>
            <w:pPr>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存在总量</w:t>
            </w:r>
          </w:p>
        </w:tc>
        <w:tc>
          <w:tcPr>
            <w:tcW w:w="1398"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4.209</w:t>
            </w:r>
            <w:r>
              <w:rPr>
                <w:rFonts w:hint="default" w:ascii="Times New Roman" w:hAnsi="Times New Roman" w:eastAsia="宋体" w:cs="Times New Roman"/>
                <w:color w:val="auto"/>
                <w:szCs w:val="21"/>
              </w:rPr>
              <w:t>t</w:t>
            </w:r>
          </w:p>
        </w:tc>
        <w:tc>
          <w:tcPr>
            <w:tcW w:w="1397"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0309</w:t>
            </w:r>
            <w:r>
              <w:rPr>
                <w:rFonts w:hint="default" w:ascii="Times New Roman" w:hAnsi="Times New Roman" w:eastAsia="宋体" w:cs="Times New Roman"/>
                <w:color w:val="auto"/>
                <w:szCs w:val="21"/>
              </w:rPr>
              <w:t>t</w:t>
            </w:r>
          </w:p>
        </w:tc>
        <w:tc>
          <w:tcPr>
            <w:tcW w:w="1398" w:type="dxa"/>
            <w:gridSpan w:val="5"/>
            <w:tcBorders>
              <w:tl2br w:val="nil"/>
              <w:tr2bl w:val="nil"/>
            </w:tcBorders>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1402"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16.7t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环境敏感性</w:t>
            </w:r>
          </w:p>
        </w:tc>
        <w:tc>
          <w:tcPr>
            <w:tcW w:w="1019"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p>
        </w:tc>
        <w:tc>
          <w:tcPr>
            <w:tcW w:w="2930" w:type="dxa"/>
            <w:gridSpan w:val="7"/>
            <w:tcBorders>
              <w:tl2br w:val="nil"/>
              <w:tr2bl w:val="nil"/>
            </w:tcBorders>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500m范围内人口数</w:t>
            </w:r>
            <w:r>
              <w:rPr>
                <w:rFonts w:hint="default" w:ascii="Times New Roman" w:hAnsi="Times New Roman" w:eastAsia="宋体" w:cs="Times New Roman"/>
                <w:color w:val="auto"/>
                <w:szCs w:val="21"/>
                <w:u w:val="single"/>
              </w:rPr>
              <w:t xml:space="preserve"> 5 </w:t>
            </w:r>
            <w:r>
              <w:rPr>
                <w:rFonts w:hint="default" w:ascii="Times New Roman" w:hAnsi="Times New Roman" w:eastAsia="宋体" w:cs="Times New Roman"/>
                <w:color w:val="auto"/>
                <w:szCs w:val="21"/>
              </w:rPr>
              <w:t>人</w:t>
            </w:r>
          </w:p>
        </w:tc>
        <w:tc>
          <w:tcPr>
            <w:tcW w:w="2665"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5km范围内人口数</w:t>
            </w:r>
            <w:r>
              <w:rPr>
                <w:rFonts w:hint="default" w:ascii="Times New Roman" w:hAnsi="Times New Roman" w:eastAsia="宋体" w:cs="Times New Roman"/>
                <w:color w:val="auto"/>
                <w:szCs w:val="21"/>
                <w:u w:val="single"/>
              </w:rPr>
              <w:t>500</w:t>
            </w:r>
            <w:r>
              <w:rPr>
                <w:rFonts w:hint="default" w:ascii="Times New Roman" w:hAnsi="Times New Roman" w:eastAsia="宋体" w:cs="Times New Roman"/>
                <w:color w:val="auto"/>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5595" w:type="dxa"/>
            <w:gridSpan w:val="1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每公里管段周边200m范围内人口数（最大）</w:t>
            </w:r>
            <w:r>
              <w:rPr>
                <w:rFonts w:hint="default" w:ascii="Times New Roman" w:hAnsi="Times New Roman" w:eastAsia="宋体" w:cs="Times New Roman"/>
                <w:color w:val="auto"/>
                <w:szCs w:val="21"/>
                <w:u w:val="single"/>
              </w:rPr>
              <w:t xml:space="preserve"> 5 </w:t>
            </w:r>
            <w:r>
              <w:rPr>
                <w:rFonts w:hint="default" w:ascii="Times New Roman" w:hAnsi="Times New Roman" w:eastAsia="宋体" w:cs="Times New Roman"/>
                <w:color w:val="auto"/>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1659" w:type="dxa"/>
            <w:gridSpan w:val="3"/>
            <w:tcBorders>
              <w:tl2br w:val="nil"/>
              <w:tr2bl w:val="nil"/>
            </w:tcBorders>
            <w:vAlign w:val="center"/>
          </w:tcPr>
          <w:p>
            <w:pPr>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地表水功能敏感性</w:t>
            </w:r>
          </w:p>
        </w:tc>
        <w:tc>
          <w:tcPr>
            <w:tcW w:w="137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F1</w:t>
            </w:r>
            <w:r>
              <w:rPr>
                <w:rFonts w:hint="default" w:ascii="Times New Roman" w:hAnsi="Times New Roman" w:eastAsia="宋体" w:cs="Times New Roman"/>
                <w:color w:val="auto"/>
                <w:kern w:val="0"/>
                <w:szCs w:val="21"/>
              </w:rPr>
              <w:t>口</w:t>
            </w:r>
          </w:p>
        </w:tc>
        <w:tc>
          <w:tcPr>
            <w:tcW w:w="1389"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F2</w:t>
            </w:r>
            <w:r>
              <w:rPr>
                <w:rFonts w:hint="default" w:ascii="Times New Roman" w:hAnsi="Times New Roman" w:eastAsia="宋体" w:cs="Times New Roman"/>
                <w:color w:val="auto"/>
                <w:kern w:val="0"/>
                <w:szCs w:val="21"/>
              </w:rPr>
              <w:t>口</w:t>
            </w:r>
          </w:p>
        </w:tc>
        <w:tc>
          <w:tcPr>
            <w:tcW w:w="117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F3</w:t>
            </w:r>
            <w:r>
              <w:rPr>
                <w:rFonts w:hint="default" w:ascii="Times New Roman" w:hAnsi="Times New Roman" w:eastAsia="宋体"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659" w:type="dxa"/>
            <w:gridSpan w:val="3"/>
            <w:tcBorders>
              <w:tl2br w:val="nil"/>
              <w:tr2bl w:val="nil"/>
            </w:tcBorders>
            <w:vAlign w:val="center"/>
          </w:tcPr>
          <w:p>
            <w:pPr>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环境敏感目标分级</w:t>
            </w:r>
          </w:p>
        </w:tc>
        <w:tc>
          <w:tcPr>
            <w:tcW w:w="137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S1</w:t>
            </w:r>
            <w:r>
              <w:rPr>
                <w:rFonts w:hint="default" w:ascii="Times New Roman" w:hAnsi="Times New Roman" w:eastAsia="宋体" w:cs="Times New Roman"/>
                <w:color w:val="auto"/>
                <w:kern w:val="0"/>
                <w:szCs w:val="21"/>
              </w:rPr>
              <w:t>口</w:t>
            </w:r>
          </w:p>
        </w:tc>
        <w:tc>
          <w:tcPr>
            <w:tcW w:w="1389"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S2</w:t>
            </w:r>
            <w:r>
              <w:rPr>
                <w:rFonts w:hint="default" w:ascii="Times New Roman" w:hAnsi="Times New Roman" w:eastAsia="宋体" w:cs="Times New Roman"/>
                <w:color w:val="auto"/>
                <w:kern w:val="0"/>
                <w:szCs w:val="21"/>
              </w:rPr>
              <w:t>口</w:t>
            </w:r>
          </w:p>
        </w:tc>
        <w:tc>
          <w:tcPr>
            <w:tcW w:w="117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S3</w:t>
            </w:r>
            <w:r>
              <w:rPr>
                <w:rFonts w:hint="default" w:ascii="Times New Roman" w:hAnsi="Times New Roman" w:eastAsia="宋体"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1659" w:type="dxa"/>
            <w:gridSpan w:val="3"/>
            <w:tcBorders>
              <w:tl2br w:val="nil"/>
              <w:tr2bl w:val="nil"/>
            </w:tcBorders>
            <w:vAlign w:val="center"/>
          </w:tcPr>
          <w:p>
            <w:pPr>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地下水功能敏感性</w:t>
            </w:r>
          </w:p>
        </w:tc>
        <w:tc>
          <w:tcPr>
            <w:tcW w:w="137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G1</w:t>
            </w:r>
            <w:r>
              <w:rPr>
                <w:rFonts w:hint="default" w:ascii="Times New Roman" w:hAnsi="Times New Roman" w:eastAsia="宋体" w:cs="Times New Roman"/>
                <w:color w:val="auto"/>
                <w:kern w:val="0"/>
                <w:szCs w:val="21"/>
              </w:rPr>
              <w:t>口</w:t>
            </w:r>
          </w:p>
        </w:tc>
        <w:tc>
          <w:tcPr>
            <w:tcW w:w="1389"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G2</w:t>
            </w:r>
            <w:r>
              <w:rPr>
                <w:rFonts w:hint="default" w:ascii="Times New Roman" w:hAnsi="Times New Roman" w:eastAsia="宋体" w:cs="Times New Roman"/>
                <w:color w:val="auto"/>
                <w:kern w:val="0"/>
                <w:szCs w:val="21"/>
              </w:rPr>
              <w:t>口</w:t>
            </w:r>
          </w:p>
        </w:tc>
        <w:tc>
          <w:tcPr>
            <w:tcW w:w="117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G3</w:t>
            </w:r>
            <w:r>
              <w:rPr>
                <w:rFonts w:hint="default" w:ascii="Times New Roman" w:hAnsi="Times New Roman" w:eastAsia="宋体"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包气带防污性能</w:t>
            </w:r>
          </w:p>
        </w:tc>
        <w:tc>
          <w:tcPr>
            <w:tcW w:w="1375" w:type="dxa"/>
            <w:gridSpan w:val="5"/>
            <w:tcBorders>
              <w:tl2br w:val="nil"/>
              <w:tr2bl w:val="nil"/>
            </w:tcBorders>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D1</w:t>
            </w:r>
            <w:r>
              <w:rPr>
                <w:rFonts w:hint="default" w:ascii="Times New Roman" w:hAnsi="Times New Roman" w:eastAsia="宋体" w:cs="Times New Roman"/>
                <w:color w:val="auto"/>
              </w:rPr>
              <w:t>☑</w:t>
            </w:r>
          </w:p>
        </w:tc>
        <w:tc>
          <w:tcPr>
            <w:tcW w:w="1389"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D2</w:t>
            </w:r>
            <w:r>
              <w:rPr>
                <w:rFonts w:hint="default" w:ascii="Times New Roman" w:hAnsi="Times New Roman" w:eastAsia="宋体" w:cs="Times New Roman"/>
                <w:color w:val="auto"/>
                <w:kern w:val="0"/>
                <w:szCs w:val="21"/>
              </w:rPr>
              <w:t>口</w:t>
            </w:r>
          </w:p>
        </w:tc>
        <w:tc>
          <w:tcPr>
            <w:tcW w:w="117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D3</w:t>
            </w:r>
            <w:r>
              <w:rPr>
                <w:rFonts w:hint="default" w:ascii="Times New Roman" w:hAnsi="Times New Roman" w:eastAsia="宋体" w:cs="Times New Roman"/>
                <w:color w:val="auto"/>
                <w:kern w:val="0"/>
                <w:szCs w:val="21"/>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物质及工艺系统</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危险性</w:t>
            </w: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Q值</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Q</w:t>
            </w:r>
            <w:r>
              <w:rPr>
                <w:rFonts w:hint="eastAsia" w:ascii="Times New Roman" w:hAnsi="Times New Roman" w:eastAsia="宋体" w:cs="Times New Roman"/>
                <w:color w:val="auto"/>
                <w:szCs w:val="21"/>
                <w:lang w:eastAsia="zh-CN"/>
              </w:rPr>
              <w:t>&lt;</w:t>
            </w:r>
            <w:r>
              <w:rPr>
                <w:rFonts w:hint="default" w:ascii="Times New Roman" w:hAnsi="Times New Roman" w:eastAsia="宋体" w:cs="Times New Roman"/>
                <w:color w:val="auto"/>
                <w:szCs w:val="21"/>
              </w:rPr>
              <w:t>1☑</w:t>
            </w:r>
          </w:p>
        </w:tc>
        <w:tc>
          <w:tcPr>
            <w:tcW w:w="1375" w:type="dxa"/>
            <w:gridSpan w:val="5"/>
            <w:tcBorders>
              <w:tl2br w:val="nil"/>
              <w:tr2bl w:val="nil"/>
            </w:tcBorders>
            <w:vAlign w:val="center"/>
          </w:tcPr>
          <w:p>
            <w:pPr>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1≤Q＜10</w:t>
            </w:r>
            <w:r>
              <w:rPr>
                <w:rFonts w:hint="default" w:ascii="Times New Roman" w:hAnsi="Times New Roman" w:eastAsia="宋体" w:cs="Times New Roman"/>
                <w:color w:val="auto"/>
                <w:kern w:val="0"/>
                <w:szCs w:val="21"/>
              </w:rPr>
              <w:t>口</w:t>
            </w:r>
          </w:p>
        </w:tc>
        <w:tc>
          <w:tcPr>
            <w:tcW w:w="1389"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10≤Q＜100</w:t>
            </w:r>
            <w:r>
              <w:rPr>
                <w:rFonts w:hint="default" w:ascii="Times New Roman" w:hAnsi="Times New Roman" w:eastAsia="宋体" w:cs="Times New Roman"/>
                <w:color w:val="auto"/>
                <w:kern w:val="0"/>
                <w:szCs w:val="21"/>
              </w:rPr>
              <w:t>口</w:t>
            </w:r>
          </w:p>
        </w:tc>
        <w:tc>
          <w:tcPr>
            <w:tcW w:w="117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Q＞100</w:t>
            </w:r>
            <w:r>
              <w:rPr>
                <w:rFonts w:hint="default" w:ascii="Times New Roman" w:hAnsi="Times New Roman" w:eastAsia="宋体" w:cs="Times New Roman"/>
                <w:color w:val="auto"/>
                <w:kern w:val="0"/>
                <w:szCs w:val="21"/>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M值</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M1</w:t>
            </w:r>
            <w:r>
              <w:rPr>
                <w:rFonts w:hint="default" w:ascii="Times New Roman" w:hAnsi="Times New Roman" w:eastAsia="宋体" w:cs="Times New Roman"/>
                <w:color w:val="auto"/>
                <w:kern w:val="0"/>
                <w:szCs w:val="21"/>
              </w:rPr>
              <w:t>口</w:t>
            </w:r>
          </w:p>
        </w:tc>
        <w:tc>
          <w:tcPr>
            <w:tcW w:w="137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M2</w:t>
            </w:r>
            <w:r>
              <w:rPr>
                <w:rFonts w:hint="default" w:ascii="Times New Roman" w:hAnsi="Times New Roman" w:eastAsia="宋体" w:cs="Times New Roman"/>
                <w:color w:val="auto"/>
                <w:kern w:val="0"/>
                <w:szCs w:val="21"/>
              </w:rPr>
              <w:t>口</w:t>
            </w:r>
          </w:p>
        </w:tc>
        <w:tc>
          <w:tcPr>
            <w:tcW w:w="1389"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M3</w:t>
            </w:r>
            <w:r>
              <w:rPr>
                <w:rFonts w:hint="default" w:ascii="Times New Roman" w:hAnsi="Times New Roman" w:eastAsia="宋体" w:cs="Times New Roman"/>
                <w:color w:val="auto"/>
              </w:rPr>
              <w:t>☑</w:t>
            </w:r>
          </w:p>
        </w:tc>
        <w:tc>
          <w:tcPr>
            <w:tcW w:w="117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M4</w:t>
            </w:r>
            <w:r>
              <w:rPr>
                <w:rFonts w:hint="default" w:ascii="Times New Roman" w:hAnsi="Times New Roman" w:eastAsia="宋体" w:cs="Times New Roman"/>
                <w:color w:val="auto"/>
                <w:kern w:val="0"/>
                <w:szCs w:val="21"/>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P值</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P1</w:t>
            </w:r>
            <w:r>
              <w:rPr>
                <w:rFonts w:hint="default" w:ascii="Times New Roman" w:hAnsi="Times New Roman" w:eastAsia="宋体" w:cs="Times New Roman"/>
                <w:color w:val="auto"/>
                <w:kern w:val="0"/>
                <w:szCs w:val="21"/>
              </w:rPr>
              <w:t>口</w:t>
            </w:r>
          </w:p>
        </w:tc>
        <w:tc>
          <w:tcPr>
            <w:tcW w:w="137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P2</w:t>
            </w:r>
            <w:r>
              <w:rPr>
                <w:rFonts w:hint="default" w:ascii="Times New Roman" w:hAnsi="Times New Roman" w:eastAsia="宋体" w:cs="Times New Roman"/>
                <w:color w:val="auto"/>
                <w:kern w:val="0"/>
                <w:szCs w:val="21"/>
              </w:rPr>
              <w:t>口</w:t>
            </w:r>
          </w:p>
        </w:tc>
        <w:tc>
          <w:tcPr>
            <w:tcW w:w="1389"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P3</w:t>
            </w:r>
            <w:r>
              <w:rPr>
                <w:rFonts w:hint="default" w:ascii="Times New Roman" w:hAnsi="Times New Roman" w:eastAsia="宋体" w:cs="Times New Roman"/>
                <w:color w:val="auto"/>
                <w:kern w:val="0"/>
                <w:szCs w:val="21"/>
              </w:rPr>
              <w:t>口</w:t>
            </w:r>
          </w:p>
        </w:tc>
        <w:tc>
          <w:tcPr>
            <w:tcW w:w="117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P4</w:t>
            </w:r>
            <w:r>
              <w:rPr>
                <w:rFonts w:hint="default" w:ascii="Times New Roman" w:hAnsi="Times New Roman" w:eastAsia="宋体" w:cs="Times New Roman"/>
                <w:color w:val="auto"/>
                <w:kern w:val="0"/>
                <w:szCs w:val="21"/>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环境敏感程度</w:t>
            </w: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E1</w:t>
            </w:r>
            <w:r>
              <w:rPr>
                <w:rFonts w:hint="default" w:ascii="Times New Roman" w:hAnsi="Times New Roman" w:eastAsia="宋体" w:cs="Times New Roman"/>
                <w:color w:val="auto"/>
                <w:kern w:val="0"/>
                <w:szCs w:val="21"/>
              </w:rPr>
              <w:t>口</w:t>
            </w:r>
          </w:p>
        </w:tc>
        <w:tc>
          <w:tcPr>
            <w:tcW w:w="2123"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E2</w:t>
            </w:r>
            <w:r>
              <w:rPr>
                <w:rFonts w:hint="default" w:ascii="Times New Roman" w:hAnsi="Times New Roman" w:eastAsia="宋体" w:cs="Times New Roman"/>
                <w:color w:val="auto"/>
                <w:kern w:val="0"/>
                <w:szCs w:val="21"/>
              </w:rPr>
              <w:t>口</w:t>
            </w:r>
          </w:p>
        </w:tc>
        <w:tc>
          <w:tcPr>
            <w:tcW w:w="1813"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E3</w:t>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E1</w:t>
            </w:r>
            <w:r>
              <w:rPr>
                <w:rFonts w:hint="default" w:ascii="Times New Roman" w:hAnsi="Times New Roman" w:eastAsia="宋体" w:cs="Times New Roman"/>
                <w:color w:val="auto"/>
                <w:kern w:val="0"/>
                <w:szCs w:val="21"/>
              </w:rPr>
              <w:t>口</w:t>
            </w:r>
          </w:p>
        </w:tc>
        <w:tc>
          <w:tcPr>
            <w:tcW w:w="2123"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E2</w:t>
            </w:r>
            <w:r>
              <w:rPr>
                <w:rFonts w:hint="default" w:ascii="Times New Roman" w:hAnsi="Times New Roman" w:eastAsia="宋体" w:cs="Times New Roman"/>
                <w:color w:val="auto"/>
                <w:kern w:val="0"/>
                <w:szCs w:val="21"/>
              </w:rPr>
              <w:t>口</w:t>
            </w:r>
          </w:p>
        </w:tc>
        <w:tc>
          <w:tcPr>
            <w:tcW w:w="1813"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E3</w:t>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E1</w:t>
            </w:r>
            <w:r>
              <w:rPr>
                <w:rFonts w:hint="default" w:ascii="Times New Roman" w:hAnsi="Times New Roman" w:eastAsia="宋体" w:cs="Times New Roman"/>
                <w:color w:val="auto"/>
                <w:kern w:val="0"/>
                <w:szCs w:val="21"/>
              </w:rPr>
              <w:t>口</w:t>
            </w:r>
          </w:p>
        </w:tc>
        <w:tc>
          <w:tcPr>
            <w:tcW w:w="2123"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E2</w:t>
            </w:r>
            <w:r>
              <w:rPr>
                <w:rFonts w:hint="default" w:ascii="Times New Roman" w:hAnsi="Times New Roman" w:eastAsia="宋体" w:cs="Times New Roman"/>
                <w:color w:val="auto"/>
                <w:kern w:val="0"/>
                <w:szCs w:val="21"/>
              </w:rPr>
              <w:t>☑</w:t>
            </w:r>
          </w:p>
        </w:tc>
        <w:tc>
          <w:tcPr>
            <w:tcW w:w="1813"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E3</w:t>
            </w:r>
            <w:r>
              <w:rPr>
                <w:rFonts w:hint="default" w:ascii="Times New Roman" w:hAnsi="Times New Roman" w:eastAsia="宋体" w:cs="Times New Roman"/>
                <w:color w:val="auto"/>
                <w:kern w:val="0"/>
                <w:szCs w:val="21"/>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环境风险潜势</w:t>
            </w: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4 \* ROMAN \* MERGEFORMAT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IV</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vertAlign w:val="superscript"/>
              </w:rPr>
              <w:t>+</w:t>
            </w:r>
            <w:r>
              <w:rPr>
                <w:rFonts w:hint="default" w:ascii="Times New Roman" w:hAnsi="Times New Roman" w:eastAsia="宋体" w:cs="Times New Roman"/>
                <w:color w:val="auto"/>
                <w:kern w:val="0"/>
                <w:szCs w:val="21"/>
              </w:rPr>
              <w:t>口</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4 \* ROMAN \* MERGEFORMAT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IV</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kern w:val="0"/>
                <w:szCs w:val="21"/>
              </w:rPr>
              <w:t>口</w:t>
            </w:r>
          </w:p>
        </w:tc>
        <w:tc>
          <w:tcPr>
            <w:tcW w:w="1375" w:type="dxa"/>
            <w:gridSpan w:val="5"/>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3 \* ROMAN \* MERGEFORMAT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III</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kern w:val="0"/>
                <w:szCs w:val="21"/>
              </w:rPr>
              <w:t>口</w:t>
            </w:r>
          </w:p>
        </w:tc>
        <w:tc>
          <w:tcPr>
            <w:tcW w:w="1389"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2 \* ROMAN \* MERGEFORMAT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II</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kern w:val="0"/>
                <w:szCs w:val="21"/>
              </w:rPr>
              <w:t>口</w:t>
            </w:r>
          </w:p>
        </w:tc>
        <w:tc>
          <w:tcPr>
            <w:tcW w:w="1172"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1 \* ROMAN \* MERGEFORMAT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I</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评价等级</w:t>
            </w:r>
          </w:p>
        </w:tc>
        <w:tc>
          <w:tcPr>
            <w:tcW w:w="1631"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w:t>
            </w:r>
            <w:r>
              <w:rPr>
                <w:rFonts w:hint="default" w:ascii="Times New Roman" w:hAnsi="Times New Roman" w:eastAsia="宋体" w:cs="Times New Roman"/>
                <w:color w:val="auto"/>
                <w:kern w:val="0"/>
                <w:szCs w:val="21"/>
              </w:rPr>
              <w:t>口</w:t>
            </w:r>
          </w:p>
        </w:tc>
        <w:tc>
          <w:tcPr>
            <w:tcW w:w="1560"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w:t>
            </w:r>
            <w:r>
              <w:rPr>
                <w:rFonts w:hint="default" w:ascii="Times New Roman" w:hAnsi="Times New Roman" w:eastAsia="宋体" w:cs="Times New Roman"/>
                <w:color w:val="auto"/>
                <w:kern w:val="0"/>
                <w:szCs w:val="21"/>
              </w:rPr>
              <w:t>口</w:t>
            </w:r>
          </w:p>
        </w:tc>
        <w:tc>
          <w:tcPr>
            <w:tcW w:w="1791"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三级</w:t>
            </w:r>
            <w:r>
              <w:rPr>
                <w:rFonts w:hint="default" w:ascii="Times New Roman" w:hAnsi="Times New Roman" w:eastAsia="宋体" w:cs="Times New Roman"/>
                <w:color w:val="auto"/>
                <w:kern w:val="0"/>
                <w:szCs w:val="21"/>
              </w:rPr>
              <w:t>口</w:t>
            </w:r>
          </w:p>
        </w:tc>
        <w:tc>
          <w:tcPr>
            <w:tcW w:w="1632"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简单分析</w:t>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风险</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识别</w:t>
            </w:r>
          </w:p>
        </w:tc>
        <w:tc>
          <w:tcPr>
            <w:tcW w:w="122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物质危险性</w:t>
            </w:r>
          </w:p>
        </w:tc>
        <w:tc>
          <w:tcPr>
            <w:tcW w:w="3460"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有毒有害</w:t>
            </w:r>
            <w:r>
              <w:rPr>
                <w:rFonts w:hint="default" w:ascii="Times New Roman" w:hAnsi="Times New Roman" w:eastAsia="宋体" w:cs="Times New Roman"/>
                <w:color w:val="auto"/>
                <w:kern w:val="0"/>
                <w:szCs w:val="21"/>
              </w:rPr>
              <w:t>☑</w:t>
            </w:r>
          </w:p>
        </w:tc>
        <w:tc>
          <w:tcPr>
            <w:tcW w:w="3154" w:type="dxa"/>
            <w:gridSpan w:val="8"/>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易燃易爆</w:t>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环境风险类型</w:t>
            </w:r>
          </w:p>
        </w:tc>
        <w:tc>
          <w:tcPr>
            <w:tcW w:w="2678"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泄露</w:t>
            </w:r>
            <w:r>
              <w:rPr>
                <w:rFonts w:hint="default" w:ascii="Times New Roman" w:hAnsi="Times New Roman" w:eastAsia="宋体" w:cs="Times New Roman"/>
                <w:color w:val="auto"/>
                <w:kern w:val="0"/>
                <w:szCs w:val="21"/>
              </w:rPr>
              <w:t>☑</w:t>
            </w:r>
          </w:p>
        </w:tc>
        <w:tc>
          <w:tcPr>
            <w:tcW w:w="3936" w:type="dxa"/>
            <w:gridSpan w:val="10"/>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火灾、爆炸引发伴生/次生污染物排放</w:t>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影响途径</w:t>
            </w:r>
          </w:p>
        </w:tc>
        <w:tc>
          <w:tcPr>
            <w:tcW w:w="2678"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r>
              <w:rPr>
                <w:rFonts w:hint="default" w:ascii="Times New Roman" w:hAnsi="Times New Roman" w:eastAsia="宋体" w:cs="Times New Roman"/>
                <w:color w:val="auto"/>
                <w:kern w:val="0"/>
                <w:szCs w:val="21"/>
              </w:rPr>
              <w:t>☑</w:t>
            </w:r>
          </w:p>
        </w:tc>
        <w:tc>
          <w:tcPr>
            <w:tcW w:w="2123"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r>
              <w:rPr>
                <w:rFonts w:hint="default" w:ascii="Times New Roman" w:hAnsi="Times New Roman" w:eastAsia="宋体" w:cs="Times New Roman"/>
                <w:color w:val="auto"/>
                <w:kern w:val="0"/>
                <w:szCs w:val="21"/>
              </w:rPr>
              <w:t>口</w:t>
            </w:r>
          </w:p>
        </w:tc>
        <w:tc>
          <w:tcPr>
            <w:tcW w:w="1813"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事故情形分析</w:t>
            </w: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源强设定方法</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计算法</w:t>
            </w:r>
            <w:r>
              <w:rPr>
                <w:rFonts w:hint="default" w:ascii="Times New Roman" w:hAnsi="Times New Roman" w:eastAsia="宋体" w:cs="Times New Roman"/>
                <w:color w:val="auto"/>
              </w:rPr>
              <w:t>☑</w:t>
            </w:r>
          </w:p>
        </w:tc>
        <w:tc>
          <w:tcPr>
            <w:tcW w:w="2123"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经验估算法</w:t>
            </w:r>
            <w:r>
              <w:rPr>
                <w:rFonts w:hint="default" w:ascii="Times New Roman" w:hAnsi="Times New Roman" w:eastAsia="宋体" w:cs="Times New Roman"/>
                <w:color w:val="auto"/>
                <w:kern w:val="0"/>
                <w:szCs w:val="21"/>
              </w:rPr>
              <w:t>口</w:t>
            </w:r>
          </w:p>
        </w:tc>
        <w:tc>
          <w:tcPr>
            <w:tcW w:w="1813"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其他估算法</w:t>
            </w:r>
            <w:r>
              <w:rPr>
                <w:rFonts w:hint="default" w:ascii="Times New Roman" w:hAnsi="Times New Roman" w:eastAsia="宋体"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风险预测与评价</w:t>
            </w:r>
          </w:p>
        </w:tc>
        <w:tc>
          <w:tcPr>
            <w:tcW w:w="1225"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p>
        </w:tc>
        <w:tc>
          <w:tcPr>
            <w:tcW w:w="1019"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预测</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模型</w:t>
            </w:r>
          </w:p>
        </w:tc>
        <w:tc>
          <w:tcPr>
            <w:tcW w:w="1659" w:type="dxa"/>
            <w:gridSpan w:val="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SLAB</w:t>
            </w:r>
            <w:r>
              <w:rPr>
                <w:rFonts w:hint="default" w:ascii="Times New Roman" w:hAnsi="Times New Roman" w:eastAsia="宋体" w:cs="Times New Roman"/>
                <w:color w:val="auto"/>
                <w:kern w:val="0"/>
                <w:szCs w:val="21"/>
              </w:rPr>
              <w:t>口</w:t>
            </w:r>
          </w:p>
        </w:tc>
        <w:tc>
          <w:tcPr>
            <w:tcW w:w="2123" w:type="dxa"/>
            <w:gridSpan w:val="6"/>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AFTOX</w:t>
            </w:r>
            <w:r>
              <w:rPr>
                <w:rFonts w:hint="default" w:ascii="Times New Roman" w:hAnsi="Times New Roman" w:eastAsia="宋体" w:cs="Times New Roman"/>
                <w:color w:val="auto"/>
                <w:kern w:val="0"/>
                <w:szCs w:val="21"/>
              </w:rPr>
              <w:t>口</w:t>
            </w:r>
          </w:p>
        </w:tc>
        <w:tc>
          <w:tcPr>
            <w:tcW w:w="1813" w:type="dxa"/>
            <w:gridSpan w:val="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w:t>
            </w:r>
            <w:r>
              <w:rPr>
                <w:rFonts w:hint="default" w:ascii="Times New Roman" w:hAnsi="Times New Roman" w:eastAsia="宋体" w:cs="Times New Roman"/>
                <w:color w:val="auto"/>
                <w:kern w:val="0"/>
                <w:szCs w:val="21"/>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预测</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结果</w:t>
            </w:r>
          </w:p>
        </w:tc>
        <w:tc>
          <w:tcPr>
            <w:tcW w:w="5595" w:type="dxa"/>
            <w:gridSpan w:val="1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大气毒性终点浓度-1 最大影响范围</w:t>
            </w:r>
            <w:r>
              <w:rPr>
                <w:rFonts w:hint="default" w:ascii="Times New Roman" w:hAnsi="Times New Roman" w:eastAsia="宋体" w:cs="Times New Roman"/>
                <w:color w:val="auto"/>
                <w:szCs w:val="21"/>
                <w:u w:val="single"/>
              </w:rPr>
              <w:t xml:space="preserve">  /  </w:t>
            </w:r>
            <w:r>
              <w:rPr>
                <w:rFonts w:hint="default" w:ascii="Times New Roman" w:hAnsi="Times New Roman" w:eastAsia="宋体" w:cs="Times New Roman"/>
                <w:color w:val="auto"/>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019"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5595" w:type="dxa"/>
            <w:gridSpan w:val="13"/>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大气毒性终点浓度-2 最大影响范围</w:t>
            </w:r>
            <w:r>
              <w:rPr>
                <w:rFonts w:hint="default" w:ascii="Times New Roman" w:hAnsi="Times New Roman" w:eastAsia="宋体" w:cs="Times New Roman"/>
                <w:color w:val="auto"/>
                <w:szCs w:val="21"/>
                <w:u w:val="single"/>
              </w:rPr>
              <w:t xml:space="preserve">  /  </w:t>
            </w:r>
            <w:r>
              <w:rPr>
                <w:rFonts w:hint="default" w:ascii="Times New Roman" w:hAnsi="Times New Roman" w:eastAsia="宋体" w:cs="Times New Roman"/>
                <w:color w:val="auto"/>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6614" w:type="dxa"/>
            <w:gridSpan w:val="1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最近环境敏感目标</w:t>
            </w:r>
            <w:r>
              <w:rPr>
                <w:rFonts w:hint="default" w:ascii="Times New Roman" w:hAnsi="Times New Roman" w:eastAsia="宋体" w:cs="Times New Roman"/>
                <w:color w:val="auto"/>
                <w:szCs w:val="21"/>
                <w:u w:val="single"/>
              </w:rPr>
              <w:t xml:space="preserve">   /   </w:t>
            </w:r>
            <w:r>
              <w:rPr>
                <w:rFonts w:hint="default" w:ascii="Times New Roman" w:hAnsi="Times New Roman" w:eastAsia="宋体" w:cs="Times New Roman"/>
                <w:color w:val="auto"/>
                <w:szCs w:val="21"/>
              </w:rPr>
              <w:t>，到达时间</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restart"/>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6614" w:type="dxa"/>
            <w:gridSpan w:val="14"/>
            <w:tcBorders>
              <w:tl2br w:val="nil"/>
              <w:tr2bl w:val="nil"/>
            </w:tcBorders>
            <w:vAlign w:val="center"/>
          </w:tcPr>
          <w:p>
            <w:pPr>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rPr>
              <w:t>下游厂区边界到达时间</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1225" w:type="dxa"/>
            <w:vMerge w:val="continue"/>
            <w:tcBorders>
              <w:tl2br w:val="nil"/>
              <w:tr2bl w:val="nil"/>
            </w:tcBorders>
            <w:vAlign w:val="center"/>
          </w:tcPr>
          <w:p>
            <w:pPr>
              <w:jc w:val="center"/>
              <w:rPr>
                <w:rFonts w:hint="default" w:ascii="Times New Roman" w:hAnsi="Times New Roman" w:eastAsia="宋体" w:cs="Times New Roman"/>
                <w:color w:val="auto"/>
                <w:szCs w:val="21"/>
              </w:rPr>
            </w:pPr>
          </w:p>
        </w:tc>
        <w:tc>
          <w:tcPr>
            <w:tcW w:w="6614" w:type="dxa"/>
            <w:gridSpan w:val="1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最近环境敏感目标</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，到达时间</w:t>
            </w:r>
            <w:r>
              <w:rPr>
                <w:rFonts w:hint="default" w:ascii="Times New Roman" w:hAnsi="Times New Roman" w:eastAsia="宋体" w:cs="Times New Roman"/>
                <w:color w:val="auto"/>
                <w:szCs w:val="21"/>
                <w:u w:val="single"/>
              </w:rPr>
              <w:t xml:space="preserve">      </w:t>
            </w:r>
            <w:r>
              <w:rPr>
                <w:rFonts w:hint="default" w:ascii="Times New Roman" w:hAnsi="Times New Roman" w:eastAsia="宋体" w:cs="Times New Roman"/>
                <w:color w:val="auto"/>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重点风险防范措施</w:t>
            </w:r>
          </w:p>
        </w:tc>
        <w:tc>
          <w:tcPr>
            <w:tcW w:w="6614" w:type="dxa"/>
            <w:gridSpan w:val="14"/>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安装防喷器和控制装置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5" w:type="dxa"/>
            <w:gridSpan w:val="2"/>
            <w:tcBorders>
              <w:tl2br w:val="nil"/>
              <w:tr2bl w:val="nil"/>
            </w:tcBorders>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评价结论与建议</w:t>
            </w:r>
          </w:p>
        </w:tc>
        <w:tc>
          <w:tcPr>
            <w:tcW w:w="6614" w:type="dxa"/>
            <w:gridSpan w:val="14"/>
            <w:tcBorders>
              <w:tl2br w:val="nil"/>
              <w:tr2bl w:val="nil"/>
            </w:tcBorders>
            <w:vAlign w:val="center"/>
          </w:tcPr>
          <w:p>
            <w:pPr>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项目正常运行下，不会有环境风险事故发生，环境风险事故发生均由管理制度不健全、生产管理疏忽等因素产生，运行中落实风险防范措施，完善风险管理制度和管理机构人员，项目环境风险可以接受。</w:t>
            </w:r>
          </w:p>
        </w:tc>
      </w:tr>
    </w:tbl>
    <w:p>
      <w:pPr>
        <w:pStyle w:val="60"/>
        <w:rPr>
          <w:rFonts w:hint="default" w:ascii="Times New Roman" w:hAnsi="Times New Roman" w:cs="Times New Roman"/>
          <w:bCs w:val="0"/>
          <w:snapToGrid/>
          <w:color w:val="auto"/>
          <w:szCs w:val="30"/>
        </w:rPr>
      </w:pPr>
      <w:bookmarkStart w:id="594" w:name="_Toc494110706"/>
      <w:bookmarkStart w:id="595" w:name="_Hlk93053205"/>
      <w:r>
        <w:rPr>
          <w:rFonts w:hint="default" w:ascii="Times New Roman" w:hAnsi="Times New Roman" w:cs="Times New Roman"/>
          <w:bCs w:val="0"/>
          <w:snapToGrid/>
          <w:color w:val="auto"/>
          <w:szCs w:val="30"/>
        </w:rPr>
        <w:t>总结论</w:t>
      </w:r>
      <w:bookmarkEnd w:id="594"/>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属于国家产业政策鼓励项目，项目所在区域环境质量较好，项目实施后可取得较大的经济效益和社会效益。尽管在工程建设和运行中，会对周围的环境产生一定的不利影响，并在今后的建设和运行中存在一定风险性，但其影响和风险是可以接受的。只要建设单位加强环境管理，认真落实可行性研究报告和本环评报告书中提出的各项污染防治措施、风险防范措施以及生态环境保护和恢复措施，可使本项目对环境造成的不利影响降低到最低限度。</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因此，本报告书认为，该项目建设在环境保护方面可行。</w:t>
      </w:r>
    </w:p>
    <w:p>
      <w:pPr>
        <w:pStyle w:val="3"/>
        <w:spacing w:before="10" w:after="10"/>
        <w:rPr>
          <w:rFonts w:hint="default" w:ascii="Times New Roman" w:hAnsi="Times New Roman" w:eastAsia="宋体" w:cs="Times New Roman"/>
          <w:color w:val="auto"/>
        </w:rPr>
      </w:pPr>
      <w:bookmarkStart w:id="596" w:name="_Toc13970"/>
      <w:bookmarkStart w:id="597" w:name="_Toc44088117"/>
      <w:bookmarkStart w:id="598" w:name="_Toc8137"/>
      <w:bookmarkStart w:id="599" w:name="_Toc6470"/>
      <w:bookmarkStart w:id="600" w:name="_Toc35366511"/>
      <w:bookmarkStart w:id="601" w:name="_Toc35366119"/>
      <w:r>
        <w:rPr>
          <w:rFonts w:hint="default" w:ascii="Times New Roman" w:hAnsi="Times New Roman" w:eastAsia="宋体" w:cs="Times New Roman"/>
          <w:color w:val="auto"/>
        </w:rPr>
        <w:t>要求与建议</w:t>
      </w:r>
      <w:bookmarkEnd w:id="596"/>
      <w:bookmarkEnd w:id="597"/>
      <w:bookmarkEnd w:id="598"/>
      <w:bookmarkEnd w:id="599"/>
      <w:bookmarkEnd w:id="600"/>
      <w:bookmarkEnd w:id="601"/>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（1）在项目建设运行中，应积极采用先进的新工艺、新技术，减少污染物的产生量、排放量，确保污染物稳定达标。</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（2）加强管材腐蚀机理研究、推广应用新型防腐管材，加强作业废水处理系统和输水管线管理，防止管道腐蚀穿孔。</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（3）作业废水在环保部门监督下，处理满足标准后用于回注油藏，不外排。</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4</w:t>
      </w:r>
      <w:r>
        <w:rPr>
          <w:rFonts w:hint="default" w:ascii="Times New Roman" w:hAnsi="Times New Roman" w:cs="Times New Roman"/>
          <w:color w:val="auto"/>
          <w:sz w:val="24"/>
          <w:szCs w:val="24"/>
        </w:rPr>
        <w:t>）含油污泥</w:t>
      </w:r>
      <w:r>
        <w:rPr>
          <w:rFonts w:cs="Times New Roman"/>
          <w:color w:val="auto"/>
          <w:sz w:val="24"/>
          <w:szCs w:val="24"/>
        </w:rPr>
        <w:t>、落地原油</w:t>
      </w:r>
      <w:r>
        <w:rPr>
          <w:rFonts w:hint="default" w:ascii="Times New Roman" w:hAnsi="Times New Roman" w:cs="Times New Roman"/>
          <w:color w:val="auto"/>
          <w:sz w:val="24"/>
          <w:szCs w:val="24"/>
        </w:rPr>
        <w:t>等危险废物环境管理执行《危险废物贮存污染控制标准》（GB18597-2023）、《危险废物环境管理指南 陆上石油天然气开采》的相关要求进行贮存、处置，禁止随意掩埋或倾倒。</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5</w:t>
      </w:r>
      <w:r>
        <w:rPr>
          <w:rFonts w:hint="default" w:ascii="Times New Roman" w:hAnsi="Times New Roman" w:cs="Times New Roman"/>
          <w:color w:val="auto"/>
          <w:sz w:val="24"/>
          <w:szCs w:val="24"/>
        </w:rPr>
        <w:t>）项目的环境污染治理措施和生态保护措施必须与主体工程“三同时”：其配套的环保设施也必须与主体工程同时建设投入运行；建设单位应在项目设计、施工建设、投产运行阶段严格按照本环评文件及批复要求，落实项目各项环境保护措施，确保“三废”稳定达标排放。</w:t>
      </w:r>
    </w:p>
    <w:p>
      <w:pPr>
        <w:pStyle w:val="56"/>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6</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按照环境风险管控要求，本项目建成后，建设单位应定期开展突发环境事件应急演练，提供干部职工处置突发环境事件的能力</w:t>
      </w:r>
      <w:r>
        <w:rPr>
          <w:rFonts w:hint="default" w:ascii="Times New Roman" w:hAnsi="Times New Roman" w:cs="Times New Roman"/>
          <w:color w:val="auto"/>
          <w:sz w:val="24"/>
          <w:szCs w:val="24"/>
        </w:rPr>
        <w:t>。</w:t>
      </w:r>
    </w:p>
    <w:bookmarkEnd w:id="595"/>
    <w:p>
      <w:pPr>
        <w:pStyle w:val="56"/>
        <w:spacing w:line="360" w:lineRule="auto"/>
        <w:rPr>
          <w:rFonts w:hint="default" w:ascii="Times New Roman" w:hAnsi="Times New Roman" w:cs="Times New Roman"/>
          <w:color w:val="auto"/>
          <w:sz w:val="24"/>
          <w:szCs w:val="24"/>
        </w:rPr>
      </w:pPr>
    </w:p>
    <w:p>
      <w:pPr>
        <w:pStyle w:val="56"/>
        <w:spacing w:line="360" w:lineRule="auto"/>
        <w:rPr>
          <w:rFonts w:hint="default" w:ascii="Times New Roman" w:hAnsi="Times New Roman" w:cs="Times New Roman"/>
          <w:color w:val="auto"/>
          <w:sz w:val="24"/>
          <w:szCs w:val="24"/>
        </w:rPr>
      </w:pPr>
    </w:p>
    <w:p>
      <w:pPr>
        <w:rPr>
          <w:rFonts w:hint="default" w:ascii="Times New Roman" w:hAnsi="Times New Roman" w:eastAsia="宋体" w:cs="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方正仿宋简体">
    <w:altName w:val="微软雅黑"/>
    <w:panose1 w:val="00000000000000000000"/>
    <w:charset w:val="86"/>
    <w:family w:val="auto"/>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I6/u+rgEAAEwD&#10;AAAOAAAAAAAAAAEAIAAAAB4BAABkcnMvZTJvRG9jLnhtbFBLBQYAAAAABgAGAFkBAAA+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rPr>
        <w:rFonts w:ascii="Times New Roman" w:hAnsi="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289</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eI1Mia8BAABM&#10;AwAADgAAAAAAAAABACAAAAAeAQAAZHJzL2Uyb0RvYy54bWxQSwUGAAAAAAYABgBZAQAAP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289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1"/>
      </w:pBdr>
      <w:jc w:val="center"/>
      <w:rPr>
        <w:rFonts w:ascii="Times New Roman" w:hAnsi="Times New Roman" w:eastAsia="宋体" w:cs="Times New Roman"/>
        <w:b/>
        <w:bCs/>
      </w:rPr>
    </w:pPr>
    <w:r>
      <w:rPr>
        <w:rFonts w:hint="eastAsia" w:ascii="Times New Roman" w:hAnsi="Times New Roman" w:cs="Times New Roman"/>
        <w:b/>
        <w:bCs/>
        <w:lang w:val="en-GB" w:eastAsia="zh-CN"/>
      </w:rPr>
      <w:t>陆136井区侏罗系头屯河组油藏2025年建设工程</w:t>
    </w:r>
    <w:r>
      <w:rPr>
        <w:rFonts w:ascii="Times New Roman" w:hAnsi="Times New Roman" w:cs="Times New Roman"/>
        <w:b/>
        <w:bCs/>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DBC10"/>
    <w:multiLevelType w:val="singleLevel"/>
    <w:tmpl w:val="822DBC10"/>
    <w:lvl w:ilvl="0" w:tentative="0">
      <w:start w:val="1"/>
      <w:numFmt w:val="decimal"/>
      <w:suff w:val="nothing"/>
      <w:lvlText w:val="（%1）"/>
      <w:lvlJc w:val="left"/>
    </w:lvl>
  </w:abstractNum>
  <w:abstractNum w:abstractNumId="1">
    <w:nsid w:val="A510B647"/>
    <w:multiLevelType w:val="singleLevel"/>
    <w:tmpl w:val="A510B647"/>
    <w:lvl w:ilvl="0" w:tentative="0">
      <w:start w:val="1"/>
      <w:numFmt w:val="decimal"/>
      <w:suff w:val="nothing"/>
      <w:lvlText w:val="（%1）"/>
      <w:lvlJc w:val="left"/>
    </w:lvl>
  </w:abstractNum>
  <w:abstractNum w:abstractNumId="2">
    <w:nsid w:val="F8E7B5E9"/>
    <w:multiLevelType w:val="singleLevel"/>
    <w:tmpl w:val="F8E7B5E9"/>
    <w:lvl w:ilvl="0" w:tentative="0">
      <w:start w:val="1"/>
      <w:numFmt w:val="decimal"/>
      <w:suff w:val="nothing"/>
      <w:lvlText w:val="（%1）"/>
      <w:lvlJc w:val="left"/>
    </w:lvl>
  </w:abstractNum>
  <w:abstractNum w:abstractNumId="3">
    <w:nsid w:val="08DB7156"/>
    <w:multiLevelType w:val="singleLevel"/>
    <w:tmpl w:val="08DB7156"/>
    <w:lvl w:ilvl="0" w:tentative="0">
      <w:start w:val="1"/>
      <w:numFmt w:val="decimal"/>
      <w:suff w:val="nothing"/>
      <w:lvlText w:val="（%1）"/>
      <w:lvlJc w:val="left"/>
    </w:lvl>
  </w:abstractNum>
  <w:abstractNum w:abstractNumId="4">
    <w:nsid w:val="14057161"/>
    <w:multiLevelType w:val="singleLevel"/>
    <w:tmpl w:val="14057161"/>
    <w:lvl w:ilvl="0" w:tentative="0">
      <w:start w:val="1"/>
      <w:numFmt w:val="decimal"/>
      <w:suff w:val="nothing"/>
      <w:lvlText w:val="%1）"/>
      <w:lvlJc w:val="left"/>
    </w:lvl>
  </w:abstractNum>
  <w:abstractNum w:abstractNumId="5">
    <w:nsid w:val="1E170301"/>
    <w:multiLevelType w:val="multilevel"/>
    <w:tmpl w:val="1E170301"/>
    <w:lvl w:ilvl="0" w:tentative="0">
      <w:start w:val="1"/>
      <w:numFmt w:val="decimal"/>
      <w:lvlText w:val="%1"/>
      <w:lvlJc w:val="left"/>
      <w:pPr>
        <w:ind w:left="1843" w:hanging="425"/>
      </w:pPr>
      <w:rPr>
        <w:rFonts w:hint="default" w:ascii="Times New Roman" w:hAnsi="Times New Roman" w:cs="Times New Roman"/>
      </w:rPr>
    </w:lvl>
    <w:lvl w:ilvl="1" w:tentative="0">
      <w:start w:val="1"/>
      <w:numFmt w:val="decimal"/>
      <w:lvlText w:val="%1.%2"/>
      <w:lvlJc w:val="left"/>
      <w:pPr>
        <w:ind w:left="993" w:hanging="567"/>
      </w:pPr>
      <w:rPr>
        <w:rFonts w:hint="default" w:ascii="Times New Roman" w:hAnsi="Times New Roman" w:cs="Times New Roman"/>
      </w:rPr>
    </w:lvl>
    <w:lvl w:ilvl="2" w:tentative="0">
      <w:start w:val="1"/>
      <w:numFmt w:val="decimal"/>
      <w:lvlText w:val="%1.%2.%3"/>
      <w:lvlJc w:val="left"/>
      <w:pPr>
        <w:ind w:left="3828" w:hanging="709"/>
      </w:pPr>
      <w:rPr>
        <w:rFonts w:hint="default" w:ascii="Times New Roman" w:hAnsi="Times New Roman" w:cs="Times New Roman"/>
        <w:lang w:val="en-US"/>
      </w:rPr>
    </w:lvl>
    <w:lvl w:ilvl="3" w:tentative="0">
      <w:start w:val="1"/>
      <w:numFmt w:val="decimal"/>
      <w:pStyle w:val="111"/>
      <w:lvlText w:val="%1.%2.%3.%4"/>
      <w:lvlJc w:val="left"/>
      <w:pPr>
        <w:ind w:left="4309"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3C3B2518"/>
    <w:multiLevelType w:val="singleLevel"/>
    <w:tmpl w:val="3C3B2518"/>
    <w:lvl w:ilvl="0" w:tentative="0">
      <w:start w:val="1"/>
      <w:numFmt w:val="decimal"/>
      <w:suff w:val="nothing"/>
      <w:lvlText w:val="%1）"/>
      <w:lvlJc w:val="left"/>
    </w:lvl>
  </w:abstractNum>
  <w:abstractNum w:abstractNumId="7">
    <w:nsid w:val="4CEC45CD"/>
    <w:multiLevelType w:val="multilevel"/>
    <w:tmpl w:val="4CEC45CD"/>
    <w:lvl w:ilvl="0" w:tentative="0">
      <w:start w:val="1"/>
      <w:numFmt w:val="decimal"/>
      <w:suff w:val="nothing"/>
      <w:lvlText w:val="%1"/>
      <w:lvlJc w:val="left"/>
      <w:rPr>
        <w:rFonts w:hint="eastAsia" w:cs="Times New Roman"/>
      </w:rPr>
    </w:lvl>
    <w:lvl w:ilvl="1" w:tentative="0">
      <w:start w:val="1"/>
      <w:numFmt w:val="decimal"/>
      <w:suff w:val="nothing"/>
      <w:lvlText w:val="%1.%2"/>
      <w:lvlJc w:val="left"/>
      <w:rPr>
        <w:rFonts w:hint="eastAsia" w:cs="Times New Roman"/>
      </w:rPr>
    </w:lvl>
    <w:lvl w:ilvl="2" w:tentative="0">
      <w:start w:val="1"/>
      <w:numFmt w:val="decimal"/>
      <w:lvlText w:val="%1.%2.%3"/>
      <w:lvlJc w:val="left"/>
      <w:pPr>
        <w:tabs>
          <w:tab w:val="left" w:pos="720"/>
        </w:tabs>
        <w:ind w:left="720" w:hanging="720"/>
      </w:pPr>
      <w:rPr>
        <w:rFonts w:hint="default" w:ascii="Times New Roman" w:hAnsi="Times New Roman" w:cs="Times New Roman"/>
        <w:color w:val="auto"/>
      </w:rPr>
    </w:lvl>
    <w:lvl w:ilvl="3" w:tentative="0">
      <w:start w:val="1"/>
      <w:numFmt w:val="decimal"/>
      <w:pStyle w:val="5"/>
      <w:lvlText w:val="%1.%2.%3.%4"/>
      <w:lvlJc w:val="left"/>
      <w:pPr>
        <w:tabs>
          <w:tab w:val="left" w:pos="864"/>
        </w:tabs>
        <w:ind w:left="864" w:hanging="864"/>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8">
    <w:nsid w:val="582BD665"/>
    <w:multiLevelType w:val="multilevel"/>
    <w:tmpl w:val="582BD665"/>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pStyle w:val="6"/>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9">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7"/>
  </w:num>
  <w:num w:numId="2">
    <w:abstractNumId w:val="8"/>
  </w:num>
  <w:num w:numId="3">
    <w:abstractNumId w:val="5"/>
  </w:num>
  <w:num w:numId="4">
    <w:abstractNumId w:val="1"/>
  </w:num>
  <w:num w:numId="5">
    <w:abstractNumId w:val="6"/>
  </w:num>
  <w:num w:numId="6">
    <w:abstractNumId w:val="4"/>
  </w:num>
  <w:num w:numId="7">
    <w:abstractNumId w:val="2"/>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4YWM0OTU0N2ZmYzEzY2QyMjY4YTMyZTM0ODYxMjYifQ=="/>
  </w:docVars>
  <w:rsids>
    <w:rsidRoot w:val="06401E1F"/>
    <w:rsid w:val="000468D2"/>
    <w:rsid w:val="00052D09"/>
    <w:rsid w:val="00067F08"/>
    <w:rsid w:val="00087B4C"/>
    <w:rsid w:val="00087F5A"/>
    <w:rsid w:val="000B36A3"/>
    <w:rsid w:val="000D68A2"/>
    <w:rsid w:val="001148C2"/>
    <w:rsid w:val="001201A3"/>
    <w:rsid w:val="00162196"/>
    <w:rsid w:val="00197970"/>
    <w:rsid w:val="001D7D62"/>
    <w:rsid w:val="001F6421"/>
    <w:rsid w:val="002113F8"/>
    <w:rsid w:val="002132B5"/>
    <w:rsid w:val="00213582"/>
    <w:rsid w:val="00283393"/>
    <w:rsid w:val="00287FD7"/>
    <w:rsid w:val="002B2CB3"/>
    <w:rsid w:val="002B7A87"/>
    <w:rsid w:val="00337586"/>
    <w:rsid w:val="00366D1B"/>
    <w:rsid w:val="003707D3"/>
    <w:rsid w:val="00375E19"/>
    <w:rsid w:val="0039365C"/>
    <w:rsid w:val="003A7C46"/>
    <w:rsid w:val="003F20E1"/>
    <w:rsid w:val="004A1001"/>
    <w:rsid w:val="004C1E86"/>
    <w:rsid w:val="004D1573"/>
    <w:rsid w:val="004D750B"/>
    <w:rsid w:val="00507FB4"/>
    <w:rsid w:val="00517325"/>
    <w:rsid w:val="00534E17"/>
    <w:rsid w:val="005557F7"/>
    <w:rsid w:val="00587BEF"/>
    <w:rsid w:val="00595653"/>
    <w:rsid w:val="005A120B"/>
    <w:rsid w:val="005B20E1"/>
    <w:rsid w:val="005D2854"/>
    <w:rsid w:val="006279C8"/>
    <w:rsid w:val="00637F08"/>
    <w:rsid w:val="006743E9"/>
    <w:rsid w:val="00684C58"/>
    <w:rsid w:val="00685AC6"/>
    <w:rsid w:val="00696EDC"/>
    <w:rsid w:val="007249DE"/>
    <w:rsid w:val="00733FB6"/>
    <w:rsid w:val="00742AA9"/>
    <w:rsid w:val="007435CD"/>
    <w:rsid w:val="00751617"/>
    <w:rsid w:val="007C1F03"/>
    <w:rsid w:val="007F3A38"/>
    <w:rsid w:val="007F6DF4"/>
    <w:rsid w:val="00802E57"/>
    <w:rsid w:val="00845567"/>
    <w:rsid w:val="00851233"/>
    <w:rsid w:val="00866424"/>
    <w:rsid w:val="008B2272"/>
    <w:rsid w:val="008B2602"/>
    <w:rsid w:val="008E23E1"/>
    <w:rsid w:val="0094498A"/>
    <w:rsid w:val="00952669"/>
    <w:rsid w:val="00955E34"/>
    <w:rsid w:val="00966AED"/>
    <w:rsid w:val="009708A1"/>
    <w:rsid w:val="009969B2"/>
    <w:rsid w:val="00997198"/>
    <w:rsid w:val="009C0A33"/>
    <w:rsid w:val="009D7C43"/>
    <w:rsid w:val="00A00A5F"/>
    <w:rsid w:val="00A22D1F"/>
    <w:rsid w:val="00A257F2"/>
    <w:rsid w:val="00A93492"/>
    <w:rsid w:val="00AD4CC2"/>
    <w:rsid w:val="00AF1558"/>
    <w:rsid w:val="00B111CF"/>
    <w:rsid w:val="00B40F04"/>
    <w:rsid w:val="00B6265F"/>
    <w:rsid w:val="00B92181"/>
    <w:rsid w:val="00BA5444"/>
    <w:rsid w:val="00BC34EB"/>
    <w:rsid w:val="00C55109"/>
    <w:rsid w:val="00C63145"/>
    <w:rsid w:val="00C95132"/>
    <w:rsid w:val="00CD321F"/>
    <w:rsid w:val="00CE1A2D"/>
    <w:rsid w:val="00D24FF0"/>
    <w:rsid w:val="00D411DE"/>
    <w:rsid w:val="00D516A8"/>
    <w:rsid w:val="00D60714"/>
    <w:rsid w:val="00DD0D13"/>
    <w:rsid w:val="00DE729D"/>
    <w:rsid w:val="00E23A60"/>
    <w:rsid w:val="00E34E3F"/>
    <w:rsid w:val="00E36F30"/>
    <w:rsid w:val="00E75A42"/>
    <w:rsid w:val="00E80FFD"/>
    <w:rsid w:val="00EE7025"/>
    <w:rsid w:val="00F122AD"/>
    <w:rsid w:val="00F34BF5"/>
    <w:rsid w:val="00FB0CE9"/>
    <w:rsid w:val="00FF1245"/>
    <w:rsid w:val="010D02DB"/>
    <w:rsid w:val="01227D26"/>
    <w:rsid w:val="013272EB"/>
    <w:rsid w:val="013C690E"/>
    <w:rsid w:val="01457907"/>
    <w:rsid w:val="01483748"/>
    <w:rsid w:val="01556F00"/>
    <w:rsid w:val="01602E1F"/>
    <w:rsid w:val="0165285D"/>
    <w:rsid w:val="016A347B"/>
    <w:rsid w:val="01875DDB"/>
    <w:rsid w:val="019F4625"/>
    <w:rsid w:val="01B6046E"/>
    <w:rsid w:val="01C66596"/>
    <w:rsid w:val="01EE5029"/>
    <w:rsid w:val="01F41D57"/>
    <w:rsid w:val="01F4587B"/>
    <w:rsid w:val="0227311A"/>
    <w:rsid w:val="022C47AE"/>
    <w:rsid w:val="025D6B3C"/>
    <w:rsid w:val="026D0816"/>
    <w:rsid w:val="026E6F9B"/>
    <w:rsid w:val="027345B1"/>
    <w:rsid w:val="02774F5B"/>
    <w:rsid w:val="02815624"/>
    <w:rsid w:val="02900CBF"/>
    <w:rsid w:val="029735E3"/>
    <w:rsid w:val="02AD361F"/>
    <w:rsid w:val="02B24304"/>
    <w:rsid w:val="02BD11DE"/>
    <w:rsid w:val="02CB1CF7"/>
    <w:rsid w:val="02E26CFA"/>
    <w:rsid w:val="02E63B60"/>
    <w:rsid w:val="02EB461E"/>
    <w:rsid w:val="030448C8"/>
    <w:rsid w:val="030F6088"/>
    <w:rsid w:val="032825A8"/>
    <w:rsid w:val="032E34D2"/>
    <w:rsid w:val="03393105"/>
    <w:rsid w:val="03413C25"/>
    <w:rsid w:val="03710AF1"/>
    <w:rsid w:val="03725513"/>
    <w:rsid w:val="037B54CB"/>
    <w:rsid w:val="038D79EF"/>
    <w:rsid w:val="039C109A"/>
    <w:rsid w:val="039F0B4D"/>
    <w:rsid w:val="03BD2A49"/>
    <w:rsid w:val="03D03378"/>
    <w:rsid w:val="03E5328D"/>
    <w:rsid w:val="03E80687"/>
    <w:rsid w:val="03F33D04"/>
    <w:rsid w:val="04247600"/>
    <w:rsid w:val="04290F8E"/>
    <w:rsid w:val="04310280"/>
    <w:rsid w:val="04406167"/>
    <w:rsid w:val="044C0C16"/>
    <w:rsid w:val="046B6C94"/>
    <w:rsid w:val="047F5CFA"/>
    <w:rsid w:val="048D44BE"/>
    <w:rsid w:val="04952E68"/>
    <w:rsid w:val="04A30F56"/>
    <w:rsid w:val="04B74CF5"/>
    <w:rsid w:val="04BD1431"/>
    <w:rsid w:val="04C66876"/>
    <w:rsid w:val="04E470A0"/>
    <w:rsid w:val="05017C52"/>
    <w:rsid w:val="05125B0F"/>
    <w:rsid w:val="052A26EC"/>
    <w:rsid w:val="05300849"/>
    <w:rsid w:val="053A13B6"/>
    <w:rsid w:val="053F1874"/>
    <w:rsid w:val="054144F3"/>
    <w:rsid w:val="055D079C"/>
    <w:rsid w:val="058D187B"/>
    <w:rsid w:val="059B56BB"/>
    <w:rsid w:val="05AC5838"/>
    <w:rsid w:val="05AD1922"/>
    <w:rsid w:val="05AD4C94"/>
    <w:rsid w:val="05B9677F"/>
    <w:rsid w:val="05CE7393"/>
    <w:rsid w:val="05EB5AC2"/>
    <w:rsid w:val="05F71285"/>
    <w:rsid w:val="06021ED4"/>
    <w:rsid w:val="061270CF"/>
    <w:rsid w:val="06166747"/>
    <w:rsid w:val="06225034"/>
    <w:rsid w:val="062A788F"/>
    <w:rsid w:val="063F1CCE"/>
    <w:rsid w:val="06400C4E"/>
    <w:rsid w:val="06401E1F"/>
    <w:rsid w:val="06510003"/>
    <w:rsid w:val="065442A1"/>
    <w:rsid w:val="06565D7C"/>
    <w:rsid w:val="066515CF"/>
    <w:rsid w:val="066761DB"/>
    <w:rsid w:val="067E1BF2"/>
    <w:rsid w:val="068358CB"/>
    <w:rsid w:val="068C3286"/>
    <w:rsid w:val="069E5DB3"/>
    <w:rsid w:val="06A91014"/>
    <w:rsid w:val="06AB1A92"/>
    <w:rsid w:val="06B11DDC"/>
    <w:rsid w:val="06D617A7"/>
    <w:rsid w:val="070E77B4"/>
    <w:rsid w:val="07237C0B"/>
    <w:rsid w:val="0726043A"/>
    <w:rsid w:val="07290A58"/>
    <w:rsid w:val="072E6CF9"/>
    <w:rsid w:val="073705C5"/>
    <w:rsid w:val="073C7668"/>
    <w:rsid w:val="073E046F"/>
    <w:rsid w:val="07436E78"/>
    <w:rsid w:val="07466C2D"/>
    <w:rsid w:val="07473B2A"/>
    <w:rsid w:val="074F739B"/>
    <w:rsid w:val="075B3F5D"/>
    <w:rsid w:val="075C3CF0"/>
    <w:rsid w:val="076A5A95"/>
    <w:rsid w:val="07750484"/>
    <w:rsid w:val="07827312"/>
    <w:rsid w:val="07836C1F"/>
    <w:rsid w:val="07866B35"/>
    <w:rsid w:val="079D74A1"/>
    <w:rsid w:val="07B322C5"/>
    <w:rsid w:val="07B436A2"/>
    <w:rsid w:val="07F7629E"/>
    <w:rsid w:val="07F95EB8"/>
    <w:rsid w:val="07FC0BA5"/>
    <w:rsid w:val="08057A5A"/>
    <w:rsid w:val="081D1247"/>
    <w:rsid w:val="08397703"/>
    <w:rsid w:val="0850090F"/>
    <w:rsid w:val="08660783"/>
    <w:rsid w:val="088C0998"/>
    <w:rsid w:val="08CE609D"/>
    <w:rsid w:val="08D062B9"/>
    <w:rsid w:val="08D847D2"/>
    <w:rsid w:val="08DA47BF"/>
    <w:rsid w:val="08E64E36"/>
    <w:rsid w:val="08E817B0"/>
    <w:rsid w:val="08FF2325"/>
    <w:rsid w:val="091221C5"/>
    <w:rsid w:val="09164AB0"/>
    <w:rsid w:val="094B1DE4"/>
    <w:rsid w:val="09523CC3"/>
    <w:rsid w:val="09691CD0"/>
    <w:rsid w:val="097224C5"/>
    <w:rsid w:val="09734E97"/>
    <w:rsid w:val="098F079E"/>
    <w:rsid w:val="09931921"/>
    <w:rsid w:val="09A26EB0"/>
    <w:rsid w:val="09CD0A93"/>
    <w:rsid w:val="09CE160E"/>
    <w:rsid w:val="09CF3BAD"/>
    <w:rsid w:val="09D41021"/>
    <w:rsid w:val="09D41DD9"/>
    <w:rsid w:val="09DF27B9"/>
    <w:rsid w:val="0A1B3564"/>
    <w:rsid w:val="0A242E8F"/>
    <w:rsid w:val="0A425898"/>
    <w:rsid w:val="0A5229E7"/>
    <w:rsid w:val="0A6B07C6"/>
    <w:rsid w:val="0A761A9F"/>
    <w:rsid w:val="0A8F0210"/>
    <w:rsid w:val="0A8F5D00"/>
    <w:rsid w:val="0AA96DC2"/>
    <w:rsid w:val="0AB67731"/>
    <w:rsid w:val="0AC77248"/>
    <w:rsid w:val="0ACF7992"/>
    <w:rsid w:val="0AF92B10"/>
    <w:rsid w:val="0B072378"/>
    <w:rsid w:val="0B0A4CF5"/>
    <w:rsid w:val="0B1854F2"/>
    <w:rsid w:val="0B21646B"/>
    <w:rsid w:val="0B264E66"/>
    <w:rsid w:val="0B266665"/>
    <w:rsid w:val="0B443E46"/>
    <w:rsid w:val="0B4B0EA5"/>
    <w:rsid w:val="0B5171FE"/>
    <w:rsid w:val="0B590BF3"/>
    <w:rsid w:val="0B5A6733"/>
    <w:rsid w:val="0B694248"/>
    <w:rsid w:val="0B756E86"/>
    <w:rsid w:val="0B7F2030"/>
    <w:rsid w:val="0B944905"/>
    <w:rsid w:val="0B957346"/>
    <w:rsid w:val="0BA94E25"/>
    <w:rsid w:val="0BC5122A"/>
    <w:rsid w:val="0BCA3494"/>
    <w:rsid w:val="0BCA55FE"/>
    <w:rsid w:val="0BDC40F6"/>
    <w:rsid w:val="0BE80A87"/>
    <w:rsid w:val="0BEB474C"/>
    <w:rsid w:val="0BED2CDE"/>
    <w:rsid w:val="0BEF5B72"/>
    <w:rsid w:val="0C083FBC"/>
    <w:rsid w:val="0C0F534B"/>
    <w:rsid w:val="0C142961"/>
    <w:rsid w:val="0C4843B9"/>
    <w:rsid w:val="0C8901F4"/>
    <w:rsid w:val="0C895A84"/>
    <w:rsid w:val="0C8A49D1"/>
    <w:rsid w:val="0C914039"/>
    <w:rsid w:val="0CBE65DB"/>
    <w:rsid w:val="0CC06645"/>
    <w:rsid w:val="0CCA6707"/>
    <w:rsid w:val="0CDB34A8"/>
    <w:rsid w:val="0CDB46E7"/>
    <w:rsid w:val="0CEE4F60"/>
    <w:rsid w:val="0CF11AB1"/>
    <w:rsid w:val="0D2E50DF"/>
    <w:rsid w:val="0D3606B5"/>
    <w:rsid w:val="0D441024"/>
    <w:rsid w:val="0D4E08E0"/>
    <w:rsid w:val="0D5079C9"/>
    <w:rsid w:val="0D520246"/>
    <w:rsid w:val="0D6007E8"/>
    <w:rsid w:val="0D642229"/>
    <w:rsid w:val="0D6B65B1"/>
    <w:rsid w:val="0D764D13"/>
    <w:rsid w:val="0D7936D5"/>
    <w:rsid w:val="0D8D755E"/>
    <w:rsid w:val="0D9A1B94"/>
    <w:rsid w:val="0DB223F6"/>
    <w:rsid w:val="0DF20A80"/>
    <w:rsid w:val="0DFC36AD"/>
    <w:rsid w:val="0DFC388A"/>
    <w:rsid w:val="0DFE5677"/>
    <w:rsid w:val="0DFE6AF2"/>
    <w:rsid w:val="0E122ED0"/>
    <w:rsid w:val="0E245572"/>
    <w:rsid w:val="0E3177FA"/>
    <w:rsid w:val="0E332697"/>
    <w:rsid w:val="0E5232CD"/>
    <w:rsid w:val="0E56100F"/>
    <w:rsid w:val="0E7216DF"/>
    <w:rsid w:val="0E760819"/>
    <w:rsid w:val="0E914B38"/>
    <w:rsid w:val="0E9F47D0"/>
    <w:rsid w:val="0EA33255"/>
    <w:rsid w:val="0EAB4B0E"/>
    <w:rsid w:val="0EAE431C"/>
    <w:rsid w:val="0EB14D59"/>
    <w:rsid w:val="0EB421D9"/>
    <w:rsid w:val="0EC05491"/>
    <w:rsid w:val="0EC36F8B"/>
    <w:rsid w:val="0EC97A08"/>
    <w:rsid w:val="0EEE0F81"/>
    <w:rsid w:val="0F0E562E"/>
    <w:rsid w:val="0F1467D4"/>
    <w:rsid w:val="0F2509E1"/>
    <w:rsid w:val="0F29227F"/>
    <w:rsid w:val="0F325F78"/>
    <w:rsid w:val="0F3379D4"/>
    <w:rsid w:val="0F3E2AB8"/>
    <w:rsid w:val="0F581507"/>
    <w:rsid w:val="0F661726"/>
    <w:rsid w:val="0F692FC4"/>
    <w:rsid w:val="0F6B527E"/>
    <w:rsid w:val="0F8153E3"/>
    <w:rsid w:val="0F840EC0"/>
    <w:rsid w:val="0F847DFE"/>
    <w:rsid w:val="0F8C6CB2"/>
    <w:rsid w:val="0FA16FC0"/>
    <w:rsid w:val="10004449"/>
    <w:rsid w:val="10287F05"/>
    <w:rsid w:val="10451CBB"/>
    <w:rsid w:val="106876BD"/>
    <w:rsid w:val="107B5005"/>
    <w:rsid w:val="109E064A"/>
    <w:rsid w:val="10BC7123"/>
    <w:rsid w:val="10D0497D"/>
    <w:rsid w:val="10E00683"/>
    <w:rsid w:val="10EA5F52"/>
    <w:rsid w:val="10EB3C70"/>
    <w:rsid w:val="10F20D97"/>
    <w:rsid w:val="10F520CE"/>
    <w:rsid w:val="111156C1"/>
    <w:rsid w:val="11121C2D"/>
    <w:rsid w:val="113917C7"/>
    <w:rsid w:val="11580A80"/>
    <w:rsid w:val="115A36A0"/>
    <w:rsid w:val="11895ECA"/>
    <w:rsid w:val="11A75388"/>
    <w:rsid w:val="11AB3828"/>
    <w:rsid w:val="11AF706C"/>
    <w:rsid w:val="11B83D8F"/>
    <w:rsid w:val="11C444E1"/>
    <w:rsid w:val="11C52008"/>
    <w:rsid w:val="11E15093"/>
    <w:rsid w:val="11EE24B7"/>
    <w:rsid w:val="11F07E01"/>
    <w:rsid w:val="11FE385E"/>
    <w:rsid w:val="120368C9"/>
    <w:rsid w:val="12071384"/>
    <w:rsid w:val="120D56BA"/>
    <w:rsid w:val="121727D4"/>
    <w:rsid w:val="121B3A4D"/>
    <w:rsid w:val="121C53B8"/>
    <w:rsid w:val="12244F80"/>
    <w:rsid w:val="12285AB5"/>
    <w:rsid w:val="12345E22"/>
    <w:rsid w:val="123A0C48"/>
    <w:rsid w:val="126B7053"/>
    <w:rsid w:val="126E18D9"/>
    <w:rsid w:val="127C4DBC"/>
    <w:rsid w:val="12851EC3"/>
    <w:rsid w:val="128B5CC5"/>
    <w:rsid w:val="129C0FBA"/>
    <w:rsid w:val="12A20CBE"/>
    <w:rsid w:val="12A44512"/>
    <w:rsid w:val="12D20E80"/>
    <w:rsid w:val="12E056D3"/>
    <w:rsid w:val="12F50A35"/>
    <w:rsid w:val="12FB03D7"/>
    <w:rsid w:val="12FC7DD6"/>
    <w:rsid w:val="13012E2D"/>
    <w:rsid w:val="13046778"/>
    <w:rsid w:val="1312127D"/>
    <w:rsid w:val="13166FBF"/>
    <w:rsid w:val="13185786"/>
    <w:rsid w:val="13196AAF"/>
    <w:rsid w:val="131B45D5"/>
    <w:rsid w:val="131E40C5"/>
    <w:rsid w:val="13272F7A"/>
    <w:rsid w:val="132A4818"/>
    <w:rsid w:val="13400A03"/>
    <w:rsid w:val="1350477A"/>
    <w:rsid w:val="1356385F"/>
    <w:rsid w:val="136715C8"/>
    <w:rsid w:val="13AA66C2"/>
    <w:rsid w:val="13E34684"/>
    <w:rsid w:val="14104345"/>
    <w:rsid w:val="14123C2A"/>
    <w:rsid w:val="141F1EA3"/>
    <w:rsid w:val="142712B0"/>
    <w:rsid w:val="144D4C62"/>
    <w:rsid w:val="144E1673"/>
    <w:rsid w:val="145264E1"/>
    <w:rsid w:val="14556598"/>
    <w:rsid w:val="1457503A"/>
    <w:rsid w:val="14694024"/>
    <w:rsid w:val="146B1741"/>
    <w:rsid w:val="146C357D"/>
    <w:rsid w:val="148166BA"/>
    <w:rsid w:val="14822C47"/>
    <w:rsid w:val="14830684"/>
    <w:rsid w:val="14936D16"/>
    <w:rsid w:val="149445A5"/>
    <w:rsid w:val="14A038C2"/>
    <w:rsid w:val="14B03A48"/>
    <w:rsid w:val="14B1572C"/>
    <w:rsid w:val="14BB4515"/>
    <w:rsid w:val="14E8099B"/>
    <w:rsid w:val="14E8498B"/>
    <w:rsid w:val="15006DA9"/>
    <w:rsid w:val="15007248"/>
    <w:rsid w:val="15035321"/>
    <w:rsid w:val="15050551"/>
    <w:rsid w:val="150732F7"/>
    <w:rsid w:val="15166F9A"/>
    <w:rsid w:val="151D7B2A"/>
    <w:rsid w:val="151F68ED"/>
    <w:rsid w:val="152B4878"/>
    <w:rsid w:val="153100E0"/>
    <w:rsid w:val="153F6E46"/>
    <w:rsid w:val="154861C9"/>
    <w:rsid w:val="154A2F50"/>
    <w:rsid w:val="15673B02"/>
    <w:rsid w:val="15B34F99"/>
    <w:rsid w:val="15BC38F3"/>
    <w:rsid w:val="15BF547F"/>
    <w:rsid w:val="15C076B6"/>
    <w:rsid w:val="15E2762C"/>
    <w:rsid w:val="15EC2259"/>
    <w:rsid w:val="15F267E7"/>
    <w:rsid w:val="15F3015E"/>
    <w:rsid w:val="15F35395"/>
    <w:rsid w:val="15F829AC"/>
    <w:rsid w:val="15FA6724"/>
    <w:rsid w:val="1606156C"/>
    <w:rsid w:val="1609790D"/>
    <w:rsid w:val="16172423"/>
    <w:rsid w:val="161A6DC6"/>
    <w:rsid w:val="161B28D7"/>
    <w:rsid w:val="162121BE"/>
    <w:rsid w:val="16225CCB"/>
    <w:rsid w:val="1628012E"/>
    <w:rsid w:val="162E2871"/>
    <w:rsid w:val="16302145"/>
    <w:rsid w:val="163F05DA"/>
    <w:rsid w:val="163F4C67"/>
    <w:rsid w:val="16445455"/>
    <w:rsid w:val="16532CAC"/>
    <w:rsid w:val="16570C13"/>
    <w:rsid w:val="166B7621"/>
    <w:rsid w:val="16704B65"/>
    <w:rsid w:val="16AB2114"/>
    <w:rsid w:val="16B006BA"/>
    <w:rsid w:val="16B02F1C"/>
    <w:rsid w:val="16B775CC"/>
    <w:rsid w:val="16C01FCF"/>
    <w:rsid w:val="16E82A20"/>
    <w:rsid w:val="16E86EC4"/>
    <w:rsid w:val="16FD180C"/>
    <w:rsid w:val="17103D25"/>
    <w:rsid w:val="171C5E98"/>
    <w:rsid w:val="1735378C"/>
    <w:rsid w:val="1742736F"/>
    <w:rsid w:val="174B25BD"/>
    <w:rsid w:val="175D2789"/>
    <w:rsid w:val="17602EFE"/>
    <w:rsid w:val="177D0F90"/>
    <w:rsid w:val="178D4D2F"/>
    <w:rsid w:val="17A077B2"/>
    <w:rsid w:val="17B31280"/>
    <w:rsid w:val="17B60D70"/>
    <w:rsid w:val="17BC155D"/>
    <w:rsid w:val="17C56CF4"/>
    <w:rsid w:val="17DC1F60"/>
    <w:rsid w:val="17EC599E"/>
    <w:rsid w:val="18027CFF"/>
    <w:rsid w:val="1822771A"/>
    <w:rsid w:val="18417DFE"/>
    <w:rsid w:val="1842362A"/>
    <w:rsid w:val="184B1F46"/>
    <w:rsid w:val="18583662"/>
    <w:rsid w:val="185D06A3"/>
    <w:rsid w:val="189015C1"/>
    <w:rsid w:val="189E3CDE"/>
    <w:rsid w:val="18A52754"/>
    <w:rsid w:val="18A60DE5"/>
    <w:rsid w:val="18AC0973"/>
    <w:rsid w:val="18CD45C3"/>
    <w:rsid w:val="18E40145"/>
    <w:rsid w:val="18ED098D"/>
    <w:rsid w:val="18F10811"/>
    <w:rsid w:val="18F27B86"/>
    <w:rsid w:val="1907626C"/>
    <w:rsid w:val="19094ED0"/>
    <w:rsid w:val="191B51D2"/>
    <w:rsid w:val="192615D7"/>
    <w:rsid w:val="19390F3A"/>
    <w:rsid w:val="193D73B7"/>
    <w:rsid w:val="19771B2E"/>
    <w:rsid w:val="197E58BE"/>
    <w:rsid w:val="1982054A"/>
    <w:rsid w:val="198E13DA"/>
    <w:rsid w:val="199209CD"/>
    <w:rsid w:val="19946E8F"/>
    <w:rsid w:val="19A63826"/>
    <w:rsid w:val="19A95105"/>
    <w:rsid w:val="19AF7825"/>
    <w:rsid w:val="19B149ED"/>
    <w:rsid w:val="19B72B7E"/>
    <w:rsid w:val="19C022BF"/>
    <w:rsid w:val="19CE5F55"/>
    <w:rsid w:val="19D3103B"/>
    <w:rsid w:val="19D674A8"/>
    <w:rsid w:val="19DE5048"/>
    <w:rsid w:val="19E25E4D"/>
    <w:rsid w:val="19E951A2"/>
    <w:rsid w:val="1A0411BA"/>
    <w:rsid w:val="1A04537E"/>
    <w:rsid w:val="1A073B05"/>
    <w:rsid w:val="1A0A7A1A"/>
    <w:rsid w:val="1A24372C"/>
    <w:rsid w:val="1A304E0A"/>
    <w:rsid w:val="1A336D00"/>
    <w:rsid w:val="1A355960"/>
    <w:rsid w:val="1A383CBF"/>
    <w:rsid w:val="1A4C663C"/>
    <w:rsid w:val="1A5D3725"/>
    <w:rsid w:val="1A661A0D"/>
    <w:rsid w:val="1A6B4094"/>
    <w:rsid w:val="1A9D4615"/>
    <w:rsid w:val="1AA64268"/>
    <w:rsid w:val="1AAF5042"/>
    <w:rsid w:val="1ABF1CEA"/>
    <w:rsid w:val="1ACD6379"/>
    <w:rsid w:val="1AD70C22"/>
    <w:rsid w:val="1AEF2E04"/>
    <w:rsid w:val="1B08736D"/>
    <w:rsid w:val="1B0E5D8C"/>
    <w:rsid w:val="1B2971DB"/>
    <w:rsid w:val="1B2A6BC2"/>
    <w:rsid w:val="1B31109B"/>
    <w:rsid w:val="1B453DD4"/>
    <w:rsid w:val="1B484299"/>
    <w:rsid w:val="1B5763C6"/>
    <w:rsid w:val="1B6C3693"/>
    <w:rsid w:val="1B747109"/>
    <w:rsid w:val="1B770E61"/>
    <w:rsid w:val="1B7F42DB"/>
    <w:rsid w:val="1B965141"/>
    <w:rsid w:val="1BA42E75"/>
    <w:rsid w:val="1BA50EE0"/>
    <w:rsid w:val="1BC278EF"/>
    <w:rsid w:val="1BC866A9"/>
    <w:rsid w:val="1BD301D7"/>
    <w:rsid w:val="1BD531AD"/>
    <w:rsid w:val="1BDD6169"/>
    <w:rsid w:val="1BE67C7B"/>
    <w:rsid w:val="1BFB4FA4"/>
    <w:rsid w:val="1C101107"/>
    <w:rsid w:val="1C256FE9"/>
    <w:rsid w:val="1C2B1486"/>
    <w:rsid w:val="1C4C1790"/>
    <w:rsid w:val="1C50276F"/>
    <w:rsid w:val="1C712E51"/>
    <w:rsid w:val="1C751CB3"/>
    <w:rsid w:val="1C974092"/>
    <w:rsid w:val="1CA36208"/>
    <w:rsid w:val="1CA65F95"/>
    <w:rsid w:val="1CB06BE2"/>
    <w:rsid w:val="1CB3762C"/>
    <w:rsid w:val="1CBD3682"/>
    <w:rsid w:val="1CD12318"/>
    <w:rsid w:val="1CD74ED9"/>
    <w:rsid w:val="1CDE1F88"/>
    <w:rsid w:val="1CE94698"/>
    <w:rsid w:val="1CF85987"/>
    <w:rsid w:val="1D0936F0"/>
    <w:rsid w:val="1D0C44B0"/>
    <w:rsid w:val="1D1207F7"/>
    <w:rsid w:val="1D1B41EA"/>
    <w:rsid w:val="1D3573EE"/>
    <w:rsid w:val="1D3805E0"/>
    <w:rsid w:val="1D3A6CC0"/>
    <w:rsid w:val="1D486E9F"/>
    <w:rsid w:val="1D493CD3"/>
    <w:rsid w:val="1D621BCD"/>
    <w:rsid w:val="1D6363B0"/>
    <w:rsid w:val="1D6558DF"/>
    <w:rsid w:val="1D6B6159"/>
    <w:rsid w:val="1D743260"/>
    <w:rsid w:val="1D792624"/>
    <w:rsid w:val="1D847059"/>
    <w:rsid w:val="1D900918"/>
    <w:rsid w:val="1D965C9B"/>
    <w:rsid w:val="1D973308"/>
    <w:rsid w:val="1D990D88"/>
    <w:rsid w:val="1D9B4C90"/>
    <w:rsid w:val="1DAA6AD7"/>
    <w:rsid w:val="1DB12267"/>
    <w:rsid w:val="1DB54629"/>
    <w:rsid w:val="1E046AAF"/>
    <w:rsid w:val="1E2702D2"/>
    <w:rsid w:val="1E2D7DFE"/>
    <w:rsid w:val="1E5A49F3"/>
    <w:rsid w:val="1E5F1BDD"/>
    <w:rsid w:val="1E62704D"/>
    <w:rsid w:val="1E8E65A3"/>
    <w:rsid w:val="1E911BEF"/>
    <w:rsid w:val="1EC475AC"/>
    <w:rsid w:val="1ECC3B8A"/>
    <w:rsid w:val="1ED22E4D"/>
    <w:rsid w:val="1ED3045A"/>
    <w:rsid w:val="1EDC730E"/>
    <w:rsid w:val="1EF07417"/>
    <w:rsid w:val="1F043DDF"/>
    <w:rsid w:val="1F3E1B59"/>
    <w:rsid w:val="1F4D3D68"/>
    <w:rsid w:val="1F5F6DA1"/>
    <w:rsid w:val="1F7B056A"/>
    <w:rsid w:val="1F7F5EEC"/>
    <w:rsid w:val="1F827D4C"/>
    <w:rsid w:val="1F83778A"/>
    <w:rsid w:val="1F8452B0"/>
    <w:rsid w:val="1F884CDD"/>
    <w:rsid w:val="1F9A4AD4"/>
    <w:rsid w:val="1FA479ED"/>
    <w:rsid w:val="1FA56611"/>
    <w:rsid w:val="1FAB6CCD"/>
    <w:rsid w:val="1FC16504"/>
    <w:rsid w:val="1FDB75C6"/>
    <w:rsid w:val="203B542B"/>
    <w:rsid w:val="203C1534"/>
    <w:rsid w:val="205572B9"/>
    <w:rsid w:val="205A2F15"/>
    <w:rsid w:val="205C5F7C"/>
    <w:rsid w:val="206375BB"/>
    <w:rsid w:val="20721B65"/>
    <w:rsid w:val="207F6946"/>
    <w:rsid w:val="20861588"/>
    <w:rsid w:val="20877D9B"/>
    <w:rsid w:val="20985675"/>
    <w:rsid w:val="20D61B3B"/>
    <w:rsid w:val="20DA5ACF"/>
    <w:rsid w:val="20E83230"/>
    <w:rsid w:val="21417F2E"/>
    <w:rsid w:val="21425423"/>
    <w:rsid w:val="21454434"/>
    <w:rsid w:val="214F022B"/>
    <w:rsid w:val="215C5A4E"/>
    <w:rsid w:val="216D6944"/>
    <w:rsid w:val="216F3E8A"/>
    <w:rsid w:val="21747CD2"/>
    <w:rsid w:val="2186530F"/>
    <w:rsid w:val="218C47D6"/>
    <w:rsid w:val="21902C70"/>
    <w:rsid w:val="21935C7E"/>
    <w:rsid w:val="21A47832"/>
    <w:rsid w:val="21AE7724"/>
    <w:rsid w:val="21B75E11"/>
    <w:rsid w:val="21C14B04"/>
    <w:rsid w:val="21C602F9"/>
    <w:rsid w:val="221A31A6"/>
    <w:rsid w:val="221D087A"/>
    <w:rsid w:val="2226244F"/>
    <w:rsid w:val="22274D44"/>
    <w:rsid w:val="22401962"/>
    <w:rsid w:val="2245160A"/>
    <w:rsid w:val="22495F77"/>
    <w:rsid w:val="224E5F69"/>
    <w:rsid w:val="22547238"/>
    <w:rsid w:val="226118D9"/>
    <w:rsid w:val="22626046"/>
    <w:rsid w:val="226F2247"/>
    <w:rsid w:val="229000D9"/>
    <w:rsid w:val="229B27B0"/>
    <w:rsid w:val="229E7241"/>
    <w:rsid w:val="22A45406"/>
    <w:rsid w:val="22B14501"/>
    <w:rsid w:val="22C86749"/>
    <w:rsid w:val="22F4691F"/>
    <w:rsid w:val="22F66098"/>
    <w:rsid w:val="22FB5B0C"/>
    <w:rsid w:val="23080E3F"/>
    <w:rsid w:val="23111551"/>
    <w:rsid w:val="23153DBC"/>
    <w:rsid w:val="23203542"/>
    <w:rsid w:val="23386ADD"/>
    <w:rsid w:val="234E013D"/>
    <w:rsid w:val="23553802"/>
    <w:rsid w:val="235952E3"/>
    <w:rsid w:val="235971CC"/>
    <w:rsid w:val="235A360D"/>
    <w:rsid w:val="2374660C"/>
    <w:rsid w:val="23A03B7B"/>
    <w:rsid w:val="23AE2305"/>
    <w:rsid w:val="23AF372F"/>
    <w:rsid w:val="23BC5171"/>
    <w:rsid w:val="23BD7996"/>
    <w:rsid w:val="23C6233B"/>
    <w:rsid w:val="23CD5478"/>
    <w:rsid w:val="23D36806"/>
    <w:rsid w:val="23E11061"/>
    <w:rsid w:val="23ED3D6C"/>
    <w:rsid w:val="23FF584D"/>
    <w:rsid w:val="241C11DC"/>
    <w:rsid w:val="242F4CC0"/>
    <w:rsid w:val="2443573A"/>
    <w:rsid w:val="244C4833"/>
    <w:rsid w:val="24747FE9"/>
    <w:rsid w:val="247612EB"/>
    <w:rsid w:val="24763D61"/>
    <w:rsid w:val="2480073C"/>
    <w:rsid w:val="248402CF"/>
    <w:rsid w:val="248D10AB"/>
    <w:rsid w:val="249C309C"/>
    <w:rsid w:val="24A0493A"/>
    <w:rsid w:val="24B46637"/>
    <w:rsid w:val="24B77227"/>
    <w:rsid w:val="24CA1990"/>
    <w:rsid w:val="24ED4299"/>
    <w:rsid w:val="25014BC6"/>
    <w:rsid w:val="252A4E70"/>
    <w:rsid w:val="253A2EBB"/>
    <w:rsid w:val="25415493"/>
    <w:rsid w:val="254908F0"/>
    <w:rsid w:val="255B03B2"/>
    <w:rsid w:val="25632A44"/>
    <w:rsid w:val="25A00B0E"/>
    <w:rsid w:val="25AB6314"/>
    <w:rsid w:val="25B228ED"/>
    <w:rsid w:val="25D00FF0"/>
    <w:rsid w:val="25D75396"/>
    <w:rsid w:val="25D95C1E"/>
    <w:rsid w:val="25DA2356"/>
    <w:rsid w:val="26111E9C"/>
    <w:rsid w:val="26136417"/>
    <w:rsid w:val="2616084C"/>
    <w:rsid w:val="261D0B5A"/>
    <w:rsid w:val="262169F8"/>
    <w:rsid w:val="265D31B2"/>
    <w:rsid w:val="266039A0"/>
    <w:rsid w:val="2666440C"/>
    <w:rsid w:val="26822B98"/>
    <w:rsid w:val="268500D2"/>
    <w:rsid w:val="268549F7"/>
    <w:rsid w:val="268931AA"/>
    <w:rsid w:val="269A0614"/>
    <w:rsid w:val="26A12BEB"/>
    <w:rsid w:val="26A62EDE"/>
    <w:rsid w:val="26B55B66"/>
    <w:rsid w:val="26BC0EBA"/>
    <w:rsid w:val="26BC24B9"/>
    <w:rsid w:val="26C1583E"/>
    <w:rsid w:val="26C1676C"/>
    <w:rsid w:val="26C8461C"/>
    <w:rsid w:val="26C93987"/>
    <w:rsid w:val="26E25422"/>
    <w:rsid w:val="26E84E79"/>
    <w:rsid w:val="26F92FB9"/>
    <w:rsid w:val="270732A4"/>
    <w:rsid w:val="270C4509"/>
    <w:rsid w:val="2713704D"/>
    <w:rsid w:val="271469D8"/>
    <w:rsid w:val="271D6716"/>
    <w:rsid w:val="27262D39"/>
    <w:rsid w:val="273525F4"/>
    <w:rsid w:val="27497CCF"/>
    <w:rsid w:val="275A50BF"/>
    <w:rsid w:val="27695755"/>
    <w:rsid w:val="277651DC"/>
    <w:rsid w:val="277F53CB"/>
    <w:rsid w:val="27840FFE"/>
    <w:rsid w:val="278607B7"/>
    <w:rsid w:val="27912C60"/>
    <w:rsid w:val="27972C79"/>
    <w:rsid w:val="27AF1BA6"/>
    <w:rsid w:val="27B60972"/>
    <w:rsid w:val="27D963F5"/>
    <w:rsid w:val="27F632DE"/>
    <w:rsid w:val="27F829CD"/>
    <w:rsid w:val="282633A8"/>
    <w:rsid w:val="2834510A"/>
    <w:rsid w:val="28406296"/>
    <w:rsid w:val="285D1ACF"/>
    <w:rsid w:val="28757E8C"/>
    <w:rsid w:val="287653AF"/>
    <w:rsid w:val="28980911"/>
    <w:rsid w:val="289A78F2"/>
    <w:rsid w:val="28AF1530"/>
    <w:rsid w:val="28B10C06"/>
    <w:rsid w:val="28BB39A1"/>
    <w:rsid w:val="28C0050C"/>
    <w:rsid w:val="28D83A9B"/>
    <w:rsid w:val="28E53263"/>
    <w:rsid w:val="28E82D54"/>
    <w:rsid w:val="28E86A72"/>
    <w:rsid w:val="28ED31AE"/>
    <w:rsid w:val="28F25976"/>
    <w:rsid w:val="28F412B7"/>
    <w:rsid w:val="28F81EE5"/>
    <w:rsid w:val="290254DC"/>
    <w:rsid w:val="2904348D"/>
    <w:rsid w:val="2914516F"/>
    <w:rsid w:val="2916341D"/>
    <w:rsid w:val="29332221"/>
    <w:rsid w:val="294203AD"/>
    <w:rsid w:val="295B5117"/>
    <w:rsid w:val="29830F6A"/>
    <w:rsid w:val="2987431B"/>
    <w:rsid w:val="298A5BB9"/>
    <w:rsid w:val="298F4F7D"/>
    <w:rsid w:val="29A2255E"/>
    <w:rsid w:val="29A42BB7"/>
    <w:rsid w:val="29A44ECD"/>
    <w:rsid w:val="29AF45CB"/>
    <w:rsid w:val="29CE021D"/>
    <w:rsid w:val="29E362AB"/>
    <w:rsid w:val="29E621C0"/>
    <w:rsid w:val="29FA186F"/>
    <w:rsid w:val="2A1536D4"/>
    <w:rsid w:val="2A170A3F"/>
    <w:rsid w:val="2A21332F"/>
    <w:rsid w:val="2A27165A"/>
    <w:rsid w:val="2A273408"/>
    <w:rsid w:val="2A3343DB"/>
    <w:rsid w:val="2A3A7DAD"/>
    <w:rsid w:val="2A4C77A2"/>
    <w:rsid w:val="2A65721E"/>
    <w:rsid w:val="2A674675"/>
    <w:rsid w:val="2A816FBC"/>
    <w:rsid w:val="2A8C1910"/>
    <w:rsid w:val="2A9036A3"/>
    <w:rsid w:val="2A9A007E"/>
    <w:rsid w:val="2A9A62D0"/>
    <w:rsid w:val="2ABC6246"/>
    <w:rsid w:val="2AE61515"/>
    <w:rsid w:val="2AE65071"/>
    <w:rsid w:val="2AEE5D75"/>
    <w:rsid w:val="2B08148B"/>
    <w:rsid w:val="2B3777F8"/>
    <w:rsid w:val="2B38217B"/>
    <w:rsid w:val="2B5621F6"/>
    <w:rsid w:val="2B5E6122"/>
    <w:rsid w:val="2B836D64"/>
    <w:rsid w:val="2B8F5708"/>
    <w:rsid w:val="2B964E71"/>
    <w:rsid w:val="2BA07916"/>
    <w:rsid w:val="2BA35FD9"/>
    <w:rsid w:val="2BAA76CF"/>
    <w:rsid w:val="2BF974E5"/>
    <w:rsid w:val="2C0F2086"/>
    <w:rsid w:val="2C30732D"/>
    <w:rsid w:val="2C31056E"/>
    <w:rsid w:val="2C3C1646"/>
    <w:rsid w:val="2C5A7C55"/>
    <w:rsid w:val="2C69583A"/>
    <w:rsid w:val="2C6E3E3C"/>
    <w:rsid w:val="2C75205A"/>
    <w:rsid w:val="2C7670FA"/>
    <w:rsid w:val="2C783258"/>
    <w:rsid w:val="2C7C5C8D"/>
    <w:rsid w:val="2C974AB1"/>
    <w:rsid w:val="2C9878AB"/>
    <w:rsid w:val="2C9A61DD"/>
    <w:rsid w:val="2CA05F7F"/>
    <w:rsid w:val="2CA22BB9"/>
    <w:rsid w:val="2CAC08A7"/>
    <w:rsid w:val="2CC4683B"/>
    <w:rsid w:val="2CCB09C2"/>
    <w:rsid w:val="2CD25D4F"/>
    <w:rsid w:val="2D015304"/>
    <w:rsid w:val="2D0A7F39"/>
    <w:rsid w:val="2D1057CD"/>
    <w:rsid w:val="2D141708"/>
    <w:rsid w:val="2D153039"/>
    <w:rsid w:val="2D1B237A"/>
    <w:rsid w:val="2D30727C"/>
    <w:rsid w:val="2D472BAF"/>
    <w:rsid w:val="2D515BB9"/>
    <w:rsid w:val="2D556F20"/>
    <w:rsid w:val="2D7E5A35"/>
    <w:rsid w:val="2D810965"/>
    <w:rsid w:val="2D8D7597"/>
    <w:rsid w:val="2D9A5834"/>
    <w:rsid w:val="2DA336ED"/>
    <w:rsid w:val="2DC01BA9"/>
    <w:rsid w:val="2DC919DD"/>
    <w:rsid w:val="2DD02C31"/>
    <w:rsid w:val="2DD231F5"/>
    <w:rsid w:val="2DEC37A1"/>
    <w:rsid w:val="2DF2323F"/>
    <w:rsid w:val="2DFA545A"/>
    <w:rsid w:val="2E0C3775"/>
    <w:rsid w:val="2E0C6253"/>
    <w:rsid w:val="2E0E500A"/>
    <w:rsid w:val="2E1921EB"/>
    <w:rsid w:val="2E277E7A"/>
    <w:rsid w:val="2E4427DA"/>
    <w:rsid w:val="2E4E643A"/>
    <w:rsid w:val="2E4F5DFF"/>
    <w:rsid w:val="2E6820E7"/>
    <w:rsid w:val="2E771D44"/>
    <w:rsid w:val="2E77248A"/>
    <w:rsid w:val="2E864BA1"/>
    <w:rsid w:val="2E881127"/>
    <w:rsid w:val="2EA02B97"/>
    <w:rsid w:val="2EC3694C"/>
    <w:rsid w:val="2EC76F67"/>
    <w:rsid w:val="2EF15896"/>
    <w:rsid w:val="2F0360E0"/>
    <w:rsid w:val="2F2C21BC"/>
    <w:rsid w:val="2F39696F"/>
    <w:rsid w:val="2F452CAE"/>
    <w:rsid w:val="2F4D1ED1"/>
    <w:rsid w:val="2F6424E7"/>
    <w:rsid w:val="2F710055"/>
    <w:rsid w:val="2F7470EF"/>
    <w:rsid w:val="2F782CC6"/>
    <w:rsid w:val="2F801410"/>
    <w:rsid w:val="2F83196E"/>
    <w:rsid w:val="2F9B28CE"/>
    <w:rsid w:val="2F9C1CFC"/>
    <w:rsid w:val="2FAF45CB"/>
    <w:rsid w:val="2FB16233"/>
    <w:rsid w:val="2FB51170"/>
    <w:rsid w:val="2FC040E2"/>
    <w:rsid w:val="2FC12012"/>
    <w:rsid w:val="2FC27AD2"/>
    <w:rsid w:val="2FD37747"/>
    <w:rsid w:val="2FE204FD"/>
    <w:rsid w:val="2FE4156D"/>
    <w:rsid w:val="2FF35DEB"/>
    <w:rsid w:val="3014746B"/>
    <w:rsid w:val="302204C8"/>
    <w:rsid w:val="302259F7"/>
    <w:rsid w:val="302F3B93"/>
    <w:rsid w:val="30562C99"/>
    <w:rsid w:val="30606F3A"/>
    <w:rsid w:val="307128D2"/>
    <w:rsid w:val="307A0E02"/>
    <w:rsid w:val="30BF6D97"/>
    <w:rsid w:val="30D32244"/>
    <w:rsid w:val="30FC739C"/>
    <w:rsid w:val="3103697D"/>
    <w:rsid w:val="311C7615"/>
    <w:rsid w:val="312132A7"/>
    <w:rsid w:val="312B7C81"/>
    <w:rsid w:val="312D39F9"/>
    <w:rsid w:val="313D17AA"/>
    <w:rsid w:val="315270BA"/>
    <w:rsid w:val="31573D97"/>
    <w:rsid w:val="316311C9"/>
    <w:rsid w:val="31717D8A"/>
    <w:rsid w:val="319F1780"/>
    <w:rsid w:val="31A27533"/>
    <w:rsid w:val="31A5741F"/>
    <w:rsid w:val="31B848BF"/>
    <w:rsid w:val="31D754E3"/>
    <w:rsid w:val="31DF503B"/>
    <w:rsid w:val="321F60EE"/>
    <w:rsid w:val="322A618B"/>
    <w:rsid w:val="323B2146"/>
    <w:rsid w:val="323B7533"/>
    <w:rsid w:val="323E07F1"/>
    <w:rsid w:val="324245FA"/>
    <w:rsid w:val="3269585C"/>
    <w:rsid w:val="327B1806"/>
    <w:rsid w:val="32824BC0"/>
    <w:rsid w:val="3292368C"/>
    <w:rsid w:val="32A43486"/>
    <w:rsid w:val="32C06257"/>
    <w:rsid w:val="32D12E6A"/>
    <w:rsid w:val="32EA6349"/>
    <w:rsid w:val="32F1060B"/>
    <w:rsid w:val="331B5E87"/>
    <w:rsid w:val="334F40FB"/>
    <w:rsid w:val="33527747"/>
    <w:rsid w:val="33635F30"/>
    <w:rsid w:val="33640A7B"/>
    <w:rsid w:val="339C6CC6"/>
    <w:rsid w:val="33B858E3"/>
    <w:rsid w:val="33BC72B7"/>
    <w:rsid w:val="33C30645"/>
    <w:rsid w:val="33C43BF7"/>
    <w:rsid w:val="33CF49CF"/>
    <w:rsid w:val="33E056A0"/>
    <w:rsid w:val="33E731B4"/>
    <w:rsid w:val="33EE1B0A"/>
    <w:rsid w:val="33F80B74"/>
    <w:rsid w:val="33FE167D"/>
    <w:rsid w:val="34076310"/>
    <w:rsid w:val="340F388A"/>
    <w:rsid w:val="341B5C1B"/>
    <w:rsid w:val="341C41A1"/>
    <w:rsid w:val="34242F97"/>
    <w:rsid w:val="34313801"/>
    <w:rsid w:val="34533777"/>
    <w:rsid w:val="34670FD0"/>
    <w:rsid w:val="347C4989"/>
    <w:rsid w:val="347F27BE"/>
    <w:rsid w:val="348953EB"/>
    <w:rsid w:val="34A94A13"/>
    <w:rsid w:val="34D1663B"/>
    <w:rsid w:val="34F26901"/>
    <w:rsid w:val="34F34F5A"/>
    <w:rsid w:val="35035587"/>
    <w:rsid w:val="35134CB4"/>
    <w:rsid w:val="351B13EB"/>
    <w:rsid w:val="351C302A"/>
    <w:rsid w:val="35252D27"/>
    <w:rsid w:val="35260E8C"/>
    <w:rsid w:val="352944D8"/>
    <w:rsid w:val="35322DBE"/>
    <w:rsid w:val="353604FF"/>
    <w:rsid w:val="35415CC5"/>
    <w:rsid w:val="354E03E2"/>
    <w:rsid w:val="35633E8E"/>
    <w:rsid w:val="35725E7F"/>
    <w:rsid w:val="3575771D"/>
    <w:rsid w:val="35904557"/>
    <w:rsid w:val="3592207D"/>
    <w:rsid w:val="359C4B0A"/>
    <w:rsid w:val="35D720EC"/>
    <w:rsid w:val="35E3612F"/>
    <w:rsid w:val="35EB3E83"/>
    <w:rsid w:val="35F135A5"/>
    <w:rsid w:val="35F73F1F"/>
    <w:rsid w:val="3617024A"/>
    <w:rsid w:val="36190A39"/>
    <w:rsid w:val="362178A5"/>
    <w:rsid w:val="364628E9"/>
    <w:rsid w:val="364A6DFC"/>
    <w:rsid w:val="36575075"/>
    <w:rsid w:val="365963A4"/>
    <w:rsid w:val="365C268B"/>
    <w:rsid w:val="366B7B77"/>
    <w:rsid w:val="366C5DEE"/>
    <w:rsid w:val="36AA789A"/>
    <w:rsid w:val="36B8407C"/>
    <w:rsid w:val="36C805F5"/>
    <w:rsid w:val="36D14E27"/>
    <w:rsid w:val="36E07329"/>
    <w:rsid w:val="36E30558"/>
    <w:rsid w:val="36F86858"/>
    <w:rsid w:val="36FB6ABF"/>
    <w:rsid w:val="37085395"/>
    <w:rsid w:val="371E5442"/>
    <w:rsid w:val="372F6AEC"/>
    <w:rsid w:val="37302FD3"/>
    <w:rsid w:val="37386C54"/>
    <w:rsid w:val="37461371"/>
    <w:rsid w:val="37492C0F"/>
    <w:rsid w:val="375D468E"/>
    <w:rsid w:val="37784094"/>
    <w:rsid w:val="378160A1"/>
    <w:rsid w:val="378747FF"/>
    <w:rsid w:val="378F2A3B"/>
    <w:rsid w:val="37961657"/>
    <w:rsid w:val="37DA5F5D"/>
    <w:rsid w:val="37E046B0"/>
    <w:rsid w:val="37E8067A"/>
    <w:rsid w:val="37E868CC"/>
    <w:rsid w:val="37FE2ED9"/>
    <w:rsid w:val="38004BAF"/>
    <w:rsid w:val="380622D6"/>
    <w:rsid w:val="38064FA4"/>
    <w:rsid w:val="380922E7"/>
    <w:rsid w:val="380B0913"/>
    <w:rsid w:val="381946F7"/>
    <w:rsid w:val="385C7E3A"/>
    <w:rsid w:val="386550E7"/>
    <w:rsid w:val="38750288"/>
    <w:rsid w:val="387B4951"/>
    <w:rsid w:val="388859B9"/>
    <w:rsid w:val="38956C32"/>
    <w:rsid w:val="38A22D4D"/>
    <w:rsid w:val="38AC1121"/>
    <w:rsid w:val="38AD71CE"/>
    <w:rsid w:val="38CA3BA8"/>
    <w:rsid w:val="38D771D5"/>
    <w:rsid w:val="38EE37EC"/>
    <w:rsid w:val="39030FB1"/>
    <w:rsid w:val="390A2872"/>
    <w:rsid w:val="390A4620"/>
    <w:rsid w:val="39194763"/>
    <w:rsid w:val="39317DFF"/>
    <w:rsid w:val="394713D0"/>
    <w:rsid w:val="394F3126"/>
    <w:rsid w:val="39514D45"/>
    <w:rsid w:val="39616096"/>
    <w:rsid w:val="398A62F4"/>
    <w:rsid w:val="39A43335"/>
    <w:rsid w:val="39A92228"/>
    <w:rsid w:val="39BE5590"/>
    <w:rsid w:val="39C35537"/>
    <w:rsid w:val="39CF1CEE"/>
    <w:rsid w:val="39F350B4"/>
    <w:rsid w:val="3A0A1150"/>
    <w:rsid w:val="3A1439A9"/>
    <w:rsid w:val="3A1A6B47"/>
    <w:rsid w:val="3A217F61"/>
    <w:rsid w:val="3A245C0C"/>
    <w:rsid w:val="3A382DD4"/>
    <w:rsid w:val="3A394AD5"/>
    <w:rsid w:val="3A396F6B"/>
    <w:rsid w:val="3A4F2C33"/>
    <w:rsid w:val="3A563FC1"/>
    <w:rsid w:val="3A571AE7"/>
    <w:rsid w:val="3A5847B0"/>
    <w:rsid w:val="3A971EE4"/>
    <w:rsid w:val="3A9735E5"/>
    <w:rsid w:val="3AA06FEA"/>
    <w:rsid w:val="3AB67A5B"/>
    <w:rsid w:val="3AC52A4F"/>
    <w:rsid w:val="3AC821B8"/>
    <w:rsid w:val="3AC8480C"/>
    <w:rsid w:val="3AD364A6"/>
    <w:rsid w:val="3AD849D6"/>
    <w:rsid w:val="3ADF6045"/>
    <w:rsid w:val="3AFD4334"/>
    <w:rsid w:val="3B0433D1"/>
    <w:rsid w:val="3B0A6C0E"/>
    <w:rsid w:val="3B2A2D58"/>
    <w:rsid w:val="3B2D5CF5"/>
    <w:rsid w:val="3B4402BD"/>
    <w:rsid w:val="3B473C2B"/>
    <w:rsid w:val="3B697D24"/>
    <w:rsid w:val="3B7D557D"/>
    <w:rsid w:val="3B7E5E59"/>
    <w:rsid w:val="3B81268B"/>
    <w:rsid w:val="3B915CEF"/>
    <w:rsid w:val="3B96663F"/>
    <w:rsid w:val="3BA02E72"/>
    <w:rsid w:val="3BA54223"/>
    <w:rsid w:val="3BA93B1B"/>
    <w:rsid w:val="3BB27956"/>
    <w:rsid w:val="3BBD7B94"/>
    <w:rsid w:val="3BD72A82"/>
    <w:rsid w:val="3BDF37C7"/>
    <w:rsid w:val="3BF27D19"/>
    <w:rsid w:val="3BF9320E"/>
    <w:rsid w:val="3C11070A"/>
    <w:rsid w:val="3C1934F8"/>
    <w:rsid w:val="3C1A3CFF"/>
    <w:rsid w:val="3C4875D5"/>
    <w:rsid w:val="3C5B662D"/>
    <w:rsid w:val="3C687FDC"/>
    <w:rsid w:val="3C7A386B"/>
    <w:rsid w:val="3C812E4B"/>
    <w:rsid w:val="3C8A61A4"/>
    <w:rsid w:val="3C8B7F82"/>
    <w:rsid w:val="3CA408E8"/>
    <w:rsid w:val="3CAF6DEC"/>
    <w:rsid w:val="3CC15ABF"/>
    <w:rsid w:val="3CE358B4"/>
    <w:rsid w:val="3CEA1E21"/>
    <w:rsid w:val="3D023F8C"/>
    <w:rsid w:val="3D4855F3"/>
    <w:rsid w:val="3D566826"/>
    <w:rsid w:val="3D586C1E"/>
    <w:rsid w:val="3D7718F7"/>
    <w:rsid w:val="3D7A6218"/>
    <w:rsid w:val="3D8A7047"/>
    <w:rsid w:val="3D8D3F27"/>
    <w:rsid w:val="3D8E5820"/>
    <w:rsid w:val="3DA60067"/>
    <w:rsid w:val="3DAA0E6A"/>
    <w:rsid w:val="3DCC748E"/>
    <w:rsid w:val="3DE2454B"/>
    <w:rsid w:val="3DE27026"/>
    <w:rsid w:val="3DEB0EC4"/>
    <w:rsid w:val="3DED69EA"/>
    <w:rsid w:val="3E081DDA"/>
    <w:rsid w:val="3E1354AB"/>
    <w:rsid w:val="3E281F50"/>
    <w:rsid w:val="3E3D0FF4"/>
    <w:rsid w:val="3E546A69"/>
    <w:rsid w:val="3E817133"/>
    <w:rsid w:val="3E8310FD"/>
    <w:rsid w:val="3EA00A36"/>
    <w:rsid w:val="3EAB00AA"/>
    <w:rsid w:val="3EBC249E"/>
    <w:rsid w:val="3EC139D3"/>
    <w:rsid w:val="3ECB1DC0"/>
    <w:rsid w:val="3ED30A43"/>
    <w:rsid w:val="3EDE4376"/>
    <w:rsid w:val="3EF142B8"/>
    <w:rsid w:val="3F0756BF"/>
    <w:rsid w:val="3F1A035E"/>
    <w:rsid w:val="3F1B33F9"/>
    <w:rsid w:val="3F3770E3"/>
    <w:rsid w:val="3F4C6DD6"/>
    <w:rsid w:val="3F5351BF"/>
    <w:rsid w:val="3F6A7BC7"/>
    <w:rsid w:val="3F780536"/>
    <w:rsid w:val="3F966B9F"/>
    <w:rsid w:val="3F9B1EFB"/>
    <w:rsid w:val="3FA81C86"/>
    <w:rsid w:val="3FA91096"/>
    <w:rsid w:val="3FA94B93"/>
    <w:rsid w:val="3FBE50DF"/>
    <w:rsid w:val="3FC366B8"/>
    <w:rsid w:val="3FD11B95"/>
    <w:rsid w:val="3FD85478"/>
    <w:rsid w:val="3FDA0350"/>
    <w:rsid w:val="3FE42566"/>
    <w:rsid w:val="3FF758CA"/>
    <w:rsid w:val="40016D33"/>
    <w:rsid w:val="400B13AA"/>
    <w:rsid w:val="40153FD6"/>
    <w:rsid w:val="4017231F"/>
    <w:rsid w:val="401D7C62"/>
    <w:rsid w:val="40226898"/>
    <w:rsid w:val="40227853"/>
    <w:rsid w:val="4056628E"/>
    <w:rsid w:val="405735AA"/>
    <w:rsid w:val="40635597"/>
    <w:rsid w:val="40644F5E"/>
    <w:rsid w:val="40694322"/>
    <w:rsid w:val="40784565"/>
    <w:rsid w:val="40A272FE"/>
    <w:rsid w:val="40A27EE1"/>
    <w:rsid w:val="40AF6516"/>
    <w:rsid w:val="40B62074"/>
    <w:rsid w:val="40C56B51"/>
    <w:rsid w:val="40D02591"/>
    <w:rsid w:val="40D027D9"/>
    <w:rsid w:val="40D160EB"/>
    <w:rsid w:val="40F827C8"/>
    <w:rsid w:val="411F6550"/>
    <w:rsid w:val="41320BB8"/>
    <w:rsid w:val="413566AC"/>
    <w:rsid w:val="41453089"/>
    <w:rsid w:val="41466ACC"/>
    <w:rsid w:val="41521A3E"/>
    <w:rsid w:val="41570E1E"/>
    <w:rsid w:val="417C38AE"/>
    <w:rsid w:val="41881B64"/>
    <w:rsid w:val="41910430"/>
    <w:rsid w:val="41A10DED"/>
    <w:rsid w:val="41A144B5"/>
    <w:rsid w:val="41C109E4"/>
    <w:rsid w:val="41E53E7C"/>
    <w:rsid w:val="41F45E6E"/>
    <w:rsid w:val="42085D33"/>
    <w:rsid w:val="4219392D"/>
    <w:rsid w:val="421945A5"/>
    <w:rsid w:val="42220353"/>
    <w:rsid w:val="42246B0D"/>
    <w:rsid w:val="422D7311"/>
    <w:rsid w:val="42446DF5"/>
    <w:rsid w:val="42542CFC"/>
    <w:rsid w:val="42560E68"/>
    <w:rsid w:val="426F349B"/>
    <w:rsid w:val="427032E8"/>
    <w:rsid w:val="4274382A"/>
    <w:rsid w:val="427E3578"/>
    <w:rsid w:val="428D5E1A"/>
    <w:rsid w:val="42A41828"/>
    <w:rsid w:val="42A878F2"/>
    <w:rsid w:val="42B0312F"/>
    <w:rsid w:val="42BA5290"/>
    <w:rsid w:val="42C24236"/>
    <w:rsid w:val="42CA36F4"/>
    <w:rsid w:val="42E365EE"/>
    <w:rsid w:val="43041BFB"/>
    <w:rsid w:val="430A3B9B"/>
    <w:rsid w:val="4316597E"/>
    <w:rsid w:val="432C430A"/>
    <w:rsid w:val="432D387E"/>
    <w:rsid w:val="432E7FDE"/>
    <w:rsid w:val="43372B33"/>
    <w:rsid w:val="433E55F2"/>
    <w:rsid w:val="4359089E"/>
    <w:rsid w:val="435B1DF7"/>
    <w:rsid w:val="435C1F1C"/>
    <w:rsid w:val="435C3CCA"/>
    <w:rsid w:val="436D4129"/>
    <w:rsid w:val="43707776"/>
    <w:rsid w:val="437B615E"/>
    <w:rsid w:val="43811983"/>
    <w:rsid w:val="438C19AA"/>
    <w:rsid w:val="439D67BD"/>
    <w:rsid w:val="43A85162"/>
    <w:rsid w:val="43C31F9B"/>
    <w:rsid w:val="43C33E73"/>
    <w:rsid w:val="43F311EC"/>
    <w:rsid w:val="43F75351"/>
    <w:rsid w:val="441F3676"/>
    <w:rsid w:val="442F2383"/>
    <w:rsid w:val="443B2204"/>
    <w:rsid w:val="443C6B32"/>
    <w:rsid w:val="444C26B9"/>
    <w:rsid w:val="44561002"/>
    <w:rsid w:val="445C07DF"/>
    <w:rsid w:val="44663091"/>
    <w:rsid w:val="446E1F07"/>
    <w:rsid w:val="44711823"/>
    <w:rsid w:val="44801C3A"/>
    <w:rsid w:val="44A678F3"/>
    <w:rsid w:val="44A93A00"/>
    <w:rsid w:val="44B66FC7"/>
    <w:rsid w:val="44BA6D13"/>
    <w:rsid w:val="44CC3AC1"/>
    <w:rsid w:val="44D0671E"/>
    <w:rsid w:val="44E91C3E"/>
    <w:rsid w:val="44FA379B"/>
    <w:rsid w:val="4501362C"/>
    <w:rsid w:val="45031C79"/>
    <w:rsid w:val="4504461A"/>
    <w:rsid w:val="450B76B9"/>
    <w:rsid w:val="4521341D"/>
    <w:rsid w:val="45257064"/>
    <w:rsid w:val="453A628D"/>
    <w:rsid w:val="45544F41"/>
    <w:rsid w:val="455C7D7A"/>
    <w:rsid w:val="455E0CEB"/>
    <w:rsid w:val="456A0921"/>
    <w:rsid w:val="457710CA"/>
    <w:rsid w:val="457A48DC"/>
    <w:rsid w:val="458C0DB2"/>
    <w:rsid w:val="459E05CA"/>
    <w:rsid w:val="45A1797C"/>
    <w:rsid w:val="45A21E04"/>
    <w:rsid w:val="45AD52C0"/>
    <w:rsid w:val="45B60809"/>
    <w:rsid w:val="45D1082E"/>
    <w:rsid w:val="45D510F8"/>
    <w:rsid w:val="45DA56C2"/>
    <w:rsid w:val="45E43B0A"/>
    <w:rsid w:val="45F428E0"/>
    <w:rsid w:val="46072613"/>
    <w:rsid w:val="460A5EEE"/>
    <w:rsid w:val="460B1FE4"/>
    <w:rsid w:val="46117219"/>
    <w:rsid w:val="463B050F"/>
    <w:rsid w:val="466F71C2"/>
    <w:rsid w:val="4678460B"/>
    <w:rsid w:val="467A15A2"/>
    <w:rsid w:val="46997E9F"/>
    <w:rsid w:val="469D10BD"/>
    <w:rsid w:val="46A55988"/>
    <w:rsid w:val="46A77952"/>
    <w:rsid w:val="46BC1650"/>
    <w:rsid w:val="46BD7176"/>
    <w:rsid w:val="46C67DD9"/>
    <w:rsid w:val="46C73576"/>
    <w:rsid w:val="46C84817"/>
    <w:rsid w:val="46D671A9"/>
    <w:rsid w:val="46EE3897"/>
    <w:rsid w:val="46F23FFE"/>
    <w:rsid w:val="47275936"/>
    <w:rsid w:val="473C453F"/>
    <w:rsid w:val="47501D98"/>
    <w:rsid w:val="4751173B"/>
    <w:rsid w:val="47571378"/>
    <w:rsid w:val="478F1C0F"/>
    <w:rsid w:val="47B2115C"/>
    <w:rsid w:val="47BC0B80"/>
    <w:rsid w:val="47BE31A6"/>
    <w:rsid w:val="47CA38F8"/>
    <w:rsid w:val="47EB3D56"/>
    <w:rsid w:val="47F210A1"/>
    <w:rsid w:val="480540CA"/>
    <w:rsid w:val="480540CB"/>
    <w:rsid w:val="48082673"/>
    <w:rsid w:val="48221E35"/>
    <w:rsid w:val="483416BA"/>
    <w:rsid w:val="48391D35"/>
    <w:rsid w:val="48480CC1"/>
    <w:rsid w:val="484E277B"/>
    <w:rsid w:val="484F0E44"/>
    <w:rsid w:val="485E0CD3"/>
    <w:rsid w:val="48626A92"/>
    <w:rsid w:val="487B2AF8"/>
    <w:rsid w:val="48842394"/>
    <w:rsid w:val="48AD17CB"/>
    <w:rsid w:val="48B406C8"/>
    <w:rsid w:val="48C66DC6"/>
    <w:rsid w:val="48C7098C"/>
    <w:rsid w:val="48EE7ABB"/>
    <w:rsid w:val="48F6478E"/>
    <w:rsid w:val="48FD7CFE"/>
    <w:rsid w:val="491F70EF"/>
    <w:rsid w:val="49260D69"/>
    <w:rsid w:val="49280818"/>
    <w:rsid w:val="492F3977"/>
    <w:rsid w:val="49463E44"/>
    <w:rsid w:val="494B425E"/>
    <w:rsid w:val="494C03AA"/>
    <w:rsid w:val="49747FC0"/>
    <w:rsid w:val="49754E27"/>
    <w:rsid w:val="497C0446"/>
    <w:rsid w:val="49875290"/>
    <w:rsid w:val="49BA3B04"/>
    <w:rsid w:val="49CF51F6"/>
    <w:rsid w:val="49D51355"/>
    <w:rsid w:val="4A0405B6"/>
    <w:rsid w:val="4A11036D"/>
    <w:rsid w:val="4A215DA3"/>
    <w:rsid w:val="4A314F2C"/>
    <w:rsid w:val="4A5150B7"/>
    <w:rsid w:val="4A517356"/>
    <w:rsid w:val="4A593D45"/>
    <w:rsid w:val="4A630034"/>
    <w:rsid w:val="4A6A3F92"/>
    <w:rsid w:val="4A837E5B"/>
    <w:rsid w:val="4A862724"/>
    <w:rsid w:val="4A8A1318"/>
    <w:rsid w:val="4A8F7A4B"/>
    <w:rsid w:val="4A931709"/>
    <w:rsid w:val="4A994576"/>
    <w:rsid w:val="4AA50E2F"/>
    <w:rsid w:val="4AE03433"/>
    <w:rsid w:val="4AEA34BC"/>
    <w:rsid w:val="4AF11420"/>
    <w:rsid w:val="4B02784D"/>
    <w:rsid w:val="4B245A16"/>
    <w:rsid w:val="4B26156D"/>
    <w:rsid w:val="4B44329C"/>
    <w:rsid w:val="4B5F0143"/>
    <w:rsid w:val="4B601226"/>
    <w:rsid w:val="4B6127C6"/>
    <w:rsid w:val="4B6E526C"/>
    <w:rsid w:val="4B741D8F"/>
    <w:rsid w:val="4B8D5369"/>
    <w:rsid w:val="4B8D7117"/>
    <w:rsid w:val="4B997F78"/>
    <w:rsid w:val="4BAF79F8"/>
    <w:rsid w:val="4BB40163"/>
    <w:rsid w:val="4BBC03A4"/>
    <w:rsid w:val="4BCB7C3F"/>
    <w:rsid w:val="4BE56CD6"/>
    <w:rsid w:val="4BEC00F5"/>
    <w:rsid w:val="4BED72A0"/>
    <w:rsid w:val="4BF52F0E"/>
    <w:rsid w:val="4BFA1A56"/>
    <w:rsid w:val="4C0849EF"/>
    <w:rsid w:val="4C147838"/>
    <w:rsid w:val="4C167C29"/>
    <w:rsid w:val="4C371778"/>
    <w:rsid w:val="4C376570"/>
    <w:rsid w:val="4C3B3017"/>
    <w:rsid w:val="4C464E12"/>
    <w:rsid w:val="4C6B6984"/>
    <w:rsid w:val="4C6D0CF6"/>
    <w:rsid w:val="4C8973B2"/>
    <w:rsid w:val="4C8A18A8"/>
    <w:rsid w:val="4CA67B7B"/>
    <w:rsid w:val="4CBD1C7E"/>
    <w:rsid w:val="4CCF27AA"/>
    <w:rsid w:val="4CD86AB8"/>
    <w:rsid w:val="4CDE39A2"/>
    <w:rsid w:val="4CEA0599"/>
    <w:rsid w:val="4CF634B7"/>
    <w:rsid w:val="4D0C27AF"/>
    <w:rsid w:val="4D2A3DAF"/>
    <w:rsid w:val="4D2D6B40"/>
    <w:rsid w:val="4D394E08"/>
    <w:rsid w:val="4D3D691B"/>
    <w:rsid w:val="4D493E71"/>
    <w:rsid w:val="4D5A77DD"/>
    <w:rsid w:val="4D622825"/>
    <w:rsid w:val="4D6F00D0"/>
    <w:rsid w:val="4D756828"/>
    <w:rsid w:val="4D9D385D"/>
    <w:rsid w:val="4DA177F1"/>
    <w:rsid w:val="4DA47DD7"/>
    <w:rsid w:val="4DAA3552"/>
    <w:rsid w:val="4DAE5A6A"/>
    <w:rsid w:val="4DE5799B"/>
    <w:rsid w:val="4DEB0042"/>
    <w:rsid w:val="4DFB1C9A"/>
    <w:rsid w:val="4DFC7060"/>
    <w:rsid w:val="4DFF0074"/>
    <w:rsid w:val="4E127DA7"/>
    <w:rsid w:val="4E267401"/>
    <w:rsid w:val="4E305CD9"/>
    <w:rsid w:val="4E347D1E"/>
    <w:rsid w:val="4E627B35"/>
    <w:rsid w:val="4E755BA2"/>
    <w:rsid w:val="4EAC66ED"/>
    <w:rsid w:val="4EBB21ED"/>
    <w:rsid w:val="4EC56BC8"/>
    <w:rsid w:val="4EEE79FA"/>
    <w:rsid w:val="4EF179BD"/>
    <w:rsid w:val="4EFA6704"/>
    <w:rsid w:val="4EFD5A79"/>
    <w:rsid w:val="4F247835"/>
    <w:rsid w:val="4F285CC8"/>
    <w:rsid w:val="4F2E6E63"/>
    <w:rsid w:val="4F3C4E72"/>
    <w:rsid w:val="4F414484"/>
    <w:rsid w:val="4F5368C9"/>
    <w:rsid w:val="4F7776A4"/>
    <w:rsid w:val="4F7A5B51"/>
    <w:rsid w:val="4F8627FB"/>
    <w:rsid w:val="4F9C1A8E"/>
    <w:rsid w:val="4FC60E49"/>
    <w:rsid w:val="4FC926E8"/>
    <w:rsid w:val="4FCA6C76"/>
    <w:rsid w:val="4FD11F03"/>
    <w:rsid w:val="4FD4086E"/>
    <w:rsid w:val="4FDC039B"/>
    <w:rsid w:val="4FEF15AE"/>
    <w:rsid w:val="4FF53D4D"/>
    <w:rsid w:val="4FF752B3"/>
    <w:rsid w:val="4FFB7505"/>
    <w:rsid w:val="4FFF34FB"/>
    <w:rsid w:val="50083210"/>
    <w:rsid w:val="50304472"/>
    <w:rsid w:val="504B134F"/>
    <w:rsid w:val="505E4681"/>
    <w:rsid w:val="50680BA9"/>
    <w:rsid w:val="506F14E1"/>
    <w:rsid w:val="5089549C"/>
    <w:rsid w:val="508C2093"/>
    <w:rsid w:val="50962F12"/>
    <w:rsid w:val="50C51101"/>
    <w:rsid w:val="51015A1B"/>
    <w:rsid w:val="510E5B0A"/>
    <w:rsid w:val="511F6966"/>
    <w:rsid w:val="51273B6A"/>
    <w:rsid w:val="51340035"/>
    <w:rsid w:val="51457D61"/>
    <w:rsid w:val="51477D68"/>
    <w:rsid w:val="514A7858"/>
    <w:rsid w:val="514E6454"/>
    <w:rsid w:val="515D3A2F"/>
    <w:rsid w:val="51675B87"/>
    <w:rsid w:val="51711289"/>
    <w:rsid w:val="51764AF1"/>
    <w:rsid w:val="518A26E4"/>
    <w:rsid w:val="518A5EA7"/>
    <w:rsid w:val="518B5EA5"/>
    <w:rsid w:val="51912776"/>
    <w:rsid w:val="519458FB"/>
    <w:rsid w:val="51A75BFA"/>
    <w:rsid w:val="51AC0513"/>
    <w:rsid w:val="51B03B5F"/>
    <w:rsid w:val="51B66C4D"/>
    <w:rsid w:val="51BF3DA2"/>
    <w:rsid w:val="51C30DEA"/>
    <w:rsid w:val="51C40EFF"/>
    <w:rsid w:val="51C55131"/>
    <w:rsid w:val="51D52E8F"/>
    <w:rsid w:val="51F279EF"/>
    <w:rsid w:val="51F61C51"/>
    <w:rsid w:val="520B348B"/>
    <w:rsid w:val="52145D20"/>
    <w:rsid w:val="5231565A"/>
    <w:rsid w:val="523F47F7"/>
    <w:rsid w:val="52414A34"/>
    <w:rsid w:val="52557865"/>
    <w:rsid w:val="52767F4E"/>
    <w:rsid w:val="52841236"/>
    <w:rsid w:val="52927709"/>
    <w:rsid w:val="52C617A6"/>
    <w:rsid w:val="52C7058C"/>
    <w:rsid w:val="52E02222"/>
    <w:rsid w:val="52FB52AE"/>
    <w:rsid w:val="52FC43FB"/>
    <w:rsid w:val="5302663C"/>
    <w:rsid w:val="53064620"/>
    <w:rsid w:val="53155AAB"/>
    <w:rsid w:val="532F6F18"/>
    <w:rsid w:val="53312A7E"/>
    <w:rsid w:val="533662E6"/>
    <w:rsid w:val="533A0D62"/>
    <w:rsid w:val="5345477B"/>
    <w:rsid w:val="534F73A8"/>
    <w:rsid w:val="53511372"/>
    <w:rsid w:val="53530541"/>
    <w:rsid w:val="53632C39"/>
    <w:rsid w:val="536A366C"/>
    <w:rsid w:val="53762B86"/>
    <w:rsid w:val="537E7B07"/>
    <w:rsid w:val="538709E1"/>
    <w:rsid w:val="538D3226"/>
    <w:rsid w:val="539A6875"/>
    <w:rsid w:val="53A7716E"/>
    <w:rsid w:val="53A96706"/>
    <w:rsid w:val="53B06098"/>
    <w:rsid w:val="53B35B89"/>
    <w:rsid w:val="53B60656"/>
    <w:rsid w:val="53CC29D3"/>
    <w:rsid w:val="53D665BC"/>
    <w:rsid w:val="53D8114B"/>
    <w:rsid w:val="53DE7084"/>
    <w:rsid w:val="53F94527"/>
    <w:rsid w:val="53FC752F"/>
    <w:rsid w:val="540D6AA1"/>
    <w:rsid w:val="54285724"/>
    <w:rsid w:val="5454206B"/>
    <w:rsid w:val="548A638B"/>
    <w:rsid w:val="54A61228"/>
    <w:rsid w:val="54B75CC5"/>
    <w:rsid w:val="54CC42EF"/>
    <w:rsid w:val="54CD339A"/>
    <w:rsid w:val="54CF07A0"/>
    <w:rsid w:val="54D24FAB"/>
    <w:rsid w:val="54D364A4"/>
    <w:rsid w:val="54D45A69"/>
    <w:rsid w:val="54EF0159"/>
    <w:rsid w:val="54F3531F"/>
    <w:rsid w:val="550D751A"/>
    <w:rsid w:val="55165916"/>
    <w:rsid w:val="554F7C73"/>
    <w:rsid w:val="555B64D8"/>
    <w:rsid w:val="5566649A"/>
    <w:rsid w:val="557A2F9E"/>
    <w:rsid w:val="557E69CE"/>
    <w:rsid w:val="5581018E"/>
    <w:rsid w:val="55973B2A"/>
    <w:rsid w:val="55B82304"/>
    <w:rsid w:val="55BC3540"/>
    <w:rsid w:val="55C158CD"/>
    <w:rsid w:val="55C478EE"/>
    <w:rsid w:val="55C9345B"/>
    <w:rsid w:val="55EB785C"/>
    <w:rsid w:val="560A11E0"/>
    <w:rsid w:val="56126A76"/>
    <w:rsid w:val="56187F25"/>
    <w:rsid w:val="561933D4"/>
    <w:rsid w:val="56231090"/>
    <w:rsid w:val="562B0C72"/>
    <w:rsid w:val="562B2BFF"/>
    <w:rsid w:val="56431446"/>
    <w:rsid w:val="564F0FA5"/>
    <w:rsid w:val="565A22EB"/>
    <w:rsid w:val="565D3B8A"/>
    <w:rsid w:val="565F7902"/>
    <w:rsid w:val="56847368"/>
    <w:rsid w:val="568D3485"/>
    <w:rsid w:val="56900687"/>
    <w:rsid w:val="56951EA0"/>
    <w:rsid w:val="569E34A2"/>
    <w:rsid w:val="56A0017C"/>
    <w:rsid w:val="56A41247"/>
    <w:rsid w:val="56AA7502"/>
    <w:rsid w:val="56B07748"/>
    <w:rsid w:val="56C02A96"/>
    <w:rsid w:val="56C50387"/>
    <w:rsid w:val="56D145D5"/>
    <w:rsid w:val="56EF2CA7"/>
    <w:rsid w:val="56F1386B"/>
    <w:rsid w:val="56F54AD3"/>
    <w:rsid w:val="56F561BC"/>
    <w:rsid w:val="570A5DD9"/>
    <w:rsid w:val="570D3802"/>
    <w:rsid w:val="570F7CBF"/>
    <w:rsid w:val="5714509B"/>
    <w:rsid w:val="57256D9D"/>
    <w:rsid w:val="572E786C"/>
    <w:rsid w:val="574267A5"/>
    <w:rsid w:val="57435406"/>
    <w:rsid w:val="57566F57"/>
    <w:rsid w:val="57580F21"/>
    <w:rsid w:val="57B828BC"/>
    <w:rsid w:val="57C17ED7"/>
    <w:rsid w:val="57C569C9"/>
    <w:rsid w:val="57D955AA"/>
    <w:rsid w:val="57FA1FD8"/>
    <w:rsid w:val="57FF4193"/>
    <w:rsid w:val="5804257C"/>
    <w:rsid w:val="581052F5"/>
    <w:rsid w:val="58143C24"/>
    <w:rsid w:val="582301D6"/>
    <w:rsid w:val="58262DCD"/>
    <w:rsid w:val="582E1C82"/>
    <w:rsid w:val="58310F07"/>
    <w:rsid w:val="583D1EC5"/>
    <w:rsid w:val="584F43EE"/>
    <w:rsid w:val="5854221B"/>
    <w:rsid w:val="58586CFE"/>
    <w:rsid w:val="58633445"/>
    <w:rsid w:val="58773629"/>
    <w:rsid w:val="587B0A01"/>
    <w:rsid w:val="5886561A"/>
    <w:rsid w:val="58935103"/>
    <w:rsid w:val="589A3652"/>
    <w:rsid w:val="58AB1524"/>
    <w:rsid w:val="58B95F90"/>
    <w:rsid w:val="58F5279F"/>
    <w:rsid w:val="591046C3"/>
    <w:rsid w:val="591A1C4E"/>
    <w:rsid w:val="592D1F39"/>
    <w:rsid w:val="59310951"/>
    <w:rsid w:val="59325F2B"/>
    <w:rsid w:val="59445191"/>
    <w:rsid w:val="595531A7"/>
    <w:rsid w:val="596B38EB"/>
    <w:rsid w:val="597141B2"/>
    <w:rsid w:val="597A3952"/>
    <w:rsid w:val="597E0350"/>
    <w:rsid w:val="59893131"/>
    <w:rsid w:val="59A44AA2"/>
    <w:rsid w:val="59BB55A5"/>
    <w:rsid w:val="59CE7A92"/>
    <w:rsid w:val="5A0208F9"/>
    <w:rsid w:val="5A0C51F1"/>
    <w:rsid w:val="5A110569"/>
    <w:rsid w:val="5A451D35"/>
    <w:rsid w:val="5A5C1288"/>
    <w:rsid w:val="5A600C81"/>
    <w:rsid w:val="5A6B3EDF"/>
    <w:rsid w:val="5A7535B9"/>
    <w:rsid w:val="5A7B52CC"/>
    <w:rsid w:val="5A7B652D"/>
    <w:rsid w:val="5A803B1C"/>
    <w:rsid w:val="5A863596"/>
    <w:rsid w:val="5A8E6C3E"/>
    <w:rsid w:val="5A935EA4"/>
    <w:rsid w:val="5AB0697E"/>
    <w:rsid w:val="5AC0087A"/>
    <w:rsid w:val="5ACA4008"/>
    <w:rsid w:val="5ACB6CE6"/>
    <w:rsid w:val="5AD14B46"/>
    <w:rsid w:val="5AEF3E3F"/>
    <w:rsid w:val="5AF55BD2"/>
    <w:rsid w:val="5B0726A8"/>
    <w:rsid w:val="5B084D63"/>
    <w:rsid w:val="5B0B44FC"/>
    <w:rsid w:val="5B21162A"/>
    <w:rsid w:val="5B3E433F"/>
    <w:rsid w:val="5B5B6918"/>
    <w:rsid w:val="5B7C4F58"/>
    <w:rsid w:val="5B8068BA"/>
    <w:rsid w:val="5B8B0C30"/>
    <w:rsid w:val="5B92410C"/>
    <w:rsid w:val="5BBB1A7E"/>
    <w:rsid w:val="5BC53DCA"/>
    <w:rsid w:val="5BC65BFE"/>
    <w:rsid w:val="5BD112A2"/>
    <w:rsid w:val="5BE853C8"/>
    <w:rsid w:val="5C107882"/>
    <w:rsid w:val="5C3906D0"/>
    <w:rsid w:val="5C401F83"/>
    <w:rsid w:val="5C451D35"/>
    <w:rsid w:val="5C537F09"/>
    <w:rsid w:val="5C5502AB"/>
    <w:rsid w:val="5C677510"/>
    <w:rsid w:val="5C730C21"/>
    <w:rsid w:val="5C7703F3"/>
    <w:rsid w:val="5C814F1A"/>
    <w:rsid w:val="5CCB1B89"/>
    <w:rsid w:val="5CD26A4B"/>
    <w:rsid w:val="5CDC1CAC"/>
    <w:rsid w:val="5CE830CC"/>
    <w:rsid w:val="5CF4248D"/>
    <w:rsid w:val="5CF76AE6"/>
    <w:rsid w:val="5D0D7D1B"/>
    <w:rsid w:val="5D2173E4"/>
    <w:rsid w:val="5D3524FE"/>
    <w:rsid w:val="5D3A7F3E"/>
    <w:rsid w:val="5D3C04A3"/>
    <w:rsid w:val="5D3C153D"/>
    <w:rsid w:val="5D3D4452"/>
    <w:rsid w:val="5D4D7232"/>
    <w:rsid w:val="5D5757D7"/>
    <w:rsid w:val="5D771E74"/>
    <w:rsid w:val="5D775E79"/>
    <w:rsid w:val="5D7874FB"/>
    <w:rsid w:val="5D8440F2"/>
    <w:rsid w:val="5D850596"/>
    <w:rsid w:val="5D854CB6"/>
    <w:rsid w:val="5D86525F"/>
    <w:rsid w:val="5DA557B5"/>
    <w:rsid w:val="5DD62B9F"/>
    <w:rsid w:val="5E0C65C1"/>
    <w:rsid w:val="5E0F60B1"/>
    <w:rsid w:val="5E150965"/>
    <w:rsid w:val="5E2E21D2"/>
    <w:rsid w:val="5E2F1347"/>
    <w:rsid w:val="5E4F6D68"/>
    <w:rsid w:val="5E5F0F1D"/>
    <w:rsid w:val="5E600CD3"/>
    <w:rsid w:val="5E745F14"/>
    <w:rsid w:val="5E7D301B"/>
    <w:rsid w:val="5E8A398A"/>
    <w:rsid w:val="5E8D2343"/>
    <w:rsid w:val="5E901961"/>
    <w:rsid w:val="5E917A81"/>
    <w:rsid w:val="5E934FAF"/>
    <w:rsid w:val="5E964ACF"/>
    <w:rsid w:val="5E967379"/>
    <w:rsid w:val="5E995077"/>
    <w:rsid w:val="5EB450A4"/>
    <w:rsid w:val="5EB701B0"/>
    <w:rsid w:val="5ECC5D50"/>
    <w:rsid w:val="5ED822CD"/>
    <w:rsid w:val="5EE07840"/>
    <w:rsid w:val="5EE4309A"/>
    <w:rsid w:val="5EE72B8A"/>
    <w:rsid w:val="5EE85EB8"/>
    <w:rsid w:val="5EF30101"/>
    <w:rsid w:val="5EFC1E3E"/>
    <w:rsid w:val="5F041335"/>
    <w:rsid w:val="5F3833E6"/>
    <w:rsid w:val="5F4F3818"/>
    <w:rsid w:val="5F672FC0"/>
    <w:rsid w:val="5F6B37BB"/>
    <w:rsid w:val="5F6E5059"/>
    <w:rsid w:val="5F6E6E08"/>
    <w:rsid w:val="5F702B80"/>
    <w:rsid w:val="5F894D45"/>
    <w:rsid w:val="5F9E564F"/>
    <w:rsid w:val="5FA33AF9"/>
    <w:rsid w:val="5FC212E1"/>
    <w:rsid w:val="5FD54DCA"/>
    <w:rsid w:val="5FD657DE"/>
    <w:rsid w:val="5FE01C28"/>
    <w:rsid w:val="5FF25823"/>
    <w:rsid w:val="5FF72FA2"/>
    <w:rsid w:val="60077692"/>
    <w:rsid w:val="60150F7D"/>
    <w:rsid w:val="602F12E5"/>
    <w:rsid w:val="604D4C6F"/>
    <w:rsid w:val="60541A64"/>
    <w:rsid w:val="605E04DF"/>
    <w:rsid w:val="606A55FD"/>
    <w:rsid w:val="609A4CD0"/>
    <w:rsid w:val="60B10449"/>
    <w:rsid w:val="60BB59D7"/>
    <w:rsid w:val="60C677C2"/>
    <w:rsid w:val="60D31515"/>
    <w:rsid w:val="60E47A1E"/>
    <w:rsid w:val="61247BC4"/>
    <w:rsid w:val="613219F1"/>
    <w:rsid w:val="61363955"/>
    <w:rsid w:val="61412A26"/>
    <w:rsid w:val="61512A4C"/>
    <w:rsid w:val="6162760A"/>
    <w:rsid w:val="616404C2"/>
    <w:rsid w:val="61686204"/>
    <w:rsid w:val="616C13D1"/>
    <w:rsid w:val="616D5CB5"/>
    <w:rsid w:val="61774F93"/>
    <w:rsid w:val="617F2DC6"/>
    <w:rsid w:val="61842912"/>
    <w:rsid w:val="618E553F"/>
    <w:rsid w:val="619071B9"/>
    <w:rsid w:val="61937DC7"/>
    <w:rsid w:val="61963728"/>
    <w:rsid w:val="619B1C81"/>
    <w:rsid w:val="61BD1E30"/>
    <w:rsid w:val="61C84EF5"/>
    <w:rsid w:val="61F9083C"/>
    <w:rsid w:val="62492B1C"/>
    <w:rsid w:val="624B51DE"/>
    <w:rsid w:val="6252474A"/>
    <w:rsid w:val="626F35C2"/>
    <w:rsid w:val="62745BF7"/>
    <w:rsid w:val="628307C8"/>
    <w:rsid w:val="62966995"/>
    <w:rsid w:val="629D7D01"/>
    <w:rsid w:val="629E55BA"/>
    <w:rsid w:val="62A11C18"/>
    <w:rsid w:val="62AA63A9"/>
    <w:rsid w:val="62AD10B2"/>
    <w:rsid w:val="62B21665"/>
    <w:rsid w:val="62B60CD4"/>
    <w:rsid w:val="62B93B76"/>
    <w:rsid w:val="62C12604"/>
    <w:rsid w:val="62C21E48"/>
    <w:rsid w:val="62DC1947"/>
    <w:rsid w:val="62F72862"/>
    <w:rsid w:val="63131B8F"/>
    <w:rsid w:val="631D5D84"/>
    <w:rsid w:val="63205712"/>
    <w:rsid w:val="633A440C"/>
    <w:rsid w:val="633D546F"/>
    <w:rsid w:val="63520F1A"/>
    <w:rsid w:val="63576530"/>
    <w:rsid w:val="63604CB9"/>
    <w:rsid w:val="6379767B"/>
    <w:rsid w:val="63822E81"/>
    <w:rsid w:val="638E0709"/>
    <w:rsid w:val="63901A42"/>
    <w:rsid w:val="639F15E2"/>
    <w:rsid w:val="63AA2429"/>
    <w:rsid w:val="63AE454F"/>
    <w:rsid w:val="63B46BBA"/>
    <w:rsid w:val="63B82D47"/>
    <w:rsid w:val="63BE65AF"/>
    <w:rsid w:val="63D91B4D"/>
    <w:rsid w:val="63DC3D2D"/>
    <w:rsid w:val="63DC70BF"/>
    <w:rsid w:val="63F55D49"/>
    <w:rsid w:val="642E6B65"/>
    <w:rsid w:val="643C16C8"/>
    <w:rsid w:val="64412D3D"/>
    <w:rsid w:val="645664D6"/>
    <w:rsid w:val="6488786C"/>
    <w:rsid w:val="649021C6"/>
    <w:rsid w:val="64A137DB"/>
    <w:rsid w:val="64B17082"/>
    <w:rsid w:val="64B330A9"/>
    <w:rsid w:val="64C96A10"/>
    <w:rsid w:val="64D44294"/>
    <w:rsid w:val="64E74120"/>
    <w:rsid w:val="64E831B8"/>
    <w:rsid w:val="64FC2E28"/>
    <w:rsid w:val="64FE29DC"/>
    <w:rsid w:val="65277FB0"/>
    <w:rsid w:val="652C579B"/>
    <w:rsid w:val="653A4873"/>
    <w:rsid w:val="65573E42"/>
    <w:rsid w:val="65586683"/>
    <w:rsid w:val="6559772F"/>
    <w:rsid w:val="655C672F"/>
    <w:rsid w:val="65711400"/>
    <w:rsid w:val="657D5FF6"/>
    <w:rsid w:val="65807F04"/>
    <w:rsid w:val="6593581A"/>
    <w:rsid w:val="659A2704"/>
    <w:rsid w:val="659F5F6D"/>
    <w:rsid w:val="65BD63F3"/>
    <w:rsid w:val="65C43C25"/>
    <w:rsid w:val="65D869C4"/>
    <w:rsid w:val="65E01C72"/>
    <w:rsid w:val="65EE59AC"/>
    <w:rsid w:val="66081E61"/>
    <w:rsid w:val="660D5BDA"/>
    <w:rsid w:val="661B3028"/>
    <w:rsid w:val="66265470"/>
    <w:rsid w:val="662D17CA"/>
    <w:rsid w:val="66454B6D"/>
    <w:rsid w:val="666037A7"/>
    <w:rsid w:val="66684363"/>
    <w:rsid w:val="66A355E9"/>
    <w:rsid w:val="66B41CA6"/>
    <w:rsid w:val="66BC5264"/>
    <w:rsid w:val="66BD72A7"/>
    <w:rsid w:val="66D165FA"/>
    <w:rsid w:val="66F732AD"/>
    <w:rsid w:val="66FA037D"/>
    <w:rsid w:val="66FD4A72"/>
    <w:rsid w:val="67022530"/>
    <w:rsid w:val="67556B1A"/>
    <w:rsid w:val="675B2D5F"/>
    <w:rsid w:val="676236F6"/>
    <w:rsid w:val="677B47B7"/>
    <w:rsid w:val="677D537A"/>
    <w:rsid w:val="67801DCE"/>
    <w:rsid w:val="67897E8A"/>
    <w:rsid w:val="67935803"/>
    <w:rsid w:val="679E37F5"/>
    <w:rsid w:val="67AD7A42"/>
    <w:rsid w:val="67BD3A35"/>
    <w:rsid w:val="67C223E6"/>
    <w:rsid w:val="67C25F42"/>
    <w:rsid w:val="67C5431E"/>
    <w:rsid w:val="67D10B16"/>
    <w:rsid w:val="680D2241"/>
    <w:rsid w:val="681864BE"/>
    <w:rsid w:val="68197066"/>
    <w:rsid w:val="681B55C5"/>
    <w:rsid w:val="6821710D"/>
    <w:rsid w:val="68356714"/>
    <w:rsid w:val="68371685"/>
    <w:rsid w:val="68430781"/>
    <w:rsid w:val="68554244"/>
    <w:rsid w:val="686341E4"/>
    <w:rsid w:val="6868280C"/>
    <w:rsid w:val="68773036"/>
    <w:rsid w:val="68802085"/>
    <w:rsid w:val="6897684E"/>
    <w:rsid w:val="68BF5A0A"/>
    <w:rsid w:val="68DB0716"/>
    <w:rsid w:val="68E24AEE"/>
    <w:rsid w:val="68E3031B"/>
    <w:rsid w:val="68E5638C"/>
    <w:rsid w:val="68E85607"/>
    <w:rsid w:val="68F44821"/>
    <w:rsid w:val="68F505D1"/>
    <w:rsid w:val="68F930C3"/>
    <w:rsid w:val="69230C63"/>
    <w:rsid w:val="693D3D7C"/>
    <w:rsid w:val="694330B3"/>
    <w:rsid w:val="697F6AC6"/>
    <w:rsid w:val="69845BA5"/>
    <w:rsid w:val="69866C7F"/>
    <w:rsid w:val="698B03D8"/>
    <w:rsid w:val="698C05B6"/>
    <w:rsid w:val="6993035A"/>
    <w:rsid w:val="69A779C6"/>
    <w:rsid w:val="69CC382E"/>
    <w:rsid w:val="69DF5252"/>
    <w:rsid w:val="69F12B0F"/>
    <w:rsid w:val="69FF382D"/>
    <w:rsid w:val="6A1B7B8C"/>
    <w:rsid w:val="6A1F19D4"/>
    <w:rsid w:val="6A342207"/>
    <w:rsid w:val="6A3B2023"/>
    <w:rsid w:val="6A3C3D60"/>
    <w:rsid w:val="6A5B572F"/>
    <w:rsid w:val="6A60428A"/>
    <w:rsid w:val="6A813EEA"/>
    <w:rsid w:val="6A87162E"/>
    <w:rsid w:val="6A8D154F"/>
    <w:rsid w:val="6A9C6F1F"/>
    <w:rsid w:val="6AA25F96"/>
    <w:rsid w:val="6AEC3E8F"/>
    <w:rsid w:val="6AF22AF0"/>
    <w:rsid w:val="6B0C65FF"/>
    <w:rsid w:val="6B2334C7"/>
    <w:rsid w:val="6B354E8A"/>
    <w:rsid w:val="6B5A3B01"/>
    <w:rsid w:val="6B6B15A7"/>
    <w:rsid w:val="6B730171"/>
    <w:rsid w:val="6BA50B66"/>
    <w:rsid w:val="6BA9096B"/>
    <w:rsid w:val="6BB35EB3"/>
    <w:rsid w:val="6BD9347A"/>
    <w:rsid w:val="6BE83D0C"/>
    <w:rsid w:val="6BFA330E"/>
    <w:rsid w:val="6BFF48A1"/>
    <w:rsid w:val="6C007680"/>
    <w:rsid w:val="6C063851"/>
    <w:rsid w:val="6C0C7143"/>
    <w:rsid w:val="6C3D00E8"/>
    <w:rsid w:val="6C464D15"/>
    <w:rsid w:val="6C4E4249"/>
    <w:rsid w:val="6C7C2B64"/>
    <w:rsid w:val="6C8E364D"/>
    <w:rsid w:val="6CA34594"/>
    <w:rsid w:val="6CA34ED2"/>
    <w:rsid w:val="6CA51767"/>
    <w:rsid w:val="6CB45E8B"/>
    <w:rsid w:val="6CB76A11"/>
    <w:rsid w:val="6CBD0C85"/>
    <w:rsid w:val="6CC02E0A"/>
    <w:rsid w:val="6CCE7C08"/>
    <w:rsid w:val="6CD25B27"/>
    <w:rsid w:val="6CE7162C"/>
    <w:rsid w:val="6CF546C4"/>
    <w:rsid w:val="6CF75687"/>
    <w:rsid w:val="6D194857"/>
    <w:rsid w:val="6D256445"/>
    <w:rsid w:val="6D2A36F2"/>
    <w:rsid w:val="6D2E306D"/>
    <w:rsid w:val="6D2E6323"/>
    <w:rsid w:val="6D422ADA"/>
    <w:rsid w:val="6D514038"/>
    <w:rsid w:val="6D524A11"/>
    <w:rsid w:val="6D5325F2"/>
    <w:rsid w:val="6D776D73"/>
    <w:rsid w:val="6D844667"/>
    <w:rsid w:val="6D943EDD"/>
    <w:rsid w:val="6DA93E2C"/>
    <w:rsid w:val="6DCE45F4"/>
    <w:rsid w:val="6DD92981"/>
    <w:rsid w:val="6DDE18BD"/>
    <w:rsid w:val="6E1449C7"/>
    <w:rsid w:val="6E183000"/>
    <w:rsid w:val="6E2444F8"/>
    <w:rsid w:val="6E274657"/>
    <w:rsid w:val="6E337B9A"/>
    <w:rsid w:val="6E3A32FB"/>
    <w:rsid w:val="6E465010"/>
    <w:rsid w:val="6E612243"/>
    <w:rsid w:val="6E6465DA"/>
    <w:rsid w:val="6E6E472E"/>
    <w:rsid w:val="6EA2277C"/>
    <w:rsid w:val="6EA906EE"/>
    <w:rsid w:val="6EBB0673"/>
    <w:rsid w:val="6EBD1212"/>
    <w:rsid w:val="6EC24A7A"/>
    <w:rsid w:val="6ECE4B78"/>
    <w:rsid w:val="6ED960BE"/>
    <w:rsid w:val="6EED386F"/>
    <w:rsid w:val="6EF710B1"/>
    <w:rsid w:val="6EFA656E"/>
    <w:rsid w:val="6F01462A"/>
    <w:rsid w:val="6F0737BE"/>
    <w:rsid w:val="6F086931"/>
    <w:rsid w:val="6F2D283B"/>
    <w:rsid w:val="6F327877"/>
    <w:rsid w:val="6F3D6533"/>
    <w:rsid w:val="6F802D90"/>
    <w:rsid w:val="6F9E0451"/>
    <w:rsid w:val="6FC51A3F"/>
    <w:rsid w:val="6FC902EC"/>
    <w:rsid w:val="6FD00A02"/>
    <w:rsid w:val="6FE12306"/>
    <w:rsid w:val="6FE30052"/>
    <w:rsid w:val="6FF87043"/>
    <w:rsid w:val="700417EE"/>
    <w:rsid w:val="70183523"/>
    <w:rsid w:val="701C7146"/>
    <w:rsid w:val="70433998"/>
    <w:rsid w:val="704372D8"/>
    <w:rsid w:val="70447695"/>
    <w:rsid w:val="70483C60"/>
    <w:rsid w:val="705D34DC"/>
    <w:rsid w:val="706A52E7"/>
    <w:rsid w:val="70780226"/>
    <w:rsid w:val="707B75D6"/>
    <w:rsid w:val="707D6EAA"/>
    <w:rsid w:val="70A3693A"/>
    <w:rsid w:val="70A609F4"/>
    <w:rsid w:val="70B328CC"/>
    <w:rsid w:val="70B7665E"/>
    <w:rsid w:val="70CA1E8D"/>
    <w:rsid w:val="70FF1FB5"/>
    <w:rsid w:val="71024A01"/>
    <w:rsid w:val="712B33A4"/>
    <w:rsid w:val="7147518E"/>
    <w:rsid w:val="7152422F"/>
    <w:rsid w:val="716B2939"/>
    <w:rsid w:val="719813BE"/>
    <w:rsid w:val="719A101A"/>
    <w:rsid w:val="71AF7537"/>
    <w:rsid w:val="71CA4254"/>
    <w:rsid w:val="71D003C0"/>
    <w:rsid w:val="71F66F14"/>
    <w:rsid w:val="71F8197B"/>
    <w:rsid w:val="720553A9"/>
    <w:rsid w:val="720A6E64"/>
    <w:rsid w:val="720C2BDC"/>
    <w:rsid w:val="721B4BCD"/>
    <w:rsid w:val="723932A5"/>
    <w:rsid w:val="723F63AD"/>
    <w:rsid w:val="72730565"/>
    <w:rsid w:val="72AB41A3"/>
    <w:rsid w:val="72BF38CD"/>
    <w:rsid w:val="72C94629"/>
    <w:rsid w:val="72CB65F3"/>
    <w:rsid w:val="72CC2CE5"/>
    <w:rsid w:val="72D134DE"/>
    <w:rsid w:val="72DF6BAD"/>
    <w:rsid w:val="72E6298C"/>
    <w:rsid w:val="72F959D5"/>
    <w:rsid w:val="72FB30A8"/>
    <w:rsid w:val="732B7092"/>
    <w:rsid w:val="734C0DB6"/>
    <w:rsid w:val="73591640"/>
    <w:rsid w:val="736309A2"/>
    <w:rsid w:val="736E0F96"/>
    <w:rsid w:val="737124FE"/>
    <w:rsid w:val="7384017D"/>
    <w:rsid w:val="739E5AB6"/>
    <w:rsid w:val="73D8427F"/>
    <w:rsid w:val="73DD4FFF"/>
    <w:rsid w:val="73E712CA"/>
    <w:rsid w:val="73F51968"/>
    <w:rsid w:val="73FE47A6"/>
    <w:rsid w:val="740A6CA7"/>
    <w:rsid w:val="74192133"/>
    <w:rsid w:val="741B1DE8"/>
    <w:rsid w:val="741E6B7B"/>
    <w:rsid w:val="7420296E"/>
    <w:rsid w:val="74273CFD"/>
    <w:rsid w:val="74365CEE"/>
    <w:rsid w:val="74571197"/>
    <w:rsid w:val="745A7D8C"/>
    <w:rsid w:val="746A3BEA"/>
    <w:rsid w:val="747674B1"/>
    <w:rsid w:val="74822CE1"/>
    <w:rsid w:val="74825665"/>
    <w:rsid w:val="748A6630"/>
    <w:rsid w:val="748D4EEC"/>
    <w:rsid w:val="74923B95"/>
    <w:rsid w:val="74926774"/>
    <w:rsid w:val="74956EB9"/>
    <w:rsid w:val="74B135C7"/>
    <w:rsid w:val="74B730DA"/>
    <w:rsid w:val="74C57AF1"/>
    <w:rsid w:val="74D80B53"/>
    <w:rsid w:val="74DC3328"/>
    <w:rsid w:val="74EA755E"/>
    <w:rsid w:val="75093403"/>
    <w:rsid w:val="75197C9C"/>
    <w:rsid w:val="752752A8"/>
    <w:rsid w:val="752944C1"/>
    <w:rsid w:val="752C4197"/>
    <w:rsid w:val="75540702"/>
    <w:rsid w:val="755727DA"/>
    <w:rsid w:val="755D72AA"/>
    <w:rsid w:val="75717E89"/>
    <w:rsid w:val="758C66EA"/>
    <w:rsid w:val="7590605C"/>
    <w:rsid w:val="75926B2B"/>
    <w:rsid w:val="75972AEB"/>
    <w:rsid w:val="75977BD2"/>
    <w:rsid w:val="75B05C34"/>
    <w:rsid w:val="75C95418"/>
    <w:rsid w:val="75D1383D"/>
    <w:rsid w:val="75E730D8"/>
    <w:rsid w:val="760E28D5"/>
    <w:rsid w:val="762D3121"/>
    <w:rsid w:val="762E156D"/>
    <w:rsid w:val="762F0C47"/>
    <w:rsid w:val="763464E1"/>
    <w:rsid w:val="76414321"/>
    <w:rsid w:val="764A3A63"/>
    <w:rsid w:val="76653D12"/>
    <w:rsid w:val="76A35191"/>
    <w:rsid w:val="76AD7810"/>
    <w:rsid w:val="76BB2A9F"/>
    <w:rsid w:val="76C01226"/>
    <w:rsid w:val="76C75523"/>
    <w:rsid w:val="76CF5147"/>
    <w:rsid w:val="76E90D7C"/>
    <w:rsid w:val="76F05C85"/>
    <w:rsid w:val="76F105F2"/>
    <w:rsid w:val="76F31A66"/>
    <w:rsid w:val="76F82636"/>
    <w:rsid w:val="76F83CE5"/>
    <w:rsid w:val="77100A78"/>
    <w:rsid w:val="771772BB"/>
    <w:rsid w:val="77185B7F"/>
    <w:rsid w:val="771C2248"/>
    <w:rsid w:val="772448FE"/>
    <w:rsid w:val="773A1933"/>
    <w:rsid w:val="773A3D47"/>
    <w:rsid w:val="774963F2"/>
    <w:rsid w:val="775A1CF3"/>
    <w:rsid w:val="777F4E84"/>
    <w:rsid w:val="7794726C"/>
    <w:rsid w:val="77BB48EE"/>
    <w:rsid w:val="77BF249E"/>
    <w:rsid w:val="77D113F8"/>
    <w:rsid w:val="77DA495B"/>
    <w:rsid w:val="780F0D30"/>
    <w:rsid w:val="781F2648"/>
    <w:rsid w:val="78524A00"/>
    <w:rsid w:val="785A48F6"/>
    <w:rsid w:val="785E1F5E"/>
    <w:rsid w:val="78762B5D"/>
    <w:rsid w:val="78917997"/>
    <w:rsid w:val="78B638A1"/>
    <w:rsid w:val="78CD5A04"/>
    <w:rsid w:val="78CF4963"/>
    <w:rsid w:val="78D649E1"/>
    <w:rsid w:val="78DB3308"/>
    <w:rsid w:val="78E12F04"/>
    <w:rsid w:val="78F87C44"/>
    <w:rsid w:val="78FF5487"/>
    <w:rsid w:val="791D6E95"/>
    <w:rsid w:val="791D747D"/>
    <w:rsid w:val="792A0154"/>
    <w:rsid w:val="792B3827"/>
    <w:rsid w:val="79330A4E"/>
    <w:rsid w:val="79494AC4"/>
    <w:rsid w:val="795B2062"/>
    <w:rsid w:val="79921C19"/>
    <w:rsid w:val="79A05206"/>
    <w:rsid w:val="79A47B9E"/>
    <w:rsid w:val="79CB6ED9"/>
    <w:rsid w:val="79E1516C"/>
    <w:rsid w:val="79F82227"/>
    <w:rsid w:val="7A035BAB"/>
    <w:rsid w:val="7A2B2283"/>
    <w:rsid w:val="7A305927"/>
    <w:rsid w:val="7A5A025C"/>
    <w:rsid w:val="7A6F3D08"/>
    <w:rsid w:val="7A772BBC"/>
    <w:rsid w:val="7A82312C"/>
    <w:rsid w:val="7A8404D2"/>
    <w:rsid w:val="7A946475"/>
    <w:rsid w:val="7A9832C1"/>
    <w:rsid w:val="7AAA279C"/>
    <w:rsid w:val="7AC25150"/>
    <w:rsid w:val="7ACB705B"/>
    <w:rsid w:val="7AE7115B"/>
    <w:rsid w:val="7AF94950"/>
    <w:rsid w:val="7B173542"/>
    <w:rsid w:val="7B251E92"/>
    <w:rsid w:val="7B276391"/>
    <w:rsid w:val="7B320668"/>
    <w:rsid w:val="7B3D7927"/>
    <w:rsid w:val="7B461A73"/>
    <w:rsid w:val="7B4A02D1"/>
    <w:rsid w:val="7B566C76"/>
    <w:rsid w:val="7B7D06A6"/>
    <w:rsid w:val="7B890DF9"/>
    <w:rsid w:val="7B89656F"/>
    <w:rsid w:val="7B937ECA"/>
    <w:rsid w:val="7B963516"/>
    <w:rsid w:val="7BA14395"/>
    <w:rsid w:val="7BAD644F"/>
    <w:rsid w:val="7BB87607"/>
    <w:rsid w:val="7BC30438"/>
    <w:rsid w:val="7BCF6ABB"/>
    <w:rsid w:val="7BE060B4"/>
    <w:rsid w:val="7BE93624"/>
    <w:rsid w:val="7BEA1B68"/>
    <w:rsid w:val="7BF649F7"/>
    <w:rsid w:val="7BF94936"/>
    <w:rsid w:val="7C0A6D16"/>
    <w:rsid w:val="7C0A6E3D"/>
    <w:rsid w:val="7C12196D"/>
    <w:rsid w:val="7C201B9C"/>
    <w:rsid w:val="7C32361C"/>
    <w:rsid w:val="7C541014"/>
    <w:rsid w:val="7C592F52"/>
    <w:rsid w:val="7C690292"/>
    <w:rsid w:val="7C8302AB"/>
    <w:rsid w:val="7C9D6654"/>
    <w:rsid w:val="7CA14921"/>
    <w:rsid w:val="7CAD43E2"/>
    <w:rsid w:val="7CB6166F"/>
    <w:rsid w:val="7CB73744"/>
    <w:rsid w:val="7CBC6FAC"/>
    <w:rsid w:val="7CC153BB"/>
    <w:rsid w:val="7CF46795"/>
    <w:rsid w:val="7CFF1148"/>
    <w:rsid w:val="7D2227C9"/>
    <w:rsid w:val="7D242972"/>
    <w:rsid w:val="7D364FB1"/>
    <w:rsid w:val="7D380BEB"/>
    <w:rsid w:val="7D511DEB"/>
    <w:rsid w:val="7D5A5E55"/>
    <w:rsid w:val="7D637C55"/>
    <w:rsid w:val="7D751800"/>
    <w:rsid w:val="7D755AD9"/>
    <w:rsid w:val="7D79726E"/>
    <w:rsid w:val="7D8219AD"/>
    <w:rsid w:val="7D8E3189"/>
    <w:rsid w:val="7DA10313"/>
    <w:rsid w:val="7DB226E9"/>
    <w:rsid w:val="7DC81DE6"/>
    <w:rsid w:val="7DCF4ABD"/>
    <w:rsid w:val="7DD547CA"/>
    <w:rsid w:val="7DD922C7"/>
    <w:rsid w:val="7DEC3FAD"/>
    <w:rsid w:val="7DFC1D56"/>
    <w:rsid w:val="7E0645DE"/>
    <w:rsid w:val="7E215E33"/>
    <w:rsid w:val="7E24305B"/>
    <w:rsid w:val="7E370FE0"/>
    <w:rsid w:val="7E46472C"/>
    <w:rsid w:val="7E492AC2"/>
    <w:rsid w:val="7E4F5BFE"/>
    <w:rsid w:val="7E566234"/>
    <w:rsid w:val="7E590F57"/>
    <w:rsid w:val="7E5D3DF0"/>
    <w:rsid w:val="7E6F5FE6"/>
    <w:rsid w:val="7E7A0ECD"/>
    <w:rsid w:val="7E7B2246"/>
    <w:rsid w:val="7E805887"/>
    <w:rsid w:val="7E8D10DF"/>
    <w:rsid w:val="7EAD530E"/>
    <w:rsid w:val="7EBA2328"/>
    <w:rsid w:val="7EDB0231"/>
    <w:rsid w:val="7EE173E4"/>
    <w:rsid w:val="7EF053B6"/>
    <w:rsid w:val="7F0A7CF9"/>
    <w:rsid w:val="7F314433"/>
    <w:rsid w:val="7F3B065C"/>
    <w:rsid w:val="7F575195"/>
    <w:rsid w:val="7F5E03D1"/>
    <w:rsid w:val="7F6D69D6"/>
    <w:rsid w:val="7F7F3586"/>
    <w:rsid w:val="7F8244DD"/>
    <w:rsid w:val="7F840255"/>
    <w:rsid w:val="7F847B20"/>
    <w:rsid w:val="7F9F4993"/>
    <w:rsid w:val="7FAD6FDE"/>
    <w:rsid w:val="7FBF6A04"/>
    <w:rsid w:val="7FC02E5E"/>
    <w:rsid w:val="7FCB7C51"/>
    <w:rsid w:val="7FDE69E6"/>
    <w:rsid w:val="7FE82472"/>
    <w:rsid w:val="7FEE1B73"/>
    <w:rsid w:val="7FF30E3E"/>
    <w:rsid w:val="7FF42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9"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200" w:after="200" w:line="360" w:lineRule="auto"/>
      <w:outlineLvl w:val="0"/>
    </w:pPr>
    <w:rPr>
      <w:rFonts w:eastAsia="黑体"/>
      <w:b/>
      <w:bCs/>
      <w:kern w:val="44"/>
      <w:sz w:val="32"/>
      <w:szCs w:val="44"/>
    </w:rPr>
  </w:style>
  <w:style w:type="paragraph" w:styleId="3">
    <w:name w:val="heading 2"/>
    <w:basedOn w:val="1"/>
    <w:next w:val="1"/>
    <w:qFormat/>
    <w:uiPriority w:val="0"/>
    <w:pPr>
      <w:keepNext/>
      <w:keepLines/>
      <w:adjustRightInd w:val="0"/>
      <w:snapToGrid w:val="0"/>
      <w:spacing w:before="160" w:after="160" w:line="360" w:lineRule="auto"/>
      <w:outlineLvl w:val="1"/>
    </w:pPr>
    <w:rPr>
      <w:rFonts w:eastAsia="黑体"/>
      <w:b/>
      <w:bCs/>
      <w:sz w:val="32"/>
      <w:szCs w:val="32"/>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99"/>
    <w:pPr>
      <w:numPr>
        <w:ilvl w:val="3"/>
        <w:numId w:val="1"/>
      </w:numPr>
      <w:adjustRightInd w:val="0"/>
      <w:spacing w:line="360" w:lineRule="auto"/>
      <w:jc w:val="left"/>
      <w:textAlignment w:val="baseline"/>
      <w:outlineLvl w:val="3"/>
    </w:pPr>
    <w:rPr>
      <w:rFonts w:ascii="Times New Roman" w:hAnsi="Times New Roman"/>
      <w:bCs/>
      <w:smallCaps/>
      <w:sz w:val="28"/>
    </w:rPr>
  </w:style>
  <w:style w:type="paragraph" w:styleId="6">
    <w:name w:val="heading 6"/>
    <w:basedOn w:val="1"/>
    <w:next w:val="1"/>
    <w:qFormat/>
    <w:uiPriority w:val="9"/>
    <w:pPr>
      <w:keepNext/>
      <w:keepLines/>
      <w:numPr>
        <w:ilvl w:val="5"/>
        <w:numId w:val="2"/>
      </w:numPr>
      <w:spacing w:before="240" w:after="64" w:line="320" w:lineRule="auto"/>
      <w:outlineLvl w:val="5"/>
    </w:pPr>
    <w:rPr>
      <w:rFonts w:ascii="Calibri Light" w:hAnsi="Calibri Light"/>
      <w:b/>
      <w:bCs/>
    </w:rPr>
  </w:style>
  <w:style w:type="character" w:default="1" w:styleId="27">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96"/>
    <w:qFormat/>
    <w:uiPriority w:val="0"/>
    <w:rPr>
      <w:b/>
      <w:bCs/>
    </w:rPr>
  </w:style>
  <w:style w:type="paragraph" w:styleId="8">
    <w:name w:val="annotation text"/>
    <w:basedOn w:val="1"/>
    <w:link w:val="95"/>
    <w:qFormat/>
    <w:uiPriority w:val="0"/>
    <w:pPr>
      <w:jc w:val="left"/>
    </w:pPr>
  </w:style>
  <w:style w:type="paragraph" w:styleId="9">
    <w:name w:val="Body Text First Indent"/>
    <w:basedOn w:val="10"/>
    <w:unhideWhenUsed/>
    <w:qFormat/>
    <w:uiPriority w:val="99"/>
    <w:pPr>
      <w:adjustRightInd/>
      <w:snapToGrid/>
      <w:spacing w:line="240" w:lineRule="auto"/>
      <w:ind w:firstLine="420" w:firstLineChars="100"/>
    </w:pPr>
    <w:rPr>
      <w:rFonts w:eastAsia="宋体"/>
      <w:sz w:val="21"/>
      <w:szCs w:val="22"/>
    </w:rPr>
  </w:style>
  <w:style w:type="paragraph" w:styleId="10">
    <w:name w:val="Body Text"/>
    <w:basedOn w:val="1"/>
    <w:next w:val="11"/>
    <w:qFormat/>
    <w:uiPriority w:val="99"/>
    <w:pPr>
      <w:adjustRightInd w:val="0"/>
      <w:snapToGrid w:val="0"/>
      <w:spacing w:after="120" w:line="500" w:lineRule="exact"/>
      <w:ind w:firstLine="200" w:firstLineChars="200"/>
    </w:pPr>
    <w:rPr>
      <w:rFonts w:eastAsia="仿宋_GB2312"/>
      <w:sz w:val="28"/>
    </w:rPr>
  </w:style>
  <w:style w:type="paragraph" w:customStyle="1" w:styleId="11">
    <w:name w:val="Date1"/>
    <w:basedOn w:val="1"/>
    <w:next w:val="1"/>
    <w:qFormat/>
    <w:uiPriority w:val="0"/>
    <w:pPr>
      <w:adjustRightInd w:val="0"/>
      <w:jc w:val="left"/>
      <w:textAlignment w:val="baseline"/>
    </w:pPr>
    <w:rPr>
      <w:rFonts w:ascii="宋体" w:hAnsi="宋体"/>
      <w:sz w:val="28"/>
      <w:szCs w:val="20"/>
    </w:rPr>
  </w:style>
  <w:style w:type="paragraph" w:styleId="12">
    <w:name w:val="Normal Indent"/>
    <w:basedOn w:val="1"/>
    <w:qFormat/>
    <w:uiPriority w:val="0"/>
    <w:pPr>
      <w:ind w:firstLine="420"/>
    </w:pPr>
  </w:style>
  <w:style w:type="paragraph" w:styleId="13">
    <w:name w:val="caption"/>
    <w:basedOn w:val="1"/>
    <w:next w:val="1"/>
    <w:qFormat/>
    <w:uiPriority w:val="0"/>
    <w:pPr>
      <w:spacing w:line="500" w:lineRule="atLeast"/>
      <w:jc w:val="center"/>
    </w:pPr>
    <w:rPr>
      <w:rFonts w:ascii="宋体" w:hAnsi="宋体"/>
      <w:b/>
      <w:szCs w:val="20"/>
    </w:rPr>
  </w:style>
  <w:style w:type="paragraph" w:styleId="14">
    <w:name w:val="Document Map"/>
    <w:basedOn w:val="1"/>
    <w:link w:val="108"/>
    <w:qFormat/>
    <w:uiPriority w:val="0"/>
    <w:rPr>
      <w:rFonts w:ascii="宋体" w:eastAsia="宋体"/>
      <w:sz w:val="18"/>
      <w:szCs w:val="18"/>
    </w:rPr>
  </w:style>
  <w:style w:type="paragraph" w:styleId="15">
    <w:name w:val="Block Text"/>
    <w:basedOn w:val="1"/>
    <w:next w:val="16"/>
    <w:qFormat/>
    <w:uiPriority w:val="0"/>
    <w:pPr>
      <w:spacing w:line="260" w:lineRule="exact"/>
      <w:ind w:left="-107" w:right="-63"/>
      <w:jc w:val="center"/>
    </w:pPr>
    <w:rPr>
      <w:rFonts w:ascii="Times New Roman" w:hAnsi="Times New Roman"/>
      <w:color w:val="000000"/>
      <w:sz w:val="18"/>
      <w:szCs w:val="20"/>
    </w:rPr>
  </w:style>
  <w:style w:type="paragraph" w:styleId="16">
    <w:name w:val="toc 9"/>
    <w:basedOn w:val="1"/>
    <w:next w:val="1"/>
    <w:qFormat/>
    <w:uiPriority w:val="0"/>
    <w:pPr>
      <w:ind w:left="1680"/>
      <w:jc w:val="left"/>
    </w:pPr>
    <w:rPr>
      <w:sz w:val="18"/>
      <w:szCs w:val="18"/>
    </w:rPr>
  </w:style>
  <w:style w:type="paragraph" w:styleId="17">
    <w:name w:val="Balloon Text"/>
    <w:basedOn w:val="1"/>
    <w:link w:val="107"/>
    <w:qFormat/>
    <w:uiPriority w:val="0"/>
    <w:rPr>
      <w:sz w:val="18"/>
      <w:szCs w:val="18"/>
    </w:rPr>
  </w:style>
  <w:style w:type="paragraph" w:styleId="18">
    <w:name w:val="footer"/>
    <w:basedOn w:val="1"/>
    <w:unhideWhenUsed/>
    <w:qFormat/>
    <w:uiPriority w:val="99"/>
    <w:pPr>
      <w:tabs>
        <w:tab w:val="center" w:pos="4153"/>
        <w:tab w:val="right" w:pos="8306"/>
      </w:tabs>
      <w:snapToGrid w:val="0"/>
      <w:jc w:val="left"/>
    </w:pPr>
    <w:rPr>
      <w:sz w:val="18"/>
      <w:szCs w:val="18"/>
    </w:rPr>
  </w:style>
  <w:style w:type="paragraph" w:styleId="19">
    <w:name w:val="header"/>
    <w:basedOn w:val="1"/>
    <w:unhideWhenUsed/>
    <w:qFormat/>
    <w:uiPriority w:val="99"/>
    <w:pPr>
      <w:pBdr>
        <w:bottom w:val="single" w:color="auto" w:sz="6" w:space="1"/>
      </w:pBdr>
      <w:tabs>
        <w:tab w:val="center" w:pos="4153"/>
        <w:tab w:val="right" w:pos="8306"/>
      </w:tabs>
      <w:snapToGrid w:val="0"/>
    </w:pPr>
    <w:rPr>
      <w:sz w:val="18"/>
      <w:szCs w:val="18"/>
    </w:rPr>
  </w:style>
  <w:style w:type="paragraph" w:styleId="20">
    <w:name w:val="toc 1"/>
    <w:basedOn w:val="1"/>
    <w:next w:val="1"/>
    <w:qFormat/>
    <w:uiPriority w:val="0"/>
  </w:style>
  <w:style w:type="paragraph" w:styleId="21">
    <w:name w:val="index heading"/>
    <w:basedOn w:val="1"/>
    <w:next w:val="22"/>
    <w:qFormat/>
    <w:uiPriority w:val="0"/>
    <w:pPr>
      <w:spacing w:line="360" w:lineRule="auto"/>
      <w:ind w:firstLine="200" w:firstLineChars="200"/>
    </w:pPr>
    <w:rPr>
      <w:rFonts w:hint="eastAsia" w:ascii="Cambria" w:hAnsi="Cambria" w:cs="Courier New"/>
      <w:b/>
      <w:bCs/>
      <w:szCs w:val="21"/>
    </w:rPr>
  </w:style>
  <w:style w:type="paragraph" w:styleId="22">
    <w:name w:val="index 1"/>
    <w:basedOn w:val="1"/>
    <w:next w:val="1"/>
    <w:qFormat/>
    <w:uiPriority w:val="0"/>
    <w:pPr>
      <w:spacing w:line="360" w:lineRule="auto"/>
    </w:pPr>
    <w:rPr>
      <w:sz w:val="24"/>
    </w:rPr>
  </w:style>
  <w:style w:type="paragraph" w:styleId="23">
    <w:name w:val="Subtitle"/>
    <w:basedOn w:val="1"/>
    <w:next w:val="1"/>
    <w:qFormat/>
    <w:uiPriority w:val="11"/>
    <w:pPr>
      <w:jc w:val="center"/>
    </w:pPr>
    <w:rPr>
      <w:bCs/>
      <w:kern w:val="28"/>
      <w:szCs w:val="32"/>
    </w:rPr>
  </w:style>
  <w:style w:type="paragraph" w:styleId="24">
    <w:name w:val="List"/>
    <w:basedOn w:val="1"/>
    <w:next w:val="1"/>
    <w:qFormat/>
    <w:uiPriority w:val="0"/>
    <w:pPr>
      <w:adjustRightInd w:val="0"/>
      <w:snapToGrid w:val="0"/>
      <w:ind w:left="198" w:hanging="198"/>
      <w:contextualSpacing/>
    </w:pPr>
  </w:style>
  <w:style w:type="paragraph" w:styleId="25">
    <w:name w:val="toc 2"/>
    <w:basedOn w:val="1"/>
    <w:next w:val="1"/>
    <w:qFormat/>
    <w:uiPriority w:val="0"/>
    <w:pPr>
      <w:ind w:left="420" w:leftChars="200"/>
    </w:p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28">
    <w:name w:val="page number"/>
    <w:basedOn w:val="27"/>
    <w:qFormat/>
    <w:uiPriority w:val="0"/>
  </w:style>
  <w:style w:type="character" w:styleId="29">
    <w:name w:val="Hyperlink"/>
    <w:basedOn w:val="27"/>
    <w:qFormat/>
    <w:uiPriority w:val="0"/>
    <w:rPr>
      <w:color w:val="0000FF"/>
      <w:u w:val="single"/>
    </w:rPr>
  </w:style>
  <w:style w:type="character" w:styleId="30">
    <w:name w:val="annotation reference"/>
    <w:basedOn w:val="27"/>
    <w:qFormat/>
    <w:uiPriority w:val="0"/>
    <w:rPr>
      <w:sz w:val="21"/>
      <w:szCs w:val="21"/>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3">
    <w:name w:val="Default"/>
    <w:basedOn w:val="34"/>
    <w:next w:val="1"/>
    <w:qFormat/>
    <w:uiPriority w:val="0"/>
    <w:pPr>
      <w:autoSpaceDE w:val="0"/>
      <w:autoSpaceDN w:val="0"/>
    </w:pPr>
    <w:rPr>
      <w:rFonts w:ascii="宋体" w:cs="宋体"/>
      <w:sz w:val="24"/>
      <w:szCs w:val="24"/>
    </w:rPr>
  </w:style>
  <w:style w:type="paragraph" w:customStyle="1" w:styleId="34">
    <w:name w:val="1 表头"/>
    <w:basedOn w:val="1"/>
    <w:qFormat/>
    <w:uiPriority w:val="0"/>
    <w:pPr>
      <w:adjustRightInd w:val="0"/>
      <w:snapToGrid w:val="0"/>
      <w:jc w:val="center"/>
    </w:pPr>
    <w:rPr>
      <w:b/>
      <w:color w:val="000000"/>
      <w:szCs w:val="21"/>
    </w:rPr>
  </w:style>
  <w:style w:type="paragraph" w:customStyle="1" w:styleId="35">
    <w:name w:val="正文文本缩进1 Char Char Char Char Char Char"/>
    <w:basedOn w:val="1"/>
    <w:next w:val="36"/>
    <w:qFormat/>
    <w:uiPriority w:val="0"/>
    <w:pPr>
      <w:snapToGrid w:val="0"/>
      <w:spacing w:line="300" w:lineRule="auto"/>
      <w:ind w:firstLine="555"/>
    </w:pPr>
    <w:rPr>
      <w:rFonts w:ascii="Times New Roman"/>
    </w:rPr>
  </w:style>
  <w:style w:type="paragraph" w:customStyle="1" w:styleId="36">
    <w:name w:val="Char Char Char1 Char Char Char Char Char Char Char"/>
    <w:basedOn w:val="1"/>
    <w:next w:val="37"/>
    <w:qFormat/>
    <w:uiPriority w:val="0"/>
  </w:style>
  <w:style w:type="paragraph" w:customStyle="1" w:styleId="37">
    <w:name w:val="Char Char Char Char Char Char Char"/>
    <w:basedOn w:val="1"/>
    <w:next w:val="38"/>
    <w:qFormat/>
    <w:uiPriority w:val="0"/>
    <w:rPr>
      <w:szCs w:val="21"/>
    </w:rPr>
  </w:style>
  <w:style w:type="paragraph" w:customStyle="1" w:styleId="38">
    <w:name w:val="xl37"/>
    <w:basedOn w:val="1"/>
    <w:next w:val="39"/>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Lines="0" w:beforeAutospacing="1" w:after="100" w:afterLines="0" w:afterAutospacing="1"/>
      <w:jc w:val="center"/>
      <w:textAlignment w:val="center"/>
    </w:pPr>
    <w:rPr>
      <w:rFonts w:hint="eastAsia" w:ascii="楷体_GB2312" w:hAnsi="Arial Unicode MS" w:eastAsia="楷体_GB2312" w:cs="Arial Unicode MS"/>
      <w:kern w:val="0"/>
      <w:sz w:val="20"/>
      <w:szCs w:val="20"/>
    </w:rPr>
  </w:style>
  <w:style w:type="paragraph" w:customStyle="1" w:styleId="39">
    <w:name w:val="一"/>
    <w:basedOn w:val="1"/>
    <w:next w:val="40"/>
    <w:qFormat/>
    <w:uiPriority w:val="0"/>
    <w:pPr>
      <w:snapToGrid w:val="0"/>
      <w:spacing w:before="240" w:beforeLines="0" w:after="240" w:afterLines="0"/>
    </w:pPr>
    <w:rPr>
      <w:rFonts w:ascii="Times New Roman" w:hAnsi="Times New Roman" w:eastAsia="黑体"/>
      <w:bCs/>
      <w:szCs w:val="24"/>
    </w:rPr>
  </w:style>
  <w:style w:type="paragraph" w:customStyle="1" w:styleId="40">
    <w:name w:val="章节标志"/>
    <w:basedOn w:val="1"/>
    <w:next w:val="1"/>
    <w:qFormat/>
    <w:uiPriority w:val="0"/>
    <w:pPr>
      <w:keepNext/>
      <w:adjustRightInd w:val="0"/>
      <w:spacing w:before="360" w:beforeLines="0"/>
      <w:jc w:val="center"/>
      <w:textAlignment w:val="baseline"/>
    </w:pPr>
    <w:rPr>
      <w:rFonts w:ascii="宋体" w:hAnsi="Times New Roman"/>
      <w:b/>
      <w:kern w:val="0"/>
      <w:sz w:val="24"/>
      <w:szCs w:val="20"/>
      <w:u w:val="single"/>
    </w:rPr>
  </w:style>
  <w:style w:type="paragraph" w:customStyle="1" w:styleId="41">
    <w:name w:val="表头"/>
    <w:basedOn w:val="42"/>
    <w:next w:val="1"/>
    <w:qFormat/>
    <w:uiPriority w:val="0"/>
  </w:style>
  <w:style w:type="paragraph" w:customStyle="1" w:styleId="42">
    <w:name w:val="表外"/>
    <w:basedOn w:val="1"/>
    <w:qFormat/>
    <w:uiPriority w:val="0"/>
    <w:rPr>
      <w:b/>
      <w:sz w:val="32"/>
    </w:rPr>
  </w:style>
  <w:style w:type="paragraph" w:customStyle="1" w:styleId="43">
    <w:name w:val="表格"/>
    <w:basedOn w:val="24"/>
    <w:next w:val="1"/>
    <w:qFormat/>
    <w:uiPriority w:val="0"/>
    <w:pPr>
      <w:jc w:val="center"/>
    </w:pPr>
    <w:rPr>
      <w:rFonts w:ascii="Calibri" w:hAnsi="Calibri" w:eastAsia="宋体" w:cs="Times New Roman"/>
    </w:rPr>
  </w:style>
  <w:style w:type="paragraph" w:customStyle="1" w:styleId="44">
    <w:name w:val="表格内容"/>
    <w:basedOn w:val="41"/>
    <w:next w:val="1"/>
    <w:qFormat/>
    <w:uiPriority w:val="0"/>
    <w:rPr>
      <w:kern w:val="0"/>
      <w:lang w:val="zh-CN"/>
    </w:rPr>
  </w:style>
  <w:style w:type="paragraph" w:customStyle="1" w:styleId="45">
    <w:name w:val="样式 首行缩进:  2 字符1"/>
    <w:basedOn w:val="1"/>
    <w:qFormat/>
    <w:uiPriority w:val="0"/>
    <w:pPr>
      <w:adjustRightInd w:val="0"/>
      <w:snapToGrid w:val="0"/>
      <w:spacing w:line="360" w:lineRule="auto"/>
      <w:ind w:firstLine="480" w:firstLineChars="200"/>
    </w:pPr>
    <w:rPr>
      <w:rFonts w:cs="宋体"/>
      <w:sz w:val="24"/>
    </w:rPr>
  </w:style>
  <w:style w:type="paragraph" w:styleId="46">
    <w:name w:val="No Spacing"/>
    <w:qFormat/>
    <w:uiPriority w:val="99"/>
    <w:pPr>
      <w:widowControl w:val="0"/>
      <w:autoSpaceDE w:val="0"/>
      <w:autoSpaceDN w:val="0"/>
    </w:pPr>
    <w:rPr>
      <w:rFonts w:ascii="宋体" w:hAnsi="宋体" w:eastAsia="宋体" w:cs="宋体"/>
      <w:sz w:val="22"/>
      <w:szCs w:val="22"/>
      <w:lang w:val="zh-CN" w:eastAsia="zh-CN" w:bidi="zh-CN"/>
    </w:rPr>
  </w:style>
  <w:style w:type="paragraph" w:customStyle="1" w:styleId="47">
    <w:name w:val="wyc-表文字"/>
    <w:basedOn w:val="48"/>
    <w:qFormat/>
    <w:uiPriority w:val="0"/>
    <w:pPr>
      <w:snapToGrid w:val="0"/>
    </w:pPr>
    <w:rPr>
      <w:b w:val="0"/>
      <w:bCs w:val="0"/>
      <w:szCs w:val="21"/>
    </w:rPr>
  </w:style>
  <w:style w:type="paragraph" w:customStyle="1" w:styleId="48">
    <w:name w:val="wyc-表头"/>
    <w:basedOn w:val="1"/>
    <w:qFormat/>
    <w:uiPriority w:val="0"/>
    <w:pPr>
      <w:jc w:val="center"/>
    </w:pPr>
    <w:rPr>
      <w:rFonts w:ascii="Times New Roman" w:hAnsi="Times New Roman" w:eastAsia="宋体"/>
      <w:b/>
      <w:bCs/>
      <w:color w:val="000000"/>
    </w:rPr>
  </w:style>
  <w:style w:type="paragraph" w:customStyle="1" w:styleId="49">
    <w:name w:val="表头名称"/>
    <w:basedOn w:val="50"/>
    <w:qFormat/>
    <w:uiPriority w:val="0"/>
    <w:pPr>
      <w:spacing w:line="500" w:lineRule="exact"/>
    </w:pPr>
    <w:rPr>
      <w:sz w:val="21"/>
    </w:rPr>
  </w:style>
  <w:style w:type="paragraph" w:customStyle="1" w:styleId="50">
    <w:name w:val="图名"/>
    <w:next w:val="1"/>
    <w:qFormat/>
    <w:uiPriority w:val="0"/>
    <w:pPr>
      <w:adjustRightInd w:val="0"/>
      <w:snapToGrid w:val="0"/>
      <w:jc w:val="center"/>
    </w:pPr>
    <w:rPr>
      <w:rFonts w:ascii="Calibri" w:hAnsi="Calibri" w:eastAsia="宋体" w:cs="Times New Roman"/>
      <w:b/>
      <w:bCs/>
      <w:snapToGrid w:val="0"/>
      <w:sz w:val="24"/>
      <w:szCs w:val="24"/>
      <w:lang w:val="en-US" w:eastAsia="zh-CN" w:bidi="ar-SA"/>
    </w:rPr>
  </w:style>
  <w:style w:type="paragraph" w:customStyle="1" w:styleId="51">
    <w:name w:val="报告书正文"/>
    <w:basedOn w:val="9"/>
    <w:qFormat/>
    <w:uiPriority w:val="0"/>
    <w:pPr>
      <w:spacing w:line="360" w:lineRule="auto"/>
    </w:pPr>
    <w:rPr>
      <w:rFonts w:ascii="Calibri" w:hAnsi="Calibri" w:cs="Times New Roman"/>
      <w:sz w:val="24"/>
      <w:szCs w:val="24"/>
    </w:rPr>
  </w:style>
  <w:style w:type="paragraph" w:customStyle="1" w:styleId="52">
    <w:name w:val="Char20"/>
    <w:basedOn w:val="1"/>
    <w:qFormat/>
    <w:uiPriority w:val="99"/>
    <w:rPr>
      <w:sz w:val="24"/>
    </w:rPr>
  </w:style>
  <w:style w:type="paragraph" w:customStyle="1" w:styleId="53">
    <w:name w:val="列出段落11"/>
    <w:basedOn w:val="1"/>
    <w:qFormat/>
    <w:uiPriority w:val="34"/>
    <w:pPr>
      <w:ind w:firstLine="420" w:firstLineChars="200"/>
    </w:pPr>
  </w:style>
  <w:style w:type="paragraph" w:customStyle="1" w:styleId="54">
    <w:name w:val="wu表格"/>
    <w:qFormat/>
    <w:uiPriority w:val="0"/>
    <w:pPr>
      <w:adjustRightInd w:val="0"/>
      <w:snapToGrid w:val="0"/>
      <w:jc w:val="center"/>
    </w:pPr>
    <w:rPr>
      <w:rFonts w:ascii="Times New Roman" w:hAnsi="Times New Roman" w:eastAsia="宋体" w:cs="Times New Roman"/>
      <w:kern w:val="2"/>
      <w:sz w:val="21"/>
      <w:szCs w:val="24"/>
      <w:lang w:val="en-US" w:eastAsia="zh-CN" w:bidi="ar-SA"/>
    </w:rPr>
  </w:style>
  <w:style w:type="table" w:customStyle="1" w:styleId="55">
    <w:name w:val="网格型1"/>
    <w:basedOn w:val="3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6">
    <w:name w:val="wyc正文"/>
    <w:basedOn w:val="1"/>
    <w:qFormat/>
    <w:uiPriority w:val="0"/>
    <w:pPr>
      <w:adjustRightInd w:val="0"/>
      <w:ind w:firstLine="480"/>
    </w:pPr>
    <w:rPr>
      <w:rFonts w:ascii="Times New Roman" w:hAnsi="Times New Roman" w:eastAsia="宋体"/>
      <w:bCs/>
      <w:szCs w:val="20"/>
    </w:rPr>
  </w:style>
  <w:style w:type="paragraph" w:customStyle="1" w:styleId="57">
    <w:name w:val="样式 首行缩进:  2 字符"/>
    <w:basedOn w:val="1"/>
    <w:qFormat/>
    <w:uiPriority w:val="99"/>
    <w:pPr>
      <w:spacing w:line="520" w:lineRule="exact"/>
      <w:ind w:firstLine="200" w:firstLineChars="200"/>
    </w:pPr>
    <w:rPr>
      <w:rFonts w:ascii="Times New Roman" w:hAnsi="Times New Roman" w:cs="宋体"/>
      <w:sz w:val="24"/>
      <w:szCs w:val="20"/>
    </w:rPr>
  </w:style>
  <w:style w:type="paragraph" w:customStyle="1" w:styleId="58">
    <w:name w:val="表字-书"/>
    <w:basedOn w:val="1"/>
    <w:qFormat/>
    <w:uiPriority w:val="0"/>
    <w:pPr>
      <w:spacing w:line="300" w:lineRule="atLeast"/>
      <w:jc w:val="center"/>
    </w:pPr>
    <w:rPr>
      <w:rFonts w:ascii="宋体" w:hAnsi="宋体" w:eastAsia="宋体"/>
      <w:kern w:val="0"/>
      <w:sz w:val="20"/>
      <w:szCs w:val="21"/>
    </w:rPr>
  </w:style>
  <w:style w:type="paragraph" w:customStyle="1" w:styleId="59">
    <w:name w:val="表格标题"/>
    <w:qFormat/>
    <w:uiPriority w:val="0"/>
    <w:pPr>
      <w:keepLines/>
      <w:widowControl w:val="0"/>
      <w:jc w:val="center"/>
    </w:pPr>
    <w:rPr>
      <w:rFonts w:ascii="Times New Roman" w:hAnsi="Times New Roman" w:eastAsia="宋体" w:cs="Times New Roman"/>
      <w:b/>
      <w:bCs/>
      <w:sz w:val="21"/>
      <w:szCs w:val="32"/>
      <w:lang w:val="en-US" w:eastAsia="zh-CN" w:bidi="ar-SA"/>
    </w:rPr>
  </w:style>
  <w:style w:type="paragraph" w:customStyle="1" w:styleId="60">
    <w:name w:val="wyc-三级"/>
    <w:basedOn w:val="1"/>
    <w:qFormat/>
    <w:uiPriority w:val="0"/>
    <w:pPr>
      <w:outlineLvl w:val="2"/>
    </w:pPr>
    <w:rPr>
      <w:rFonts w:ascii="Times New Roman" w:hAnsi="Times New Roman" w:eastAsia="宋体" w:cs="宋体"/>
      <w:b/>
      <w:bCs/>
      <w:snapToGrid w:val="0"/>
      <w:sz w:val="30"/>
      <w:szCs w:val="28"/>
    </w:rPr>
  </w:style>
  <w:style w:type="paragraph" w:customStyle="1" w:styleId="61">
    <w:name w:val="wyc-正文"/>
    <w:basedOn w:val="1"/>
    <w:link w:val="87"/>
    <w:qFormat/>
    <w:uiPriority w:val="0"/>
    <w:rPr>
      <w:rFonts w:ascii="Times New Roman" w:hAnsi="Times New Roman"/>
      <w:b/>
    </w:rPr>
  </w:style>
  <w:style w:type="paragraph" w:customStyle="1" w:styleId="62">
    <w:name w:val="样式 标题 2二级标题H2标题 lxb2二级标题 Char一级条l2Underrubrik1prop2Head..."/>
    <w:basedOn w:val="3"/>
    <w:qFormat/>
    <w:uiPriority w:val="0"/>
    <w:pPr>
      <w:keepNext w:val="0"/>
      <w:keepLines w:val="0"/>
      <w:spacing w:before="240" w:after="120" w:line="240" w:lineRule="auto"/>
    </w:pPr>
    <w:rPr>
      <w:rFonts w:ascii="Times New Roman" w:hAnsi="Times New Roman" w:eastAsia="宋体"/>
      <w:b w:val="0"/>
      <w:spacing w:val="-4"/>
      <w:kern w:val="44"/>
      <w:sz w:val="28"/>
      <w:szCs w:val="20"/>
    </w:rPr>
  </w:style>
  <w:style w:type="paragraph" w:customStyle="1" w:styleId="63">
    <w:name w:val="YJ-正文"/>
    <w:basedOn w:val="64"/>
    <w:qFormat/>
    <w:uiPriority w:val="0"/>
    <w:pPr>
      <w:ind w:firstLine="200" w:firstLineChars="200"/>
      <w:jc w:val="both"/>
      <w:outlineLvl w:val="9"/>
    </w:pPr>
    <w:rPr>
      <w:b w:val="0"/>
      <w:sz w:val="24"/>
    </w:rPr>
  </w:style>
  <w:style w:type="paragraph" w:customStyle="1" w:styleId="64">
    <w:name w:val="YJ-表标题1"/>
    <w:basedOn w:val="1"/>
    <w:qFormat/>
    <w:uiPriority w:val="0"/>
    <w:pPr>
      <w:widowControl/>
      <w:spacing w:line="520" w:lineRule="exact"/>
      <w:jc w:val="left"/>
      <w:outlineLvl w:val="1"/>
    </w:pPr>
    <w:rPr>
      <w:b/>
      <w:kern w:val="0"/>
      <w:sz w:val="30"/>
      <w:szCs w:val="22"/>
    </w:rPr>
  </w:style>
  <w:style w:type="paragraph" w:customStyle="1" w:styleId="65">
    <w:name w:val="YJ正文*"/>
    <w:basedOn w:val="1"/>
    <w:qFormat/>
    <w:uiPriority w:val="0"/>
    <w:pPr>
      <w:spacing w:line="500" w:lineRule="exact"/>
      <w:ind w:firstLine="200" w:firstLineChars="200"/>
    </w:pPr>
    <w:rPr>
      <w:rFonts w:ascii="宋体" w:hAnsi="宋体"/>
      <w:kern w:val="0"/>
      <w:sz w:val="24"/>
    </w:rPr>
  </w:style>
  <w:style w:type="paragraph" w:customStyle="1" w:styleId="66">
    <w:name w:val="wyc-四级"/>
    <w:basedOn w:val="61"/>
    <w:qFormat/>
    <w:uiPriority w:val="0"/>
    <w:pPr>
      <w:outlineLvl w:val="3"/>
    </w:pPr>
    <w:rPr>
      <w:rFonts w:eastAsia="宋体"/>
      <w:b w:val="0"/>
      <w:sz w:val="28"/>
      <w:szCs w:val="28"/>
    </w:rPr>
  </w:style>
  <w:style w:type="character" w:customStyle="1" w:styleId="67">
    <w:name w:val="font101"/>
    <w:basedOn w:val="27"/>
    <w:qFormat/>
    <w:uiPriority w:val="0"/>
    <w:rPr>
      <w:rFonts w:hint="eastAsia" w:ascii="等线" w:hAnsi="等线" w:eastAsia="等线" w:cs="等线"/>
      <w:b/>
      <w:bCs/>
      <w:color w:val="000000"/>
      <w:sz w:val="20"/>
      <w:szCs w:val="20"/>
      <w:u w:val="none"/>
    </w:rPr>
  </w:style>
  <w:style w:type="character" w:customStyle="1" w:styleId="68">
    <w:name w:val="font91"/>
    <w:basedOn w:val="27"/>
    <w:qFormat/>
    <w:uiPriority w:val="0"/>
    <w:rPr>
      <w:rFonts w:hint="default" w:ascii="Times New Roman" w:hAnsi="Times New Roman" w:cs="Times New Roman"/>
      <w:color w:val="000000"/>
      <w:sz w:val="20"/>
      <w:szCs w:val="20"/>
      <w:u w:val="none"/>
    </w:rPr>
  </w:style>
  <w:style w:type="character" w:customStyle="1" w:styleId="69">
    <w:name w:val="font71"/>
    <w:basedOn w:val="27"/>
    <w:qFormat/>
    <w:uiPriority w:val="0"/>
    <w:rPr>
      <w:rFonts w:hint="eastAsia" w:ascii="宋体" w:hAnsi="宋体" w:eastAsia="宋体" w:cs="宋体"/>
      <w:color w:val="000000"/>
      <w:sz w:val="20"/>
      <w:szCs w:val="20"/>
      <w:u w:val="none"/>
    </w:rPr>
  </w:style>
  <w:style w:type="character" w:customStyle="1" w:styleId="70">
    <w:name w:val="font61"/>
    <w:basedOn w:val="27"/>
    <w:qFormat/>
    <w:uiPriority w:val="0"/>
    <w:rPr>
      <w:rFonts w:hint="default" w:ascii="Times New Roman" w:hAnsi="Times New Roman" w:cs="Times New Roman"/>
      <w:b/>
      <w:bCs/>
      <w:color w:val="000000"/>
      <w:sz w:val="20"/>
      <w:szCs w:val="20"/>
      <w:u w:val="none"/>
    </w:rPr>
  </w:style>
  <w:style w:type="character" w:customStyle="1" w:styleId="71">
    <w:name w:val="font81"/>
    <w:basedOn w:val="27"/>
    <w:qFormat/>
    <w:uiPriority w:val="0"/>
    <w:rPr>
      <w:rFonts w:hint="default" w:ascii="Times New Roman" w:hAnsi="Times New Roman" w:cs="Times New Roman"/>
      <w:b/>
      <w:bCs/>
      <w:color w:val="000000"/>
      <w:sz w:val="20"/>
      <w:szCs w:val="20"/>
      <w:u w:val="none"/>
    </w:rPr>
  </w:style>
  <w:style w:type="character" w:customStyle="1" w:styleId="72">
    <w:name w:val="font122"/>
    <w:basedOn w:val="27"/>
    <w:qFormat/>
    <w:uiPriority w:val="0"/>
    <w:rPr>
      <w:rFonts w:hint="default" w:ascii="Times New Roman" w:hAnsi="Times New Roman" w:cs="Times New Roman"/>
      <w:b/>
      <w:bCs/>
      <w:color w:val="000000"/>
      <w:sz w:val="20"/>
      <w:szCs w:val="20"/>
      <w:u w:val="none"/>
      <w:vertAlign w:val="subscript"/>
    </w:rPr>
  </w:style>
  <w:style w:type="character" w:customStyle="1" w:styleId="73">
    <w:name w:val="font131"/>
    <w:basedOn w:val="27"/>
    <w:qFormat/>
    <w:uiPriority w:val="0"/>
    <w:rPr>
      <w:rFonts w:hint="default" w:ascii="Times New Roman" w:hAnsi="Times New Roman" w:cs="Times New Roman"/>
      <w:b/>
      <w:bCs/>
      <w:i/>
      <w:iCs/>
      <w:color w:val="000000"/>
      <w:sz w:val="20"/>
      <w:szCs w:val="20"/>
      <w:u w:val="none"/>
    </w:rPr>
  </w:style>
  <w:style w:type="character" w:customStyle="1" w:styleId="74">
    <w:name w:val="font141"/>
    <w:basedOn w:val="27"/>
    <w:qFormat/>
    <w:uiPriority w:val="0"/>
    <w:rPr>
      <w:rFonts w:hint="default" w:ascii="Times New Roman" w:hAnsi="Times New Roman" w:cs="Times New Roman"/>
      <w:b/>
      <w:bCs/>
      <w:color w:val="000000"/>
      <w:sz w:val="20"/>
      <w:szCs w:val="20"/>
      <w:u w:val="none"/>
      <w:vertAlign w:val="superscript"/>
    </w:rPr>
  </w:style>
  <w:style w:type="character" w:customStyle="1" w:styleId="75">
    <w:name w:val="font151"/>
    <w:basedOn w:val="27"/>
    <w:qFormat/>
    <w:uiPriority w:val="0"/>
    <w:rPr>
      <w:rFonts w:hint="default" w:ascii="Times New Roman" w:hAnsi="Times New Roman" w:cs="Times New Roman"/>
      <w:b/>
      <w:bCs/>
      <w:color w:val="000000"/>
      <w:sz w:val="20"/>
      <w:szCs w:val="20"/>
      <w:u w:val="none"/>
      <w:vertAlign w:val="subscript"/>
    </w:rPr>
  </w:style>
  <w:style w:type="character" w:customStyle="1" w:styleId="76">
    <w:name w:val="font161"/>
    <w:basedOn w:val="27"/>
    <w:qFormat/>
    <w:uiPriority w:val="0"/>
    <w:rPr>
      <w:rFonts w:hint="default" w:ascii="Times New Roman" w:hAnsi="Times New Roman" w:cs="Times New Roman"/>
      <w:b/>
      <w:bCs/>
      <w:i/>
      <w:iCs/>
      <w:color w:val="000000"/>
      <w:sz w:val="20"/>
      <w:szCs w:val="20"/>
      <w:u w:val="none"/>
    </w:rPr>
  </w:style>
  <w:style w:type="character" w:customStyle="1" w:styleId="77">
    <w:name w:val="font171"/>
    <w:basedOn w:val="27"/>
    <w:qFormat/>
    <w:uiPriority w:val="0"/>
    <w:rPr>
      <w:rFonts w:hint="default" w:ascii="Times New Roman" w:hAnsi="Times New Roman" w:cs="Times New Roman"/>
      <w:b/>
      <w:bCs/>
      <w:color w:val="000000"/>
      <w:sz w:val="20"/>
      <w:szCs w:val="20"/>
      <w:u w:val="none"/>
      <w:vertAlign w:val="superscript"/>
    </w:rPr>
  </w:style>
  <w:style w:type="paragraph" w:customStyle="1" w:styleId="78">
    <w:name w:val="表格内文字"/>
    <w:basedOn w:val="1"/>
    <w:qFormat/>
    <w:uiPriority w:val="0"/>
  </w:style>
  <w:style w:type="paragraph" w:customStyle="1" w:styleId="79">
    <w:name w:val="p0"/>
    <w:basedOn w:val="1"/>
    <w:qFormat/>
    <w:uiPriority w:val="0"/>
    <w:pPr>
      <w:widowControl/>
    </w:pPr>
    <w:rPr>
      <w:rFonts w:ascii="宋体" w:hAnsi="宋体" w:cs="宋体"/>
      <w:kern w:val="0"/>
      <w:sz w:val="24"/>
    </w:rPr>
  </w:style>
  <w:style w:type="paragraph" w:customStyle="1" w:styleId="80">
    <w:name w:val="p15"/>
    <w:basedOn w:val="1"/>
    <w:qFormat/>
    <w:uiPriority w:val="0"/>
    <w:pPr>
      <w:widowControl/>
      <w:snapToGrid w:val="0"/>
      <w:spacing w:before="120" w:after="60"/>
      <w:jc w:val="left"/>
    </w:pPr>
    <w:rPr>
      <w:rFonts w:ascii="方正仿宋简体" w:hAnsi="方正仿宋简体" w:cs="宋体"/>
      <w:b/>
      <w:bCs/>
      <w:color w:val="FF0000"/>
      <w:spacing w:val="-4"/>
      <w:kern w:val="0"/>
      <w:sz w:val="24"/>
    </w:rPr>
  </w:style>
  <w:style w:type="character" w:customStyle="1" w:styleId="81">
    <w:name w:val="MEL正文* 字符"/>
    <w:link w:val="82"/>
    <w:qFormat/>
    <w:uiPriority w:val="0"/>
    <w:rPr>
      <w:rFonts w:ascii="宋体" w:hAnsi="宋体"/>
      <w:kern w:val="0"/>
      <w:sz w:val="24"/>
    </w:rPr>
  </w:style>
  <w:style w:type="paragraph" w:customStyle="1" w:styleId="82">
    <w:name w:val="MEL正文*"/>
    <w:basedOn w:val="1"/>
    <w:link w:val="81"/>
    <w:qFormat/>
    <w:uiPriority w:val="0"/>
    <w:pPr>
      <w:spacing w:line="500" w:lineRule="exact"/>
      <w:ind w:firstLine="200" w:firstLineChars="200"/>
    </w:pPr>
    <w:rPr>
      <w:rFonts w:ascii="宋体" w:hAnsi="宋体"/>
      <w:kern w:val="0"/>
      <w:sz w:val="24"/>
    </w:rPr>
  </w:style>
  <w:style w:type="paragraph" w:customStyle="1" w:styleId="83">
    <w:name w:val="(文字) (文字) Char (文字) (文字)1"/>
    <w:basedOn w:val="1"/>
    <w:qFormat/>
    <w:uiPriority w:val="0"/>
    <w:pPr>
      <w:widowControl/>
      <w:spacing w:line="460" w:lineRule="exact"/>
    </w:pPr>
    <w:rPr>
      <w:rFonts w:cs="宋体"/>
      <w:kern w:val="0"/>
    </w:rPr>
  </w:style>
  <w:style w:type="paragraph" w:customStyle="1" w:styleId="84">
    <w:name w:val="0文本"/>
    <w:basedOn w:val="1"/>
    <w:qFormat/>
    <w:uiPriority w:val="0"/>
    <w:pPr>
      <w:spacing w:line="360" w:lineRule="auto"/>
      <w:ind w:firstLine="200" w:firstLineChars="200"/>
      <w:contextualSpacing/>
    </w:pPr>
    <w:rPr>
      <w:kern w:val="0"/>
      <w:sz w:val="24"/>
    </w:rPr>
  </w:style>
  <w:style w:type="paragraph" w:customStyle="1" w:styleId="85">
    <w:name w:val="图名、表名"/>
    <w:next w:val="1"/>
    <w:qFormat/>
    <w:uiPriority w:val="0"/>
    <w:pPr>
      <w:spacing w:line="360" w:lineRule="auto"/>
      <w:contextualSpacing/>
      <w:jc w:val="center"/>
    </w:pPr>
    <w:rPr>
      <w:rFonts w:ascii="Times New Roman" w:hAnsi="Times New Roman" w:eastAsia="宋体" w:cs="Times New Roman"/>
      <w:b/>
      <w:bCs/>
      <w:snapToGrid w:val="0"/>
      <w:color w:val="000000"/>
      <w:sz w:val="21"/>
      <w:szCs w:val="24"/>
      <w:lang w:val="en-US" w:eastAsia="zh-CN" w:bidi="ar-SA"/>
    </w:rPr>
  </w:style>
  <w:style w:type="paragraph" w:customStyle="1" w:styleId="86">
    <w:name w:val="文本"/>
    <w:basedOn w:val="12"/>
    <w:qFormat/>
    <w:uiPriority w:val="0"/>
    <w:pPr>
      <w:adjustRightInd w:val="0"/>
      <w:snapToGrid w:val="0"/>
      <w:spacing w:line="360" w:lineRule="auto"/>
      <w:ind w:firstLine="480" w:firstLineChars="200"/>
      <w:jc w:val="left"/>
    </w:pPr>
    <w:rPr>
      <w:sz w:val="24"/>
    </w:rPr>
  </w:style>
  <w:style w:type="character" w:customStyle="1" w:styleId="87">
    <w:name w:val="wyc-正文 字符"/>
    <w:link w:val="61"/>
    <w:qFormat/>
    <w:uiPriority w:val="0"/>
    <w:rPr>
      <w:rFonts w:ascii="Times New Roman" w:hAnsi="Times New Roman"/>
      <w:b/>
      <w:szCs w:val="24"/>
    </w:rPr>
  </w:style>
  <w:style w:type="paragraph" w:customStyle="1" w:styleId="88">
    <w:name w:val="YJ题注"/>
    <w:basedOn w:val="13"/>
    <w:qFormat/>
    <w:uiPriority w:val="0"/>
    <w:pPr>
      <w:adjustRightInd w:val="0"/>
      <w:snapToGrid w:val="0"/>
      <w:spacing w:line="520" w:lineRule="exact"/>
    </w:pPr>
    <w:rPr>
      <w:rFonts w:ascii="黑体" w:hAnsi="黑体" w:eastAsia="黑体"/>
      <w:kern w:val="0"/>
    </w:rPr>
  </w:style>
  <w:style w:type="paragraph" w:customStyle="1" w:styleId="89">
    <w:name w:val="！正文"/>
    <w:basedOn w:val="1"/>
    <w:qFormat/>
    <w:uiPriority w:val="0"/>
    <w:pPr>
      <w:ind w:firstLine="480"/>
    </w:pPr>
    <w:rPr>
      <w:rFonts w:eastAsia="宋体" w:cs="宋体"/>
      <w:szCs w:val="20"/>
    </w:rPr>
  </w:style>
  <w:style w:type="paragraph" w:customStyle="1" w:styleId="90">
    <w:name w:val="标题4"/>
    <w:next w:val="1"/>
    <w:qFormat/>
    <w:uiPriority w:val="0"/>
    <w:pPr>
      <w:spacing w:line="500" w:lineRule="exact"/>
      <w:jc w:val="both"/>
      <w:outlineLvl w:val="3"/>
    </w:pPr>
    <w:rPr>
      <w:rFonts w:ascii="Times New Roman" w:hAnsi="Times New Roman" w:eastAsia="宋体" w:cs="Times New Roman"/>
      <w:b/>
      <w:bCs/>
      <w:kern w:val="44"/>
      <w:sz w:val="24"/>
      <w:szCs w:val="44"/>
      <w:lang w:val="en-US" w:eastAsia="zh-CN" w:bidi="ar-SA"/>
    </w:rPr>
  </w:style>
  <w:style w:type="paragraph" w:customStyle="1" w:styleId="91">
    <w:name w:val="wyc-二级"/>
    <w:basedOn w:val="1"/>
    <w:qFormat/>
    <w:uiPriority w:val="0"/>
    <w:pPr>
      <w:spacing w:beforeLines="50" w:afterLines="50"/>
      <w:outlineLvl w:val="1"/>
    </w:pPr>
    <w:rPr>
      <w:rFonts w:ascii="Times New Roman" w:hAnsi="Times New Roman" w:eastAsia="宋体"/>
      <w:b/>
      <w:bCs/>
      <w:sz w:val="32"/>
      <w:szCs w:val="32"/>
    </w:rPr>
  </w:style>
  <w:style w:type="paragraph" w:customStyle="1" w:styleId="92">
    <w:name w:val="标题2"/>
    <w:next w:val="1"/>
    <w:qFormat/>
    <w:uiPriority w:val="0"/>
    <w:pPr>
      <w:spacing w:beforeLines="50" w:afterLines="50" w:line="500" w:lineRule="exact"/>
      <w:jc w:val="both"/>
      <w:outlineLvl w:val="1"/>
    </w:pPr>
    <w:rPr>
      <w:rFonts w:ascii="Times New Roman" w:hAnsi="Times New Roman" w:eastAsia="宋体" w:cs="Times New Roman"/>
      <w:b/>
      <w:bCs/>
      <w:kern w:val="44"/>
      <w:sz w:val="30"/>
      <w:szCs w:val="44"/>
      <w:lang w:val="en-US" w:eastAsia="zh-CN" w:bidi="ar-SA"/>
    </w:rPr>
  </w:style>
  <w:style w:type="paragraph" w:customStyle="1" w:styleId="93">
    <w:name w:val="WPSOffice手动目录 1"/>
    <w:qFormat/>
    <w:uiPriority w:val="0"/>
    <w:rPr>
      <w:rFonts w:ascii="Times New Roman" w:hAnsi="Times New Roman" w:eastAsia="宋体" w:cs="Times New Roman"/>
      <w:lang w:val="en-US" w:eastAsia="zh-CN" w:bidi="ar-SA"/>
    </w:rPr>
  </w:style>
  <w:style w:type="paragraph" w:customStyle="1" w:styleId="9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95">
    <w:name w:val="批注文字 Char"/>
    <w:basedOn w:val="27"/>
    <w:link w:val="8"/>
    <w:qFormat/>
    <w:uiPriority w:val="0"/>
    <w:rPr>
      <w:rFonts w:asciiTheme="minorHAnsi" w:hAnsiTheme="minorHAnsi" w:eastAsiaTheme="minorEastAsia" w:cstheme="minorBidi"/>
      <w:kern w:val="2"/>
      <w:sz w:val="21"/>
      <w:szCs w:val="24"/>
    </w:rPr>
  </w:style>
  <w:style w:type="character" w:customStyle="1" w:styleId="96">
    <w:name w:val="批注主题 Char"/>
    <w:basedOn w:val="95"/>
    <w:link w:val="7"/>
    <w:qFormat/>
    <w:uiPriority w:val="0"/>
    <w:rPr>
      <w:rFonts w:asciiTheme="minorHAnsi" w:hAnsiTheme="minorHAnsi" w:eastAsiaTheme="minorEastAsia" w:cstheme="minorBidi"/>
      <w:b/>
      <w:bCs/>
      <w:kern w:val="2"/>
      <w:sz w:val="21"/>
      <w:szCs w:val="24"/>
    </w:rPr>
  </w:style>
  <w:style w:type="paragraph" w:customStyle="1" w:styleId="97">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98">
    <w:name w:val="采油方案正文"/>
    <w:basedOn w:val="1"/>
    <w:qFormat/>
    <w:uiPriority w:val="0"/>
    <w:pPr>
      <w:ind w:firstLine="480"/>
    </w:pPr>
    <w:rPr>
      <w:rFonts w:ascii="Times New Roman"/>
      <w:color w:val="000000"/>
      <w:sz w:val="24"/>
      <w:szCs w:val="22"/>
    </w:rPr>
  </w:style>
  <w:style w:type="paragraph" w:customStyle="1" w:styleId="99">
    <w:name w:val="三级标题"/>
    <w:basedOn w:val="1"/>
    <w:qFormat/>
    <w:uiPriority w:val="0"/>
    <w:pPr>
      <w:keepNext/>
      <w:keepLines/>
      <w:outlineLvl w:val="2"/>
    </w:pPr>
    <w:rPr>
      <w:rFonts w:ascii="Times New Roman" w:eastAsia="楷体"/>
      <w:bCs/>
      <w:sz w:val="24"/>
      <w:szCs w:val="32"/>
    </w:rPr>
  </w:style>
  <w:style w:type="paragraph" w:customStyle="1" w:styleId="100">
    <w:name w:val="hjx-正文格式"/>
    <w:basedOn w:val="1"/>
    <w:qFormat/>
    <w:uiPriority w:val="0"/>
    <w:pPr>
      <w:adjustRightInd w:val="0"/>
      <w:snapToGrid w:val="0"/>
    </w:pPr>
    <w:rPr>
      <w:rFonts w:ascii="Times New Roman"/>
      <w:sz w:val="24"/>
      <w:lang w:val="zh-CN"/>
    </w:rPr>
  </w:style>
  <w:style w:type="paragraph" w:customStyle="1" w:styleId="101">
    <w:name w:val="图标题"/>
    <w:basedOn w:val="1"/>
    <w:qFormat/>
    <w:uiPriority w:val="0"/>
    <w:pPr>
      <w:adjustRightInd w:val="0"/>
      <w:snapToGrid w:val="0"/>
      <w:spacing w:line="312" w:lineRule="auto"/>
      <w:jc w:val="center"/>
    </w:pPr>
    <w:rPr>
      <w:rFonts w:ascii="Times New Roman" w:eastAsia="楷体_GB2312"/>
      <w:szCs w:val="21"/>
    </w:rPr>
  </w:style>
  <w:style w:type="paragraph" w:customStyle="1" w:styleId="102">
    <w:name w:val="STC 正文"/>
    <w:qFormat/>
    <w:uiPriority w:val="0"/>
    <w:pPr>
      <w:widowControl w:val="0"/>
      <w:adjustRightInd w:val="0"/>
      <w:snapToGrid w:val="0"/>
      <w:spacing w:line="331" w:lineRule="auto"/>
      <w:ind w:firstLine="200" w:firstLineChars="200"/>
      <w:jc w:val="both"/>
    </w:pPr>
    <w:rPr>
      <w:rFonts w:ascii="宋体" w:hAnsi="宋体" w:eastAsiaTheme="minorEastAsia" w:cstheme="minorBidi"/>
      <w:kern w:val="2"/>
      <w:sz w:val="24"/>
      <w:szCs w:val="21"/>
      <w:lang w:val="en-US" w:eastAsia="zh-CN" w:bidi="ar-SA"/>
    </w:rPr>
  </w:style>
  <w:style w:type="paragraph" w:customStyle="1" w:styleId="103">
    <w:name w:val="SSEC 目录名"/>
    <w:semiHidden/>
    <w:qFormat/>
    <w:uiPriority w:val="0"/>
    <w:pPr>
      <w:widowControl w:val="0"/>
      <w:adjustRightInd w:val="0"/>
      <w:snapToGrid w:val="0"/>
      <w:spacing w:before="100" w:beforeAutospacing="1" w:line="360" w:lineRule="auto"/>
      <w:jc w:val="center"/>
    </w:pPr>
    <w:rPr>
      <w:rFonts w:ascii="黑体" w:hAnsi="黑体" w:eastAsia="黑体" w:cstheme="minorBidi"/>
      <w:kern w:val="2"/>
      <w:sz w:val="32"/>
      <w:szCs w:val="30"/>
      <w:lang w:val="en-US" w:eastAsia="zh-CN" w:bidi="ar-SA"/>
    </w:rPr>
  </w:style>
  <w:style w:type="paragraph" w:customStyle="1" w:styleId="104">
    <w:name w:val="STC 表格"/>
    <w:basedOn w:val="1"/>
    <w:qFormat/>
    <w:uiPriority w:val="0"/>
    <w:pPr>
      <w:adjustRightInd w:val="0"/>
      <w:snapToGrid w:val="0"/>
      <w:jc w:val="center"/>
    </w:pPr>
    <w:rPr>
      <w:rFonts w:ascii="宋体" w:hAnsi="宋体" w:cs="宋体" w:eastAsiaTheme="majorEastAsia"/>
      <w:snapToGrid w:val="0"/>
      <w:szCs w:val="22"/>
      <w:lang w:eastAsia="en-US"/>
    </w:rPr>
  </w:style>
  <w:style w:type="paragraph" w:customStyle="1" w:styleId="105">
    <w:name w:val="@1"/>
    <w:basedOn w:val="1"/>
    <w:qFormat/>
    <w:uiPriority w:val="0"/>
    <w:pPr>
      <w:tabs>
        <w:tab w:val="left" w:pos="2232"/>
      </w:tabs>
      <w:adjustRightInd w:val="0"/>
      <w:snapToGrid w:val="0"/>
      <w:spacing w:line="360" w:lineRule="auto"/>
      <w:ind w:firstLine="480" w:firstLineChars="200"/>
    </w:pPr>
    <w:rPr>
      <w:color w:val="000000"/>
      <w:sz w:val="24"/>
    </w:rPr>
  </w:style>
  <w:style w:type="paragraph" w:customStyle="1" w:styleId="106">
    <w:name w:val="表标题"/>
    <w:basedOn w:val="1"/>
    <w:qFormat/>
    <w:uiPriority w:val="0"/>
    <w:pPr>
      <w:spacing w:before="120" w:after="120" w:line="312" w:lineRule="auto"/>
      <w:jc w:val="center"/>
    </w:pPr>
    <w:rPr>
      <w:rFonts w:hint="eastAsia" w:ascii="宋体" w:hAnsi="宋体"/>
      <w:b/>
    </w:rPr>
  </w:style>
  <w:style w:type="character" w:customStyle="1" w:styleId="107">
    <w:name w:val="批注框文本 Char"/>
    <w:basedOn w:val="27"/>
    <w:link w:val="17"/>
    <w:qFormat/>
    <w:uiPriority w:val="0"/>
    <w:rPr>
      <w:rFonts w:asciiTheme="minorHAnsi" w:hAnsiTheme="minorHAnsi" w:eastAsiaTheme="minorEastAsia" w:cstheme="minorBidi"/>
      <w:kern w:val="2"/>
      <w:sz w:val="18"/>
      <w:szCs w:val="18"/>
    </w:rPr>
  </w:style>
  <w:style w:type="character" w:customStyle="1" w:styleId="108">
    <w:name w:val="文档结构图 Char"/>
    <w:basedOn w:val="27"/>
    <w:link w:val="14"/>
    <w:qFormat/>
    <w:uiPriority w:val="0"/>
    <w:rPr>
      <w:rFonts w:ascii="宋体" w:hAnsiTheme="minorHAnsi" w:cstheme="minorBidi"/>
      <w:kern w:val="2"/>
      <w:sz w:val="18"/>
      <w:szCs w:val="18"/>
    </w:rPr>
  </w:style>
  <w:style w:type="paragraph" w:customStyle="1" w:styleId="109">
    <w:name w:val="Table Text"/>
    <w:basedOn w:val="1"/>
    <w:semiHidden/>
    <w:qFormat/>
    <w:uiPriority w:val="0"/>
    <w:rPr>
      <w:rFonts w:ascii="宋体" w:hAnsi="宋体" w:eastAsia="宋体" w:cs="宋体"/>
      <w:sz w:val="18"/>
      <w:szCs w:val="18"/>
      <w:lang w:val="en-US" w:eastAsia="en-US" w:bidi="ar-SA"/>
    </w:rPr>
  </w:style>
  <w:style w:type="table" w:customStyle="1" w:styleId="110">
    <w:name w:val="Table Normal"/>
    <w:unhideWhenUsed/>
    <w:qFormat/>
    <w:uiPriority w:val="2"/>
    <w:pPr>
      <w:widowControl w:val="0"/>
      <w:autoSpaceDE w:val="0"/>
      <w:autoSpaceDN w:val="0"/>
    </w:pPr>
    <w:rPr>
      <w:rFonts w:ascii="Calibri" w:hAnsi="Calibri"/>
      <w:sz w:val="22"/>
      <w:szCs w:val="22"/>
      <w:lang w:val="en-US" w:eastAsia="en-US" w:bidi="ar-SA"/>
    </w:rPr>
    <w:tblPr>
      <w:tblLayout w:type="fixed"/>
      <w:tblCellMar>
        <w:top w:w="0" w:type="dxa"/>
        <w:left w:w="0" w:type="dxa"/>
        <w:bottom w:w="0" w:type="dxa"/>
        <w:right w:w="0" w:type="dxa"/>
      </w:tblCellMar>
    </w:tblPr>
  </w:style>
  <w:style w:type="paragraph" w:customStyle="1" w:styleId="111">
    <w:name w:val="四级标题新"/>
    <w:basedOn w:val="6"/>
    <w:qFormat/>
    <w:uiPriority w:val="0"/>
    <w:pPr>
      <w:numPr>
        <w:ilvl w:val="3"/>
        <w:numId w:val="3"/>
      </w:numPr>
      <w:outlineLvl w:val="3"/>
    </w:pPr>
    <w:rPr>
      <w:rFonts w:ascii="Times New Roman" w:hAnsi="Times New Roman"/>
    </w:rPr>
  </w:style>
  <w:style w:type="paragraph" w:customStyle="1" w:styleId="112">
    <w:name w:val="样式22"/>
    <w:basedOn w:val="1"/>
    <w:qFormat/>
    <w:uiPriority w:val="0"/>
    <w:pPr>
      <w:keepNext/>
      <w:keepLines/>
      <w:adjustRightInd w:val="0"/>
      <w:snapToGrid w:val="0"/>
      <w:spacing w:before="260" w:after="260" w:line="27" w:lineRule="atLeast"/>
      <w:outlineLvl w:val="2"/>
    </w:pPr>
    <w:rPr>
      <w:rFonts w:eastAsia="黑体"/>
      <w:b/>
      <w:bCs/>
      <w:sz w:val="28"/>
      <w:szCs w:val="28"/>
    </w:rPr>
  </w:style>
  <w:style w:type="character" w:customStyle="1" w:styleId="113">
    <w:name w:val="font11"/>
    <w:basedOn w:val="27"/>
    <w:qFormat/>
    <w:uiPriority w:val="0"/>
    <w:rPr>
      <w:rFonts w:hint="eastAsia" w:ascii="宋体" w:hAnsi="宋体" w:eastAsia="宋体" w:cs="宋体"/>
      <w:color w:val="000000"/>
      <w:sz w:val="21"/>
      <w:szCs w:val="21"/>
      <w:u w:val="none"/>
    </w:rPr>
  </w:style>
  <w:style w:type="character" w:customStyle="1" w:styleId="114">
    <w:name w:val="font21"/>
    <w:basedOn w:val="27"/>
    <w:qFormat/>
    <w:uiPriority w:val="0"/>
    <w:rPr>
      <w:rFonts w:hint="eastAsia" w:ascii="宋体" w:hAnsi="宋体" w:eastAsia="宋体" w:cs="宋体"/>
      <w:color w:val="000000"/>
      <w:sz w:val="21"/>
      <w:szCs w:val="21"/>
      <w:u w:val="none"/>
    </w:rPr>
  </w:style>
  <w:style w:type="paragraph" w:customStyle="1" w:styleId="115">
    <w:name w:val="A-z正文"/>
    <w:basedOn w:val="1"/>
    <w:qFormat/>
    <w:uiPriority w:val="99"/>
    <w:pPr>
      <w:spacing w:line="360" w:lineRule="auto"/>
      <w:ind w:firstLine="200" w:firstLineChars="200"/>
    </w:pPr>
    <w:rPr>
      <w:rFonts w:ascii="Times New Roman" w:hAnsi="Times New Roman" w:cs="宋体"/>
      <w:sz w:val="24"/>
      <w:szCs w:val="20"/>
    </w:rPr>
  </w:style>
  <w:style w:type="paragraph" w:customStyle="1" w:styleId="116">
    <w:name w:val="三塘湖"/>
    <w:basedOn w:val="1"/>
    <w:qFormat/>
    <w:uiPriority w:val="0"/>
    <w:pPr>
      <w:spacing w:line="500" w:lineRule="exact"/>
      <w:ind w:firstLine="200" w:firstLineChars="200"/>
      <w:jc w:val="left"/>
    </w:pPr>
    <w:rPr>
      <w:rFonts w:ascii="Arial Narrow" w:hAnsi="Arial Narrow" w:eastAsia="汉鼎简书宋"/>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jpeg"/><Relationship Id="rId51" Type="http://schemas.openxmlformats.org/officeDocument/2006/relationships/image" Target="media/image21.jpeg"/><Relationship Id="rId50" Type="http://schemas.openxmlformats.org/officeDocument/2006/relationships/oleObject" Target="embeddings/oleObject8.bin"/><Relationship Id="rId5" Type="http://schemas.openxmlformats.org/officeDocument/2006/relationships/footer" Target="footer1.xml"/><Relationship Id="rId49" Type="http://schemas.openxmlformats.org/officeDocument/2006/relationships/image" Target="media/image20.wmf"/><Relationship Id="rId48" Type="http://schemas.openxmlformats.org/officeDocument/2006/relationships/image" Target="media/image19.wmf"/><Relationship Id="rId47" Type="http://schemas.openxmlformats.org/officeDocument/2006/relationships/image" Target="media/image18.wmf"/><Relationship Id="rId46" Type="http://schemas.openxmlformats.org/officeDocument/2006/relationships/oleObject" Target="embeddings/oleObject7.bin"/><Relationship Id="rId45" Type="http://schemas.openxmlformats.org/officeDocument/2006/relationships/chart" Target="charts/chart6.xml"/><Relationship Id="rId44" Type="http://schemas.openxmlformats.org/officeDocument/2006/relationships/chart" Target="charts/chart5.xml"/><Relationship Id="rId43" Type="http://schemas.openxmlformats.org/officeDocument/2006/relationships/chart" Target="charts/chart4.xml"/><Relationship Id="rId42" Type="http://schemas.openxmlformats.org/officeDocument/2006/relationships/chart" Target="charts/chart3.xml"/><Relationship Id="rId41" Type="http://schemas.openxmlformats.org/officeDocument/2006/relationships/chart" Target="charts/chart2.xml"/><Relationship Id="rId40" Type="http://schemas.openxmlformats.org/officeDocument/2006/relationships/chart" Target="charts/chart1.xml"/><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wmf"/><Relationship Id="rId37" Type="http://schemas.openxmlformats.org/officeDocument/2006/relationships/oleObject" Target="embeddings/oleObject6.bin"/><Relationship Id="rId36" Type="http://schemas.openxmlformats.org/officeDocument/2006/relationships/image" Target="media/image15.wmf"/><Relationship Id="rId35" Type="http://schemas.openxmlformats.org/officeDocument/2006/relationships/oleObject" Target="embeddings/oleObject5.bin"/><Relationship Id="rId34" Type="http://schemas.openxmlformats.org/officeDocument/2006/relationships/image" Target="media/image14.wmf"/><Relationship Id="rId33" Type="http://schemas.openxmlformats.org/officeDocument/2006/relationships/oleObject" Target="embeddings/oleObject4.bin"/><Relationship Id="rId32" Type="http://schemas.openxmlformats.org/officeDocument/2006/relationships/image" Target="media/image13.wmf"/><Relationship Id="rId31" Type="http://schemas.openxmlformats.org/officeDocument/2006/relationships/oleObject" Target="embeddings/oleObject3.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oleObject" Target="embeddings/oleObject1.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2024\&#25253;&#21578;&#20070;\4&#38470;136&#20117;&#21306;&#20367;&#32599;&#31995;&#22836;&#23663;&#27827;&#32452;\&#35745;&#31639;\&#22320;&#19979;&#27700;&#39044;&#27979;-&#19968;&#32500;&#31283;&#23450;&#27969;&#21160;&#20108;&#32500;&#27700;&#21160;&#21147;&#24357;&#25955;-&#24179;&#38754;&#30636;&#26102;&#28857;&#2830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24\&#25253;&#21578;&#20070;\4&#38470;136&#20117;&#21306;&#20367;&#32599;&#31995;&#22836;&#23663;&#27827;&#32452;\&#35745;&#31639;\&#22320;&#19979;&#27700;&#39044;&#27979;-&#19968;&#32500;&#31283;&#23450;&#27969;&#21160;&#20108;&#32500;&#27700;&#21160;&#21147;&#24357;&#25955;-&#24179;&#38754;&#30636;&#26102;&#28857;&#2830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024\&#25253;&#21578;&#20070;\4&#38470;136&#20117;&#21306;&#20367;&#32599;&#31995;&#22836;&#23663;&#27827;&#32452;\&#35745;&#31639;\&#22320;&#19979;&#27700;&#39044;&#27979;-&#19968;&#32500;&#31283;&#23450;&#27969;&#21160;&#20108;&#32500;&#27700;&#21160;&#21147;&#24357;&#25955;-&#24179;&#38754;&#30636;&#26102;&#28857;&#2830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024\&#25253;&#21578;&#20070;\4&#38470;136&#20117;&#21306;&#20367;&#32599;&#31995;&#22836;&#23663;&#27827;&#32452;\&#35745;&#31639;\&#22320;&#19979;&#27700;&#39044;&#27979;-&#19968;&#32500;&#31283;&#23450;&#27969;&#21160;&#20108;&#32500;&#27700;&#21160;&#21147;&#24357;&#25955;-&#24179;&#38754;&#30636;&#26102;&#28857;&#2830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024\&#25253;&#21578;&#20070;\4&#38470;136&#20117;&#21306;&#20367;&#32599;&#31995;&#22836;&#23663;&#27827;&#32452;\&#35745;&#31639;\&#22320;&#19979;&#27700;&#39044;&#27979;-&#19968;&#32500;&#31283;&#23450;&#27969;&#21160;&#20108;&#32500;&#27700;&#21160;&#21147;&#24357;&#25955;-&#24179;&#38754;&#30636;&#26102;&#28857;&#2830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024\&#25253;&#21578;&#20070;\4&#38470;136&#20117;&#21306;&#20367;&#32599;&#31995;&#22836;&#23663;&#27827;&#32452;\&#35745;&#31639;\&#22320;&#19979;&#27700;&#39044;&#27979;-&#19968;&#32500;&#31283;&#23450;&#27969;&#21160;&#20108;&#32500;&#27700;&#21160;&#21147;&#24357;&#25955;-&#24179;&#38754;&#30636;&#26102;&#28857;&#283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'[地下水预测-一维稳定流动二维水动力弥散-平面瞬时点源.xls]管100d'!$J$2</c:f>
              <c:strCache>
                <c:ptCount val="1"/>
                <c:pt idx="0">
                  <c:v>c</c:v>
                </c:pt>
              </c:strCache>
            </c:strRef>
          </c:tx>
          <c:spPr>
            <a:effectLst/>
          </c:spPr>
          <c:marker>
            <c:symbol val="circle"/>
            <c:size val="2"/>
            <c:spPr>
              <a:solidFill>
                <a:schemeClr val="accent1"/>
              </a:solidFill>
              <a:ln w="9525" cap="flat" cmpd="sng" algn="ctr">
                <a:solidFill>
                  <a:schemeClr val="accent1"/>
                </a:solidFill>
                <a:prstDash val="solid"/>
                <a:round/>
              </a:ln>
              <a:effectLst/>
            </c:spPr>
          </c:marker>
          <c:dLbls>
            <c:delete val="1"/>
          </c:dLbls>
          <c:xVal>
            <c:numRef>
              <c:f>'[地下水预测-一维稳定流动二维水动力弥散-平面瞬时点源.xls]管100d'!$I$3:$I$302</c:f>
              <c:numCache>
                <c:formatCode>General</c:formatCode>
                <c:ptCount val="3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numCache>
            </c:numRef>
          </c:xVal>
          <c:yVal>
            <c:numRef>
              <c:f>'[地下水预测-一维稳定流动二维水动力弥散-平面瞬时点源.xls]管100d'!$J$3:$J$302</c:f>
              <c:numCache>
                <c:formatCode>General</c:formatCode>
                <c:ptCount val="300"/>
                <c:pt idx="0">
                  <c:v>1.13995156560769e-8</c:v>
                </c:pt>
                <c:pt idx="1">
                  <c:v>4.23543014637471e-8</c:v>
                </c:pt>
                <c:pt idx="2">
                  <c:v>1.5094302743081e-7</c:v>
                </c:pt>
                <c:pt idx="3">
                  <c:v>5.15980154102551e-7</c:v>
                </c:pt>
                <c:pt idx="4">
                  <c:v>1.69183244066964e-6</c:v>
                </c:pt>
                <c:pt idx="5">
                  <c:v>5.32091237935844e-6</c:v>
                </c:pt>
                <c:pt idx="6">
                  <c:v>1.6051634982791e-5</c:v>
                </c:pt>
                <c:pt idx="7">
                  <c:v>4.64469126882106e-5</c:v>
                </c:pt>
                <c:pt idx="8">
                  <c:v>0.000128913629897981</c:v>
                </c:pt>
                <c:pt idx="9">
                  <c:v>0.000343198381768363</c:v>
                </c:pt>
                <c:pt idx="10">
                  <c:v>0.000876387217047545</c:v>
                </c:pt>
                <c:pt idx="11">
                  <c:v>0.00214660059796729</c:v>
                </c:pt>
                <c:pt idx="12">
                  <c:v>0.00504325428780779</c:v>
                </c:pt>
                <c:pt idx="13">
                  <c:v>0.0113651427669401</c:v>
                </c:pt>
                <c:pt idx="14">
                  <c:v>0.0245665026481568</c:v>
                </c:pt>
                <c:pt idx="15">
                  <c:v>0.0509349847290672</c:v>
                </c:pt>
                <c:pt idx="16">
                  <c:v>0.101296265798956</c:v>
                </c:pt>
                <c:pt idx="17">
                  <c:v>0.193230242980298</c:v>
                </c:pt>
                <c:pt idx="18">
                  <c:v>0.353558410670912</c:v>
                </c:pt>
                <c:pt idx="19">
                  <c:v>0.620514100373267</c:v>
                </c:pt>
                <c:pt idx="20">
                  <c:v>1.04459163862594</c:v>
                </c:pt>
                <c:pt idx="21">
                  <c:v>1.68673106876265</c:v>
                </c:pt>
                <c:pt idx="22">
                  <c:v>2.61245941613791</c:v>
                </c:pt>
                <c:pt idx="23">
                  <c:v>3.88112534810086</c:v>
                </c:pt>
                <c:pt idx="24">
                  <c:v>5.53057383724655</c:v>
                </c:pt>
                <c:pt idx="25">
                  <c:v>7.55939656819637</c:v>
                </c:pt>
                <c:pt idx="26">
                  <c:v>9.91079452446401</c:v>
                </c:pt>
                <c:pt idx="27">
                  <c:v>12.4633337238946</c:v>
                </c:pt>
                <c:pt idx="28">
                  <c:v>15.0336482503106</c:v>
                </c:pt>
                <c:pt idx="29">
                  <c:v>17.3939795030254</c:v>
                </c:pt>
                <c:pt idx="30">
                  <c:v>19.3035832127897</c:v>
                </c:pt>
                <c:pt idx="31">
                  <c:v>20.5485565033968</c:v>
                </c:pt>
                <c:pt idx="32">
                  <c:v>20.981141588166</c:v>
                </c:pt>
                <c:pt idx="33">
                  <c:v>20.5485565033968</c:v>
                </c:pt>
                <c:pt idx="34">
                  <c:v>19.3035832127897</c:v>
                </c:pt>
                <c:pt idx="35">
                  <c:v>17.3939795030254</c:v>
                </c:pt>
                <c:pt idx="36">
                  <c:v>15.0336482503106</c:v>
                </c:pt>
                <c:pt idx="37">
                  <c:v>12.4633337238946</c:v>
                </c:pt>
                <c:pt idx="38">
                  <c:v>9.91079452446401</c:v>
                </c:pt>
                <c:pt idx="39">
                  <c:v>7.55939656819637</c:v>
                </c:pt>
                <c:pt idx="40">
                  <c:v>5.53057383724655</c:v>
                </c:pt>
                <c:pt idx="41">
                  <c:v>3.88112534810086</c:v>
                </c:pt>
                <c:pt idx="42">
                  <c:v>2.61245941613791</c:v>
                </c:pt>
                <c:pt idx="43">
                  <c:v>1.68673106876265</c:v>
                </c:pt>
                <c:pt idx="44">
                  <c:v>1.04459163862594</c:v>
                </c:pt>
                <c:pt idx="45">
                  <c:v>0.620514100373267</c:v>
                </c:pt>
                <c:pt idx="46">
                  <c:v>0.353558410670912</c:v>
                </c:pt>
                <c:pt idx="47">
                  <c:v>0.193230242980298</c:v>
                </c:pt>
                <c:pt idx="48">
                  <c:v>0.101296265798956</c:v>
                </c:pt>
                <c:pt idx="49">
                  <c:v>0.0509349847290672</c:v>
                </c:pt>
                <c:pt idx="50">
                  <c:v>0.0245665026481568</c:v>
                </c:pt>
                <c:pt idx="51">
                  <c:v>0.0113651427669401</c:v>
                </c:pt>
                <c:pt idx="52">
                  <c:v>0.00504325428780779</c:v>
                </c:pt>
                <c:pt idx="53">
                  <c:v>0.00214660059796729</c:v>
                </c:pt>
                <c:pt idx="54">
                  <c:v>0.000876387217047545</c:v>
                </c:pt>
                <c:pt idx="55">
                  <c:v>0.000343198381768363</c:v>
                </c:pt>
                <c:pt idx="56">
                  <c:v>0.000128913629897981</c:v>
                </c:pt>
                <c:pt idx="57">
                  <c:v>4.64469126882106e-5</c:v>
                </c:pt>
                <c:pt idx="58">
                  <c:v>1.6051634982791e-5</c:v>
                </c:pt>
                <c:pt idx="59">
                  <c:v>5.32091237935844e-6</c:v>
                </c:pt>
                <c:pt idx="60">
                  <c:v>1.69183244066964e-6</c:v>
                </c:pt>
                <c:pt idx="61">
                  <c:v>5.15980154102551e-7</c:v>
                </c:pt>
                <c:pt idx="62">
                  <c:v>1.5094302743081e-7</c:v>
                </c:pt>
                <c:pt idx="63">
                  <c:v>4.23543014637471e-8</c:v>
                </c:pt>
                <c:pt idx="64">
                  <c:v>1.13995156560769e-8</c:v>
                </c:pt>
                <c:pt idx="65">
                  <c:v>2.94292831867731e-9</c:v>
                </c:pt>
                <c:pt idx="66">
                  <c:v>7.2874800271852e-10</c:v>
                </c:pt>
                <c:pt idx="67">
                  <c:v>1.73092989890039e-10</c:v>
                </c:pt>
                <c:pt idx="68">
                  <c:v>3.94353764227955e-11</c:v>
                </c:pt>
                <c:pt idx="69">
                  <c:v>8.61780991201561e-12</c:v>
                </c:pt>
                <c:pt idx="70">
                  <c:v>1.806392988416e-12</c:v>
                </c:pt>
                <c:pt idx="71">
                  <c:v>3.63188405939469e-13</c:v>
                </c:pt>
                <c:pt idx="72">
                  <c:v>7.00416102778983e-14</c:v>
                </c:pt>
                <c:pt idx="73">
                  <c:v>1.29564098277988e-14</c:v>
                </c:pt>
                <c:pt idx="74">
                  <c:v>2.29888708455595e-15</c:v>
                </c:pt>
                <c:pt idx="75">
                  <c:v>3.91250596460873e-16</c:v>
                </c:pt>
                <c:pt idx="76">
                  <c:v>6.38699819863241e-17</c:v>
                </c:pt>
                <c:pt idx="77">
                  <c:v>1.00009897798442e-17</c:v>
                </c:pt>
                <c:pt idx="78">
                  <c:v>1.50208179310022e-18</c:v>
                </c:pt>
                <c:pt idx="79">
                  <c:v>2.16395681404347e-19</c:v>
                </c:pt>
                <c:pt idx="80">
                  <c:v>2.9902534863795e-20</c:v>
                </c:pt>
                <c:pt idx="81">
                  <c:v>3.96343582173275e-21</c:v>
                </c:pt>
                <c:pt idx="82">
                  <c:v>5.03895017201446e-22</c:v>
                </c:pt>
                <c:pt idx="83">
                  <c:v>6.14487009524547e-23</c:v>
                </c:pt>
                <c:pt idx="84">
                  <c:v>7.18769693891276e-24</c:v>
                </c:pt>
                <c:pt idx="85">
                  <c:v>8.06438433163677e-25</c:v>
                </c:pt>
                <c:pt idx="86">
                  <c:v>8.67874815197812e-26</c:v>
                </c:pt>
                <c:pt idx="87">
                  <c:v>8.95874887985033e-27</c:v>
                </c:pt>
                <c:pt idx="88">
                  <c:v>8.87037641063923e-28</c:v>
                </c:pt>
                <c:pt idx="89">
                  <c:v>8.42444199215062e-29</c:v>
                </c:pt>
                <c:pt idx="90">
                  <c:v>7.67440382463182e-30</c:v>
                </c:pt>
                <c:pt idx="91">
                  <c:v>6.70583032307742e-31</c:v>
                </c:pt>
                <c:pt idx="92">
                  <c:v>5.62036967051706e-32</c:v>
                </c:pt>
                <c:pt idx="93">
                  <c:v>4.51836812661303e-33</c:v>
                </c:pt>
                <c:pt idx="94">
                  <c:v>3.48419738254187e-34</c:v>
                </c:pt>
                <c:pt idx="95">
                  <c:v>2.57708235642249e-35</c:v>
                </c:pt>
                <c:pt idx="96">
                  <c:v>1.82834544378345e-36</c:v>
                </c:pt>
                <c:pt idx="97">
                  <c:v>1.24420693824026e-37</c:v>
                </c:pt>
                <c:pt idx="98">
                  <c:v>8.12140918975836e-39</c:v>
                </c:pt>
                <c:pt idx="99">
                  <c:v>5.0848081904096e-40</c:v>
                </c:pt>
                <c:pt idx="100">
                  <c:v>3.05367044890142e-41</c:v>
                </c:pt>
                <c:pt idx="101">
                  <c:v>1.75903372631118e-42</c:v>
                </c:pt>
                <c:pt idx="102">
                  <c:v>9.71920125503086e-44</c:v>
                </c:pt>
                <c:pt idx="103">
                  <c:v>5.15099813541752e-45</c:v>
                </c:pt>
                <c:pt idx="104">
                  <c:v>2.6185243629865e-46</c:v>
                </c:pt>
                <c:pt idx="105">
                  <c:v>1.2768099371047e-47</c:v>
                </c:pt>
                <c:pt idx="106">
                  <c:v>5.9717318441897e-49</c:v>
                </c:pt>
                <c:pt idx="107">
                  <c:v>2.67903723911244e-50</c:v>
                </c:pt>
                <c:pt idx="108">
                  <c:v>1.15282029044382e-51</c:v>
                </c:pt>
                <c:pt idx="109">
                  <c:v>4.7582678103568e-53</c:v>
                </c:pt>
                <c:pt idx="110">
                  <c:v>1.88382502014784e-54</c:v>
                </c:pt>
                <c:pt idx="111">
                  <c:v>7.15379759484459e-56</c:v>
                </c:pt>
                <c:pt idx="112">
                  <c:v>2.60577638952837e-57</c:v>
                </c:pt>
                <c:pt idx="113">
                  <c:v>9.10420545350815e-59</c:v>
                </c:pt>
                <c:pt idx="114">
                  <c:v>3.05106432387641e-60</c:v>
                </c:pt>
                <c:pt idx="115">
                  <c:v>9.80765287584934e-62</c:v>
                </c:pt>
                <c:pt idx="116">
                  <c:v>3.02400996381894e-63</c:v>
                </c:pt>
                <c:pt idx="117">
                  <c:v>8.94346389272383e-65</c:v>
                </c:pt>
                <c:pt idx="118">
                  <c:v>2.53707150097562e-66</c:v>
                </c:pt>
                <c:pt idx="119">
                  <c:v>6.90341631488303e-68</c:v>
                </c:pt>
                <c:pt idx="120">
                  <c:v>1.80177198939327e-69</c:v>
                </c:pt>
                <c:pt idx="121">
                  <c:v>4.51065910389406e-71</c:v>
                </c:pt>
                <c:pt idx="122">
                  <c:v>1.08313998934151e-72</c:v>
                </c:pt>
                <c:pt idx="123">
                  <c:v>2.49478763533972e-74</c:v>
                </c:pt>
                <c:pt idx="124">
                  <c:v>5.51171793750615e-76</c:v>
                </c:pt>
                <c:pt idx="125">
                  <c:v>1.16800524946891e-77</c:v>
                </c:pt>
                <c:pt idx="126">
                  <c:v>2.37414376385621e-79</c:v>
                </c:pt>
                <c:pt idx="127">
                  <c:v>4.62885569091047e-81</c:v>
                </c:pt>
                <c:pt idx="128">
                  <c:v>8.65654673346853e-83</c:v>
                </c:pt>
                <c:pt idx="129">
                  <c:v>1.55281645028149e-84</c:v>
                </c:pt>
                <c:pt idx="130">
                  <c:v>2.67177558742102e-86</c:v>
                </c:pt>
                <c:pt idx="131">
                  <c:v>4.40944814924959e-88</c:v>
                </c:pt>
                <c:pt idx="132">
                  <c:v>6.98028109019346e-90</c:v>
                </c:pt>
                <c:pt idx="133">
                  <c:v>1.05990268413764e-91</c:v>
                </c:pt>
                <c:pt idx="134">
                  <c:v>1.54370205060354e-93</c:v>
                </c:pt>
                <c:pt idx="135">
                  <c:v>2.15657903482401e-95</c:v>
                </c:pt>
                <c:pt idx="136">
                  <c:v>2.88982594255021e-97</c:v>
                </c:pt>
                <c:pt idx="137">
                  <c:v>3.71434637655711e-99</c:v>
                </c:pt>
                <c:pt idx="138">
                  <c:v>4.57928343436467e-101</c:v>
                </c:pt>
                <c:pt idx="139">
                  <c:v>5.41523188034582e-103</c:v>
                </c:pt>
                <c:pt idx="140">
                  <c:v>6.14244108279343e-105</c:v>
                </c:pt>
                <c:pt idx="141">
                  <c:v>6.68296751209808e-107</c:v>
                </c:pt>
                <c:pt idx="142">
                  <c:v>6.97432383791793e-109</c:v>
                </c:pt>
                <c:pt idx="143">
                  <c:v>6.98134784080546e-111</c:v>
                </c:pt>
                <c:pt idx="144">
                  <c:v>6.70317956804062e-113</c:v>
                </c:pt>
                <c:pt idx="145">
                  <c:v>6.17343442076395e-115</c:v>
                </c:pt>
                <c:pt idx="146">
                  <c:v>5.45352405702955e-117</c:v>
                </c:pt>
                <c:pt idx="147">
                  <c:v>4.62095815961526e-119</c:v>
                </c:pt>
                <c:pt idx="148">
                  <c:v>3.75570305948588e-121</c:v>
                </c:pt>
                <c:pt idx="149">
                  <c:v>2.92789075533244e-123</c:v>
                </c:pt>
                <c:pt idx="150">
                  <c:v>2.18938882801903e-125</c:v>
                </c:pt>
                <c:pt idx="151">
                  <c:v>1.57034593857083e-127</c:v>
                </c:pt>
                <c:pt idx="152">
                  <c:v>1.08036916988843e-129</c:v>
                </c:pt>
                <c:pt idx="153">
                  <c:v>7.12940748738385e-132</c:v>
                </c:pt>
                <c:pt idx="154">
                  <c:v>4.51272742335691e-134</c:v>
                </c:pt>
                <c:pt idx="155">
                  <c:v>2.73986506700804e-136</c:v>
                </c:pt>
                <c:pt idx="156">
                  <c:v>1.59559863821073e-138</c:v>
                </c:pt>
                <c:pt idx="157">
                  <c:v>8.91297210951039e-141</c:v>
                </c:pt>
                <c:pt idx="158">
                  <c:v>4.77557694439973e-143</c:v>
                </c:pt>
                <c:pt idx="159">
                  <c:v>2.45433338502844e-145</c:v>
                </c:pt>
                <c:pt idx="160">
                  <c:v>1.20988939971523e-147</c:v>
                </c:pt>
                <c:pt idx="161">
                  <c:v>5.72087155790201e-150</c:v>
                </c:pt>
                <c:pt idx="162">
                  <c:v>2.59467598155817e-152</c:v>
                </c:pt>
                <c:pt idx="163">
                  <c:v>1.12877783984692e-154</c:v>
                </c:pt>
                <c:pt idx="164">
                  <c:v>4.71018783677719e-157</c:v>
                </c:pt>
                <c:pt idx="165">
                  <c:v>1.88526492334102e-159</c:v>
                </c:pt>
                <c:pt idx="166">
                  <c:v>7.23787296974572e-162</c:v>
                </c:pt>
                <c:pt idx="167">
                  <c:v>2.6653480874159e-164</c:v>
                </c:pt>
                <c:pt idx="168">
                  <c:v>9.41458805312947e-167</c:v>
                </c:pt>
                <c:pt idx="169">
                  <c:v>3.18972408248744e-169</c:v>
                </c:pt>
                <c:pt idx="170">
                  <c:v>1.03659550616766e-171</c:v>
                </c:pt>
                <c:pt idx="171">
                  <c:v>3.23124534616234e-174</c:v>
                </c:pt>
                <c:pt idx="172">
                  <c:v>9.661286407054e-177</c:v>
                </c:pt>
                <c:pt idx="173">
                  <c:v>2.7707949509603e-179</c:v>
                </c:pt>
                <c:pt idx="174">
                  <c:v>7.62216291420431e-182</c:v>
                </c:pt>
                <c:pt idx="175">
                  <c:v>2.01120562621882e-184</c:v>
                </c:pt>
                <c:pt idx="176">
                  <c:v>5.09025023029299e-187</c:v>
                </c:pt>
                <c:pt idx="177">
                  <c:v>1.23573741999504e-189</c:v>
                </c:pt>
                <c:pt idx="178">
                  <c:v>2.87751550522563e-192</c:v>
                </c:pt>
                <c:pt idx="179">
                  <c:v>6.4270777796798e-195</c:v>
                </c:pt>
                <c:pt idx="180">
                  <c:v>1.37693629492014e-197</c:v>
                </c:pt>
                <c:pt idx="181">
                  <c:v>2.82955766133301e-200</c:v>
                </c:pt>
                <c:pt idx="182">
                  <c:v>5.57734690574642e-203</c:v>
                </c:pt>
                <c:pt idx="183">
                  <c:v>1.05448686967458e-205</c:v>
                </c:pt>
                <c:pt idx="184">
                  <c:v>1.91231355475061e-208</c:v>
                </c:pt>
                <c:pt idx="185">
                  <c:v>3.32645336451785e-211</c:v>
                </c:pt>
                <c:pt idx="186">
                  <c:v>5.55019425774135e-214</c:v>
                </c:pt>
                <c:pt idx="187">
                  <c:v>8.88258428476902e-217</c:v>
                </c:pt>
                <c:pt idx="188">
                  <c:v>1.36356202971423e-219</c:v>
                </c:pt>
                <c:pt idx="189">
                  <c:v>2.00777420376032e-222</c:v>
                </c:pt>
                <c:pt idx="190">
                  <c:v>2.83569325150691e-225</c:v>
                </c:pt>
                <c:pt idx="191">
                  <c:v>3.84156369162369e-228</c:v>
                </c:pt>
                <c:pt idx="192">
                  <c:v>4.99184664807267e-231</c:v>
                </c:pt>
                <c:pt idx="193">
                  <c:v>6.22184003400265e-234</c:v>
                </c:pt>
                <c:pt idx="194">
                  <c:v>7.43842272553172e-237</c:v>
                </c:pt>
                <c:pt idx="195">
                  <c:v>8.52996558730374e-240</c:v>
                </c:pt>
                <c:pt idx="196">
                  <c:v>9.38249002249946e-243</c:v>
                </c:pt>
                <c:pt idx="197">
                  <c:v>9.89904622311382e-246</c:v>
                </c:pt>
                <c:pt idx="198">
                  <c:v>1.00178148752236e-248</c:v>
                </c:pt>
                <c:pt idx="199">
                  <c:v>9.7242711536904e-252</c:v>
                </c:pt>
                <c:pt idx="200">
                  <c:v>9.05410501720506e-255</c:v>
                </c:pt>
                <c:pt idx="201">
                  <c:v>8.08608688408189e-258</c:v>
                </c:pt>
                <c:pt idx="202">
                  <c:v>6.92684848540364e-261</c:v>
                </c:pt>
                <c:pt idx="203">
                  <c:v>5.69163946009866e-264</c:v>
                </c:pt>
                <c:pt idx="204">
                  <c:v>4.48583694997027e-267</c:v>
                </c:pt>
                <c:pt idx="205">
                  <c:v>3.39120461758668e-270</c:v>
                </c:pt>
                <c:pt idx="206">
                  <c:v>2.45905880644241e-273</c:v>
                </c:pt>
                <c:pt idx="207">
                  <c:v>1.71036280405066e-276</c:v>
                </c:pt>
                <c:pt idx="208">
                  <c:v>1.14106919347578e-279</c:v>
                </c:pt>
                <c:pt idx="209">
                  <c:v>7.30197138171785e-283</c:v>
                </c:pt>
                <c:pt idx="210">
                  <c:v>4.48200855652413e-286</c:v>
                </c:pt>
                <c:pt idx="211">
                  <c:v>2.63881925785644e-289</c:v>
                </c:pt>
                <c:pt idx="212">
                  <c:v>1.49022215997463e-292</c:v>
                </c:pt>
                <c:pt idx="213">
                  <c:v>8.07229079094611e-296</c:v>
                </c:pt>
                <c:pt idx="214">
                  <c:v>4.1941792574352e-299</c:v>
                </c:pt>
                <c:pt idx="215">
                  <c:v>2.09026614556734e-302</c:v>
                </c:pt>
                <c:pt idx="216">
                  <c:v>9.99218794185696e-306</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numCache>
            </c:numRef>
          </c:yVal>
          <c:smooth val="0"/>
        </c:ser>
        <c:dLbls>
          <c:showLegendKey val="0"/>
          <c:showVal val="0"/>
          <c:showCatName val="0"/>
          <c:showSerName val="0"/>
          <c:showPercent val="0"/>
          <c:showBubbleSize val="0"/>
        </c:dLbls>
        <c:axId val="937591735"/>
        <c:axId val="967735873"/>
      </c:scatterChart>
      <c:valAx>
        <c:axId val="937591735"/>
        <c:scaling>
          <c:orientation val="minMax"/>
          <c:max val="100"/>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zh-CN" sz="1000" b="0" i="0" u="none" strike="noStrike" kern="1200"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defRPr>
                </a:pPr>
                <a:r>
                  <a:rPr lang="en-US" altLang="zh-CN" b="0"/>
                  <a:t>X(m)</a:t>
                </a:r>
                <a:endParaRPr lang="zh-CN" altLang="en-US" sz="1000" b="0" i="0" u="none" strike="noStrike"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manualLayout>
              <c:xMode val="edge"/>
              <c:yMode val="edge"/>
              <c:x val="0.486537054320631"/>
              <c:y val="0.878680373286672"/>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alpha val="100000"/>
                  </a:srgbClr>
                </a:solidFill>
                <a:latin typeface="等线" panose="02010600030101010101" charset="-122"/>
                <a:ea typeface="等线" panose="02010600030101010101" charset="-122"/>
                <a:cs typeface="等线" panose="02010600030101010101" charset="-122"/>
              </a:defRPr>
            </a:pPr>
          </a:p>
        </c:txPr>
        <c:crossAx val="967735873"/>
        <c:crosses val="autoZero"/>
        <c:crossBetween val="midCat"/>
      </c:valAx>
      <c:valAx>
        <c:axId val="967735873"/>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000" b="0" i="0" u="none" strike="noStrike" kern="1200"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defRPr>
                </a:pPr>
                <a:r>
                  <a:rPr lang="en-US" altLang="zh-CN" b="0"/>
                  <a:t>c(mg/L)</a:t>
                </a:r>
                <a:endParaRPr lang="zh-CN" altLang="en-US" sz="1000" b="0" i="0" u="none" strike="noStrike"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overlay val="0"/>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7591735"/>
        <c:crosses val="autoZero"/>
        <c:crossBetween val="midCat"/>
      </c:valAx>
      <c:spPr>
        <a:noFill/>
        <a:ln w="3175">
          <a:noFill/>
        </a:ln>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'[地下水预测-一维稳定流动二维水动力弥散-平面瞬时点源.xls]管500d'!$J$2</c:f>
              <c:strCache>
                <c:ptCount val="1"/>
                <c:pt idx="0">
                  <c:v>c</c:v>
                </c:pt>
              </c:strCache>
            </c:strRef>
          </c:tx>
          <c:spPr>
            <a:ln w="19050" cap="rnd" cmpd="sng" algn="ctr">
              <a:solidFill>
                <a:schemeClr val="accent1"/>
              </a:solidFill>
              <a:prstDash val="solid"/>
              <a:round/>
            </a:ln>
            <a:effectLst/>
          </c:spPr>
          <c:marker>
            <c:symbol val="circle"/>
            <c:size val="2"/>
            <c:spPr>
              <a:solidFill>
                <a:schemeClr val="accent1"/>
              </a:solidFill>
              <a:ln w="9525" cap="flat" cmpd="sng" algn="ctr">
                <a:solidFill>
                  <a:schemeClr val="accent1"/>
                </a:solidFill>
                <a:prstDash val="solid"/>
                <a:round/>
              </a:ln>
              <a:effectLst/>
            </c:spPr>
          </c:marker>
          <c:dLbls>
            <c:delete val="1"/>
          </c:dLbls>
          <c:xVal>
            <c:numRef>
              <c:f>'[地下水预测-一维稳定流动二维水动力弥散-平面瞬时点源.xls]管500d'!$I$3:$I$302</c:f>
              <c:numCache>
                <c:formatCode>General</c:formatCode>
                <c:ptCount val="3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numCache>
            </c:numRef>
          </c:xVal>
          <c:yVal>
            <c:numRef>
              <c:f>'[地下水预测-一维稳定流动二维水动力弥散-平面瞬时点源.xls]管500d'!$J$3:$J$302</c:f>
              <c:numCache>
                <c:formatCode>General</c:formatCode>
                <c:ptCount val="300"/>
                <c:pt idx="0">
                  <c:v>8.97339756556345e-49</c:v>
                </c:pt>
                <c:pt idx="1">
                  <c:v>3.50495739430817e-48</c:v>
                </c:pt>
                <c:pt idx="2">
                  <c:v>1.35765510959696e-47</c:v>
                </c:pt>
                <c:pt idx="3">
                  <c:v>5.21527310165031e-47</c:v>
                </c:pt>
                <c:pt idx="4">
                  <c:v>1.98676057959418e-46</c:v>
                </c:pt>
                <c:pt idx="5">
                  <c:v>7.50576382581903e-46</c:v>
                </c:pt>
                <c:pt idx="6">
                  <c:v>2.81206358967719e-45</c:v>
                </c:pt>
                <c:pt idx="7">
                  <c:v>1.04480745152469e-44</c:v>
                </c:pt>
                <c:pt idx="8">
                  <c:v>3.84971223342258e-44</c:v>
                </c:pt>
                <c:pt idx="9">
                  <c:v>1.40669892226083e-43</c:v>
                </c:pt>
                <c:pt idx="10">
                  <c:v>5.09747288202079e-43</c:v>
                </c:pt>
                <c:pt idx="11">
                  <c:v>1.83184859251855e-42</c:v>
                </c:pt>
                <c:pt idx="12">
                  <c:v>6.52837522503563e-42</c:v>
                </c:pt>
                <c:pt idx="13">
                  <c:v>2.30728648703294e-41</c:v>
                </c:pt>
                <c:pt idx="14">
                  <c:v>8.08683941036502e-41</c:v>
                </c:pt>
                <c:pt idx="15">
                  <c:v>2.81084564257777e-40</c:v>
                </c:pt>
                <c:pt idx="16">
                  <c:v>9.68893532304714e-40</c:v>
                </c:pt>
                <c:pt idx="17">
                  <c:v>3.31204324318136e-39</c:v>
                </c:pt>
                <c:pt idx="18">
                  <c:v>1.12278556828481e-38</c:v>
                </c:pt>
                <c:pt idx="19">
                  <c:v>3.77466597938804e-38</c:v>
                </c:pt>
                <c:pt idx="20">
                  <c:v>1.2584649192959e-37</c:v>
                </c:pt>
                <c:pt idx="21">
                  <c:v>4.1608741696988e-37</c:v>
                </c:pt>
                <c:pt idx="22">
                  <c:v>1.36429702690497e-36</c:v>
                </c:pt>
                <c:pt idx="23">
                  <c:v>4.43623112776064e-36</c:v>
                </c:pt>
                <c:pt idx="24">
                  <c:v>1.43054089877879e-35</c:v>
                </c:pt>
                <c:pt idx="25">
                  <c:v>4.5747490359301e-35</c:v>
                </c:pt>
                <c:pt idx="26">
                  <c:v>1.45082540457352e-34</c:v>
                </c:pt>
                <c:pt idx="27">
                  <c:v>4.56293109761357e-34</c:v>
                </c:pt>
                <c:pt idx="28">
                  <c:v>1.42315941957781e-33</c:v>
                </c:pt>
                <c:pt idx="29">
                  <c:v>4.4019395498709e-33</c:v>
                </c:pt>
                <c:pt idx="30">
                  <c:v>1.35025401902933e-32</c:v>
                </c:pt>
                <c:pt idx="31">
                  <c:v>4.10740724440842e-32</c:v>
                </c:pt>
                <c:pt idx="32">
                  <c:v>1.23908452371218e-31</c:v>
                </c:pt>
                <c:pt idx="33">
                  <c:v>3.70693509718597e-31</c:v>
                </c:pt>
                <c:pt idx="34">
                  <c:v>1.09979037265948e-30</c:v>
                </c:pt>
                <c:pt idx="35">
                  <c:v>3.23583022091822e-30</c:v>
                </c:pt>
                <c:pt idx="36">
                  <c:v>9.44153096147766e-30</c:v>
                </c:pt>
                <c:pt idx="37">
                  <c:v>2.73199561715014e-29</c:v>
                </c:pt>
                <c:pt idx="38">
                  <c:v>7.83968217801114e-29</c:v>
                </c:pt>
                <c:pt idx="39">
                  <c:v>2.2309908895692e-28</c:v>
                </c:pt>
                <c:pt idx="40">
                  <c:v>6.29619280464227e-28</c:v>
                </c:pt>
                <c:pt idx="41">
                  <c:v>1.76213477681292e-27</c:v>
                </c:pt>
                <c:pt idx="42">
                  <c:v>4.89081356113646e-27</c:v>
                </c:pt>
                <c:pt idx="43">
                  <c:v>1.34618260642699e-26</c:v>
                </c:pt>
                <c:pt idx="44">
                  <c:v>3.67458014259527e-26</c:v>
                </c:pt>
                <c:pt idx="45">
                  <c:v>9.94700541652423e-26</c:v>
                </c:pt>
                <c:pt idx="46">
                  <c:v>2.67028654123898e-25</c:v>
                </c:pt>
                <c:pt idx="47">
                  <c:v>7.10893037870631e-25</c:v>
                </c:pt>
                <c:pt idx="48">
                  <c:v>1.87685852307622e-24</c:v>
                </c:pt>
                <c:pt idx="49">
                  <c:v>4.91405139715072e-24</c:v>
                </c:pt>
                <c:pt idx="50">
                  <c:v>1.27593553849383e-23</c:v>
                </c:pt>
                <c:pt idx="51">
                  <c:v>3.28547869355205e-23</c:v>
                </c:pt>
                <c:pt idx="52">
                  <c:v>8.38975846586148e-23</c:v>
                </c:pt>
                <c:pt idx="53">
                  <c:v>2.12461939987734e-22</c:v>
                </c:pt>
                <c:pt idx="54">
                  <c:v>5.33572832828536e-22</c:v>
                </c:pt>
                <c:pt idx="55">
                  <c:v>1.32888425951489e-21</c:v>
                </c:pt>
                <c:pt idx="56">
                  <c:v>3.28217314104894e-21</c:v>
                </c:pt>
                <c:pt idx="57">
                  <c:v>8.03927155731851e-21</c:v>
                </c:pt>
                <c:pt idx="58">
                  <c:v>1.95277763410962e-20</c:v>
                </c:pt>
                <c:pt idx="59">
                  <c:v>4.70402658466445e-20</c:v>
                </c:pt>
                <c:pt idx="60">
                  <c:v>1.12374461708108e-19</c:v>
                </c:pt>
                <c:pt idx="61">
                  <c:v>2.66223484272699e-19</c:v>
                </c:pt>
                <c:pt idx="62">
                  <c:v>6.25469279121981e-19</c:v>
                </c:pt>
                <c:pt idx="63">
                  <c:v>1.45729168092305e-18</c:v>
                </c:pt>
                <c:pt idx="64">
                  <c:v>3.36719191255266e-18</c:v>
                </c:pt>
                <c:pt idx="65">
                  <c:v>7.71560765540092e-18</c:v>
                </c:pt>
                <c:pt idx="66">
                  <c:v>1.7532880903553e-17</c:v>
                </c:pt>
                <c:pt idx="67">
                  <c:v>3.95109354422923e-17</c:v>
                </c:pt>
                <c:pt idx="68">
                  <c:v>8.83003089061068e-17</c:v>
                </c:pt>
                <c:pt idx="69">
                  <c:v>1.95698733744087e-16</c:v>
                </c:pt>
                <c:pt idx="70">
                  <c:v>4.30125004368528e-16</c:v>
                </c:pt>
                <c:pt idx="71">
                  <c:v>9.37523680599935e-16</c:v>
                </c:pt>
                <c:pt idx="72">
                  <c:v>2.02651901999547e-15</c:v>
                </c:pt>
                <c:pt idx="73">
                  <c:v>4.34410189905854e-15</c:v>
                </c:pt>
                <c:pt idx="74">
                  <c:v>9.23485764824247e-15</c:v>
                </c:pt>
                <c:pt idx="75">
                  <c:v>1.94688943577285e-14</c:v>
                </c:pt>
                <c:pt idx="76">
                  <c:v>4.07036404633351e-14</c:v>
                </c:pt>
                <c:pt idx="77">
                  <c:v>8.43929368014037e-14</c:v>
                </c:pt>
                <c:pt idx="78">
                  <c:v>1.7352411123325e-13</c:v>
                </c:pt>
                <c:pt idx="79">
                  <c:v>3.53829826025692e-13</c:v>
                </c:pt>
                <c:pt idx="80">
                  <c:v>7.15500482333807e-13</c:v>
                </c:pt>
                <c:pt idx="81">
                  <c:v>1.43484934754997e-12</c:v>
                </c:pt>
                <c:pt idx="82">
                  <c:v>2.85353734106327e-12</c:v>
                </c:pt>
                <c:pt idx="83">
                  <c:v>5.62783942158961e-12</c:v>
                </c:pt>
                <c:pt idx="84">
                  <c:v>1.10072977966902e-11</c:v>
                </c:pt>
                <c:pt idx="85">
                  <c:v>2.13501345818068e-11</c:v>
                </c:pt>
                <c:pt idx="86">
                  <c:v>4.10677963219207e-11</c:v>
                </c:pt>
                <c:pt idx="87">
                  <c:v>7.83399091699976e-11</c:v>
                </c:pt>
                <c:pt idx="88">
                  <c:v>1.48199114822665e-10</c:v>
                </c:pt>
                <c:pt idx="89">
                  <c:v>2.78028321233847e-10</c:v>
                </c:pt>
                <c:pt idx="90">
                  <c:v>5.17265301798294e-10</c:v>
                </c:pt>
                <c:pt idx="91">
                  <c:v>9.54373865438769e-10</c:v>
                </c:pt>
                <c:pt idx="92">
                  <c:v>1.74624273015477e-9</c:v>
                </c:pt>
                <c:pt idx="93">
                  <c:v>3.1686302635944e-9</c:v>
                </c:pt>
                <c:pt idx="94">
                  <c:v>5.7018974523486e-9</c:v>
                </c:pt>
                <c:pt idx="95">
                  <c:v>1.01753210424222e-8</c:v>
                </c:pt>
                <c:pt idx="96">
                  <c:v>1.80076781759294e-8</c:v>
                </c:pt>
                <c:pt idx="97">
                  <c:v>3.16044474856202e-8</c:v>
                </c:pt>
                <c:pt idx="98">
                  <c:v>5.50072034134564e-8</c:v>
                </c:pt>
                <c:pt idx="99">
                  <c:v>9.49449370904063e-8</c:v>
                </c:pt>
                <c:pt idx="100">
                  <c:v>1.62519298129146e-7</c:v>
                </c:pt>
                <c:pt idx="101">
                  <c:v>2.75879192940352e-7</c:v>
                </c:pt>
                <c:pt idx="102">
                  <c:v>4.64423125990226e-7</c:v>
                </c:pt>
                <c:pt idx="103">
                  <c:v>7.75335393401466e-7</c:v>
                </c:pt>
                <c:pt idx="104">
                  <c:v>1.28364893140327e-6</c:v>
                </c:pt>
                <c:pt idx="105">
                  <c:v>2.10757869317534e-6</c:v>
                </c:pt>
                <c:pt idx="106">
                  <c:v>3.43164391497019e-6</c:v>
                </c:pt>
                <c:pt idx="107">
                  <c:v>5.54117053428113e-6</c:v>
                </c:pt>
                <c:pt idx="108">
                  <c:v>8.87322914809746e-6</c:v>
                </c:pt>
                <c:pt idx="109">
                  <c:v>1.40910306624525e-5</c:v>
                </c:pt>
                <c:pt idx="110">
                  <c:v>2.21914001436857e-5</c:v>
                </c:pt>
                <c:pt idx="111">
                  <c:v>3.46583218750569e-5</c:v>
                </c:pt>
                <c:pt idx="112">
                  <c:v>5.3679843222697e-5</c:v>
                </c:pt>
                <c:pt idx="113">
                  <c:v>8.24509812473705e-5</c:v>
                </c:pt>
                <c:pt idx="114">
                  <c:v>0.000125591804400125</c:v>
                </c:pt>
                <c:pt idx="115">
                  <c:v>0.000189717613685569</c:v>
                </c:pt>
                <c:pt idx="116">
                  <c:v>0.000284207077232077</c:v>
                </c:pt>
                <c:pt idx="117">
                  <c:v>0.000422224086904952</c:v>
                </c:pt>
                <c:pt idx="118">
                  <c:v>0.000622059609943609</c:v>
                </c:pt>
                <c:pt idx="119">
                  <c:v>0.000908870241795862</c:v>
                </c:pt>
                <c:pt idx="120">
                  <c:v>0.00131689954022248</c:v>
                </c:pt>
                <c:pt idx="121">
                  <c:v>0.00189227516624838</c:v>
                </c:pt>
                <c:pt idx="122">
                  <c:v>0.0026964775905642</c:v>
                </c:pt>
                <c:pt idx="123">
                  <c:v>0.00381057244507706</c:v>
                </c:pt>
                <c:pt idx="124">
                  <c:v>0.00534028594282462</c:v>
                </c:pt>
                <c:pt idx="125">
                  <c:v>0.00742197833890485</c:v>
                </c:pt>
                <c:pt idx="126">
                  <c:v>0.0102295312894892</c:v>
                </c:pt>
                <c:pt idx="127">
                  <c:v>0.0139821085478033</c:v>
                </c:pt>
                <c:pt idx="128">
                  <c:v>0.018952673692413</c:v>
                </c:pt>
                <c:pt idx="129">
                  <c:v>0.025477052571726</c:v>
                </c:pt>
                <c:pt idx="130">
                  <c:v>0.0339632125313485</c:v>
                </c:pt>
                <c:pt idx="131">
                  <c:v>0.0449002980746971</c:v>
                </c:pt>
                <c:pt idx="132">
                  <c:v>0.0588668188381184</c:v>
                </c:pt>
                <c:pt idx="133">
                  <c:v>0.0765372390949752</c:v>
                </c:pt>
                <c:pt idx="134">
                  <c:v>0.0986860800580472</c:v>
                </c:pt>
                <c:pt idx="135">
                  <c:v>0.12618853165601</c:v>
                </c:pt>
                <c:pt idx="136">
                  <c:v>0.16001649631128</c:v>
                </c:pt>
                <c:pt idx="137">
                  <c:v>0.201228972100366</c:v>
                </c:pt>
                <c:pt idx="138">
                  <c:v>0.250955745081683</c:v>
                </c:pt>
                <c:pt idx="139">
                  <c:v>0.310373517157163</c:v>
                </c:pt>
                <c:pt idx="140">
                  <c:v>0.380673859057397</c:v>
                </c:pt>
                <c:pt idx="141">
                  <c:v>0.46302275380742</c:v>
                </c:pt>
                <c:pt idx="142">
                  <c:v>0.558511981371846</c:v>
                </c:pt>
                <c:pt idx="143">
                  <c:v>0.668103176333388</c:v>
                </c:pt>
                <c:pt idx="144">
                  <c:v>0.792566041672691</c:v>
                </c:pt>
                <c:pt idx="145">
                  <c:v>0.932412885066981</c:v>
                </c:pt>
                <c:pt idx="146">
                  <c:v>1.08783231063249</c:v>
                </c:pt>
                <c:pt idx="147">
                  <c:v>1.25862549121963</c:v>
                </c:pt>
                <c:pt idx="148">
                  <c:v>1.44414890223637</c:v>
                </c:pt>
                <c:pt idx="149">
                  <c:v>1.64326765626953</c:v>
                </c:pt>
                <c:pt idx="150">
                  <c:v>1.85432358412422</c:v>
                </c:pt>
                <c:pt idx="151">
                  <c:v>2.07512192130089</c:v>
                </c:pt>
                <c:pt idx="152">
                  <c:v>2.30293985787143</c:v>
                </c:pt>
                <c:pt idx="153">
                  <c:v>2.53455929721987</c:v>
                </c:pt>
                <c:pt idx="154">
                  <c:v>2.76632497590469</c:v>
                </c:pt>
                <c:pt idx="155">
                  <c:v>2.99422768211688</c:v>
                </c:pt>
                <c:pt idx="156">
                  <c:v>3.21401075923358</c:v>
                </c:pt>
                <c:pt idx="157">
                  <c:v>3.4212965002725</c:v>
                </c:pt>
                <c:pt idx="158">
                  <c:v>3.61172754830333</c:v>
                </c:pt>
                <c:pt idx="159">
                  <c:v>3.78111713987728</c:v>
                </c:pt>
                <c:pt idx="160">
                  <c:v>3.92560107797108</c:v>
                </c:pt>
                <c:pt idx="161">
                  <c:v>4.04178379297821</c:v>
                </c:pt>
                <c:pt idx="162">
                  <c:v>4.12687081037601</c:v>
                </c:pt>
                <c:pt idx="163">
                  <c:v>4.17878041974293</c:v>
                </c:pt>
                <c:pt idx="164">
                  <c:v>4.1962283176332</c:v>
                </c:pt>
                <c:pt idx="165">
                  <c:v>4.17878041974293</c:v>
                </c:pt>
                <c:pt idx="166">
                  <c:v>4.12687081037601</c:v>
                </c:pt>
                <c:pt idx="167">
                  <c:v>4.04178379297821</c:v>
                </c:pt>
                <c:pt idx="168">
                  <c:v>3.92560107797108</c:v>
                </c:pt>
                <c:pt idx="169">
                  <c:v>3.78111713987728</c:v>
                </c:pt>
                <c:pt idx="170">
                  <c:v>3.61172754830333</c:v>
                </c:pt>
                <c:pt idx="171">
                  <c:v>3.4212965002725</c:v>
                </c:pt>
                <c:pt idx="172">
                  <c:v>3.21401075923358</c:v>
                </c:pt>
                <c:pt idx="173">
                  <c:v>2.99422768211688</c:v>
                </c:pt>
                <c:pt idx="174">
                  <c:v>2.76632497590469</c:v>
                </c:pt>
                <c:pt idx="175">
                  <c:v>2.53455929721987</c:v>
                </c:pt>
                <c:pt idx="176">
                  <c:v>2.30293985787143</c:v>
                </c:pt>
                <c:pt idx="177">
                  <c:v>2.07512192130089</c:v>
                </c:pt>
                <c:pt idx="178">
                  <c:v>1.85432358412422</c:v>
                </c:pt>
                <c:pt idx="179">
                  <c:v>1.64326765626953</c:v>
                </c:pt>
                <c:pt idx="180">
                  <c:v>1.44414890223637</c:v>
                </c:pt>
                <c:pt idx="181">
                  <c:v>1.25862549121963</c:v>
                </c:pt>
                <c:pt idx="182">
                  <c:v>1.08783231063249</c:v>
                </c:pt>
                <c:pt idx="183">
                  <c:v>0.932412885066981</c:v>
                </c:pt>
                <c:pt idx="184">
                  <c:v>0.792566041672691</c:v>
                </c:pt>
                <c:pt idx="185">
                  <c:v>0.668103176333388</c:v>
                </c:pt>
                <c:pt idx="186">
                  <c:v>0.558511981371846</c:v>
                </c:pt>
                <c:pt idx="187">
                  <c:v>0.46302275380742</c:v>
                </c:pt>
                <c:pt idx="188">
                  <c:v>0.380673859057397</c:v>
                </c:pt>
                <c:pt idx="189">
                  <c:v>0.310373517157163</c:v>
                </c:pt>
                <c:pt idx="190">
                  <c:v>0.250955745081683</c:v>
                </c:pt>
                <c:pt idx="191">
                  <c:v>0.201228972100366</c:v>
                </c:pt>
                <c:pt idx="192">
                  <c:v>0.16001649631128</c:v>
                </c:pt>
                <c:pt idx="193">
                  <c:v>0.12618853165601</c:v>
                </c:pt>
                <c:pt idx="194">
                  <c:v>0.0986860800580472</c:v>
                </c:pt>
                <c:pt idx="195">
                  <c:v>0.0765372390949752</c:v>
                </c:pt>
                <c:pt idx="196">
                  <c:v>0.0588668188381184</c:v>
                </c:pt>
                <c:pt idx="197">
                  <c:v>0.0449002980746971</c:v>
                </c:pt>
                <c:pt idx="198">
                  <c:v>0.0339632125313485</c:v>
                </c:pt>
                <c:pt idx="199">
                  <c:v>0.025477052571726</c:v>
                </c:pt>
                <c:pt idx="200">
                  <c:v>0.018952673692413</c:v>
                </c:pt>
                <c:pt idx="201">
                  <c:v>0.0139821085478033</c:v>
                </c:pt>
                <c:pt idx="202">
                  <c:v>0.0102295312894892</c:v>
                </c:pt>
                <c:pt idx="203">
                  <c:v>0.00742197833890485</c:v>
                </c:pt>
                <c:pt idx="204">
                  <c:v>0.00534028594282462</c:v>
                </c:pt>
                <c:pt idx="205">
                  <c:v>0.00381057244507706</c:v>
                </c:pt>
                <c:pt idx="206">
                  <c:v>0.0026964775905642</c:v>
                </c:pt>
                <c:pt idx="207">
                  <c:v>0.00189227516624838</c:v>
                </c:pt>
                <c:pt idx="208">
                  <c:v>0.00131689954022248</c:v>
                </c:pt>
                <c:pt idx="209">
                  <c:v>0.000908870241795862</c:v>
                </c:pt>
                <c:pt idx="210">
                  <c:v>0.000622059609943609</c:v>
                </c:pt>
                <c:pt idx="211">
                  <c:v>0.000422224086904952</c:v>
                </c:pt>
                <c:pt idx="212">
                  <c:v>0.000284207077232077</c:v>
                </c:pt>
                <c:pt idx="213">
                  <c:v>0.000189717613685569</c:v>
                </c:pt>
                <c:pt idx="214">
                  <c:v>0.000125591804400125</c:v>
                </c:pt>
                <c:pt idx="215">
                  <c:v>8.24509812473705e-5</c:v>
                </c:pt>
                <c:pt idx="216">
                  <c:v>5.3679843222697e-5</c:v>
                </c:pt>
                <c:pt idx="217">
                  <c:v>3.46583218750569e-5</c:v>
                </c:pt>
                <c:pt idx="218">
                  <c:v>2.21914001436857e-5</c:v>
                </c:pt>
                <c:pt idx="219">
                  <c:v>1.40910306624525e-5</c:v>
                </c:pt>
                <c:pt idx="220">
                  <c:v>8.87322914809746e-6</c:v>
                </c:pt>
                <c:pt idx="221">
                  <c:v>5.54117053428113e-6</c:v>
                </c:pt>
                <c:pt idx="222">
                  <c:v>3.43164391497019e-6</c:v>
                </c:pt>
                <c:pt idx="223">
                  <c:v>2.10757869317534e-6</c:v>
                </c:pt>
                <c:pt idx="224">
                  <c:v>1.28364893140327e-6</c:v>
                </c:pt>
                <c:pt idx="225">
                  <c:v>7.75335393401466e-7</c:v>
                </c:pt>
                <c:pt idx="226">
                  <c:v>4.64423125990226e-7</c:v>
                </c:pt>
                <c:pt idx="227">
                  <c:v>2.75879192940352e-7</c:v>
                </c:pt>
                <c:pt idx="228">
                  <c:v>1.62519298129146e-7</c:v>
                </c:pt>
                <c:pt idx="229">
                  <c:v>9.49449370904063e-8</c:v>
                </c:pt>
                <c:pt idx="230">
                  <c:v>5.50072034134564e-8</c:v>
                </c:pt>
                <c:pt idx="231">
                  <c:v>3.16044474856202e-8</c:v>
                </c:pt>
                <c:pt idx="232">
                  <c:v>1.80076781759294e-8</c:v>
                </c:pt>
                <c:pt idx="233">
                  <c:v>1.01753210424222e-8</c:v>
                </c:pt>
                <c:pt idx="234">
                  <c:v>5.7018974523486e-9</c:v>
                </c:pt>
                <c:pt idx="235">
                  <c:v>3.1686302635944e-9</c:v>
                </c:pt>
                <c:pt idx="236">
                  <c:v>1.74624273015477e-9</c:v>
                </c:pt>
                <c:pt idx="237">
                  <c:v>9.54373865438769e-10</c:v>
                </c:pt>
                <c:pt idx="238">
                  <c:v>5.17265301798294e-10</c:v>
                </c:pt>
                <c:pt idx="239">
                  <c:v>2.78028321233847e-10</c:v>
                </c:pt>
                <c:pt idx="240">
                  <c:v>1.48199114822665e-10</c:v>
                </c:pt>
                <c:pt idx="241">
                  <c:v>7.83399091699976e-11</c:v>
                </c:pt>
                <c:pt idx="242">
                  <c:v>4.10677963219207e-11</c:v>
                </c:pt>
                <c:pt idx="243">
                  <c:v>2.13501345818068e-11</c:v>
                </c:pt>
                <c:pt idx="244">
                  <c:v>1.10072977966902e-11</c:v>
                </c:pt>
                <c:pt idx="245">
                  <c:v>5.62783942158961e-12</c:v>
                </c:pt>
                <c:pt idx="246">
                  <c:v>2.85353734106327e-12</c:v>
                </c:pt>
                <c:pt idx="247">
                  <c:v>1.43484934754997e-12</c:v>
                </c:pt>
                <c:pt idx="248">
                  <c:v>7.15500482333807e-13</c:v>
                </c:pt>
                <c:pt idx="249">
                  <c:v>3.53829826025692e-13</c:v>
                </c:pt>
                <c:pt idx="250">
                  <c:v>1.7352411123325e-13</c:v>
                </c:pt>
                <c:pt idx="251">
                  <c:v>8.43929368014037e-14</c:v>
                </c:pt>
                <c:pt idx="252">
                  <c:v>4.07036404633351e-14</c:v>
                </c:pt>
                <c:pt idx="253">
                  <c:v>1.94688943577285e-14</c:v>
                </c:pt>
                <c:pt idx="254">
                  <c:v>9.23485764824247e-15</c:v>
                </c:pt>
                <c:pt idx="255">
                  <c:v>4.34410189905854e-15</c:v>
                </c:pt>
                <c:pt idx="256">
                  <c:v>2.02651901999547e-15</c:v>
                </c:pt>
                <c:pt idx="257">
                  <c:v>9.37523680599935e-16</c:v>
                </c:pt>
                <c:pt idx="258">
                  <c:v>4.30125004368528e-16</c:v>
                </c:pt>
                <c:pt idx="259">
                  <c:v>1.95698733744087e-16</c:v>
                </c:pt>
                <c:pt idx="260">
                  <c:v>8.83003089061068e-17</c:v>
                </c:pt>
                <c:pt idx="261">
                  <c:v>3.95109354422923e-17</c:v>
                </c:pt>
                <c:pt idx="262">
                  <c:v>1.7532880903553e-17</c:v>
                </c:pt>
                <c:pt idx="263">
                  <c:v>7.71560765540092e-18</c:v>
                </c:pt>
                <c:pt idx="264">
                  <c:v>3.36719191255266e-18</c:v>
                </c:pt>
                <c:pt idx="265">
                  <c:v>1.45729168092305e-18</c:v>
                </c:pt>
                <c:pt idx="266">
                  <c:v>6.25469279121981e-19</c:v>
                </c:pt>
                <c:pt idx="267">
                  <c:v>2.66223484272699e-19</c:v>
                </c:pt>
                <c:pt idx="268">
                  <c:v>1.12374461708108e-19</c:v>
                </c:pt>
                <c:pt idx="269">
                  <c:v>4.70402658466445e-20</c:v>
                </c:pt>
                <c:pt idx="270">
                  <c:v>1.95277763410962e-20</c:v>
                </c:pt>
                <c:pt idx="271">
                  <c:v>8.03927155731851e-21</c:v>
                </c:pt>
                <c:pt idx="272">
                  <c:v>3.28217314104894e-21</c:v>
                </c:pt>
                <c:pt idx="273">
                  <c:v>1.32888425951489e-21</c:v>
                </c:pt>
                <c:pt idx="274">
                  <c:v>5.33572832828536e-22</c:v>
                </c:pt>
                <c:pt idx="275">
                  <c:v>2.12461939987734e-22</c:v>
                </c:pt>
                <c:pt idx="276">
                  <c:v>8.38975846586148e-23</c:v>
                </c:pt>
                <c:pt idx="277">
                  <c:v>3.28547869355205e-23</c:v>
                </c:pt>
                <c:pt idx="278">
                  <c:v>1.27593553849383e-23</c:v>
                </c:pt>
                <c:pt idx="279">
                  <c:v>4.91405139715072e-24</c:v>
                </c:pt>
                <c:pt idx="280">
                  <c:v>1.87685852307622e-24</c:v>
                </c:pt>
                <c:pt idx="281">
                  <c:v>7.10893037870631e-25</c:v>
                </c:pt>
                <c:pt idx="282">
                  <c:v>2.67028654123898e-25</c:v>
                </c:pt>
                <c:pt idx="283">
                  <c:v>9.94700541652423e-26</c:v>
                </c:pt>
                <c:pt idx="284">
                  <c:v>3.67458014259527e-26</c:v>
                </c:pt>
                <c:pt idx="285">
                  <c:v>1.34618260642699e-26</c:v>
                </c:pt>
                <c:pt idx="286">
                  <c:v>4.89081356113646e-27</c:v>
                </c:pt>
                <c:pt idx="287">
                  <c:v>1.76213477681292e-27</c:v>
                </c:pt>
                <c:pt idx="288">
                  <c:v>6.29619280464227e-28</c:v>
                </c:pt>
                <c:pt idx="289">
                  <c:v>2.2309908895692e-28</c:v>
                </c:pt>
                <c:pt idx="290">
                  <c:v>7.83968217801114e-29</c:v>
                </c:pt>
                <c:pt idx="291">
                  <c:v>2.73199561715014e-29</c:v>
                </c:pt>
                <c:pt idx="292">
                  <c:v>9.44153096147766e-30</c:v>
                </c:pt>
                <c:pt idx="293">
                  <c:v>3.23583022091822e-30</c:v>
                </c:pt>
                <c:pt idx="294">
                  <c:v>1.09979037265948e-30</c:v>
                </c:pt>
                <c:pt idx="295">
                  <c:v>3.70693509718597e-31</c:v>
                </c:pt>
                <c:pt idx="296">
                  <c:v>1.23908452371218e-31</c:v>
                </c:pt>
                <c:pt idx="297">
                  <c:v>4.10740724440842e-32</c:v>
                </c:pt>
                <c:pt idx="298">
                  <c:v>1.35025401902933e-32</c:v>
                </c:pt>
                <c:pt idx="299">
                  <c:v>4.4019395498709e-33</c:v>
                </c:pt>
              </c:numCache>
            </c:numRef>
          </c:yVal>
          <c:smooth val="1"/>
        </c:ser>
        <c:dLbls>
          <c:showLegendKey val="0"/>
          <c:showVal val="0"/>
          <c:showCatName val="0"/>
          <c:showSerName val="0"/>
          <c:showPercent val="0"/>
          <c:showBubbleSize val="0"/>
        </c:dLbls>
        <c:axId val="676824926"/>
        <c:axId val="658090232"/>
      </c:scatterChart>
      <c:valAx>
        <c:axId val="676824926"/>
        <c:scaling>
          <c:orientation val="minMax"/>
          <c:max val="300"/>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x(m)</a:t>
                </a:r>
                <a:endParaRPr lang="zh-CN" altLang="en-US" sz="1000" b="0" i="0" u="none" strike="noStrike" baseline="0">
                  <a:solidFill>
                    <a:srgbClr val="333333">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manualLayout>
              <c:xMode val="edge"/>
              <c:yMode val="edge"/>
              <c:x val="0.507658573928259"/>
              <c:y val="0.86481517596678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8090232"/>
        <c:crosses val="autoZero"/>
        <c:crossBetween val="midCat"/>
        <c:majorUnit val="50"/>
      </c:valAx>
      <c:valAx>
        <c:axId val="658090232"/>
        <c:scaling>
          <c:orientation val="minMax"/>
          <c:min val="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c(mg/L)</a:t>
                </a:r>
                <a:endParaRPr lang="zh-CN" altLang="en-US" sz="1000" b="0" i="0" u="none" strike="noStrike" baseline="0">
                  <a:solidFill>
                    <a:srgbClr val="333333">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6824926"/>
        <c:crosses val="autoZero"/>
        <c:crossBetween val="midCat"/>
      </c:valAx>
      <c:spPr>
        <a:noFill/>
        <a:ln w="3175">
          <a:noFill/>
        </a:ln>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1365687509582"/>
          <c:y val="0.153003292662836"/>
          <c:w val="0.871196850393701"/>
          <c:h val="0.720887649460484"/>
        </c:manualLayout>
      </c:layout>
      <c:scatterChart>
        <c:scatterStyle val="smoothMarker"/>
        <c:varyColors val="0"/>
        <c:ser>
          <c:idx val="0"/>
          <c:order val="0"/>
          <c:tx>
            <c:strRef>
              <c:f>'[地下水预测-一维稳定流动二维水动力弥散-平面瞬时点源.xls]管1000d'!$J$2</c:f>
              <c:strCache>
                <c:ptCount val="1"/>
                <c:pt idx="0">
                  <c:v>c</c:v>
                </c:pt>
              </c:strCache>
            </c:strRef>
          </c:tx>
          <c:spPr>
            <a:ln w="19050" cap="rnd" cmpd="sng" algn="ctr">
              <a:solidFill>
                <a:schemeClr val="accent1"/>
              </a:solidFill>
              <a:prstDash val="solid"/>
              <a:round/>
            </a:ln>
            <a:effectLst/>
          </c:spPr>
          <c:marker>
            <c:symbol val="circle"/>
            <c:size val="2"/>
            <c:spPr>
              <a:solidFill>
                <a:schemeClr val="accent1"/>
              </a:solidFill>
              <a:ln w="9525" cap="flat" cmpd="sng" algn="ctr">
                <a:solidFill>
                  <a:schemeClr val="accent1"/>
                </a:solidFill>
                <a:prstDash val="solid"/>
                <a:round/>
              </a:ln>
              <a:effectLst/>
            </c:spPr>
          </c:marker>
          <c:dLbls>
            <c:delete val="1"/>
          </c:dLbls>
          <c:xVal>
            <c:numRef>
              <c:f>'[地下水预测-一维稳定流动二维水动力弥散-平面瞬时点源.xls]管1000d'!$I$3:$I$524</c:f>
              <c:numCache>
                <c:formatCode>General</c:formatCode>
                <c:ptCount val="5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numCache>
            </c:numRef>
          </c:xVal>
          <c:yVal>
            <c:numRef>
              <c:f>'[地下水预测-一维稳定流动二维水动力弥散-平面瞬时点源.xls]管1000d'!$J$3:$J$524</c:f>
              <c:numCache>
                <c:formatCode>General</c:formatCode>
                <c:ptCount val="522"/>
                <c:pt idx="0">
                  <c:v>2.44109421201446e-98</c:v>
                </c:pt>
                <c:pt idx="1">
                  <c:v>9.59455227105908e-98</c:v>
                </c:pt>
                <c:pt idx="2">
                  <c:v>3.75539242877603e-97</c:v>
                </c:pt>
                <c:pt idx="3">
                  <c:v>1.46378192581814e-96</c:v>
                </c:pt>
                <c:pt idx="4">
                  <c:v>5.68182528659576e-96</c:v>
                </c:pt>
                <c:pt idx="5">
                  <c:v>2.19629064137099e-95</c:v>
                </c:pt>
                <c:pt idx="6">
                  <c:v>8.45438824265904e-95</c:v>
                </c:pt>
                <c:pt idx="7">
                  <c:v>3.24089533099314e-94</c:v>
                </c:pt>
                <c:pt idx="8">
                  <c:v>1.23719530581563e-93</c:v>
                </c:pt>
                <c:pt idx="9">
                  <c:v>4.70329222082908e-93</c:v>
                </c:pt>
                <c:pt idx="10">
                  <c:v>1.78055790959933e-92</c:v>
                </c:pt>
                <c:pt idx="11">
                  <c:v>6.712753256566e-92</c:v>
                </c:pt>
                <c:pt idx="12">
                  <c:v>2.52020405393727e-91</c:v>
                </c:pt>
                <c:pt idx="13">
                  <c:v>9.4223920075545e-91</c:v>
                </c:pt>
                <c:pt idx="14">
                  <c:v>3.50814125786727e-90</c:v>
                </c:pt>
                <c:pt idx="15">
                  <c:v>1.3007187980863e-89</c:v>
                </c:pt>
                <c:pt idx="16">
                  <c:v>4.80264186292339e-89</c:v>
                </c:pt>
                <c:pt idx="17">
                  <c:v>1.76590537482033e-88</c:v>
                </c:pt>
                <c:pt idx="18">
                  <c:v>6.4661398832103e-88</c:v>
                </c:pt>
                <c:pt idx="19">
                  <c:v>2.3578338785506e-87</c:v>
                </c:pt>
                <c:pt idx="20">
                  <c:v>8.5619315698082e-87</c:v>
                </c:pt>
                <c:pt idx="21">
                  <c:v>3.09614108385709e-86</c:v>
                </c:pt>
                <c:pt idx="22">
                  <c:v>1.11496227424314e-85</c:v>
                </c:pt>
                <c:pt idx="23">
                  <c:v>3.99843503725853e-85</c:v>
                </c:pt>
                <c:pt idx="24">
                  <c:v>1.42794130669953e-84</c:v>
                </c:pt>
                <c:pt idx="25">
                  <c:v>5.07833223704303e-84</c:v>
                </c:pt>
                <c:pt idx="26">
                  <c:v>1.79854912391762e-83</c:v>
                </c:pt>
                <c:pt idx="27">
                  <c:v>6.34328083492778e-83</c:v>
                </c:pt>
                <c:pt idx="28">
                  <c:v>2.2279016501683e-82</c:v>
                </c:pt>
                <c:pt idx="29">
                  <c:v>7.79235145216297e-82</c:v>
                </c:pt>
                <c:pt idx="30">
                  <c:v>2.71413527564165e-81</c:v>
                </c:pt>
                <c:pt idx="31">
                  <c:v>9.41423181526828e-81</c:v>
                </c:pt>
                <c:pt idx="32">
                  <c:v>3.25183669530854e-80</c:v>
                </c:pt>
                <c:pt idx="33">
                  <c:v>1.11856958902488e-79</c:v>
                </c:pt>
                <c:pt idx="34">
                  <c:v>3.83166673810971e-79</c:v>
                </c:pt>
                <c:pt idx="35">
                  <c:v>1.30708217169776e-78</c:v>
                </c:pt>
                <c:pt idx="36">
                  <c:v>4.44026094982084e-78</c:v>
                </c:pt>
                <c:pt idx="37">
                  <c:v>1.50211968573209e-77</c:v>
                </c:pt>
                <c:pt idx="38">
                  <c:v>5.06047195531028e-77</c:v>
                </c:pt>
                <c:pt idx="39">
                  <c:v>1.69772736102999e-76</c:v>
                </c:pt>
                <c:pt idx="40">
                  <c:v>5.67198814335244e-76</c:v>
                </c:pt>
                <c:pt idx="41">
                  <c:v>1.88709220902415e-75</c:v>
                </c:pt>
                <c:pt idx="42">
                  <c:v>6.25232247975997e-75</c:v>
                </c:pt>
                <c:pt idx="43">
                  <c:v>2.06290894412434e-74</c:v>
                </c:pt>
                <c:pt idx="44">
                  <c:v>6.77811899211302e-74</c:v>
                </c:pt>
                <c:pt idx="45">
                  <c:v>2.21783258289383e-73</c:v>
                </c:pt>
                <c:pt idx="46">
                  <c:v>7.22667911456079e-73</c:v>
                </c:pt>
                <c:pt idx="47">
                  <c:v>2.34498043590876e-72</c:v>
                </c:pt>
                <c:pt idx="48">
                  <c:v>7.57757279526036e-72</c:v>
                </c:pt>
                <c:pt idx="49">
                  <c:v>2.43843650556302e-71</c:v>
                </c:pt>
                <c:pt idx="50">
                  <c:v>7.8141766831942e-71</c:v>
                </c:pt>
                <c:pt idx="51">
                  <c:v>2.49370710523535e-70</c:v>
                </c:pt>
                <c:pt idx="52">
                  <c:v>7.92497862695303e-70</c:v>
                </c:pt>
                <c:pt idx="53">
                  <c:v>2.50807891662e-69</c:v>
                </c:pt>
                <c:pt idx="54">
                  <c:v>7.90450604849286e-69</c:v>
                </c:pt>
                <c:pt idx="55">
                  <c:v>2.48083977152515e-68</c:v>
                </c:pt>
                <c:pt idx="56">
                  <c:v>7.75377395830008e-68</c:v>
                </c:pt>
                <c:pt idx="57">
                  <c:v>2.41333714495713e-67</c:v>
                </c:pt>
                <c:pt idx="58">
                  <c:v>7.48020154537324e-67</c:v>
                </c:pt>
                <c:pt idx="59">
                  <c:v>2.30886767043778e-66</c:v>
                </c:pt>
                <c:pt idx="60">
                  <c:v>7.0970068854169e-66</c:v>
                </c:pt>
                <c:pt idx="61">
                  <c:v>2.17241029074079e-65</c:v>
                </c:pt>
                <c:pt idx="62">
                  <c:v>6.62214852442313e-65</c:v>
                </c:pt>
                <c:pt idx="63">
                  <c:v>2.01023311821775e-64</c:v>
                </c:pt>
                <c:pt idx="64">
                  <c:v>6.07693192147271e-64</c:v>
                </c:pt>
                <c:pt idx="65">
                  <c:v>1.82941720598393e-63</c:v>
                </c:pt>
                <c:pt idx="66">
                  <c:v>5.48443114657888e-63</c:v>
                </c:pt>
                <c:pt idx="67">
                  <c:v>1.63734749096061e-62</c:v>
                </c:pt>
                <c:pt idx="68">
                  <c:v>4.86788791167438e-62</c:v>
                </c:pt>
                <c:pt idx="69">
                  <c:v>1.44122146394156e-61</c:v>
                </c:pt>
                <c:pt idx="70">
                  <c:v>4.24924051910051e-61</c:v>
                </c:pt>
                <c:pt idx="71">
                  <c:v>1.24762005615955e-60</c:v>
                </c:pt>
                <c:pt idx="72">
                  <c:v>3.64790753958298e-60</c:v>
                </c:pt>
                <c:pt idx="73">
                  <c:v>1.06217417343511e-59</c:v>
                </c:pt>
                <c:pt idx="74">
                  <c:v>3.07991048030991e-59</c:v>
                </c:pt>
                <c:pt idx="75">
                  <c:v>8.89346275649915e-59</c:v>
                </c:pt>
                <c:pt idx="76">
                  <c:v>2.55737331168765e-58</c:v>
                </c:pt>
                <c:pt idx="77">
                  <c:v>7.32331655953495e-58</c:v>
                </c:pt>
                <c:pt idx="78">
                  <c:v>2.0883915493079e-57</c:v>
                </c:pt>
                <c:pt idx="79">
                  <c:v>5.93070725968997e-57</c:v>
                </c:pt>
                <c:pt idx="80">
                  <c:v>1.67722562566482e-56</c:v>
                </c:pt>
                <c:pt idx="81">
                  <c:v>4.72353275757746e-56</c:v>
                </c:pt>
                <c:pt idx="82">
                  <c:v>1.32474660356701e-55</c:v>
                </c:pt>
                <c:pt idx="83">
                  <c:v>3.69989278062555e-55</c:v>
                </c:pt>
                <c:pt idx="84">
                  <c:v>1.02904864174711e-54</c:v>
                </c:pt>
                <c:pt idx="85">
                  <c:v>2.85018539020869e-54</c:v>
                </c:pt>
                <c:pt idx="86">
                  <c:v>7.86141560177805e-54</c:v>
                </c:pt>
                <c:pt idx="87">
                  <c:v>2.15932913162921e-53</c:v>
                </c:pt>
                <c:pt idx="88">
                  <c:v>5.90646143057432e-53</c:v>
                </c:pt>
                <c:pt idx="89">
                  <c:v>1.6088899604933e-52</c:v>
                </c:pt>
                <c:pt idx="90">
                  <c:v>4.36431161433229e-52</c:v>
                </c:pt>
                <c:pt idx="91">
                  <c:v>1.17895058689477e-51</c:v>
                </c:pt>
                <c:pt idx="92">
                  <c:v>3.17150861140113e-51</c:v>
                </c:pt>
                <c:pt idx="93">
                  <c:v>8.49623718323296e-51</c:v>
                </c:pt>
                <c:pt idx="94">
                  <c:v>2.26661522436331e-50</c:v>
                </c:pt>
                <c:pt idx="95">
                  <c:v>6.02170417144959e-50</c:v>
                </c:pt>
                <c:pt idx="96">
                  <c:v>1.5931309380778e-49</c:v>
                </c:pt>
                <c:pt idx="97">
                  <c:v>4.19733823924851e-49</c:v>
                </c:pt>
                <c:pt idx="98">
                  <c:v>1.10125249440548e-48</c:v>
                </c:pt>
                <c:pt idx="99">
                  <c:v>2.8773340373742e-48</c:v>
                </c:pt>
                <c:pt idx="100">
                  <c:v>7.48659090278095e-48</c:v>
                </c:pt>
                <c:pt idx="101">
                  <c:v>1.93985095085316e-47</c:v>
                </c:pt>
                <c:pt idx="102">
                  <c:v>5.00544925368286e-47</c:v>
                </c:pt>
                <c:pt idx="103">
                  <c:v>1.28619910890273e-46</c:v>
                </c:pt>
                <c:pt idx="104">
                  <c:v>3.29127208895664e-46</c:v>
                </c:pt>
                <c:pt idx="105">
                  <c:v>8.38706116391629e-46</c:v>
                </c:pt>
                <c:pt idx="106">
                  <c:v>2.12836581293181e-45</c:v>
                </c:pt>
                <c:pt idx="107">
                  <c:v>5.3786486966958e-45</c:v>
                </c:pt>
                <c:pt idx="108">
                  <c:v>1.35360056040044e-44</c:v>
                </c:pt>
                <c:pt idx="109">
                  <c:v>3.39233171293749e-44</c:v>
                </c:pt>
                <c:pt idx="110">
                  <c:v>8.46635627298952e-44</c:v>
                </c:pt>
                <c:pt idx="111">
                  <c:v>2.10419124212773e-43</c:v>
                </c:pt>
                <c:pt idx="112">
                  <c:v>5.20792016610919e-43</c:v>
                </c:pt>
                <c:pt idx="113">
                  <c:v>1.28361229566021e-42</c:v>
                </c:pt>
                <c:pt idx="114">
                  <c:v>3.15060428810191e-42</c:v>
                </c:pt>
                <c:pt idx="115">
                  <c:v>7.70094979111665e-42</c:v>
                </c:pt>
                <c:pt idx="116">
                  <c:v>1.87449879190987e-41</c:v>
                </c:pt>
                <c:pt idx="117">
                  <c:v>4.54377145334838e-41</c:v>
                </c:pt>
                <c:pt idx="118">
                  <c:v>1.09682725445918e-40</c:v>
                </c:pt>
                <c:pt idx="119">
                  <c:v>2.63663752711515e-40</c:v>
                </c:pt>
                <c:pt idx="120">
                  <c:v>6.31179762373875e-40</c:v>
                </c:pt>
                <c:pt idx="121">
                  <c:v>1.5046869102811e-39</c:v>
                </c:pt>
                <c:pt idx="122">
                  <c:v>3.5721497852371e-39</c:v>
                </c:pt>
                <c:pt idx="123">
                  <c:v>8.44507712800903e-39</c:v>
                </c:pt>
                <c:pt idx="124">
                  <c:v>1.98823639920206e-38</c:v>
                </c:pt>
                <c:pt idx="125">
                  <c:v>4.66146965218073e-38</c:v>
                </c:pt>
                <c:pt idx="126">
                  <c:v>1.08834890061676e-37</c:v>
                </c:pt>
                <c:pt idx="127">
                  <c:v>2.53048557244063e-37</c:v>
                </c:pt>
                <c:pt idx="128">
                  <c:v>5.85908810954986e-37</c:v>
                </c:pt>
                <c:pt idx="129">
                  <c:v>1.35097288776163e-36</c:v>
                </c:pt>
                <c:pt idx="130">
                  <c:v>3.10208489237224e-36</c:v>
                </c:pt>
                <c:pt idx="131">
                  <c:v>7.09334633221988e-36</c:v>
                </c:pt>
                <c:pt idx="132">
                  <c:v>1.61524755295107e-35</c:v>
                </c:pt>
                <c:pt idx="133">
                  <c:v>3.66283587914443e-35</c:v>
                </c:pt>
                <c:pt idx="134">
                  <c:v>8.27153798356982e-35</c:v>
                </c:pt>
                <c:pt idx="135">
                  <c:v>1.86013951262488e-34</c:v>
                </c:pt>
                <c:pt idx="136">
                  <c:v>4.16576923721529e-34</c:v>
                </c:pt>
                <c:pt idx="137">
                  <c:v>9.29041982790823e-34</c:v>
                </c:pt>
                <c:pt idx="138">
                  <c:v>2.06331678981329e-33</c:v>
                </c:pt>
                <c:pt idx="139">
                  <c:v>4.56338305378961e-33</c:v>
                </c:pt>
                <c:pt idx="140">
                  <c:v>1.00507478878222e-32</c:v>
                </c:pt>
                <c:pt idx="141">
                  <c:v>2.20445010827457e-32</c:v>
                </c:pt>
                <c:pt idx="142">
                  <c:v>4.81495918358633e-32</c:v>
                </c:pt>
                <c:pt idx="143">
                  <c:v>1.04731032864938e-31</c:v>
                </c:pt>
                <c:pt idx="144">
                  <c:v>2.26855129716648e-31</c:v>
                </c:pt>
                <c:pt idx="145">
                  <c:v>4.89341740670555e-31</c:v>
                </c:pt>
                <c:pt idx="146">
                  <c:v>1.05115403504543e-30</c:v>
                </c:pt>
                <c:pt idx="147">
                  <c:v>2.24859324623784e-30</c:v>
                </c:pt>
                <c:pt idx="148">
                  <c:v>4.79011437062254e-30</c:v>
                </c:pt>
                <c:pt idx="149">
                  <c:v>1.01618154837919e-29</c:v>
                </c:pt>
                <c:pt idx="150">
                  <c:v>2.1467781559935e-29</c:v>
                </c:pt>
                <c:pt idx="151">
                  <c:v>4.51641115331615e-29</c:v>
                </c:pt>
                <c:pt idx="152">
                  <c:v>9.46215843757277e-29</c:v>
                </c:pt>
                <c:pt idx="153">
                  <c:v>1.97413751297371e-28</c:v>
                </c:pt>
                <c:pt idx="154">
                  <c:v>4.1016162723691e-28</c:v>
                </c:pt>
                <c:pt idx="155">
                  <c:v>8.48639211555443e-28</c:v>
                </c:pt>
                <c:pt idx="156">
                  <c:v>1.74856428118216e-27</c:v>
                </c:pt>
                <c:pt idx="157">
                  <c:v>3.58781921526526e-27</c:v>
                </c:pt>
                <c:pt idx="158">
                  <c:v>7.33111346582655e-27</c:v>
                </c:pt>
                <c:pt idx="159">
                  <c:v>1.49176279635787e-26</c:v>
                </c:pt>
                <c:pt idx="160">
                  <c:v>3.02287398769151e-26</c:v>
                </c:pt>
                <c:pt idx="161">
                  <c:v>6.10001293386081e-26</c:v>
                </c:pt>
                <c:pt idx="162">
                  <c:v>1.22583469508022e-25</c:v>
                </c:pt>
                <c:pt idx="163">
                  <c:v>2.45314660490853e-25</c:v>
                </c:pt>
                <c:pt idx="164">
                  <c:v>4.88883678313217e-25</c:v>
                </c:pt>
                <c:pt idx="165">
                  <c:v>9.70237406127982e-25</c:v>
                </c:pt>
                <c:pt idx="166">
                  <c:v>1.91752454157006e-24</c:v>
                </c:pt>
                <c:pt idx="167">
                  <c:v>3.77393389464832e-24</c:v>
                </c:pt>
                <c:pt idx="168">
                  <c:v>7.39670140558204e-24</c:v>
                </c:pt>
                <c:pt idx="169">
                  <c:v>1.44368460929408e-23</c:v>
                </c:pt>
                <c:pt idx="170">
                  <c:v>2.80606034821815e-23</c:v>
                </c:pt>
                <c:pt idx="171">
                  <c:v>5.43140425350312e-23</c:v>
                </c:pt>
                <c:pt idx="172">
                  <c:v>1.04693010924346e-22</c:v>
                </c:pt>
                <c:pt idx="173">
                  <c:v>2.00961883753032e-22</c:v>
                </c:pt>
                <c:pt idx="174">
                  <c:v>3.84149380188717e-22</c:v>
                </c:pt>
                <c:pt idx="175">
                  <c:v>7.3126876139869e-22</c:v>
                </c:pt>
                <c:pt idx="176">
                  <c:v>1.38625889875799e-21</c:v>
                </c:pt>
                <c:pt idx="177">
                  <c:v>2.61699030316457e-21</c:v>
                </c:pt>
                <c:pt idx="178">
                  <c:v>4.91983254130159e-21</c:v>
                </c:pt>
                <c:pt idx="179">
                  <c:v>9.21062220128557e-21</c:v>
                </c:pt>
                <c:pt idx="180">
                  <c:v>1.71718884240208e-20</c:v>
                </c:pt>
                <c:pt idx="181">
                  <c:v>3.18814149506758e-20</c:v>
                </c:pt>
                <c:pt idx="182">
                  <c:v>5.89450796213376e-20</c:v>
                </c:pt>
                <c:pt idx="183">
                  <c:v>1.08529542018137e-19</c:v>
                </c:pt>
                <c:pt idx="184">
                  <c:v>1.98993468940031e-19</c:v>
                </c:pt>
                <c:pt idx="185">
                  <c:v>3.63345776468415e-19</c:v>
                </c:pt>
                <c:pt idx="186">
                  <c:v>6.60681050450946e-19</c:v>
                </c:pt>
                <c:pt idx="187">
                  <c:v>1.19633835284603e-18</c:v>
                </c:pt>
                <c:pt idx="188">
                  <c:v>2.15728061931422e-18</c:v>
                </c:pt>
                <c:pt idx="189">
                  <c:v>3.87391153389826e-18</c:v>
                </c:pt>
                <c:pt idx="190">
                  <c:v>6.92760626959902e-18</c:v>
                </c:pt>
                <c:pt idx="191">
                  <c:v>1.23369309864863e-17</c:v>
                </c:pt>
                <c:pt idx="192">
                  <c:v>2.18787000774813e-17</c:v>
                </c:pt>
                <c:pt idx="193">
                  <c:v>3.86390406743582e-17</c:v>
                </c:pt>
                <c:pt idx="194">
                  <c:v>6.79550281283104e-17</c:v>
                </c:pt>
                <c:pt idx="195">
                  <c:v>1.19016534047259e-16</c:v>
                </c:pt>
                <c:pt idx="196">
                  <c:v>2.07579012613501e-16</c:v>
                </c:pt>
                <c:pt idx="197">
                  <c:v>3.60537153645158e-16</c:v>
                </c:pt>
                <c:pt idx="198">
                  <c:v>6.23601355563796e-16</c:v>
                </c:pt>
                <c:pt idx="199">
                  <c:v>1.0741242369035e-15</c:v>
                </c:pt>
                <c:pt idx="200">
                  <c:v>1.84243605072675e-15</c:v>
                </c:pt>
                <c:pt idx="201">
                  <c:v>3.14717411269075e-15</c:v>
                </c:pt>
                <c:pt idx="202">
                  <c:v>5.35352159151694e-15</c:v>
                </c:pt>
                <c:pt idx="203">
                  <c:v>9.0687783571734e-15</c:v>
                </c:pt>
                <c:pt idx="204">
                  <c:v>1.52984861564731e-14</c:v>
                </c:pt>
                <c:pt idx="205">
                  <c:v>2.5700322245119e-14</c:v>
                </c:pt>
                <c:pt idx="206">
                  <c:v>4.29951155654588e-14</c:v>
                </c:pt>
                <c:pt idx="207">
                  <c:v>7.16292020783166e-14</c:v>
                </c:pt>
                <c:pt idx="208">
                  <c:v>1.1883696367076e-13</c:v>
                </c:pt>
                <c:pt idx="209">
                  <c:v>1.96337574408026e-13</c:v>
                </c:pt>
                <c:pt idx="210">
                  <c:v>3.23032141606953e-13</c:v>
                </c:pt>
                <c:pt idx="211">
                  <c:v>5.29271480446043e-13</c:v>
                </c:pt>
                <c:pt idx="212">
                  <c:v>8.63578238540237e-13</c:v>
                </c:pt>
                <c:pt idx="213">
                  <c:v>1.40318627440583e-12</c:v>
                </c:pt>
                <c:pt idx="214">
                  <c:v>2.27048902370331e-12</c:v>
                </c:pt>
                <c:pt idx="215">
                  <c:v>3.65859154528843e-12</c:v>
                </c:pt>
                <c:pt idx="216">
                  <c:v>5.87082164838612e-12</c:v>
                </c:pt>
                <c:pt idx="217">
                  <c:v>9.38154332353569e-12</c:v>
                </c:pt>
                <c:pt idx="218">
                  <c:v>1.49293235697052e-11</c:v>
                </c:pt>
                <c:pt idx="219">
                  <c:v>2.36590016200751e-11</c:v>
                </c:pt>
                <c:pt idx="220">
                  <c:v>3.73373196702488e-11</c:v>
                </c:pt>
                <c:pt idx="221">
                  <c:v>5.86786755939598e-11</c:v>
                </c:pt>
                <c:pt idx="222">
                  <c:v>9.1834932027474e-11</c:v>
                </c:pt>
                <c:pt idx="223">
                  <c:v>1.43128445864995e-10</c:v>
                </c:pt>
                <c:pt idx="224">
                  <c:v>2.22143926101235e-10</c:v>
                </c:pt>
                <c:pt idx="225">
                  <c:v>3.433470905652e-10</c:v>
                </c:pt>
                <c:pt idx="226">
                  <c:v>5.2847292350793e-10</c:v>
                </c:pt>
                <c:pt idx="227">
                  <c:v>8.10032700090139e-10</c:v>
                </c:pt>
                <c:pt idx="228">
                  <c:v>1.23643930487313e-9</c:v>
                </c:pt>
                <c:pt idx="229">
                  <c:v>1.87946176167267e-9</c:v>
                </c:pt>
                <c:pt idx="230">
                  <c:v>2.84501543630878e-9</c:v>
                </c:pt>
                <c:pt idx="231">
                  <c:v>4.2887052631645e-9</c:v>
                </c:pt>
                <c:pt idx="232">
                  <c:v>6.43810737249551e-9</c:v>
                </c:pt>
                <c:pt idx="233">
                  <c:v>9.62455527138221e-9</c:v>
                </c:pt>
                <c:pt idx="234">
                  <c:v>1.43282637491593e-8</c:v>
                </c:pt>
                <c:pt idx="235">
                  <c:v>2.1242073365454e-8</c:v>
                </c:pt>
                <c:pt idx="236">
                  <c:v>3.13610563317993e-8</c:v>
                </c:pt>
                <c:pt idx="237">
                  <c:v>4.61078531758075e-8</c:v>
                </c:pt>
                <c:pt idx="238">
                  <c:v>6.75071170387123e-8</c:v>
                </c:pt>
                <c:pt idx="239">
                  <c:v>9.84270937964575e-8</c:v>
                </c:pt>
                <c:pt idx="240">
                  <c:v>1.4291249579455e-7</c:v>
                </c:pt>
                <c:pt idx="241">
                  <c:v>2.06640853138366e-7</c:v>
                </c:pt>
                <c:pt idx="242">
                  <c:v>2.97544967699959e-7</c:v>
                </c:pt>
                <c:pt idx="243">
                  <c:v>4.26657587928861e-7</c:v>
                </c:pt>
                <c:pt idx="244">
                  <c:v>6.09251740988944e-7</c:v>
                </c:pt>
                <c:pt idx="245">
                  <c:v>8.66372233114805e-7</c:v>
                </c:pt>
                <c:pt idx="246">
                  <c:v>1.22688176526171e-6</c:v>
                </c:pt>
                <c:pt idx="247">
                  <c:v>1.73018020708779e-6</c:v>
                </c:pt>
                <c:pt idx="248">
                  <c:v>2.42979933060154e-6</c:v>
                </c:pt>
                <c:pt idx="249">
                  <c:v>3.39812943820174e-6</c:v>
                </c:pt>
                <c:pt idx="250">
                  <c:v>4.7326007468795e-6</c:v>
                </c:pt>
                <c:pt idx="251">
                  <c:v>6.56372321683426e-6</c:v>
                </c:pt>
                <c:pt idx="252">
                  <c:v>9.06548599441802e-6</c:v>
                </c:pt>
                <c:pt idx="253">
                  <c:v>1.24687341204615e-5</c:v>
                </c:pt>
                <c:pt idx="254">
                  <c:v>1.70782779771958e-5</c:v>
                </c:pt>
                <c:pt idx="255">
                  <c:v>2.32946523215903e-5</c:v>
                </c:pt>
                <c:pt idx="256">
                  <c:v>3.16416285917904e-5</c:v>
                </c:pt>
                <c:pt idx="257">
                  <c:v>4.28007978714665e-5</c:v>
                </c:pt>
                <c:pt idx="258">
                  <c:v>5.76547830630824e-5</c:v>
                </c:pt>
                <c:pt idx="259">
                  <c:v>7.73409069538653e-5</c:v>
                </c:pt>
                <c:pt idx="260">
                  <c:v>0.000103317435967049</c:v>
                </c:pt>
                <c:pt idx="261">
                  <c:v>0.000137444833566654</c:v>
                </c:pt>
                <c:pt idx="262">
                  <c:v>0.000182084786227674</c:v>
                </c:pt>
                <c:pt idx="263">
                  <c:v>0.000240220099407478</c:v>
                </c:pt>
                <c:pt idx="264">
                  <c:v>0.000315598888478186</c:v>
                </c:pt>
                <c:pt idx="265">
                  <c:v>0.000412906793650635</c:v>
                </c:pt>
                <c:pt idx="266">
                  <c:v>0.000537971207794176</c:v>
                </c:pt>
                <c:pt idx="267">
                  <c:v>0.000698001696388325</c:v>
                </c:pt>
                <c:pt idx="268">
                  <c:v>0.000901870879540762</c:v>
                </c:pt>
                <c:pt idx="269">
                  <c:v>0.00116044000231098</c:v>
                </c:pt>
                <c:pt idx="270">
                  <c:v>0.00148693320242897</c:v>
                </c:pt>
                <c:pt idx="271">
                  <c:v>0.00189736405125845</c:v>
                </c:pt>
                <c:pt idx="272">
                  <c:v>0.00241101724946054</c:v>
                </c:pt>
                <c:pt idx="273">
                  <c:v>0.00305098735740149</c:v>
                </c:pt>
                <c:pt idx="274">
                  <c:v>0.00384477508738876</c:v>
                </c:pt>
                <c:pt idx="275">
                  <c:v>0.004824939939804</c:v>
                </c:pt>
                <c:pt idx="276">
                  <c:v>0.00602980579483618</c:v>
                </c:pt>
                <c:pt idx="277">
                  <c:v>0.00750421345340722</c:v>
                </c:pt>
                <c:pt idx="278">
                  <c:v>0.00930031104757873</c:v>
                </c:pt>
                <c:pt idx="279">
                  <c:v>0.0114783697240337</c:v>
                </c:pt>
                <c:pt idx="280">
                  <c:v>0.0141076080795185</c:v>
                </c:pt>
                <c:pt idx="281">
                  <c:v>0.0172670045574863</c:v>
                </c:pt>
                <c:pt idx="282">
                  <c:v>0.0210460724949893</c:v>
                </c:pt>
                <c:pt idx="283">
                  <c:v>0.0255455678665656</c:v>
                </c:pt>
                <c:pt idx="284">
                  <c:v>0.0308780951714882</c:v>
                </c:pt>
                <c:pt idx="285">
                  <c:v>0.0371685725518204</c:v>
                </c:pt>
                <c:pt idx="286">
                  <c:v>0.0445545133442324</c:v>
                </c:pt>
                <c:pt idx="287">
                  <c:v>0.0531860781205684</c:v>
                </c:pt>
                <c:pt idx="288">
                  <c:v>0.0632258491449999</c:v>
                </c:pt>
                <c:pt idx="289">
                  <c:v>0.0748482783662042</c:v>
                </c:pt>
                <c:pt idx="290">
                  <c:v>0.0882387608686975</c:v>
                </c:pt>
                <c:pt idx="291">
                  <c:v>0.103592288411191</c:v>
                </c:pt>
                <c:pt idx="292">
                  <c:v>0.12111164253336</c:v>
                </c:pt>
                <c:pt idx="293">
                  <c:v>0.141005093917707</c:v>
                </c:pt>
                <c:pt idx="294">
                  <c:v>0.163483584383346</c:v>
                </c:pt>
                <c:pt idx="295">
                  <c:v>0.188757380108593</c:v>
                </c:pt>
                <c:pt idx="296">
                  <c:v>0.217032199368674</c:v>
                </c:pt>
                <c:pt idx="297">
                  <c:v>0.248504835052306</c:v>
                </c:pt>
                <c:pt idx="298">
                  <c:v>0.283358311173238</c:v>
                </c:pt>
                <c:pt idx="299">
                  <c:v>0.321756633069077</c:v>
                </c:pt>
                <c:pt idx="300">
                  <c:v>0.363839212391787</c:v>
                </c:pt>
                <c:pt idx="301">
                  <c:v>0.409715069624563</c:v>
                </c:pt>
                <c:pt idx="302">
                  <c:v>0.459456937877691</c:v>
                </c:pt>
                <c:pt idx="303">
                  <c:v>0.513095411201586</c:v>
                </c:pt>
                <c:pt idx="304">
                  <c:v>0.570613297632096</c:v>
                </c:pt>
                <c:pt idx="305">
                  <c:v>0.631940350658066</c:v>
                </c:pt>
                <c:pt idx="306">
                  <c:v>0.696948561809837</c:v>
                </c:pt>
                <c:pt idx="307">
                  <c:v>0.765448200724576</c:v>
                </c:pt>
                <c:pt idx="308">
                  <c:v>0.837184786595953</c:v>
                </c:pt>
                <c:pt idx="309">
                  <c:v>0.911837165789676</c:v>
                </c:pt>
                <c:pt idx="310">
                  <c:v>0.989016854260348</c:v>
                </c:pt>
                <c:pt idx="311">
                  <c:v>1.06826878016635</c:v>
                </c:pt>
                <c:pt idx="312">
                  <c:v>1.14907353197596</c:v>
                </c:pt>
                <c:pt idx="313">
                  <c:v>1.23085118093569</c:v>
                </c:pt>
                <c:pt idx="314">
                  <c:v>1.31296670489858</c:v>
                </c:pt>
                <c:pt idx="315">
                  <c:v>1.39473699436105</c:v>
                </c:pt>
                <c:pt idx="316">
                  <c:v>1.47543937258569</c:v>
                </c:pt>
                <c:pt idx="317">
                  <c:v>1.55432151157718</c:v>
                </c:pt>
                <c:pt idx="318">
                  <c:v>1.63061257628188</c:v>
                </c:pt>
                <c:pt idx="319">
                  <c:v>1.70353538264305</c:v>
                </c:pt>
                <c:pt idx="320">
                  <c:v>1.77231931301473</c:v>
                </c:pt>
                <c:pt idx="321">
                  <c:v>1.83621369678707</c:v>
                </c:pt>
                <c:pt idx="322">
                  <c:v>1.89450133659644</c:v>
                </c:pt>
                <c:pt idx="323">
                  <c:v>1.9465118426153</c:v>
                </c:pt>
                <c:pt idx="324">
                  <c:v>1.99163443022567</c:v>
                </c:pt>
                <c:pt idx="325">
                  <c:v>2.02932984055782</c:v>
                </c:pt>
                <c:pt idx="326">
                  <c:v>2.05914105914615</c:v>
                </c:pt>
                <c:pt idx="327">
                  <c:v>2.0807025350656</c:v>
                </c:pt>
                <c:pt idx="328">
                  <c:v>2.09374764062532</c:v>
                </c:pt>
                <c:pt idx="329">
                  <c:v>2.0981141588166</c:v>
                </c:pt>
                <c:pt idx="330">
                  <c:v>2.09374764062532</c:v>
                </c:pt>
                <c:pt idx="331">
                  <c:v>2.0807025350656</c:v>
                </c:pt>
                <c:pt idx="332">
                  <c:v>2.05914105914615</c:v>
                </c:pt>
                <c:pt idx="333">
                  <c:v>2.02932984055782</c:v>
                </c:pt>
                <c:pt idx="334">
                  <c:v>1.99163443022567</c:v>
                </c:pt>
                <c:pt idx="335">
                  <c:v>1.9465118426153</c:v>
                </c:pt>
                <c:pt idx="336">
                  <c:v>1.89450133659644</c:v>
                </c:pt>
                <c:pt idx="337">
                  <c:v>1.83621369678707</c:v>
                </c:pt>
                <c:pt idx="338">
                  <c:v>1.77231931301473</c:v>
                </c:pt>
                <c:pt idx="339">
                  <c:v>1.70353538264305</c:v>
                </c:pt>
                <c:pt idx="340">
                  <c:v>1.63061257628188</c:v>
                </c:pt>
                <c:pt idx="341">
                  <c:v>1.55432151157718</c:v>
                </c:pt>
                <c:pt idx="342">
                  <c:v>1.47543937258569</c:v>
                </c:pt>
                <c:pt idx="343">
                  <c:v>1.39473699436105</c:v>
                </c:pt>
                <c:pt idx="344">
                  <c:v>1.31296670489858</c:v>
                </c:pt>
                <c:pt idx="345">
                  <c:v>1.23085118093569</c:v>
                </c:pt>
                <c:pt idx="346">
                  <c:v>1.14907353197596</c:v>
                </c:pt>
                <c:pt idx="347">
                  <c:v>1.06826878016635</c:v>
                </c:pt>
                <c:pt idx="348">
                  <c:v>0.989016854260348</c:v>
                </c:pt>
                <c:pt idx="349">
                  <c:v>0.911837165789676</c:v>
                </c:pt>
                <c:pt idx="350">
                  <c:v>0.837184786595953</c:v>
                </c:pt>
                <c:pt idx="351">
                  <c:v>0.765448200724576</c:v>
                </c:pt>
                <c:pt idx="352">
                  <c:v>0.696948561809837</c:v>
                </c:pt>
                <c:pt idx="353">
                  <c:v>0.631940350658066</c:v>
                </c:pt>
                <c:pt idx="354">
                  <c:v>0.570613297632096</c:v>
                </c:pt>
                <c:pt idx="355">
                  <c:v>0.513095411201586</c:v>
                </c:pt>
                <c:pt idx="356">
                  <c:v>0.459456937877691</c:v>
                </c:pt>
                <c:pt idx="357">
                  <c:v>0.409715069624563</c:v>
                </c:pt>
                <c:pt idx="358">
                  <c:v>0.363839212391787</c:v>
                </c:pt>
                <c:pt idx="359">
                  <c:v>0.321756633069077</c:v>
                </c:pt>
                <c:pt idx="360">
                  <c:v>0.283358311173238</c:v>
                </c:pt>
                <c:pt idx="361">
                  <c:v>0.248504835052306</c:v>
                </c:pt>
                <c:pt idx="362">
                  <c:v>0.217032199368674</c:v>
                </c:pt>
                <c:pt idx="363">
                  <c:v>0.188757380108593</c:v>
                </c:pt>
                <c:pt idx="364">
                  <c:v>0.163483584383346</c:v>
                </c:pt>
                <c:pt idx="365">
                  <c:v>0.141005093917707</c:v>
                </c:pt>
                <c:pt idx="366">
                  <c:v>0.12111164253336</c:v>
                </c:pt>
                <c:pt idx="367">
                  <c:v>0.103592288411191</c:v>
                </c:pt>
                <c:pt idx="368">
                  <c:v>0.0882387608686975</c:v>
                </c:pt>
                <c:pt idx="369">
                  <c:v>0.0748482783662042</c:v>
                </c:pt>
                <c:pt idx="370">
                  <c:v>0.0632258491449999</c:v>
                </c:pt>
                <c:pt idx="371">
                  <c:v>0.0531860781205684</c:v>
                </c:pt>
                <c:pt idx="372">
                  <c:v>0.0445545133442324</c:v>
                </c:pt>
                <c:pt idx="373">
                  <c:v>0.0371685725518204</c:v>
                </c:pt>
                <c:pt idx="374">
                  <c:v>0.0308780951714882</c:v>
                </c:pt>
                <c:pt idx="375">
                  <c:v>0.0255455678665656</c:v>
                </c:pt>
                <c:pt idx="376">
                  <c:v>0.0210460724949893</c:v>
                </c:pt>
                <c:pt idx="377">
                  <c:v>0.0172670045574863</c:v>
                </c:pt>
                <c:pt idx="378">
                  <c:v>0.0141076080795185</c:v>
                </c:pt>
                <c:pt idx="379">
                  <c:v>0.0114783697240337</c:v>
                </c:pt>
                <c:pt idx="380">
                  <c:v>0.00930031104757873</c:v>
                </c:pt>
                <c:pt idx="381">
                  <c:v>0.00750421345340722</c:v>
                </c:pt>
                <c:pt idx="382">
                  <c:v>0.00602980579483618</c:v>
                </c:pt>
                <c:pt idx="383">
                  <c:v>0.004824939939804</c:v>
                </c:pt>
                <c:pt idx="384">
                  <c:v>0.00384477508738876</c:v>
                </c:pt>
                <c:pt idx="385">
                  <c:v>0.00305098735740149</c:v>
                </c:pt>
                <c:pt idx="386">
                  <c:v>0.00241101724946054</c:v>
                </c:pt>
                <c:pt idx="387">
                  <c:v>0.00189736405125845</c:v>
                </c:pt>
                <c:pt idx="388">
                  <c:v>0.00148693320242897</c:v>
                </c:pt>
                <c:pt idx="389">
                  <c:v>0.00116044000231098</c:v>
                </c:pt>
                <c:pt idx="390">
                  <c:v>0.000901870879540762</c:v>
                </c:pt>
                <c:pt idx="391">
                  <c:v>0.000698001696388325</c:v>
                </c:pt>
                <c:pt idx="392">
                  <c:v>0.000537971207794176</c:v>
                </c:pt>
                <c:pt idx="393">
                  <c:v>0.000412906793650635</c:v>
                </c:pt>
                <c:pt idx="394">
                  <c:v>0.000315598888478186</c:v>
                </c:pt>
                <c:pt idx="395">
                  <c:v>0.000240220099407478</c:v>
                </c:pt>
                <c:pt idx="396">
                  <c:v>0.000182084786227674</c:v>
                </c:pt>
                <c:pt idx="397">
                  <c:v>0.000137444833566654</c:v>
                </c:pt>
                <c:pt idx="398">
                  <c:v>0.000103317435967049</c:v>
                </c:pt>
                <c:pt idx="399">
                  <c:v>4.89729746470353e-100</c:v>
                </c:pt>
                <c:pt idx="400">
                  <c:v>6.88104085951791e-101</c:v>
                </c:pt>
                <c:pt idx="401">
                  <c:v>9.58810256336557e-102</c:v>
                </c:pt>
                <c:pt idx="402">
                  <c:v>1.32492741684131e-102</c:v>
                </c:pt>
                <c:pt idx="403">
                  <c:v>1.8156510490105e-103</c:v>
                </c:pt>
                <c:pt idx="404">
                  <c:v>2.46747956406351e-104</c:v>
                </c:pt>
                <c:pt idx="405">
                  <c:v>3.32548984374987e-105</c:v>
                </c:pt>
                <c:pt idx="406">
                  <c:v>4.44466024797473e-106</c:v>
                </c:pt>
                <c:pt idx="407">
                  <c:v>5.8911813739189e-107</c:v>
                </c:pt>
                <c:pt idx="408">
                  <c:v>7.74367469417489e-108</c:v>
                </c:pt>
                <c:pt idx="409">
                  <c:v>1.00942182066857e-108</c:v>
                </c:pt>
                <c:pt idx="410">
                  <c:v>1.30490579176551e-109</c:v>
                </c:pt>
                <c:pt idx="411">
                  <c:v>1.67288663134723e-110</c:v>
                </c:pt>
                <c:pt idx="412">
                  <c:v>2.1268396305463e-111</c:v>
                </c:pt>
                <c:pt idx="413">
                  <c:v>2.68153740592783e-112</c:v>
                </c:pt>
                <c:pt idx="414">
                  <c:v>3.35284793273386e-113</c:v>
                </c:pt>
                <c:pt idx="415">
                  <c:v>4.15742798826598e-114</c:v>
                </c:pt>
                <c:pt idx="416">
                  <c:v>5.11230194084466e-115</c:v>
                </c:pt>
                <c:pt idx="417">
                  <c:v>6.23432069017743e-116</c:v>
                </c:pt>
                <c:pt idx="418">
                  <c:v>7.53950203032315e-117</c:v>
                </c:pt>
                <c:pt idx="419">
                  <c:v>9.04226162038113e-118</c:v>
                </c:pt>
                <c:pt idx="420">
                  <c:v>1.07545527965829e-118</c:v>
                </c:pt>
                <c:pt idx="421">
                  <c:v>1.26849431537625e-119</c:v>
                </c:pt>
                <c:pt idx="422">
                  <c:v>1.48376655101503e-120</c:v>
                </c:pt>
                <c:pt idx="423">
                  <c:v>1.72116897579584e-121</c:v>
                </c:pt>
                <c:pt idx="424">
                  <c:v>1.9799869319765e-122</c:v>
                </c:pt>
                <c:pt idx="425">
                  <c:v>2.25882205894755e-123</c:v>
                </c:pt>
                <c:pt idx="426">
                  <c:v>2.55553950188022e-124</c:v>
                </c:pt>
                <c:pt idx="427">
                  <c:v>2.8672400760624e-125</c:v>
                </c:pt>
                <c:pt idx="428">
                  <c:v>3.19026235963989e-126</c:v>
                </c:pt>
                <c:pt idx="429">
                  <c:v>3.52021851842829e-127</c:v>
                </c:pt>
                <c:pt idx="430">
                  <c:v>3.85206607810007e-128</c:v>
                </c:pt>
                <c:pt idx="431">
                  <c:v>4.18021592345135e-129</c:v>
                </c:pt>
                <c:pt idx="432">
                  <c:v>4.49867463263136e-130</c:v>
                </c:pt>
                <c:pt idx="433">
                  <c:v>4.80121699002915e-131</c:v>
                </c:pt>
                <c:pt idx="434">
                  <c:v>5.0815823316302e-132</c:v>
                </c:pt>
                <c:pt idx="435">
                  <c:v>5.33368643686801e-133</c:v>
                </c:pt>
                <c:pt idx="436">
                  <c:v>5.55183916066309e-134</c:v>
                </c:pt>
                <c:pt idx="437">
                  <c:v>5.73095704480851e-135</c:v>
                </c:pt>
                <c:pt idx="438">
                  <c:v>5.86675986730131e-136</c:v>
                </c:pt>
                <c:pt idx="439">
                  <c:v>5.95594053908883e-137</c:v>
                </c:pt>
                <c:pt idx="440">
                  <c:v>5.99629893879727e-138</c:v>
                </c:pt>
                <c:pt idx="441">
                  <c:v>5.98683212481502e-139</c:v>
                </c:pt>
                <c:pt idx="442">
                  <c:v>5.92777576050364e-140</c:v>
                </c:pt>
                <c:pt idx="443">
                  <c:v>5.82059436371339e-141</c:v>
                </c:pt>
                <c:pt idx="444">
                  <c:v>5.66792094384044e-142</c:v>
                </c:pt>
                <c:pt idx="445">
                  <c:v>5.47344949998872e-143</c:v>
                </c:pt>
                <c:pt idx="446">
                  <c:v>5.24178650783847e-144</c:v>
                </c:pt>
                <c:pt idx="447">
                  <c:v>4.97826972906808e-145</c:v>
                </c:pt>
                <c:pt idx="448">
                  <c:v>4.6887642839414e-146</c:v>
                </c:pt>
                <c:pt idx="449">
                  <c:v>4.3794468359297e-147</c:v>
                </c:pt>
                <c:pt idx="450">
                  <c:v>4.0565889075821e-148</c:v>
                </c:pt>
                <c:pt idx="451">
                  <c:v>3.72634980100041e-149</c:v>
                </c:pt>
                <c:pt idx="452">
                  <c:v>3.39458841207023e-150</c:v>
                </c:pt>
                <c:pt idx="453">
                  <c:v>3.0667015293845e-151</c:v>
                </c:pt>
                <c:pt idx="454">
                  <c:v>2.74749415352648e-152</c:v>
                </c:pt>
                <c:pt idx="455">
                  <c:v>2.44108513379708e-153</c:v>
                </c:pt>
                <c:pt idx="456">
                  <c:v>2.15084917165473e-154</c:v>
                </c:pt>
                <c:pt idx="457">
                  <c:v>1.87939414255936e-155</c:v>
                </c:pt>
                <c:pt idx="458">
                  <c:v>1.62857087293455e-156</c:v>
                </c:pt>
                <c:pt idx="459">
                  <c:v>1.39951107333618e-157</c:v>
                </c:pt>
                <c:pt idx="460">
                  <c:v>1.19268812922648e-158</c:v>
                </c:pt>
                <c:pt idx="461">
                  <c:v>1.00799490328205e-159</c:v>
                </c:pt>
                <c:pt idx="462">
                  <c:v>8.44832587389795e-161</c:v>
                </c:pt>
                <c:pt idx="463">
                  <c:v>7.02204907538236e-162</c:v>
                </c:pt>
                <c:pt idx="464">
                  <c:v>5.78812557923681e-163</c:v>
                </c:pt>
                <c:pt idx="465">
                  <c:v>4.73143536252787e-164</c:v>
                </c:pt>
                <c:pt idx="466">
                  <c:v>3.83555981276606e-165</c:v>
                </c:pt>
                <c:pt idx="467">
                  <c:v>3.0835109115029e-166</c:v>
                </c:pt>
                <c:pt idx="468">
                  <c:v>2.45834653004168e-167</c:v>
                </c:pt>
                <c:pt idx="469">
                  <c:v>1.94366580751623e-168</c:v>
                </c:pt>
                <c:pt idx="470">
                  <c:v>1.52398597378457e-169</c:v>
                </c:pt>
                <c:pt idx="471">
                  <c:v>1.18500784884517e-170</c:v>
                </c:pt>
                <c:pt idx="472">
                  <c:v>9.13781509062845e-172</c:v>
                </c:pt>
                <c:pt idx="473">
                  <c:v>6.98786306722465e-173</c:v>
                </c:pt>
                <c:pt idx="474">
                  <c:v>5.29940716093028e-174</c:v>
                </c:pt>
                <c:pt idx="475">
                  <c:v>3.98557579086407e-175</c:v>
                </c:pt>
                <c:pt idx="476">
                  <c:v>2.97259496554583e-176</c:v>
                </c:pt>
                <c:pt idx="477">
                  <c:v>2.19867625091609e-177</c:v>
                </c:pt>
                <c:pt idx="478">
                  <c:v>1.61275246590904e-178</c:v>
                </c:pt>
                <c:pt idx="479">
                  <c:v>1.17315399959859e-179</c:v>
                </c:pt>
                <c:pt idx="480">
                  <c:v>8.46297812451754e-181</c:v>
                </c:pt>
                <c:pt idx="481">
                  <c:v>6.05441648329017e-182</c:v>
                </c:pt>
                <c:pt idx="482">
                  <c:v>4.29538651118519e-183</c:v>
                </c:pt>
                <c:pt idx="483">
                  <c:v>3.02212961684117e-184</c:v>
                </c:pt>
                <c:pt idx="484">
                  <c:v>2.10865148796177e-185</c:v>
                </c:pt>
                <c:pt idx="485">
                  <c:v>1.45907430089082e-186</c:v>
                </c:pt>
                <c:pt idx="486">
                  <c:v>1.00122317008502e-187</c:v>
                </c:pt>
                <c:pt idx="487">
                  <c:v>6.81342149637142e-189</c:v>
                </c:pt>
                <c:pt idx="488">
                  <c:v>4.5981221384965e-190</c:v>
                </c:pt>
                <c:pt idx="489">
                  <c:v>3.07734814635707e-191</c:v>
                </c:pt>
                <c:pt idx="490">
                  <c:v>2.04246038505397e-192</c:v>
                </c:pt>
                <c:pt idx="491">
                  <c:v>1.34434746887775e-193</c:v>
                </c:pt>
                <c:pt idx="492">
                  <c:v>8.77506430193551e-195</c:v>
                </c:pt>
                <c:pt idx="493">
                  <c:v>5.68028286439051e-196</c:v>
                </c:pt>
                <c:pt idx="494">
                  <c:v>3.64645199331445e-197</c:v>
                </c:pt>
                <c:pt idx="495">
                  <c:v>2.32141036550937e-198</c:v>
                </c:pt>
                <c:pt idx="496">
                  <c:v>1.465595828028e-199</c:v>
                </c:pt>
                <c:pt idx="497">
                  <c:v>9.1760844652236e-201</c:v>
                </c:pt>
                <c:pt idx="498">
                  <c:v>5.69746238753133e-202</c:v>
                </c:pt>
                <c:pt idx="499">
                  <c:v>3.5082167100444e-203</c:v>
                </c:pt>
                <c:pt idx="500">
                  <c:v>2.14226030483383e-204</c:v>
                </c:pt>
                <c:pt idx="501">
                  <c:v>1.29729561487883e-205</c:v>
                </c:pt>
                <c:pt idx="502">
                  <c:v>7.79088047041116e-207</c:v>
                </c:pt>
                <c:pt idx="503">
                  <c:v>4.63996830930827e-208</c:v>
                </c:pt>
                <c:pt idx="504">
                  <c:v>2.74046568968735e-209</c:v>
                </c:pt>
                <c:pt idx="505">
                  <c:v>1.60514623943577e-210</c:v>
                </c:pt>
                <c:pt idx="506">
                  <c:v>9.32364488435107e-212</c:v>
                </c:pt>
                <c:pt idx="507">
                  <c:v>5.37078446353736e-213</c:v>
                </c:pt>
                <c:pt idx="508">
                  <c:v>3.06810773595287e-214</c:v>
                </c:pt>
                <c:pt idx="509">
                  <c:v>1.73813845946302e-215</c:v>
                </c:pt>
                <c:pt idx="510">
                  <c:v>9.7651521527383e-217</c:v>
                </c:pt>
                <c:pt idx="511">
                  <c:v>5.44069701775355e-218</c:v>
                </c:pt>
                <c:pt idx="512">
                  <c:v>3.00615209886182e-219</c:v>
                </c:pt>
                <c:pt idx="513">
                  <c:v>1.64720723380348e-220</c:v>
                </c:pt>
                <c:pt idx="514">
                  <c:v>8.95089398048868e-222</c:v>
                </c:pt>
                <c:pt idx="515">
                  <c:v>4.82353536663635e-223</c:v>
                </c:pt>
                <c:pt idx="516">
                  <c:v>2.57777734743607e-224</c:v>
                </c:pt>
                <c:pt idx="517">
                  <c:v>1.36617464354817e-225</c:v>
                </c:pt>
                <c:pt idx="518">
                  <c:v>7.18038812123944e-227</c:v>
                </c:pt>
                <c:pt idx="519">
                  <c:v>3.74257490174514e-228</c:v>
                </c:pt>
                <c:pt idx="520">
                  <c:v>1.9345232944354e-229</c:v>
                </c:pt>
                <c:pt idx="521">
                  <c:v>9.91649753277172e-231</c:v>
                </c:pt>
              </c:numCache>
            </c:numRef>
          </c:yVal>
          <c:smooth val="1"/>
        </c:ser>
        <c:dLbls>
          <c:showLegendKey val="0"/>
          <c:showVal val="0"/>
          <c:showCatName val="0"/>
          <c:showSerName val="0"/>
          <c:showPercent val="0"/>
          <c:showBubbleSize val="0"/>
        </c:dLbls>
        <c:axId val="217485577"/>
        <c:axId val="979792287"/>
      </c:scatterChart>
      <c:valAx>
        <c:axId val="217485577"/>
        <c:scaling>
          <c:orientation val="minMax"/>
          <c:max val="500"/>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r>
                  <a:rPr lang="en-US" altLang="zh-CN"/>
                  <a:t>x(m)</a:t>
                </a:r>
                <a:endParaRPr lang="zh-CN" altLang="en-US" sz="1000" b="0" i="0" u="none" strike="noStrike"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manualLayout>
              <c:xMode val="edge"/>
              <c:yMode val="edge"/>
              <c:x val="0.472651524620029"/>
              <c:y val="0.9286148386381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979792287"/>
        <c:crosses val="autoZero"/>
        <c:crossBetween val="midCat"/>
        <c:majorUnit val="100"/>
      </c:valAx>
      <c:valAx>
        <c:axId val="979792287"/>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r>
                  <a:rPr lang="en-US" altLang="zh-CN" sz="900" b="0" i="0" u="none" strike="noStrike" baseline="0">
                    <a:solidFill>
                      <a:srgbClr val="000000"/>
                    </a:solidFill>
                    <a:latin typeface="Calibri" panose="020F0502020204030204" pitchFamily="2" charset="0"/>
                    <a:ea typeface="Calibri" panose="020F0502020204030204" pitchFamily="2" charset="0"/>
                    <a:cs typeface="Calibri" panose="020F0502020204030204" pitchFamily="2" charset="0"/>
                  </a:rPr>
                  <a:t>c(mg/L</a:t>
                </a:r>
                <a:r>
                  <a:rPr lang="en-US" altLang="zh-CN" sz="1000" b="0" i="0" u="none" strike="noStrike" baseline="0">
                    <a:solidFill>
                      <a:srgbClr val="000000"/>
                    </a:solidFill>
                    <a:latin typeface="Calibri" panose="020F0502020204030204" pitchFamily="2" charset="0"/>
                    <a:ea typeface="Calibri" panose="020F0502020204030204" pitchFamily="2" charset="0"/>
                    <a:cs typeface="Calibri" panose="020F0502020204030204" pitchFamily="2" charset="0"/>
                  </a:rPr>
                  <a:t>)</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4334460833240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1" vertOverflow="ellipsis" vert="horz" wrap="square" anchor="ctr" anchorCtr="0"/>
          <a:lstStyle/>
          <a:p>
            <a:pPr>
              <a:defRPr lang="zh-CN" sz="900" b="0" i="0" u="none" strike="noStrike" kern="1200" baseline="0">
                <a:solidFill>
                  <a:schemeClr val="tx1"/>
                </a:solidFill>
                <a:latin typeface="+mn-lt"/>
                <a:ea typeface="+mn-ea"/>
                <a:cs typeface="+mn-cs"/>
              </a:defRPr>
            </a:pPr>
          </a:p>
        </c:txPr>
        <c:crossAx val="217485577"/>
        <c:crosses val="autoZero"/>
        <c:crossBetween val="midCat"/>
      </c:valAx>
      <c:spPr>
        <a:noFill/>
        <a:ln w="3175">
          <a:noFill/>
        </a:ln>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solidFill>
            <a:schemeClr val="tx1"/>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'[地下水预测-一维稳定流动二维水动力弥散-平面瞬时点源.xls]壁100d'!$J$2</c:f>
              <c:strCache>
                <c:ptCount val="1"/>
                <c:pt idx="0">
                  <c:v>c</c:v>
                </c:pt>
              </c:strCache>
            </c:strRef>
          </c:tx>
          <c:spPr>
            <a:effectLst/>
          </c:spPr>
          <c:marker>
            <c:symbol val="circle"/>
            <c:size val="2"/>
            <c:spPr>
              <a:solidFill>
                <a:schemeClr val="accent1"/>
              </a:solidFill>
              <a:ln w="9525" cap="flat" cmpd="sng" algn="ctr">
                <a:solidFill>
                  <a:schemeClr val="accent1"/>
                </a:solidFill>
                <a:prstDash val="solid"/>
                <a:round/>
              </a:ln>
              <a:effectLst/>
            </c:spPr>
          </c:marker>
          <c:dLbls>
            <c:delete val="1"/>
          </c:dLbls>
          <c:xVal>
            <c:numRef>
              <c:f>'[地下水预测-一维稳定流动二维水动力弥散-平面瞬时点源.xls]壁100d'!$I$3:$I$302</c:f>
              <c:numCache>
                <c:formatCode>General</c:formatCode>
                <c:ptCount val="3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numCache>
            </c:numRef>
          </c:xVal>
          <c:yVal>
            <c:numRef>
              <c:f>'[地下水预测-一维稳定流动二维水动力弥散-平面瞬时点源.xls]壁100d'!$J$3:$J$302</c:f>
              <c:numCache>
                <c:formatCode>General</c:formatCode>
                <c:ptCount val="300"/>
                <c:pt idx="0">
                  <c:v>3.79983855202563e-7</c:v>
                </c:pt>
                <c:pt idx="1">
                  <c:v>1.41181004879157e-6</c:v>
                </c:pt>
                <c:pt idx="2">
                  <c:v>5.03143424769366e-6</c:v>
                </c:pt>
                <c:pt idx="3">
                  <c:v>1.7199338470085e-5</c:v>
                </c:pt>
                <c:pt idx="4">
                  <c:v>5.63944146889879e-5</c:v>
                </c:pt>
                <c:pt idx="5">
                  <c:v>0.000177363745978615</c:v>
                </c:pt>
                <c:pt idx="6">
                  <c:v>0.000535054499426368</c:v>
                </c:pt>
                <c:pt idx="7">
                  <c:v>0.00154823042294035</c:v>
                </c:pt>
                <c:pt idx="8">
                  <c:v>0.00429712099659935</c:v>
                </c:pt>
                <c:pt idx="9">
                  <c:v>0.0114399460589454</c:v>
                </c:pt>
                <c:pt idx="10">
                  <c:v>0.0292129072349182</c:v>
                </c:pt>
                <c:pt idx="11">
                  <c:v>0.0715533532655764</c:v>
                </c:pt>
                <c:pt idx="12">
                  <c:v>0.16810847626026</c:v>
                </c:pt>
                <c:pt idx="13">
                  <c:v>0.378838092231336</c:v>
                </c:pt>
                <c:pt idx="14">
                  <c:v>0.818883421605226</c:v>
                </c:pt>
                <c:pt idx="15">
                  <c:v>1.69783282430224</c:v>
                </c:pt>
                <c:pt idx="16">
                  <c:v>3.37654219329854</c:v>
                </c:pt>
                <c:pt idx="17">
                  <c:v>6.44100809934328</c:v>
                </c:pt>
                <c:pt idx="18">
                  <c:v>11.7852803556971</c:v>
                </c:pt>
                <c:pt idx="19">
                  <c:v>20.6838033457756</c:v>
                </c:pt>
                <c:pt idx="20">
                  <c:v>34.8197212875314</c:v>
                </c:pt>
                <c:pt idx="21">
                  <c:v>56.2243689587548</c:v>
                </c:pt>
                <c:pt idx="22">
                  <c:v>87.0819805379304</c:v>
                </c:pt>
                <c:pt idx="23">
                  <c:v>129.370844936695</c:v>
                </c:pt>
                <c:pt idx="24">
                  <c:v>184.352461241552</c:v>
                </c:pt>
                <c:pt idx="25">
                  <c:v>251.979885606546</c:v>
                </c:pt>
                <c:pt idx="26">
                  <c:v>330.359817482134</c:v>
                </c:pt>
                <c:pt idx="27">
                  <c:v>415.444457463152</c:v>
                </c:pt>
                <c:pt idx="28">
                  <c:v>501.121608343685</c:v>
                </c:pt>
                <c:pt idx="29">
                  <c:v>579.799316767514</c:v>
                </c:pt>
                <c:pt idx="30">
                  <c:v>643.452773759658</c:v>
                </c:pt>
                <c:pt idx="31">
                  <c:v>684.951883446561</c:v>
                </c:pt>
                <c:pt idx="32">
                  <c:v>699.3713862722</c:v>
                </c:pt>
                <c:pt idx="33">
                  <c:v>684.951883446561</c:v>
                </c:pt>
                <c:pt idx="34">
                  <c:v>643.452773759658</c:v>
                </c:pt>
                <c:pt idx="35">
                  <c:v>579.799316767514</c:v>
                </c:pt>
                <c:pt idx="36">
                  <c:v>501.121608343685</c:v>
                </c:pt>
                <c:pt idx="37">
                  <c:v>415.444457463152</c:v>
                </c:pt>
                <c:pt idx="38">
                  <c:v>330.359817482134</c:v>
                </c:pt>
                <c:pt idx="39">
                  <c:v>251.979885606546</c:v>
                </c:pt>
                <c:pt idx="40">
                  <c:v>184.352461241552</c:v>
                </c:pt>
                <c:pt idx="41">
                  <c:v>129.370844936695</c:v>
                </c:pt>
                <c:pt idx="42">
                  <c:v>87.0819805379304</c:v>
                </c:pt>
                <c:pt idx="43">
                  <c:v>56.2243689587548</c:v>
                </c:pt>
                <c:pt idx="44">
                  <c:v>34.8197212875314</c:v>
                </c:pt>
                <c:pt idx="45">
                  <c:v>20.6838033457756</c:v>
                </c:pt>
                <c:pt idx="46">
                  <c:v>11.7852803556971</c:v>
                </c:pt>
                <c:pt idx="47">
                  <c:v>6.44100809934328</c:v>
                </c:pt>
                <c:pt idx="48">
                  <c:v>3.37654219329854</c:v>
                </c:pt>
                <c:pt idx="49">
                  <c:v>1.69783282430224</c:v>
                </c:pt>
                <c:pt idx="50">
                  <c:v>0.818883421605226</c:v>
                </c:pt>
                <c:pt idx="51">
                  <c:v>0.378838092231336</c:v>
                </c:pt>
                <c:pt idx="52">
                  <c:v>0.16810847626026</c:v>
                </c:pt>
                <c:pt idx="53">
                  <c:v>0.0715533532655764</c:v>
                </c:pt>
                <c:pt idx="54">
                  <c:v>0.0292129072349182</c:v>
                </c:pt>
                <c:pt idx="55">
                  <c:v>0.0114399460589454</c:v>
                </c:pt>
                <c:pt idx="56">
                  <c:v>0.00429712099659935</c:v>
                </c:pt>
                <c:pt idx="57">
                  <c:v>0.00154823042294035</c:v>
                </c:pt>
                <c:pt idx="58">
                  <c:v>0.000535054499426368</c:v>
                </c:pt>
                <c:pt idx="59">
                  <c:v>0.000177363745978615</c:v>
                </c:pt>
                <c:pt idx="60">
                  <c:v>5.63944146889879e-5</c:v>
                </c:pt>
                <c:pt idx="61">
                  <c:v>1.7199338470085e-5</c:v>
                </c:pt>
                <c:pt idx="62">
                  <c:v>5.03143424769366e-6</c:v>
                </c:pt>
                <c:pt idx="63">
                  <c:v>1.41181004879157e-6</c:v>
                </c:pt>
                <c:pt idx="64">
                  <c:v>3.79983855202563e-7</c:v>
                </c:pt>
                <c:pt idx="65">
                  <c:v>9.80976106225772e-8</c:v>
                </c:pt>
                <c:pt idx="66">
                  <c:v>2.42916000906173e-8</c:v>
                </c:pt>
                <c:pt idx="67">
                  <c:v>5.76976632966798e-9</c:v>
                </c:pt>
                <c:pt idx="68">
                  <c:v>1.31451254742652e-9</c:v>
                </c:pt>
                <c:pt idx="69">
                  <c:v>2.8726033040052e-10</c:v>
                </c:pt>
                <c:pt idx="70">
                  <c:v>6.02130996138667e-11</c:v>
                </c:pt>
                <c:pt idx="71">
                  <c:v>1.21062801979823e-11</c:v>
                </c:pt>
                <c:pt idx="72">
                  <c:v>2.33472034259661e-12</c:v>
                </c:pt>
                <c:pt idx="73">
                  <c:v>4.31880327593295e-13</c:v>
                </c:pt>
                <c:pt idx="74">
                  <c:v>7.66295694851984e-14</c:v>
                </c:pt>
                <c:pt idx="75">
                  <c:v>1.30416865486958e-14</c:v>
                </c:pt>
                <c:pt idx="76">
                  <c:v>2.12899939954414e-15</c:v>
                </c:pt>
                <c:pt idx="77">
                  <c:v>3.33366325994807e-16</c:v>
                </c:pt>
                <c:pt idx="78">
                  <c:v>5.00693931033408e-17</c:v>
                </c:pt>
                <c:pt idx="79">
                  <c:v>7.21318938014489e-18</c:v>
                </c:pt>
                <c:pt idx="80">
                  <c:v>9.96751162126501e-19</c:v>
                </c:pt>
                <c:pt idx="81">
                  <c:v>1.32114527391092e-19</c:v>
                </c:pt>
                <c:pt idx="82">
                  <c:v>1.67965005733815e-20</c:v>
                </c:pt>
                <c:pt idx="83">
                  <c:v>2.04829003174849e-21</c:v>
                </c:pt>
                <c:pt idx="84">
                  <c:v>2.39589897963759e-22</c:v>
                </c:pt>
                <c:pt idx="85">
                  <c:v>2.68812811054559e-23</c:v>
                </c:pt>
                <c:pt idx="86">
                  <c:v>2.89291605065937e-24</c:v>
                </c:pt>
                <c:pt idx="87">
                  <c:v>2.98624962661678e-25</c:v>
                </c:pt>
                <c:pt idx="88">
                  <c:v>2.95679213687974e-26</c:v>
                </c:pt>
                <c:pt idx="89">
                  <c:v>2.80814733071687e-27</c:v>
                </c:pt>
                <c:pt idx="90">
                  <c:v>2.55813460821061e-28</c:v>
                </c:pt>
                <c:pt idx="91">
                  <c:v>2.23527677435914e-29</c:v>
                </c:pt>
                <c:pt idx="92">
                  <c:v>1.87345655683902e-30</c:v>
                </c:pt>
                <c:pt idx="93">
                  <c:v>1.50612270887101e-31</c:v>
                </c:pt>
                <c:pt idx="94">
                  <c:v>1.16139912751396e-32</c:v>
                </c:pt>
                <c:pt idx="95">
                  <c:v>8.59027452140831e-34</c:v>
                </c:pt>
                <c:pt idx="96">
                  <c:v>6.0944848126115e-35</c:v>
                </c:pt>
                <c:pt idx="97">
                  <c:v>4.14735646080087e-36</c:v>
                </c:pt>
                <c:pt idx="98">
                  <c:v>2.70713639658612e-37</c:v>
                </c:pt>
                <c:pt idx="99">
                  <c:v>1.69493606346987e-38</c:v>
                </c:pt>
                <c:pt idx="100">
                  <c:v>1.01789014963381e-39</c:v>
                </c:pt>
                <c:pt idx="101">
                  <c:v>5.8634457543706e-41</c:v>
                </c:pt>
                <c:pt idx="102">
                  <c:v>3.23973375167695e-42</c:v>
                </c:pt>
                <c:pt idx="103">
                  <c:v>1.71699937847251e-43</c:v>
                </c:pt>
                <c:pt idx="104">
                  <c:v>8.72841454328835e-45</c:v>
                </c:pt>
                <c:pt idx="105">
                  <c:v>4.25603312368234e-46</c:v>
                </c:pt>
                <c:pt idx="106">
                  <c:v>1.99057728139657e-47</c:v>
                </c:pt>
                <c:pt idx="107">
                  <c:v>8.93012413037481e-49</c:v>
                </c:pt>
                <c:pt idx="108">
                  <c:v>3.8427343014794e-50</c:v>
                </c:pt>
                <c:pt idx="109">
                  <c:v>1.58608927011893e-51</c:v>
                </c:pt>
                <c:pt idx="110">
                  <c:v>6.27941673382614e-53</c:v>
                </c:pt>
                <c:pt idx="111">
                  <c:v>2.38459919828153e-54</c:v>
                </c:pt>
                <c:pt idx="112">
                  <c:v>8.68592129842789e-56</c:v>
                </c:pt>
                <c:pt idx="113">
                  <c:v>3.03473515116938e-57</c:v>
                </c:pt>
                <c:pt idx="114">
                  <c:v>1.01702144129214e-58</c:v>
                </c:pt>
                <c:pt idx="115">
                  <c:v>3.26921762528311e-60</c:v>
                </c:pt>
                <c:pt idx="116">
                  <c:v>1.00800332127298e-61</c:v>
                </c:pt>
                <c:pt idx="117">
                  <c:v>2.98115463090794e-63</c:v>
                </c:pt>
                <c:pt idx="118">
                  <c:v>8.45690500325208e-65</c:v>
                </c:pt>
                <c:pt idx="119">
                  <c:v>2.30113877162768e-66</c:v>
                </c:pt>
                <c:pt idx="120">
                  <c:v>6.00590663131091e-68</c:v>
                </c:pt>
                <c:pt idx="121">
                  <c:v>1.50355303463135e-69</c:v>
                </c:pt>
                <c:pt idx="122">
                  <c:v>3.61046663113836e-71</c:v>
                </c:pt>
                <c:pt idx="123">
                  <c:v>8.31595878446572e-73</c:v>
                </c:pt>
                <c:pt idx="124">
                  <c:v>1.83723931250205e-74</c:v>
                </c:pt>
                <c:pt idx="125">
                  <c:v>3.89335083156303e-76</c:v>
                </c:pt>
                <c:pt idx="126">
                  <c:v>7.91381254618737e-78</c:v>
                </c:pt>
                <c:pt idx="127">
                  <c:v>1.54295189697016e-79</c:v>
                </c:pt>
                <c:pt idx="128">
                  <c:v>2.88551557782284e-81</c:v>
                </c:pt>
                <c:pt idx="129">
                  <c:v>5.17605483427163e-83</c:v>
                </c:pt>
                <c:pt idx="130">
                  <c:v>8.90591862473672e-85</c:v>
                </c:pt>
                <c:pt idx="131">
                  <c:v>1.46981604974986e-86</c:v>
                </c:pt>
                <c:pt idx="132">
                  <c:v>2.32676036339782e-88</c:v>
                </c:pt>
                <c:pt idx="133">
                  <c:v>3.53300894712545e-90</c:v>
                </c:pt>
                <c:pt idx="134">
                  <c:v>5.14567350201179e-92</c:v>
                </c:pt>
                <c:pt idx="135">
                  <c:v>7.18859678274669e-94</c:v>
                </c:pt>
                <c:pt idx="136">
                  <c:v>9.63275314183403e-96</c:v>
                </c:pt>
                <c:pt idx="137">
                  <c:v>1.23811545885237e-97</c:v>
                </c:pt>
                <c:pt idx="138">
                  <c:v>1.52642781145489e-99</c:v>
                </c:pt>
                <c:pt idx="139">
                  <c:v>1.80507729344861e-101</c:v>
                </c:pt>
                <c:pt idx="140">
                  <c:v>2.04748036093114e-103</c:v>
                </c:pt>
                <c:pt idx="141">
                  <c:v>2.22765583736602e-105</c:v>
                </c:pt>
                <c:pt idx="142">
                  <c:v>2.32477461263931e-107</c:v>
                </c:pt>
                <c:pt idx="143">
                  <c:v>2.32711594693515e-109</c:v>
                </c:pt>
                <c:pt idx="144">
                  <c:v>2.23439318934687e-111</c:v>
                </c:pt>
                <c:pt idx="145">
                  <c:v>2.05781147358798e-113</c:v>
                </c:pt>
                <c:pt idx="146">
                  <c:v>1.81784135234318e-115</c:v>
                </c:pt>
                <c:pt idx="147">
                  <c:v>1.54031938653842e-117</c:v>
                </c:pt>
                <c:pt idx="148">
                  <c:v>1.25190101982863e-119</c:v>
                </c:pt>
                <c:pt idx="149">
                  <c:v>9.75963585110815e-122</c:v>
                </c:pt>
                <c:pt idx="150">
                  <c:v>7.29796276006344e-124</c:v>
                </c:pt>
                <c:pt idx="151">
                  <c:v>5.23448646190276e-126</c:v>
                </c:pt>
                <c:pt idx="152">
                  <c:v>3.60123056629478e-128</c:v>
                </c:pt>
                <c:pt idx="153">
                  <c:v>2.37646916246128e-130</c:v>
                </c:pt>
                <c:pt idx="154">
                  <c:v>1.5042424744523e-132</c:v>
                </c:pt>
                <c:pt idx="155">
                  <c:v>9.13288355669347e-135</c:v>
                </c:pt>
                <c:pt idx="156">
                  <c:v>5.31866212736909e-137</c:v>
                </c:pt>
                <c:pt idx="157">
                  <c:v>2.97099070317013e-139</c:v>
                </c:pt>
                <c:pt idx="158">
                  <c:v>1.59185898146658e-141</c:v>
                </c:pt>
                <c:pt idx="159">
                  <c:v>8.18111128342813e-144</c:v>
                </c:pt>
                <c:pt idx="160">
                  <c:v>4.03296466571743e-146</c:v>
                </c:pt>
                <c:pt idx="161">
                  <c:v>1.90695718596734e-148</c:v>
                </c:pt>
                <c:pt idx="162">
                  <c:v>8.64891993852723e-151</c:v>
                </c:pt>
                <c:pt idx="163">
                  <c:v>3.76259279948973e-153</c:v>
                </c:pt>
                <c:pt idx="164">
                  <c:v>1.57006261225906e-155</c:v>
                </c:pt>
                <c:pt idx="165">
                  <c:v>6.28421641113675e-158</c:v>
                </c:pt>
                <c:pt idx="166">
                  <c:v>2.41262432324857e-160</c:v>
                </c:pt>
                <c:pt idx="167">
                  <c:v>8.88449362471967e-163</c:v>
                </c:pt>
                <c:pt idx="168">
                  <c:v>3.13819601770982e-165</c:v>
                </c:pt>
                <c:pt idx="169">
                  <c:v>1.06324136082915e-167</c:v>
                </c:pt>
                <c:pt idx="170">
                  <c:v>3.45531835389219e-170</c:v>
                </c:pt>
                <c:pt idx="171">
                  <c:v>1.07708178205411e-172</c:v>
                </c:pt>
                <c:pt idx="172">
                  <c:v>3.22042880235134e-175</c:v>
                </c:pt>
                <c:pt idx="173">
                  <c:v>9.23598316986767e-178</c:v>
                </c:pt>
                <c:pt idx="174">
                  <c:v>2.54072097140144e-180</c:v>
                </c:pt>
                <c:pt idx="175">
                  <c:v>6.70401875406274e-183</c:v>
                </c:pt>
                <c:pt idx="176">
                  <c:v>1.69675007676433e-185</c:v>
                </c:pt>
                <c:pt idx="177">
                  <c:v>4.11912473331681e-188</c:v>
                </c:pt>
                <c:pt idx="178">
                  <c:v>9.59171835075208e-191</c:v>
                </c:pt>
                <c:pt idx="179">
                  <c:v>2.14235925989327e-193</c:v>
                </c:pt>
                <c:pt idx="180">
                  <c:v>4.5897876497338e-196</c:v>
                </c:pt>
                <c:pt idx="181">
                  <c:v>9.43185887111003e-199</c:v>
                </c:pt>
                <c:pt idx="182">
                  <c:v>1.85911563524881e-201</c:v>
                </c:pt>
                <c:pt idx="183">
                  <c:v>3.5149562322486e-204</c:v>
                </c:pt>
                <c:pt idx="184">
                  <c:v>6.37437851583537e-207</c:v>
                </c:pt>
                <c:pt idx="185">
                  <c:v>1.10881778817262e-209</c:v>
                </c:pt>
                <c:pt idx="186">
                  <c:v>1.85006475258045e-212</c:v>
                </c:pt>
                <c:pt idx="187">
                  <c:v>2.96086142825634e-215</c:v>
                </c:pt>
                <c:pt idx="188">
                  <c:v>4.54520676571409e-218</c:v>
                </c:pt>
                <c:pt idx="189">
                  <c:v>6.69258067920107e-221</c:v>
                </c:pt>
                <c:pt idx="190">
                  <c:v>9.45231083835638e-224</c:v>
                </c:pt>
                <c:pt idx="191">
                  <c:v>1.28052123054123e-226</c:v>
                </c:pt>
                <c:pt idx="192">
                  <c:v>1.66394888269089e-229</c:v>
                </c:pt>
                <c:pt idx="193">
                  <c:v>2.07394667800088e-232</c:v>
                </c:pt>
                <c:pt idx="194">
                  <c:v>2.47947424184391e-235</c:v>
                </c:pt>
                <c:pt idx="195">
                  <c:v>2.84332186243458e-238</c:v>
                </c:pt>
                <c:pt idx="196">
                  <c:v>3.12749667416649e-241</c:v>
                </c:pt>
                <c:pt idx="197">
                  <c:v>3.29968207437127e-244</c:v>
                </c:pt>
                <c:pt idx="198">
                  <c:v>3.33927162507453e-247</c:v>
                </c:pt>
                <c:pt idx="199">
                  <c:v>3.2414237178968e-250</c:v>
                </c:pt>
                <c:pt idx="200">
                  <c:v>3.01803500573502e-253</c:v>
                </c:pt>
                <c:pt idx="201">
                  <c:v>2.69536229469396e-256</c:v>
                </c:pt>
                <c:pt idx="202">
                  <c:v>2.30894949513455e-259</c:v>
                </c:pt>
                <c:pt idx="203">
                  <c:v>1.89721315336622e-262</c:v>
                </c:pt>
                <c:pt idx="204">
                  <c:v>1.49527898332342e-265</c:v>
                </c:pt>
                <c:pt idx="205">
                  <c:v>1.13040153919556e-268</c:v>
                </c:pt>
                <c:pt idx="206">
                  <c:v>8.19686268814138e-272</c:v>
                </c:pt>
                <c:pt idx="207">
                  <c:v>5.70120934683553e-275</c:v>
                </c:pt>
                <c:pt idx="208">
                  <c:v>3.80356397825261e-278</c:v>
                </c:pt>
                <c:pt idx="209">
                  <c:v>2.43399046057262e-281</c:v>
                </c:pt>
                <c:pt idx="210">
                  <c:v>1.49400285217471e-284</c:v>
                </c:pt>
                <c:pt idx="211">
                  <c:v>8.79606419285479e-288</c:v>
                </c:pt>
                <c:pt idx="212">
                  <c:v>4.96740719991545e-291</c:v>
                </c:pt>
                <c:pt idx="213">
                  <c:v>2.69076359698204e-294</c:v>
                </c:pt>
                <c:pt idx="214">
                  <c:v>1.3980597524784e-297</c:v>
                </c:pt>
                <c:pt idx="215">
                  <c:v>6.96755381855779e-301</c:v>
                </c:pt>
                <c:pt idx="216">
                  <c:v>3.33072931395232e-304</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numCache>
            </c:numRef>
          </c:yVal>
          <c:smooth val="0"/>
        </c:ser>
        <c:dLbls>
          <c:showLegendKey val="0"/>
          <c:showVal val="0"/>
          <c:showCatName val="0"/>
          <c:showSerName val="0"/>
          <c:showPercent val="0"/>
          <c:showBubbleSize val="0"/>
        </c:dLbls>
        <c:axId val="290991100"/>
        <c:axId val="264920355"/>
      </c:scatterChart>
      <c:valAx>
        <c:axId val="290991100"/>
        <c:scaling>
          <c:orientation val="minMax"/>
          <c:max val="100"/>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zh-CN" sz="1000" b="0" i="0" u="none" strike="noStrike" kern="1200"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defRPr>
                </a:pPr>
                <a:r>
                  <a:rPr lang="en-US" altLang="zh-CN" b="0"/>
                  <a:t>X(m)</a:t>
                </a:r>
                <a:endParaRPr lang="zh-CN" altLang="en-US" sz="1000" b="0" i="0" u="none" strike="noStrike"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manualLayout>
              <c:xMode val="edge"/>
              <c:yMode val="edge"/>
              <c:x val="0.486537054320631"/>
              <c:y val="0.878680373286672"/>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alpha val="100000"/>
                  </a:srgbClr>
                </a:solidFill>
                <a:latin typeface="等线" panose="02010600030101010101" charset="-122"/>
                <a:ea typeface="等线" panose="02010600030101010101" charset="-122"/>
                <a:cs typeface="等线" panose="02010600030101010101" charset="-122"/>
              </a:defRPr>
            </a:pPr>
          </a:p>
        </c:txPr>
        <c:crossAx val="264920355"/>
        <c:crosses val="autoZero"/>
        <c:crossBetween val="midCat"/>
      </c:valAx>
      <c:valAx>
        <c:axId val="264920355"/>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000" b="0" i="0" u="none" strike="noStrike" kern="1200"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defRPr>
                </a:pPr>
                <a:r>
                  <a:rPr lang="en-US" altLang="zh-CN" b="0"/>
                  <a:t>c(mg/L)</a:t>
                </a:r>
                <a:endParaRPr lang="zh-CN" altLang="en-US" sz="1000" b="0" i="0" u="none" strike="noStrike"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overlay val="0"/>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9911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'[地下水预测-一维稳定流动二维水动力弥散-平面瞬时点源.xls]壁500d'!$J$2</c:f>
              <c:strCache>
                <c:ptCount val="1"/>
                <c:pt idx="0">
                  <c:v>c</c:v>
                </c:pt>
              </c:strCache>
            </c:strRef>
          </c:tx>
          <c:spPr>
            <a:ln w="19050" cap="rnd" cmpd="sng" algn="ctr">
              <a:solidFill>
                <a:schemeClr val="accent1"/>
              </a:solidFill>
              <a:prstDash val="solid"/>
              <a:round/>
            </a:ln>
            <a:effectLst/>
          </c:spPr>
          <c:marker>
            <c:symbol val="circle"/>
            <c:size val="2"/>
            <c:spPr>
              <a:solidFill>
                <a:schemeClr val="accent1"/>
              </a:solidFill>
              <a:ln w="9525" cap="flat" cmpd="sng" algn="ctr">
                <a:solidFill>
                  <a:schemeClr val="accent1"/>
                </a:solidFill>
                <a:prstDash val="solid"/>
                <a:round/>
              </a:ln>
              <a:effectLst/>
            </c:spPr>
          </c:marker>
          <c:dLbls>
            <c:delete val="1"/>
          </c:dLbls>
          <c:xVal>
            <c:numRef>
              <c:f>'[地下水预测-一维稳定流动二维水动力弥散-平面瞬时点源.xls]壁500d'!$I$3:$I$302</c:f>
              <c:numCache>
                <c:formatCode>General</c:formatCode>
                <c:ptCount val="3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numCache>
            </c:numRef>
          </c:xVal>
          <c:yVal>
            <c:numRef>
              <c:f>'[地下水预测-一维稳定流动二维水动力弥散-平面瞬时点源.xls]壁500d'!$J$3:$J$302</c:f>
              <c:numCache>
                <c:formatCode>General</c:formatCode>
                <c:ptCount val="300"/>
                <c:pt idx="0">
                  <c:v>2.99113252185448e-47</c:v>
                </c:pt>
                <c:pt idx="1">
                  <c:v>1.16831913143606e-46</c:v>
                </c:pt>
                <c:pt idx="2">
                  <c:v>4.52551703198988e-46</c:v>
                </c:pt>
                <c:pt idx="3">
                  <c:v>1.73842436721677e-45</c:v>
                </c:pt>
                <c:pt idx="4">
                  <c:v>6.62253526531392e-45</c:v>
                </c:pt>
                <c:pt idx="5">
                  <c:v>2.50192127527301e-44</c:v>
                </c:pt>
                <c:pt idx="6">
                  <c:v>9.37354529892398e-44</c:v>
                </c:pt>
                <c:pt idx="7">
                  <c:v>3.48269150508229e-43</c:v>
                </c:pt>
                <c:pt idx="8">
                  <c:v>1.28323741114086e-42</c:v>
                </c:pt>
                <c:pt idx="9">
                  <c:v>4.68899640753611e-42</c:v>
                </c:pt>
                <c:pt idx="10">
                  <c:v>1.69915762734026e-41</c:v>
                </c:pt>
                <c:pt idx="11">
                  <c:v>6.10616197506184e-41</c:v>
                </c:pt>
                <c:pt idx="12">
                  <c:v>2.17612507501188e-40</c:v>
                </c:pt>
                <c:pt idx="13">
                  <c:v>7.69095495677645e-40</c:v>
                </c:pt>
                <c:pt idx="14">
                  <c:v>2.69561313678834e-39</c:v>
                </c:pt>
                <c:pt idx="15">
                  <c:v>9.36948547525923e-39</c:v>
                </c:pt>
                <c:pt idx="16">
                  <c:v>3.22964510768238e-38</c:v>
                </c:pt>
                <c:pt idx="17">
                  <c:v>1.10401441439379e-37</c:v>
                </c:pt>
                <c:pt idx="18">
                  <c:v>3.74261856094938e-37</c:v>
                </c:pt>
                <c:pt idx="19">
                  <c:v>1.25822199312935e-36</c:v>
                </c:pt>
                <c:pt idx="20">
                  <c:v>4.19488306431966e-36</c:v>
                </c:pt>
                <c:pt idx="21">
                  <c:v>1.38695805656627e-35</c:v>
                </c:pt>
                <c:pt idx="22">
                  <c:v>4.54765675634989e-35</c:v>
                </c:pt>
                <c:pt idx="23">
                  <c:v>1.47874370925355e-34</c:v>
                </c:pt>
                <c:pt idx="24">
                  <c:v>4.76846966259595e-34</c:v>
                </c:pt>
                <c:pt idx="25">
                  <c:v>1.52491634531003e-33</c:v>
                </c:pt>
                <c:pt idx="26">
                  <c:v>4.83608468191174e-33</c:v>
                </c:pt>
                <c:pt idx="27">
                  <c:v>1.52097703253786e-32</c:v>
                </c:pt>
                <c:pt idx="28">
                  <c:v>4.74386473192602e-32</c:v>
                </c:pt>
                <c:pt idx="29">
                  <c:v>1.4673131832903e-31</c:v>
                </c:pt>
                <c:pt idx="30">
                  <c:v>4.50084673009776e-31</c:v>
                </c:pt>
                <c:pt idx="31">
                  <c:v>1.36913574813614e-30</c:v>
                </c:pt>
                <c:pt idx="32">
                  <c:v>4.13028174570726e-30</c:v>
                </c:pt>
                <c:pt idx="33">
                  <c:v>1.23564503239532e-29</c:v>
                </c:pt>
                <c:pt idx="34">
                  <c:v>3.66596790886493e-29</c:v>
                </c:pt>
                <c:pt idx="35">
                  <c:v>1.07861007363941e-28</c:v>
                </c:pt>
                <c:pt idx="36">
                  <c:v>3.14717698715922e-28</c:v>
                </c:pt>
                <c:pt idx="37">
                  <c:v>9.10665205716714e-28</c:v>
                </c:pt>
                <c:pt idx="38">
                  <c:v>2.61322739267038e-27</c:v>
                </c:pt>
                <c:pt idx="39">
                  <c:v>7.436636298564e-27</c:v>
                </c:pt>
                <c:pt idx="40">
                  <c:v>2.09873093488076e-26</c:v>
                </c:pt>
                <c:pt idx="41">
                  <c:v>5.87378258937639e-26</c:v>
                </c:pt>
                <c:pt idx="42">
                  <c:v>1.63027118704549e-25</c:v>
                </c:pt>
                <c:pt idx="43">
                  <c:v>4.48727535475662e-25</c:v>
                </c:pt>
                <c:pt idx="44">
                  <c:v>1.22486004753176e-24</c:v>
                </c:pt>
                <c:pt idx="45">
                  <c:v>3.31566847217474e-24</c:v>
                </c:pt>
                <c:pt idx="46">
                  <c:v>8.90095513746328e-24</c:v>
                </c:pt>
                <c:pt idx="47">
                  <c:v>2.36964345956877e-23</c:v>
                </c:pt>
                <c:pt idx="48">
                  <c:v>6.25619507692074e-23</c:v>
                </c:pt>
                <c:pt idx="49">
                  <c:v>1.63801713238357e-22</c:v>
                </c:pt>
                <c:pt idx="50">
                  <c:v>4.25311846164611e-22</c:v>
                </c:pt>
                <c:pt idx="51">
                  <c:v>1.09515956451735e-21</c:v>
                </c:pt>
                <c:pt idx="52">
                  <c:v>2.79658615528716e-21</c:v>
                </c:pt>
                <c:pt idx="53">
                  <c:v>7.08206466625781e-21</c:v>
                </c:pt>
                <c:pt idx="54">
                  <c:v>1.77857610942845e-20</c:v>
                </c:pt>
                <c:pt idx="55">
                  <c:v>4.42961419838296e-20</c:v>
                </c:pt>
                <c:pt idx="56">
                  <c:v>1.09405771368298e-19</c:v>
                </c:pt>
                <c:pt idx="57">
                  <c:v>2.67975718577284e-19</c:v>
                </c:pt>
                <c:pt idx="58">
                  <c:v>6.5092587803654e-19</c:v>
                </c:pt>
                <c:pt idx="59">
                  <c:v>1.56800886155482e-18</c:v>
                </c:pt>
                <c:pt idx="60">
                  <c:v>3.74581539027028e-18</c:v>
                </c:pt>
                <c:pt idx="61">
                  <c:v>8.87411614242329e-18</c:v>
                </c:pt>
                <c:pt idx="62">
                  <c:v>2.08489759707327e-17</c:v>
                </c:pt>
                <c:pt idx="63">
                  <c:v>4.85763893641017e-17</c:v>
                </c:pt>
                <c:pt idx="64">
                  <c:v>1.12239730418422e-16</c:v>
                </c:pt>
                <c:pt idx="65">
                  <c:v>2.57186921846697e-16</c:v>
                </c:pt>
                <c:pt idx="66">
                  <c:v>5.84429363451768e-16</c:v>
                </c:pt>
                <c:pt idx="67">
                  <c:v>1.31703118140974e-15</c:v>
                </c:pt>
                <c:pt idx="68">
                  <c:v>2.94334363020356e-15</c:v>
                </c:pt>
                <c:pt idx="69">
                  <c:v>6.52329112480289e-15</c:v>
                </c:pt>
                <c:pt idx="70">
                  <c:v>1.43375001456176e-14</c:v>
                </c:pt>
                <c:pt idx="71">
                  <c:v>3.12507893533311e-14</c:v>
                </c:pt>
                <c:pt idx="72">
                  <c:v>6.75506339998491e-14</c:v>
                </c:pt>
                <c:pt idx="73">
                  <c:v>1.44803396635285e-13</c:v>
                </c:pt>
                <c:pt idx="74">
                  <c:v>3.07828588274749e-13</c:v>
                </c:pt>
                <c:pt idx="75">
                  <c:v>6.48963145257617e-13</c:v>
                </c:pt>
                <c:pt idx="76">
                  <c:v>1.3567880154445e-12</c:v>
                </c:pt>
                <c:pt idx="77">
                  <c:v>2.81309789338013e-12</c:v>
                </c:pt>
                <c:pt idx="78">
                  <c:v>5.78413704110832e-12</c:v>
                </c:pt>
                <c:pt idx="79">
                  <c:v>1.17943275341897e-11</c:v>
                </c:pt>
                <c:pt idx="80">
                  <c:v>2.38500160777936e-11</c:v>
                </c:pt>
                <c:pt idx="81">
                  <c:v>4.78283115849991e-11</c:v>
                </c:pt>
                <c:pt idx="82">
                  <c:v>9.51179113687757e-11</c:v>
                </c:pt>
                <c:pt idx="83">
                  <c:v>1.8759464738632e-10</c:v>
                </c:pt>
                <c:pt idx="84">
                  <c:v>3.6690992655634e-10</c:v>
                </c:pt>
                <c:pt idx="85">
                  <c:v>7.11671152726894e-10</c:v>
                </c:pt>
                <c:pt idx="86">
                  <c:v>1.36892654406402e-9</c:v>
                </c:pt>
                <c:pt idx="87">
                  <c:v>2.61133030566659e-9</c:v>
                </c:pt>
                <c:pt idx="88">
                  <c:v>4.93997049408882e-9</c:v>
                </c:pt>
                <c:pt idx="89">
                  <c:v>9.26761070779489e-9</c:v>
                </c:pt>
                <c:pt idx="90">
                  <c:v>1.72421767266098e-8</c:v>
                </c:pt>
                <c:pt idx="91">
                  <c:v>3.18124621812923e-8</c:v>
                </c:pt>
                <c:pt idx="92">
                  <c:v>5.82080910051589e-8</c:v>
                </c:pt>
                <c:pt idx="93">
                  <c:v>1.0562100878648e-7</c:v>
                </c:pt>
                <c:pt idx="94">
                  <c:v>1.9006324841162e-7</c:v>
                </c:pt>
                <c:pt idx="95">
                  <c:v>3.39177368080741e-7</c:v>
                </c:pt>
                <c:pt idx="96">
                  <c:v>6.00255939197648e-7</c:v>
                </c:pt>
                <c:pt idx="97">
                  <c:v>1.05348158285401e-6</c:v>
                </c:pt>
                <c:pt idx="98">
                  <c:v>1.83357344711521e-6</c:v>
                </c:pt>
                <c:pt idx="99">
                  <c:v>3.16483123634688e-6</c:v>
                </c:pt>
                <c:pt idx="100">
                  <c:v>5.41730993763819e-6</c:v>
                </c:pt>
                <c:pt idx="101">
                  <c:v>9.19597309801175e-6</c:v>
                </c:pt>
                <c:pt idx="102">
                  <c:v>1.54807708663409e-5</c:v>
                </c:pt>
                <c:pt idx="103">
                  <c:v>2.58445131133822e-5</c:v>
                </c:pt>
                <c:pt idx="104">
                  <c:v>4.27882977134423e-5</c:v>
                </c:pt>
                <c:pt idx="105">
                  <c:v>7.02526231058446e-5</c:v>
                </c:pt>
                <c:pt idx="106">
                  <c:v>0.000114388130499006</c:v>
                </c:pt>
                <c:pt idx="107">
                  <c:v>0.000184705684476038</c:v>
                </c:pt>
                <c:pt idx="108">
                  <c:v>0.000295774304936582</c:v>
                </c:pt>
                <c:pt idx="109">
                  <c:v>0.000469701022081752</c:v>
                </c:pt>
                <c:pt idx="110">
                  <c:v>0.000739713338122855</c:v>
                </c:pt>
                <c:pt idx="111">
                  <c:v>0.00115527739583523</c:v>
                </c:pt>
                <c:pt idx="112">
                  <c:v>0.00178932810742323</c:v>
                </c:pt>
                <c:pt idx="113">
                  <c:v>0.00274836604157902</c:v>
                </c:pt>
                <c:pt idx="114">
                  <c:v>0.00418639348000417</c:v>
                </c:pt>
                <c:pt idx="115">
                  <c:v>0.00632392045618564</c:v>
                </c:pt>
                <c:pt idx="116">
                  <c:v>0.00947356924106924</c:v>
                </c:pt>
                <c:pt idx="117">
                  <c:v>0.014074136230165</c:v>
                </c:pt>
                <c:pt idx="118">
                  <c:v>0.0207353203314536</c:v>
                </c:pt>
                <c:pt idx="119">
                  <c:v>0.0302956747265287</c:v>
                </c:pt>
                <c:pt idx="120">
                  <c:v>0.0438966513407495</c:v>
                </c:pt>
                <c:pt idx="121">
                  <c:v>0.0630758388749459</c:v>
                </c:pt>
                <c:pt idx="122">
                  <c:v>0.08988258635214</c:v>
                </c:pt>
                <c:pt idx="123">
                  <c:v>0.127019081502569</c:v>
                </c:pt>
                <c:pt idx="124">
                  <c:v>0.178009531427487</c:v>
                </c:pt>
                <c:pt idx="125">
                  <c:v>0.247399277963495</c:v>
                </c:pt>
                <c:pt idx="126">
                  <c:v>0.340984376316308</c:v>
                </c:pt>
                <c:pt idx="127">
                  <c:v>0.466070284926777</c:v>
                </c:pt>
                <c:pt idx="128">
                  <c:v>0.631755789747101</c:v>
                </c:pt>
                <c:pt idx="129">
                  <c:v>0.849235085724199</c:v>
                </c:pt>
                <c:pt idx="130">
                  <c:v>1.13210708437828</c:v>
                </c:pt>
                <c:pt idx="131">
                  <c:v>1.4966766024899</c:v>
                </c:pt>
                <c:pt idx="132">
                  <c:v>1.96222729460395</c:v>
                </c:pt>
                <c:pt idx="133">
                  <c:v>2.55124130316584</c:v>
                </c:pt>
                <c:pt idx="134">
                  <c:v>3.28953600193491</c:v>
                </c:pt>
                <c:pt idx="135">
                  <c:v>4.20628438853368</c:v>
                </c:pt>
                <c:pt idx="136">
                  <c:v>5.33388321037601</c:v>
                </c:pt>
                <c:pt idx="137">
                  <c:v>6.70763240334554</c:v>
                </c:pt>
                <c:pt idx="138">
                  <c:v>8.36519150272278</c:v>
                </c:pt>
                <c:pt idx="139">
                  <c:v>10.3457839052388</c:v>
                </c:pt>
                <c:pt idx="140">
                  <c:v>12.6891286352466</c:v>
                </c:pt>
                <c:pt idx="141">
                  <c:v>15.4340917935807</c:v>
                </c:pt>
                <c:pt idx="142">
                  <c:v>18.6170660457282</c:v>
                </c:pt>
                <c:pt idx="143">
                  <c:v>22.2701058777796</c:v>
                </c:pt>
                <c:pt idx="144">
                  <c:v>26.4188680557564</c:v>
                </c:pt>
                <c:pt idx="145">
                  <c:v>31.0804295022327</c:v>
                </c:pt>
                <c:pt idx="146">
                  <c:v>36.261077021083</c:v>
                </c:pt>
                <c:pt idx="147">
                  <c:v>41.9541830406544</c:v>
                </c:pt>
                <c:pt idx="148">
                  <c:v>48.1382967412123</c:v>
                </c:pt>
                <c:pt idx="149">
                  <c:v>54.7755885423176</c:v>
                </c:pt>
                <c:pt idx="150">
                  <c:v>61.8107861374741</c:v>
                </c:pt>
                <c:pt idx="151">
                  <c:v>69.1707307100296</c:v>
                </c:pt>
                <c:pt idx="152">
                  <c:v>76.7646619290475</c:v>
                </c:pt>
                <c:pt idx="153">
                  <c:v>84.4853099073291</c:v>
                </c:pt>
                <c:pt idx="154">
                  <c:v>92.2108325301563</c:v>
                </c:pt>
                <c:pt idx="155">
                  <c:v>99.807589403896</c:v>
                </c:pt>
                <c:pt idx="156">
                  <c:v>107.133691974453</c:v>
                </c:pt>
                <c:pt idx="157">
                  <c:v>114.04321667575</c:v>
                </c:pt>
                <c:pt idx="158">
                  <c:v>120.390918276778</c:v>
                </c:pt>
                <c:pt idx="159">
                  <c:v>126.037237995909</c:v>
                </c:pt>
                <c:pt idx="160">
                  <c:v>130.853369265703</c:v>
                </c:pt>
                <c:pt idx="161">
                  <c:v>134.726126432607</c:v>
                </c:pt>
                <c:pt idx="162">
                  <c:v>137.562360345867</c:v>
                </c:pt>
                <c:pt idx="163">
                  <c:v>139.292680658098</c:v>
                </c:pt>
                <c:pt idx="164">
                  <c:v>139.87427725444</c:v>
                </c:pt>
                <c:pt idx="165">
                  <c:v>139.292680658098</c:v>
                </c:pt>
                <c:pt idx="166">
                  <c:v>137.562360345867</c:v>
                </c:pt>
                <c:pt idx="167">
                  <c:v>134.726126432607</c:v>
                </c:pt>
                <c:pt idx="168">
                  <c:v>130.853369265703</c:v>
                </c:pt>
                <c:pt idx="169">
                  <c:v>126.037237995909</c:v>
                </c:pt>
                <c:pt idx="170">
                  <c:v>120.390918276778</c:v>
                </c:pt>
                <c:pt idx="171">
                  <c:v>114.04321667575</c:v>
                </c:pt>
                <c:pt idx="172">
                  <c:v>107.133691974453</c:v>
                </c:pt>
                <c:pt idx="173">
                  <c:v>99.807589403896</c:v>
                </c:pt>
                <c:pt idx="174">
                  <c:v>92.2108325301563</c:v>
                </c:pt>
                <c:pt idx="175">
                  <c:v>84.4853099073291</c:v>
                </c:pt>
                <c:pt idx="176">
                  <c:v>76.7646619290475</c:v>
                </c:pt>
                <c:pt idx="177">
                  <c:v>69.1707307100296</c:v>
                </c:pt>
                <c:pt idx="178">
                  <c:v>61.8107861374741</c:v>
                </c:pt>
                <c:pt idx="179">
                  <c:v>54.7755885423176</c:v>
                </c:pt>
                <c:pt idx="180">
                  <c:v>48.1382967412123</c:v>
                </c:pt>
                <c:pt idx="181">
                  <c:v>41.9541830406544</c:v>
                </c:pt>
                <c:pt idx="182">
                  <c:v>36.261077021083</c:v>
                </c:pt>
                <c:pt idx="183">
                  <c:v>31.0804295022327</c:v>
                </c:pt>
                <c:pt idx="184">
                  <c:v>26.4188680557564</c:v>
                </c:pt>
                <c:pt idx="185">
                  <c:v>22.2701058777796</c:v>
                </c:pt>
                <c:pt idx="186">
                  <c:v>18.6170660457282</c:v>
                </c:pt>
                <c:pt idx="187">
                  <c:v>15.4340917935807</c:v>
                </c:pt>
                <c:pt idx="188">
                  <c:v>12.6891286352466</c:v>
                </c:pt>
                <c:pt idx="189">
                  <c:v>10.3457839052388</c:v>
                </c:pt>
                <c:pt idx="190">
                  <c:v>8.36519150272278</c:v>
                </c:pt>
                <c:pt idx="191">
                  <c:v>6.70763240334554</c:v>
                </c:pt>
                <c:pt idx="192">
                  <c:v>5.33388321037601</c:v>
                </c:pt>
                <c:pt idx="193">
                  <c:v>4.20628438853368</c:v>
                </c:pt>
                <c:pt idx="194">
                  <c:v>3.28953600193491</c:v>
                </c:pt>
                <c:pt idx="195">
                  <c:v>2.55124130316584</c:v>
                </c:pt>
                <c:pt idx="196">
                  <c:v>1.96222729460395</c:v>
                </c:pt>
                <c:pt idx="197">
                  <c:v>1.4966766024899</c:v>
                </c:pt>
                <c:pt idx="198">
                  <c:v>1.13210708437828</c:v>
                </c:pt>
                <c:pt idx="199">
                  <c:v>0.849235085724199</c:v>
                </c:pt>
                <c:pt idx="200">
                  <c:v>0.631755789747101</c:v>
                </c:pt>
                <c:pt idx="201">
                  <c:v>0.466070284926777</c:v>
                </c:pt>
                <c:pt idx="202">
                  <c:v>0.340984376316308</c:v>
                </c:pt>
                <c:pt idx="203">
                  <c:v>0.247399277963495</c:v>
                </c:pt>
                <c:pt idx="204">
                  <c:v>0.178009531427487</c:v>
                </c:pt>
                <c:pt idx="205">
                  <c:v>0.127019081502569</c:v>
                </c:pt>
                <c:pt idx="206">
                  <c:v>0.08988258635214</c:v>
                </c:pt>
                <c:pt idx="207">
                  <c:v>0.0630758388749459</c:v>
                </c:pt>
                <c:pt idx="208">
                  <c:v>0.0438966513407495</c:v>
                </c:pt>
                <c:pt idx="209">
                  <c:v>0.0302956747265287</c:v>
                </c:pt>
                <c:pt idx="210">
                  <c:v>0.0207353203314536</c:v>
                </c:pt>
                <c:pt idx="211">
                  <c:v>0.014074136230165</c:v>
                </c:pt>
                <c:pt idx="212">
                  <c:v>0.00947356924106924</c:v>
                </c:pt>
                <c:pt idx="213">
                  <c:v>0.00632392045618564</c:v>
                </c:pt>
                <c:pt idx="214">
                  <c:v>0.00418639348000417</c:v>
                </c:pt>
                <c:pt idx="215">
                  <c:v>0.00274836604157902</c:v>
                </c:pt>
                <c:pt idx="216">
                  <c:v>0.00178932810742323</c:v>
                </c:pt>
                <c:pt idx="217">
                  <c:v>0.00115527739583523</c:v>
                </c:pt>
                <c:pt idx="218">
                  <c:v>0.000739713338122855</c:v>
                </c:pt>
                <c:pt idx="219">
                  <c:v>0.000469701022081752</c:v>
                </c:pt>
                <c:pt idx="220">
                  <c:v>0.000295774304936582</c:v>
                </c:pt>
                <c:pt idx="221">
                  <c:v>0.000184705684476038</c:v>
                </c:pt>
                <c:pt idx="222">
                  <c:v>0.000114388130499006</c:v>
                </c:pt>
                <c:pt idx="223">
                  <c:v>7.02526231058446e-5</c:v>
                </c:pt>
                <c:pt idx="224">
                  <c:v>4.27882977134423e-5</c:v>
                </c:pt>
                <c:pt idx="225">
                  <c:v>2.58445131133822e-5</c:v>
                </c:pt>
                <c:pt idx="226">
                  <c:v>1.54807708663409e-5</c:v>
                </c:pt>
                <c:pt idx="227">
                  <c:v>9.19597309801175e-6</c:v>
                </c:pt>
                <c:pt idx="228">
                  <c:v>5.41730993763819e-6</c:v>
                </c:pt>
                <c:pt idx="229">
                  <c:v>3.16483123634688e-6</c:v>
                </c:pt>
                <c:pt idx="230">
                  <c:v>1.83357344711521e-6</c:v>
                </c:pt>
                <c:pt idx="231">
                  <c:v>1.05348158285401e-6</c:v>
                </c:pt>
                <c:pt idx="232">
                  <c:v>6.00255939197648e-7</c:v>
                </c:pt>
                <c:pt idx="233">
                  <c:v>3.39177368080741e-7</c:v>
                </c:pt>
                <c:pt idx="234">
                  <c:v>1.9006324841162e-7</c:v>
                </c:pt>
                <c:pt idx="235">
                  <c:v>1.0562100878648e-7</c:v>
                </c:pt>
                <c:pt idx="236">
                  <c:v>5.82080910051589e-8</c:v>
                </c:pt>
                <c:pt idx="237">
                  <c:v>3.18124621812923e-8</c:v>
                </c:pt>
                <c:pt idx="238">
                  <c:v>1.72421767266098e-8</c:v>
                </c:pt>
                <c:pt idx="239">
                  <c:v>9.26761070779489e-9</c:v>
                </c:pt>
                <c:pt idx="240">
                  <c:v>4.93997049408882e-9</c:v>
                </c:pt>
                <c:pt idx="241">
                  <c:v>2.61133030566659e-9</c:v>
                </c:pt>
                <c:pt idx="242">
                  <c:v>1.36892654406402e-9</c:v>
                </c:pt>
                <c:pt idx="243">
                  <c:v>7.11671152726894e-10</c:v>
                </c:pt>
                <c:pt idx="244">
                  <c:v>3.6690992655634e-10</c:v>
                </c:pt>
                <c:pt idx="245">
                  <c:v>1.8759464738632e-10</c:v>
                </c:pt>
                <c:pt idx="246">
                  <c:v>9.51179113687757e-11</c:v>
                </c:pt>
                <c:pt idx="247">
                  <c:v>4.78283115849991e-11</c:v>
                </c:pt>
                <c:pt idx="248">
                  <c:v>2.38500160777936e-11</c:v>
                </c:pt>
                <c:pt idx="249">
                  <c:v>1.17943275341897e-11</c:v>
                </c:pt>
                <c:pt idx="250">
                  <c:v>5.78413704110832e-12</c:v>
                </c:pt>
                <c:pt idx="251">
                  <c:v>2.81309789338013e-12</c:v>
                </c:pt>
                <c:pt idx="252">
                  <c:v>1.3567880154445e-12</c:v>
                </c:pt>
                <c:pt idx="253">
                  <c:v>6.48963145257617e-13</c:v>
                </c:pt>
                <c:pt idx="254">
                  <c:v>3.07828588274749e-13</c:v>
                </c:pt>
                <c:pt idx="255">
                  <c:v>1.44803396635285e-13</c:v>
                </c:pt>
                <c:pt idx="256">
                  <c:v>6.75506339998491e-14</c:v>
                </c:pt>
                <c:pt idx="257">
                  <c:v>3.12507893533311e-14</c:v>
                </c:pt>
                <c:pt idx="258">
                  <c:v>1.43375001456176e-14</c:v>
                </c:pt>
                <c:pt idx="259">
                  <c:v>6.52329112480289e-15</c:v>
                </c:pt>
                <c:pt idx="260">
                  <c:v>2.94334363020356e-15</c:v>
                </c:pt>
                <c:pt idx="261">
                  <c:v>1.31703118140974e-15</c:v>
                </c:pt>
                <c:pt idx="262">
                  <c:v>5.84429363451768e-16</c:v>
                </c:pt>
                <c:pt idx="263">
                  <c:v>2.57186921846697e-16</c:v>
                </c:pt>
                <c:pt idx="264">
                  <c:v>1.12239730418422e-16</c:v>
                </c:pt>
                <c:pt idx="265">
                  <c:v>4.85763893641017e-17</c:v>
                </c:pt>
                <c:pt idx="266">
                  <c:v>2.08489759707327e-17</c:v>
                </c:pt>
                <c:pt idx="267">
                  <c:v>8.87411614242329e-18</c:v>
                </c:pt>
                <c:pt idx="268">
                  <c:v>3.74581539027028e-18</c:v>
                </c:pt>
                <c:pt idx="269">
                  <c:v>1.56800886155482e-18</c:v>
                </c:pt>
                <c:pt idx="270">
                  <c:v>6.5092587803654e-19</c:v>
                </c:pt>
                <c:pt idx="271">
                  <c:v>2.67975718577284e-19</c:v>
                </c:pt>
                <c:pt idx="272">
                  <c:v>1.09405771368298e-19</c:v>
                </c:pt>
                <c:pt idx="273">
                  <c:v>4.42961419838296e-20</c:v>
                </c:pt>
                <c:pt idx="274">
                  <c:v>1.77857610942845e-20</c:v>
                </c:pt>
                <c:pt idx="275">
                  <c:v>7.08206466625781e-21</c:v>
                </c:pt>
                <c:pt idx="276">
                  <c:v>2.79658615528716e-21</c:v>
                </c:pt>
                <c:pt idx="277">
                  <c:v>1.09515956451735e-21</c:v>
                </c:pt>
                <c:pt idx="278">
                  <c:v>4.25311846164611e-22</c:v>
                </c:pt>
                <c:pt idx="279">
                  <c:v>1.63801713238357e-22</c:v>
                </c:pt>
                <c:pt idx="280">
                  <c:v>6.25619507692074e-23</c:v>
                </c:pt>
                <c:pt idx="281">
                  <c:v>2.36964345956877e-23</c:v>
                </c:pt>
                <c:pt idx="282">
                  <c:v>8.90095513746328e-24</c:v>
                </c:pt>
                <c:pt idx="283">
                  <c:v>3.31566847217474e-24</c:v>
                </c:pt>
                <c:pt idx="284">
                  <c:v>1.22486004753176e-24</c:v>
                </c:pt>
                <c:pt idx="285">
                  <c:v>4.48727535475662e-25</c:v>
                </c:pt>
                <c:pt idx="286">
                  <c:v>1.63027118704549e-25</c:v>
                </c:pt>
                <c:pt idx="287">
                  <c:v>5.87378258937639e-26</c:v>
                </c:pt>
                <c:pt idx="288">
                  <c:v>2.09873093488076e-26</c:v>
                </c:pt>
                <c:pt idx="289">
                  <c:v>7.436636298564e-27</c:v>
                </c:pt>
                <c:pt idx="290">
                  <c:v>2.61322739267038e-27</c:v>
                </c:pt>
                <c:pt idx="291">
                  <c:v>9.10665205716714e-28</c:v>
                </c:pt>
                <c:pt idx="292">
                  <c:v>3.14717698715922e-28</c:v>
                </c:pt>
                <c:pt idx="293">
                  <c:v>1.07861007363941e-28</c:v>
                </c:pt>
                <c:pt idx="294">
                  <c:v>3.66596790886493e-29</c:v>
                </c:pt>
                <c:pt idx="295">
                  <c:v>1.23564503239532e-29</c:v>
                </c:pt>
                <c:pt idx="296">
                  <c:v>4.13028174570726e-30</c:v>
                </c:pt>
                <c:pt idx="297">
                  <c:v>1.36913574813614e-30</c:v>
                </c:pt>
                <c:pt idx="298">
                  <c:v>4.50084673009776e-31</c:v>
                </c:pt>
                <c:pt idx="299">
                  <c:v>1.4673131832903e-31</c:v>
                </c:pt>
              </c:numCache>
            </c:numRef>
          </c:yVal>
          <c:smooth val="1"/>
        </c:ser>
        <c:dLbls>
          <c:showLegendKey val="0"/>
          <c:showVal val="0"/>
          <c:showCatName val="0"/>
          <c:showSerName val="0"/>
          <c:showPercent val="0"/>
          <c:showBubbleSize val="0"/>
        </c:dLbls>
        <c:axId val="312440087"/>
        <c:axId val="649309499"/>
      </c:scatterChart>
      <c:valAx>
        <c:axId val="312440087"/>
        <c:scaling>
          <c:orientation val="minMax"/>
          <c:max val="300"/>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x(m)</a:t>
                </a:r>
                <a:endParaRPr lang="zh-CN" altLang="en-US" sz="1000" b="0" i="0" u="none" strike="noStrike" baseline="0">
                  <a:solidFill>
                    <a:srgbClr val="333333">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manualLayout>
              <c:xMode val="edge"/>
              <c:yMode val="edge"/>
              <c:x val="0.507658573928259"/>
              <c:y val="0.86481517596678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9309499"/>
        <c:crosses val="autoZero"/>
        <c:crossBetween val="midCat"/>
        <c:majorUnit val="50"/>
      </c:valAx>
      <c:valAx>
        <c:axId val="649309499"/>
        <c:scaling>
          <c:orientation val="minMax"/>
          <c:min val="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c(mg/L)</a:t>
                </a:r>
                <a:endParaRPr lang="zh-CN" altLang="en-US" sz="1000" b="0" i="0" u="none" strike="noStrike" baseline="0">
                  <a:solidFill>
                    <a:srgbClr val="333333">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244008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1365687509582"/>
          <c:y val="0.153003292662836"/>
          <c:w val="0.871196850393701"/>
          <c:h val="0.720887649460484"/>
        </c:manualLayout>
      </c:layout>
      <c:scatterChart>
        <c:scatterStyle val="smoothMarker"/>
        <c:varyColors val="0"/>
        <c:ser>
          <c:idx val="0"/>
          <c:order val="0"/>
          <c:tx>
            <c:strRef>
              <c:f>'[地下水预测-一维稳定流动二维水动力弥散-平面瞬时点源.xls]壁1000d '!$J$2</c:f>
              <c:strCache>
                <c:ptCount val="1"/>
                <c:pt idx="0">
                  <c:v>c</c:v>
                </c:pt>
              </c:strCache>
            </c:strRef>
          </c:tx>
          <c:spPr>
            <a:ln w="19050" cap="rnd" cmpd="sng" algn="ctr">
              <a:solidFill>
                <a:schemeClr val="accent1"/>
              </a:solidFill>
              <a:prstDash val="solid"/>
              <a:round/>
            </a:ln>
            <a:effectLst/>
          </c:spPr>
          <c:marker>
            <c:symbol val="circle"/>
            <c:size val="2"/>
            <c:spPr>
              <a:solidFill>
                <a:schemeClr val="accent1"/>
              </a:solidFill>
              <a:ln w="9525" cap="flat" cmpd="sng" algn="ctr">
                <a:solidFill>
                  <a:schemeClr val="accent1"/>
                </a:solidFill>
                <a:prstDash val="solid"/>
                <a:round/>
              </a:ln>
              <a:effectLst/>
            </c:spPr>
          </c:marker>
          <c:dLbls>
            <c:delete val="1"/>
          </c:dLbls>
          <c:xVal>
            <c:numRef>
              <c:f>'[地下水预测-一维稳定流动二维水动力弥散-平面瞬时点源.xls]壁1000d '!$I$3:$I$524</c:f>
              <c:numCache>
                <c:formatCode>General</c:formatCode>
                <c:ptCount val="5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numCache>
            </c:numRef>
          </c:xVal>
          <c:yVal>
            <c:numRef>
              <c:f>'[地下水预测-一维稳定流动二维水动力弥散-平面瞬时点源.xls]壁1000d '!$J$3:$J$524</c:f>
              <c:numCache>
                <c:formatCode>General</c:formatCode>
                <c:ptCount val="522"/>
                <c:pt idx="0">
                  <c:v>8.13698070671488e-97</c:v>
                </c:pt>
                <c:pt idx="1">
                  <c:v>3.19818409035303e-96</c:v>
                </c:pt>
                <c:pt idx="2">
                  <c:v>1.25179747625868e-95</c:v>
                </c:pt>
                <c:pt idx="3">
                  <c:v>4.87927308606048e-95</c:v>
                </c:pt>
                <c:pt idx="4">
                  <c:v>1.89394176219859e-94</c:v>
                </c:pt>
                <c:pt idx="5">
                  <c:v>7.32096880456996e-94</c:v>
                </c:pt>
                <c:pt idx="6">
                  <c:v>2.81812941421968e-93</c:v>
                </c:pt>
                <c:pt idx="7">
                  <c:v>1.08029844366438e-92</c:v>
                </c:pt>
                <c:pt idx="8">
                  <c:v>4.12398435271877e-92</c:v>
                </c:pt>
                <c:pt idx="9">
                  <c:v>1.56776407360969e-91</c:v>
                </c:pt>
                <c:pt idx="10">
                  <c:v>5.93519303199776e-91</c:v>
                </c:pt>
                <c:pt idx="11">
                  <c:v>2.23758441885533e-90</c:v>
                </c:pt>
                <c:pt idx="12">
                  <c:v>8.4006801797909e-90</c:v>
                </c:pt>
                <c:pt idx="13">
                  <c:v>3.1407973358515e-89</c:v>
                </c:pt>
                <c:pt idx="14">
                  <c:v>1.16938041928909e-88</c:v>
                </c:pt>
                <c:pt idx="15">
                  <c:v>4.33572932695433e-88</c:v>
                </c:pt>
                <c:pt idx="16">
                  <c:v>1.60088062097446e-87</c:v>
                </c:pt>
                <c:pt idx="17">
                  <c:v>5.8863512494011e-87</c:v>
                </c:pt>
                <c:pt idx="18">
                  <c:v>2.1553799610701e-86</c:v>
                </c:pt>
                <c:pt idx="19">
                  <c:v>7.85944626183532e-86</c:v>
                </c:pt>
                <c:pt idx="20">
                  <c:v>2.85397718993607e-85</c:v>
                </c:pt>
                <c:pt idx="21">
                  <c:v>1.03204702795236e-84</c:v>
                </c:pt>
                <c:pt idx="22">
                  <c:v>3.71654091414379e-84</c:v>
                </c:pt>
                <c:pt idx="23">
                  <c:v>1.33281167908618e-83</c:v>
                </c:pt>
                <c:pt idx="24">
                  <c:v>4.75980435566509e-83</c:v>
                </c:pt>
                <c:pt idx="25">
                  <c:v>1.69277741234768e-82</c:v>
                </c:pt>
                <c:pt idx="26">
                  <c:v>5.99516374639208e-82</c:v>
                </c:pt>
                <c:pt idx="27">
                  <c:v>2.11442694497593e-81</c:v>
                </c:pt>
                <c:pt idx="28">
                  <c:v>7.42633883389433e-81</c:v>
                </c:pt>
                <c:pt idx="29">
                  <c:v>2.59745048405432e-80</c:v>
                </c:pt>
                <c:pt idx="30">
                  <c:v>9.04711758547216e-80</c:v>
                </c:pt>
                <c:pt idx="31">
                  <c:v>3.1380772717561e-79</c:v>
                </c:pt>
                <c:pt idx="32">
                  <c:v>1.08394556510285e-78</c:v>
                </c:pt>
                <c:pt idx="33">
                  <c:v>3.72856529674959e-78</c:v>
                </c:pt>
                <c:pt idx="34">
                  <c:v>1.27722224603657e-77</c:v>
                </c:pt>
                <c:pt idx="35">
                  <c:v>4.35694057232588e-77</c:v>
                </c:pt>
                <c:pt idx="36">
                  <c:v>1.48008698327361e-76</c:v>
                </c:pt>
                <c:pt idx="37">
                  <c:v>5.00706561910696e-76</c:v>
                </c:pt>
                <c:pt idx="38">
                  <c:v>1.68682398510343e-75</c:v>
                </c:pt>
                <c:pt idx="39">
                  <c:v>5.65909120343331e-75</c:v>
                </c:pt>
                <c:pt idx="40">
                  <c:v>1.89066271445081e-74</c:v>
                </c:pt>
                <c:pt idx="41">
                  <c:v>6.29030736341384e-74</c:v>
                </c:pt>
                <c:pt idx="42">
                  <c:v>2.08410749325332e-73</c:v>
                </c:pt>
                <c:pt idx="43">
                  <c:v>6.87636314708112e-73</c:v>
                </c:pt>
                <c:pt idx="44">
                  <c:v>2.25937299737101e-72</c:v>
                </c:pt>
                <c:pt idx="45">
                  <c:v>7.39277527631277e-72</c:v>
                </c:pt>
                <c:pt idx="46">
                  <c:v>2.40889303818693e-71</c:v>
                </c:pt>
                <c:pt idx="47">
                  <c:v>7.81660145302922e-71</c:v>
                </c:pt>
                <c:pt idx="48">
                  <c:v>2.52585759842012e-70</c:v>
                </c:pt>
                <c:pt idx="49">
                  <c:v>8.12812168521006e-70</c:v>
                </c:pt>
                <c:pt idx="50">
                  <c:v>2.60472556106473e-69</c:v>
                </c:pt>
                <c:pt idx="51">
                  <c:v>8.31235701745116e-69</c:v>
                </c:pt>
                <c:pt idx="52">
                  <c:v>2.64165954231768e-68</c:v>
                </c:pt>
                <c:pt idx="53">
                  <c:v>8.3602630554e-68</c:v>
                </c:pt>
                <c:pt idx="54">
                  <c:v>2.63483534949762e-67</c:v>
                </c:pt>
                <c:pt idx="55">
                  <c:v>8.26946590508382e-67</c:v>
                </c:pt>
                <c:pt idx="56">
                  <c:v>2.58459131943336e-66</c:v>
                </c:pt>
                <c:pt idx="57">
                  <c:v>8.04445714985711e-66</c:v>
                </c:pt>
                <c:pt idx="58">
                  <c:v>2.49340051512441e-65</c:v>
                </c:pt>
                <c:pt idx="59">
                  <c:v>7.69622556812594e-65</c:v>
                </c:pt>
                <c:pt idx="60">
                  <c:v>2.36566896180563e-64</c:v>
                </c:pt>
                <c:pt idx="61">
                  <c:v>7.24136763580262e-64</c:v>
                </c:pt>
                <c:pt idx="62">
                  <c:v>2.20738284147438e-63</c:v>
                </c:pt>
                <c:pt idx="63">
                  <c:v>6.70077706072582e-63</c:v>
                </c:pt>
                <c:pt idx="64">
                  <c:v>2.02564397382424e-62</c:v>
                </c:pt>
                <c:pt idx="65">
                  <c:v>6.09805735327978e-62</c:v>
                </c:pt>
                <c:pt idx="66">
                  <c:v>1.82814371552629e-61</c:v>
                </c:pt>
                <c:pt idx="67">
                  <c:v>5.4578249698687e-61</c:v>
                </c:pt>
                <c:pt idx="68">
                  <c:v>1.62262930389146e-60</c:v>
                </c:pt>
                <c:pt idx="69">
                  <c:v>4.80407154647188e-60</c:v>
                </c:pt>
                <c:pt idx="70">
                  <c:v>1.41641350636684e-59</c:v>
                </c:pt>
                <c:pt idx="71">
                  <c:v>4.15873352053182e-59</c:v>
                </c:pt>
                <c:pt idx="72">
                  <c:v>1.21596917986099e-58</c:v>
                </c:pt>
                <c:pt idx="73">
                  <c:v>3.54058057811705e-58</c:v>
                </c:pt>
                <c:pt idx="74">
                  <c:v>1.02663682676997e-57</c:v>
                </c:pt>
                <c:pt idx="75">
                  <c:v>2.96448758549972e-57</c:v>
                </c:pt>
                <c:pt idx="76">
                  <c:v>8.52457770562551e-57</c:v>
                </c:pt>
                <c:pt idx="77">
                  <c:v>2.44110551984498e-56</c:v>
                </c:pt>
                <c:pt idx="78">
                  <c:v>6.96130516435965e-56</c:v>
                </c:pt>
                <c:pt idx="79">
                  <c:v>1.97690241989666e-55</c:v>
                </c:pt>
                <c:pt idx="80">
                  <c:v>5.59075208554941e-55</c:v>
                </c:pt>
                <c:pt idx="81">
                  <c:v>1.57451091919249e-54</c:v>
                </c:pt>
                <c:pt idx="82">
                  <c:v>4.41582201189002e-54</c:v>
                </c:pt>
                <c:pt idx="83">
                  <c:v>1.23329759354185e-53</c:v>
                </c:pt>
                <c:pt idx="84">
                  <c:v>3.43016213915704e-53</c:v>
                </c:pt>
                <c:pt idx="85">
                  <c:v>9.50061796736231e-53</c:v>
                </c:pt>
                <c:pt idx="86">
                  <c:v>2.62047186725935e-52</c:v>
                </c:pt>
                <c:pt idx="87">
                  <c:v>7.19776377209735e-52</c:v>
                </c:pt>
                <c:pt idx="88">
                  <c:v>1.9688204768581e-51</c:v>
                </c:pt>
                <c:pt idx="89">
                  <c:v>5.36296653497767e-51</c:v>
                </c:pt>
                <c:pt idx="90">
                  <c:v>1.45477053811076e-50</c:v>
                </c:pt>
                <c:pt idx="91">
                  <c:v>3.92983528964923e-50</c:v>
                </c:pt>
                <c:pt idx="92">
                  <c:v>1.05716953713371e-49</c:v>
                </c:pt>
                <c:pt idx="93">
                  <c:v>2.83207906107765e-49</c:v>
                </c:pt>
                <c:pt idx="94">
                  <c:v>7.55538408121105e-49</c:v>
                </c:pt>
                <c:pt idx="95">
                  <c:v>2.00723472381653e-48</c:v>
                </c:pt>
                <c:pt idx="96">
                  <c:v>5.31043646025932e-48</c:v>
                </c:pt>
                <c:pt idx="97">
                  <c:v>1.39911274641617e-47</c:v>
                </c:pt>
                <c:pt idx="98">
                  <c:v>3.67084164801827e-47</c:v>
                </c:pt>
                <c:pt idx="99">
                  <c:v>9.59111345791398e-47</c:v>
                </c:pt>
                <c:pt idx="100">
                  <c:v>2.49553030092698e-46</c:v>
                </c:pt>
                <c:pt idx="101">
                  <c:v>6.4661698361772e-46</c:v>
                </c:pt>
                <c:pt idx="102">
                  <c:v>1.66848308456095e-45</c:v>
                </c:pt>
                <c:pt idx="103">
                  <c:v>4.28733036300911e-45</c:v>
                </c:pt>
                <c:pt idx="104">
                  <c:v>1.09709069631888e-44</c:v>
                </c:pt>
                <c:pt idx="105">
                  <c:v>2.79568705463876e-44</c:v>
                </c:pt>
                <c:pt idx="106">
                  <c:v>7.09455270977271e-44</c:v>
                </c:pt>
                <c:pt idx="107">
                  <c:v>1.7928828988986e-43</c:v>
                </c:pt>
                <c:pt idx="108">
                  <c:v>4.51200186800147e-43</c:v>
                </c:pt>
                <c:pt idx="109">
                  <c:v>1.13077723764583e-42</c:v>
                </c:pt>
                <c:pt idx="110">
                  <c:v>2.82211875766317e-42</c:v>
                </c:pt>
                <c:pt idx="111">
                  <c:v>7.01397080709244e-42</c:v>
                </c:pt>
                <c:pt idx="112">
                  <c:v>1.73597338870306e-41</c:v>
                </c:pt>
                <c:pt idx="113">
                  <c:v>4.2787076522007e-41</c:v>
                </c:pt>
                <c:pt idx="114">
                  <c:v>1.0502014293673e-40</c:v>
                </c:pt>
                <c:pt idx="115">
                  <c:v>2.56698326370555e-40</c:v>
                </c:pt>
                <c:pt idx="116">
                  <c:v>6.24832930636625e-40</c:v>
                </c:pt>
                <c:pt idx="117">
                  <c:v>1.51459048444946e-39</c:v>
                </c:pt>
                <c:pt idx="118">
                  <c:v>3.65609084819727e-39</c:v>
                </c:pt>
                <c:pt idx="119">
                  <c:v>8.78879175705049e-39</c:v>
                </c:pt>
                <c:pt idx="120">
                  <c:v>2.10393254124625e-38</c:v>
                </c:pt>
                <c:pt idx="121">
                  <c:v>5.01562303427033e-38</c:v>
                </c:pt>
                <c:pt idx="122">
                  <c:v>1.19071659507903e-37</c:v>
                </c:pt>
                <c:pt idx="123">
                  <c:v>2.81502570933634e-37</c:v>
                </c:pt>
                <c:pt idx="124">
                  <c:v>6.62745466400686e-37</c:v>
                </c:pt>
                <c:pt idx="125">
                  <c:v>1.55382321739358e-36</c:v>
                </c:pt>
                <c:pt idx="126">
                  <c:v>3.62782966872252e-36</c:v>
                </c:pt>
                <c:pt idx="127">
                  <c:v>8.43495190813545e-36</c:v>
                </c:pt>
                <c:pt idx="128">
                  <c:v>1.95302936984995e-35</c:v>
                </c:pt>
                <c:pt idx="129">
                  <c:v>4.50324295920542e-35</c:v>
                </c:pt>
                <c:pt idx="130">
                  <c:v>1.03402829745741e-34</c:v>
                </c:pt>
                <c:pt idx="131">
                  <c:v>2.36444877740663e-34</c:v>
                </c:pt>
                <c:pt idx="132">
                  <c:v>5.3841585098369e-34</c:v>
                </c:pt>
                <c:pt idx="133">
                  <c:v>1.22094529304814e-33</c:v>
                </c:pt>
                <c:pt idx="134">
                  <c:v>2.75717932785661e-33</c:v>
                </c:pt>
                <c:pt idx="135">
                  <c:v>6.20046504208294e-33</c:v>
                </c:pt>
                <c:pt idx="136">
                  <c:v>1.38858974573843e-32</c:v>
                </c:pt>
                <c:pt idx="137">
                  <c:v>3.09680660930274e-32</c:v>
                </c:pt>
                <c:pt idx="138">
                  <c:v>6.87772263271096e-32</c:v>
                </c:pt>
                <c:pt idx="139">
                  <c:v>1.52112768459654e-31</c:v>
                </c:pt>
                <c:pt idx="140">
                  <c:v>3.35024929594072e-31</c:v>
                </c:pt>
                <c:pt idx="141">
                  <c:v>7.34816702758189e-31</c:v>
                </c:pt>
                <c:pt idx="142">
                  <c:v>1.60498639452878e-30</c:v>
                </c:pt>
                <c:pt idx="143">
                  <c:v>3.49103442883125e-30</c:v>
                </c:pt>
                <c:pt idx="144">
                  <c:v>7.56183765722161e-30</c:v>
                </c:pt>
                <c:pt idx="145">
                  <c:v>1.63113913556852e-29</c:v>
                </c:pt>
                <c:pt idx="146">
                  <c:v>3.50384678348476e-29</c:v>
                </c:pt>
                <c:pt idx="147">
                  <c:v>7.49531082079281e-29</c:v>
                </c:pt>
                <c:pt idx="148">
                  <c:v>1.59670479020751e-28</c:v>
                </c:pt>
                <c:pt idx="149">
                  <c:v>3.38727182793065e-28</c:v>
                </c:pt>
                <c:pt idx="150">
                  <c:v>7.15592718664499e-28</c:v>
                </c:pt>
                <c:pt idx="151">
                  <c:v>1.50547038443872e-27</c:v>
                </c:pt>
                <c:pt idx="152">
                  <c:v>3.15405281252425e-27</c:v>
                </c:pt>
                <c:pt idx="153">
                  <c:v>6.58045837657903e-27</c:v>
                </c:pt>
                <c:pt idx="154">
                  <c:v>1.36720542412303e-26</c:v>
                </c:pt>
                <c:pt idx="155">
                  <c:v>2.82879737185148e-26</c:v>
                </c:pt>
                <c:pt idx="156">
                  <c:v>5.82854760394052e-26</c:v>
                </c:pt>
                <c:pt idx="157">
                  <c:v>1.19593973842175e-25</c:v>
                </c:pt>
                <c:pt idx="158">
                  <c:v>2.44370448860885e-25</c:v>
                </c:pt>
                <c:pt idx="159">
                  <c:v>4.97254265452623e-25</c:v>
                </c:pt>
                <c:pt idx="160">
                  <c:v>1.00762466256384e-24</c:v>
                </c:pt>
                <c:pt idx="161">
                  <c:v>2.03333764462027e-24</c:v>
                </c:pt>
                <c:pt idx="162">
                  <c:v>4.08611565026741e-24</c:v>
                </c:pt>
                <c:pt idx="163">
                  <c:v>8.17715534969509e-24</c:v>
                </c:pt>
                <c:pt idx="164">
                  <c:v>1.62961226104406e-23</c:v>
                </c:pt>
                <c:pt idx="165">
                  <c:v>3.23412468709327e-23</c:v>
                </c:pt>
                <c:pt idx="166">
                  <c:v>6.39174847190019e-23</c:v>
                </c:pt>
                <c:pt idx="167">
                  <c:v>1.25797796488277e-22</c:v>
                </c:pt>
                <c:pt idx="168">
                  <c:v>2.46556713519401e-22</c:v>
                </c:pt>
                <c:pt idx="169">
                  <c:v>4.81228203098028e-22</c:v>
                </c:pt>
                <c:pt idx="170">
                  <c:v>9.35353449406051e-22</c:v>
                </c:pt>
                <c:pt idx="171">
                  <c:v>1.81046808450104e-21</c:v>
                </c:pt>
                <c:pt idx="172">
                  <c:v>3.48976703081152e-21</c:v>
                </c:pt>
                <c:pt idx="173">
                  <c:v>6.69872945843438e-21</c:v>
                </c:pt>
                <c:pt idx="174">
                  <c:v>1.28049793396239e-20</c:v>
                </c:pt>
                <c:pt idx="175">
                  <c:v>2.43756253799563e-20</c:v>
                </c:pt>
                <c:pt idx="176">
                  <c:v>4.62086299585997e-20</c:v>
                </c:pt>
                <c:pt idx="177">
                  <c:v>8.72330101054856e-20</c:v>
                </c:pt>
                <c:pt idx="178">
                  <c:v>1.63994418043386e-19</c:v>
                </c:pt>
                <c:pt idx="179">
                  <c:v>3.07020740042852e-19</c:v>
                </c:pt>
                <c:pt idx="180">
                  <c:v>5.72396280800692e-19</c:v>
                </c:pt>
                <c:pt idx="181">
                  <c:v>1.06271383168919e-18</c:v>
                </c:pt>
                <c:pt idx="182">
                  <c:v>1.96483598737792e-18</c:v>
                </c:pt>
                <c:pt idx="183">
                  <c:v>3.61765140060457e-18</c:v>
                </c:pt>
                <c:pt idx="184">
                  <c:v>6.63311563133435e-18</c:v>
                </c:pt>
                <c:pt idx="185">
                  <c:v>1.21115258822805e-17</c:v>
                </c:pt>
                <c:pt idx="186">
                  <c:v>2.20227016816982e-17</c:v>
                </c:pt>
                <c:pt idx="187">
                  <c:v>3.98779450948677e-17</c:v>
                </c:pt>
                <c:pt idx="188">
                  <c:v>7.19093539771408e-17</c:v>
                </c:pt>
                <c:pt idx="189">
                  <c:v>1.29130384463275e-16</c:v>
                </c:pt>
                <c:pt idx="190">
                  <c:v>2.30920208986634e-16</c:v>
                </c:pt>
                <c:pt idx="191">
                  <c:v>4.11231032882878e-16</c:v>
                </c:pt>
                <c:pt idx="192">
                  <c:v>7.2929000258271e-16</c:v>
                </c:pt>
                <c:pt idx="193">
                  <c:v>1.28796802247861e-15</c:v>
                </c:pt>
                <c:pt idx="194">
                  <c:v>2.26516760427701e-15</c:v>
                </c:pt>
                <c:pt idx="195">
                  <c:v>3.96721780157528e-15</c:v>
                </c:pt>
                <c:pt idx="196">
                  <c:v>6.91930042045003e-15</c:v>
                </c:pt>
                <c:pt idx="197">
                  <c:v>1.20179051215053e-14</c:v>
                </c:pt>
                <c:pt idx="198">
                  <c:v>2.07867118521265e-14</c:v>
                </c:pt>
                <c:pt idx="199">
                  <c:v>3.58041412301165e-14</c:v>
                </c:pt>
                <c:pt idx="200">
                  <c:v>6.14145350242249e-14</c:v>
                </c:pt>
                <c:pt idx="201">
                  <c:v>1.04905803756358e-13</c:v>
                </c:pt>
                <c:pt idx="202">
                  <c:v>1.78450719717231e-13</c:v>
                </c:pt>
                <c:pt idx="203">
                  <c:v>3.0229261190578e-13</c:v>
                </c:pt>
                <c:pt idx="204">
                  <c:v>5.09949538549103e-13</c:v>
                </c:pt>
                <c:pt idx="205">
                  <c:v>8.56677408170633e-13</c:v>
                </c:pt>
                <c:pt idx="206">
                  <c:v>1.43317051884863e-12</c:v>
                </c:pt>
                <c:pt idx="207">
                  <c:v>2.38764006927722e-12</c:v>
                </c:pt>
                <c:pt idx="208">
                  <c:v>3.96123212235866e-12</c:v>
                </c:pt>
                <c:pt idx="209">
                  <c:v>6.54458581360088e-12</c:v>
                </c:pt>
                <c:pt idx="210">
                  <c:v>1.07677380535651e-11</c:v>
                </c:pt>
                <c:pt idx="211">
                  <c:v>1.76423826815348e-11</c:v>
                </c:pt>
                <c:pt idx="212">
                  <c:v>2.87859412846746e-11</c:v>
                </c:pt>
                <c:pt idx="213">
                  <c:v>4.67728758135277e-11</c:v>
                </c:pt>
                <c:pt idx="214">
                  <c:v>7.5682967456777e-11</c:v>
                </c:pt>
                <c:pt idx="215">
                  <c:v>1.21953051509614e-10</c:v>
                </c:pt>
                <c:pt idx="216">
                  <c:v>1.95694054946204e-10</c:v>
                </c:pt>
                <c:pt idx="217">
                  <c:v>3.12718110784523e-10</c:v>
                </c:pt>
                <c:pt idx="218">
                  <c:v>4.97644118990172e-10</c:v>
                </c:pt>
                <c:pt idx="219">
                  <c:v>7.88633387335837e-10</c:v>
                </c:pt>
                <c:pt idx="220">
                  <c:v>1.24457732234163e-9</c:v>
                </c:pt>
                <c:pt idx="221">
                  <c:v>1.95595585313199e-9</c:v>
                </c:pt>
                <c:pt idx="222">
                  <c:v>3.0611644009158e-9</c:v>
                </c:pt>
                <c:pt idx="223">
                  <c:v>4.77094819549984e-9</c:v>
                </c:pt>
                <c:pt idx="224">
                  <c:v>7.40479753670783e-9</c:v>
                </c:pt>
                <c:pt idx="225">
                  <c:v>1.144490301884e-8</c:v>
                </c:pt>
                <c:pt idx="226">
                  <c:v>1.7615764116931e-8</c:v>
                </c:pt>
                <c:pt idx="227">
                  <c:v>2.70010900030046e-8</c:v>
                </c:pt>
                <c:pt idx="228">
                  <c:v>4.1214643495771e-8</c:v>
                </c:pt>
                <c:pt idx="229">
                  <c:v>6.26487253890891e-8</c:v>
                </c:pt>
                <c:pt idx="230">
                  <c:v>9.48338478769592e-8</c:v>
                </c:pt>
                <c:pt idx="231">
                  <c:v>1.42956842105483e-7</c:v>
                </c:pt>
                <c:pt idx="232">
                  <c:v>2.14603579083184e-7</c:v>
                </c:pt>
                <c:pt idx="233">
                  <c:v>3.20818509046074e-7</c:v>
                </c:pt>
                <c:pt idx="234">
                  <c:v>4.77608791638645e-7</c:v>
                </c:pt>
                <c:pt idx="235">
                  <c:v>7.080691121818e-7</c:v>
                </c:pt>
                <c:pt idx="236">
                  <c:v>1.04536854439331e-6</c:v>
                </c:pt>
                <c:pt idx="237">
                  <c:v>1.53692843919358e-6</c:v>
                </c:pt>
                <c:pt idx="238">
                  <c:v>2.25023723462374e-6</c:v>
                </c:pt>
                <c:pt idx="239">
                  <c:v>3.28090312654858e-6</c:v>
                </c:pt>
                <c:pt idx="240">
                  <c:v>4.76374985981835e-6</c:v>
                </c:pt>
                <c:pt idx="241">
                  <c:v>6.88802843794554e-6</c:v>
                </c:pt>
                <c:pt idx="242">
                  <c:v>9.91816558999864e-6</c:v>
                </c:pt>
                <c:pt idx="243">
                  <c:v>1.42219195976287e-5</c:v>
                </c:pt>
                <c:pt idx="244">
                  <c:v>2.03083913662981e-5</c:v>
                </c:pt>
                <c:pt idx="245">
                  <c:v>2.88790744371602e-5</c:v>
                </c:pt>
                <c:pt idx="246">
                  <c:v>4.08960588420568e-5</c:v>
                </c:pt>
                <c:pt idx="247">
                  <c:v>5.76726735695931e-5</c:v>
                </c:pt>
                <c:pt idx="248">
                  <c:v>8.09933110200513e-5</c:v>
                </c:pt>
                <c:pt idx="249">
                  <c:v>0.000113270981273391</c:v>
                </c:pt>
                <c:pt idx="250">
                  <c:v>0.000157753358229317</c:v>
                </c:pt>
                <c:pt idx="251">
                  <c:v>0.000218790773894475</c:v>
                </c:pt>
                <c:pt idx="252">
                  <c:v>0.000302182866480601</c:v>
                </c:pt>
                <c:pt idx="253">
                  <c:v>0.000415624470682049</c:v>
                </c:pt>
                <c:pt idx="254">
                  <c:v>0.000569275932573194</c:v>
                </c:pt>
                <c:pt idx="255">
                  <c:v>0.000776488410719676</c:v>
                </c:pt>
                <c:pt idx="256">
                  <c:v>0.00105472095305968</c:v>
                </c:pt>
                <c:pt idx="257">
                  <c:v>0.00142669326238222</c:v>
                </c:pt>
                <c:pt idx="258">
                  <c:v>0.00192182610210275</c:v>
                </c:pt>
                <c:pt idx="259">
                  <c:v>0.00257803023179551</c:v>
                </c:pt>
                <c:pt idx="260">
                  <c:v>0.00344391453223497</c:v>
                </c:pt>
                <c:pt idx="261">
                  <c:v>0.00458149445222179</c:v>
                </c:pt>
                <c:pt idx="262">
                  <c:v>0.0060694928742558</c:v>
                </c:pt>
                <c:pt idx="263">
                  <c:v>0.00800733664691595</c:v>
                </c:pt>
                <c:pt idx="264">
                  <c:v>0.0105199629492729</c:v>
                </c:pt>
                <c:pt idx="265">
                  <c:v>0.0137635597883545</c:v>
                </c:pt>
                <c:pt idx="266">
                  <c:v>0.0179323735931392</c:v>
                </c:pt>
                <c:pt idx="267">
                  <c:v>0.0232667232129442</c:v>
                </c:pt>
                <c:pt idx="268">
                  <c:v>0.0300623626513587</c:v>
                </c:pt>
                <c:pt idx="269">
                  <c:v>0.0386813334103659</c:v>
                </c:pt>
                <c:pt idx="270">
                  <c:v>0.0495644400809658</c:v>
                </c:pt>
                <c:pt idx="271">
                  <c:v>0.0632454683752818</c:v>
                </c:pt>
                <c:pt idx="272">
                  <c:v>0.0803672416486848</c:v>
                </c:pt>
                <c:pt idx="273">
                  <c:v>0.10169957858005</c:v>
                </c:pt>
                <c:pt idx="274">
                  <c:v>0.128159169579625</c:v>
                </c:pt>
                <c:pt idx="275">
                  <c:v>0.1608313313268</c:v>
                </c:pt>
                <c:pt idx="276">
                  <c:v>0.200993526494539</c:v>
                </c:pt>
                <c:pt idx="277">
                  <c:v>0.250140448446907</c:v>
                </c:pt>
                <c:pt idx="278">
                  <c:v>0.310010368252624</c:v>
                </c:pt>
                <c:pt idx="279">
                  <c:v>0.382612324134457</c:v>
                </c:pt>
                <c:pt idx="280">
                  <c:v>0.470253602650616</c:v>
                </c:pt>
                <c:pt idx="281">
                  <c:v>0.575566818582876</c:v>
                </c:pt>
                <c:pt idx="282">
                  <c:v>0.701535749832976</c:v>
                </c:pt>
                <c:pt idx="283">
                  <c:v>0.85151892888552</c:v>
                </c:pt>
                <c:pt idx="284">
                  <c:v>1.02926983904961</c:v>
                </c:pt>
                <c:pt idx="285">
                  <c:v>1.23895241839401</c:v>
                </c:pt>
                <c:pt idx="286">
                  <c:v>1.48515044480775</c:v>
                </c:pt>
                <c:pt idx="287">
                  <c:v>1.77286927068561</c:v>
                </c:pt>
                <c:pt idx="288">
                  <c:v>2.10752830483333</c:v>
                </c:pt>
                <c:pt idx="289">
                  <c:v>2.49494261220681</c:v>
                </c:pt>
                <c:pt idx="290">
                  <c:v>2.94129202895658</c:v>
                </c:pt>
                <c:pt idx="291">
                  <c:v>3.45307628037304</c:v>
                </c:pt>
                <c:pt idx="292">
                  <c:v>4.037054751112</c:v>
                </c:pt>
                <c:pt idx="293">
                  <c:v>4.7001697972569</c:v>
                </c:pt>
                <c:pt idx="294">
                  <c:v>5.44945281277819</c:v>
                </c:pt>
                <c:pt idx="295">
                  <c:v>6.29191267028643</c:v>
                </c:pt>
                <c:pt idx="296">
                  <c:v>7.23440664562246</c:v>
                </c:pt>
                <c:pt idx="297">
                  <c:v>8.28349450174354</c:v>
                </c:pt>
                <c:pt idx="298">
                  <c:v>9.44527703910792</c:v>
                </c:pt>
                <c:pt idx="299">
                  <c:v>10.7252211023026</c:v>
                </c:pt>
                <c:pt idx="300">
                  <c:v>12.1279737463929</c:v>
                </c:pt>
                <c:pt idx="301">
                  <c:v>13.6571689874854</c:v>
                </c:pt>
                <c:pt idx="302">
                  <c:v>15.3152312625897</c:v>
                </c:pt>
                <c:pt idx="303">
                  <c:v>17.1031803733862</c:v>
                </c:pt>
                <c:pt idx="304">
                  <c:v>19.0204432544032</c:v>
                </c:pt>
                <c:pt idx="305">
                  <c:v>21.0646783552689</c:v>
                </c:pt>
                <c:pt idx="306">
                  <c:v>23.2316187269946</c:v>
                </c:pt>
                <c:pt idx="307">
                  <c:v>25.5149400241525</c:v>
                </c:pt>
                <c:pt idx="308">
                  <c:v>27.9061595531984</c:v>
                </c:pt>
                <c:pt idx="309">
                  <c:v>30.3945721929892</c:v>
                </c:pt>
                <c:pt idx="310">
                  <c:v>32.9672284753449</c:v>
                </c:pt>
                <c:pt idx="311">
                  <c:v>35.6089593388783</c:v>
                </c:pt>
                <c:pt idx="312">
                  <c:v>38.3024510658653</c:v>
                </c:pt>
                <c:pt idx="313">
                  <c:v>41.0283726978564</c:v>
                </c:pt>
                <c:pt idx="314">
                  <c:v>43.7655568299527</c:v>
                </c:pt>
                <c:pt idx="315">
                  <c:v>46.4912331453682</c:v>
                </c:pt>
                <c:pt idx="316">
                  <c:v>49.1813124195229</c:v>
                </c:pt>
                <c:pt idx="317">
                  <c:v>51.8107170525726</c:v>
                </c:pt>
                <c:pt idx="318">
                  <c:v>54.3537525427294</c:v>
                </c:pt>
                <c:pt idx="319">
                  <c:v>56.7845127547684</c:v>
                </c:pt>
                <c:pt idx="320">
                  <c:v>59.0773104338245</c:v>
                </c:pt>
                <c:pt idx="321">
                  <c:v>61.2071232262356</c:v>
                </c:pt>
                <c:pt idx="322">
                  <c:v>63.1500445532148</c:v>
                </c:pt>
                <c:pt idx="323">
                  <c:v>64.8837280871765</c:v>
                </c:pt>
                <c:pt idx="324">
                  <c:v>66.3878143408556</c:v>
                </c:pt>
                <c:pt idx="325">
                  <c:v>67.6443280185939</c:v>
                </c:pt>
                <c:pt idx="326">
                  <c:v>68.6380353048716</c:v>
                </c:pt>
                <c:pt idx="327">
                  <c:v>69.3567511688534</c:v>
                </c:pt>
                <c:pt idx="328">
                  <c:v>69.7915880208441</c:v>
                </c:pt>
                <c:pt idx="329">
                  <c:v>69.93713862722</c:v>
                </c:pt>
                <c:pt idx="330">
                  <c:v>69.7915880208441</c:v>
                </c:pt>
                <c:pt idx="331">
                  <c:v>69.3567511688534</c:v>
                </c:pt>
                <c:pt idx="332">
                  <c:v>68.6380353048716</c:v>
                </c:pt>
                <c:pt idx="333">
                  <c:v>67.6443280185939</c:v>
                </c:pt>
                <c:pt idx="334">
                  <c:v>66.3878143408556</c:v>
                </c:pt>
                <c:pt idx="335">
                  <c:v>64.8837280871765</c:v>
                </c:pt>
                <c:pt idx="336">
                  <c:v>63.1500445532148</c:v>
                </c:pt>
                <c:pt idx="337">
                  <c:v>61.2071232262356</c:v>
                </c:pt>
                <c:pt idx="338">
                  <c:v>59.0773104338245</c:v>
                </c:pt>
                <c:pt idx="339">
                  <c:v>56.7845127547684</c:v>
                </c:pt>
                <c:pt idx="340">
                  <c:v>54.3537525427294</c:v>
                </c:pt>
                <c:pt idx="341">
                  <c:v>51.8107170525726</c:v>
                </c:pt>
                <c:pt idx="342">
                  <c:v>49.1813124195229</c:v>
                </c:pt>
                <c:pt idx="343">
                  <c:v>46.4912331453682</c:v>
                </c:pt>
                <c:pt idx="344">
                  <c:v>43.7655568299527</c:v>
                </c:pt>
                <c:pt idx="345">
                  <c:v>41.0283726978564</c:v>
                </c:pt>
                <c:pt idx="346">
                  <c:v>38.3024510658653</c:v>
                </c:pt>
                <c:pt idx="347">
                  <c:v>35.6089593388783</c:v>
                </c:pt>
                <c:pt idx="348">
                  <c:v>32.9672284753449</c:v>
                </c:pt>
                <c:pt idx="349">
                  <c:v>30.3945721929892</c:v>
                </c:pt>
                <c:pt idx="350">
                  <c:v>27.9061595531984</c:v>
                </c:pt>
                <c:pt idx="351">
                  <c:v>25.5149400241525</c:v>
                </c:pt>
                <c:pt idx="352">
                  <c:v>23.2316187269946</c:v>
                </c:pt>
                <c:pt idx="353">
                  <c:v>21.0646783552689</c:v>
                </c:pt>
                <c:pt idx="354">
                  <c:v>19.0204432544032</c:v>
                </c:pt>
                <c:pt idx="355">
                  <c:v>17.1031803733862</c:v>
                </c:pt>
                <c:pt idx="356">
                  <c:v>15.3152312625897</c:v>
                </c:pt>
                <c:pt idx="357">
                  <c:v>13.6571689874854</c:v>
                </c:pt>
                <c:pt idx="358">
                  <c:v>12.1279737463929</c:v>
                </c:pt>
                <c:pt idx="359">
                  <c:v>10.7252211023026</c:v>
                </c:pt>
                <c:pt idx="360">
                  <c:v>9.44527703910792</c:v>
                </c:pt>
                <c:pt idx="361">
                  <c:v>8.28349450174354</c:v>
                </c:pt>
                <c:pt idx="362">
                  <c:v>7.23440664562246</c:v>
                </c:pt>
                <c:pt idx="363">
                  <c:v>6.29191267028643</c:v>
                </c:pt>
                <c:pt idx="364">
                  <c:v>5.44945281277819</c:v>
                </c:pt>
                <c:pt idx="365">
                  <c:v>4.7001697972569</c:v>
                </c:pt>
                <c:pt idx="366">
                  <c:v>4.037054751112</c:v>
                </c:pt>
                <c:pt idx="367">
                  <c:v>3.45307628037304</c:v>
                </c:pt>
                <c:pt idx="368">
                  <c:v>2.94129202895658</c:v>
                </c:pt>
                <c:pt idx="369">
                  <c:v>2.49494261220681</c:v>
                </c:pt>
                <c:pt idx="370">
                  <c:v>2.10752830483333</c:v>
                </c:pt>
                <c:pt idx="371">
                  <c:v>1.77286927068561</c:v>
                </c:pt>
                <c:pt idx="372">
                  <c:v>1.48515044480775</c:v>
                </c:pt>
                <c:pt idx="373">
                  <c:v>1.23895241839401</c:v>
                </c:pt>
                <c:pt idx="374">
                  <c:v>1.02926983904961</c:v>
                </c:pt>
                <c:pt idx="375">
                  <c:v>0.85151892888552</c:v>
                </c:pt>
                <c:pt idx="376">
                  <c:v>0.701535749832976</c:v>
                </c:pt>
                <c:pt idx="377">
                  <c:v>0.575566818582876</c:v>
                </c:pt>
                <c:pt idx="378">
                  <c:v>0.470253602650616</c:v>
                </c:pt>
                <c:pt idx="379">
                  <c:v>0.382612324134457</c:v>
                </c:pt>
                <c:pt idx="380">
                  <c:v>0.310010368252624</c:v>
                </c:pt>
                <c:pt idx="381">
                  <c:v>0.250140448446907</c:v>
                </c:pt>
                <c:pt idx="382">
                  <c:v>0.200993526494539</c:v>
                </c:pt>
                <c:pt idx="383">
                  <c:v>0.1608313313268</c:v>
                </c:pt>
                <c:pt idx="384">
                  <c:v>0.128159169579625</c:v>
                </c:pt>
                <c:pt idx="385">
                  <c:v>0.10169957858005</c:v>
                </c:pt>
                <c:pt idx="386">
                  <c:v>0.0803672416486848</c:v>
                </c:pt>
                <c:pt idx="387">
                  <c:v>0.0632454683752818</c:v>
                </c:pt>
                <c:pt idx="388">
                  <c:v>0.0495644400809658</c:v>
                </c:pt>
                <c:pt idx="389">
                  <c:v>0.0386813334103659</c:v>
                </c:pt>
                <c:pt idx="390">
                  <c:v>0.0300623626513587</c:v>
                </c:pt>
                <c:pt idx="391">
                  <c:v>0.0232667232129442</c:v>
                </c:pt>
                <c:pt idx="392">
                  <c:v>0.0179323735931392</c:v>
                </c:pt>
                <c:pt idx="393">
                  <c:v>0.0137635597883545</c:v>
                </c:pt>
                <c:pt idx="394">
                  <c:v>0.0105199629492729</c:v>
                </c:pt>
                <c:pt idx="395">
                  <c:v>0.00800733664691595</c:v>
                </c:pt>
                <c:pt idx="396">
                  <c:v>0.0060694928742558</c:v>
                </c:pt>
                <c:pt idx="397">
                  <c:v>0.00458149445222179</c:v>
                </c:pt>
                <c:pt idx="398">
                  <c:v>0.00344391453223497</c:v>
                </c:pt>
                <c:pt idx="399">
                  <c:v>0.00257803023179551</c:v>
                </c:pt>
                <c:pt idx="400">
                  <c:v>0.00192182610210275</c:v>
                </c:pt>
                <c:pt idx="401">
                  <c:v>0.00142669326238222</c:v>
                </c:pt>
                <c:pt idx="402">
                  <c:v>0.00105472095305968</c:v>
                </c:pt>
                <c:pt idx="403">
                  <c:v>0.000776488410719676</c:v>
                </c:pt>
                <c:pt idx="404">
                  <c:v>0.000569275932573194</c:v>
                </c:pt>
                <c:pt idx="405">
                  <c:v>0.000415624470682049</c:v>
                </c:pt>
                <c:pt idx="406">
                  <c:v>0.000302182866480601</c:v>
                </c:pt>
                <c:pt idx="407">
                  <c:v>0.000218790773894475</c:v>
                </c:pt>
                <c:pt idx="408">
                  <c:v>0.000157753358229317</c:v>
                </c:pt>
                <c:pt idx="409">
                  <c:v>0.000113270981273391</c:v>
                </c:pt>
                <c:pt idx="410">
                  <c:v>8.09933110200513e-5</c:v>
                </c:pt>
                <c:pt idx="411">
                  <c:v>5.76726735695931e-5</c:v>
                </c:pt>
                <c:pt idx="412">
                  <c:v>4.08960588420568e-5</c:v>
                </c:pt>
                <c:pt idx="413">
                  <c:v>2.88790744371602e-5</c:v>
                </c:pt>
                <c:pt idx="414">
                  <c:v>2.03083913662981e-5</c:v>
                </c:pt>
                <c:pt idx="415">
                  <c:v>1.42219195976287e-5</c:v>
                </c:pt>
                <c:pt idx="416">
                  <c:v>9.91816558999864e-6</c:v>
                </c:pt>
                <c:pt idx="417">
                  <c:v>6.88802843794554e-6</c:v>
                </c:pt>
                <c:pt idx="418">
                  <c:v>4.76374985981835e-6</c:v>
                </c:pt>
                <c:pt idx="419">
                  <c:v>3.28090312654858e-6</c:v>
                </c:pt>
                <c:pt idx="420">
                  <c:v>2.25023723462374e-6</c:v>
                </c:pt>
                <c:pt idx="421">
                  <c:v>1.53692843919358e-6</c:v>
                </c:pt>
                <c:pt idx="422">
                  <c:v>1.04536854439331e-6</c:v>
                </c:pt>
                <c:pt idx="423">
                  <c:v>7.080691121818e-7</c:v>
                </c:pt>
                <c:pt idx="424">
                  <c:v>4.77608791638645e-7</c:v>
                </c:pt>
                <c:pt idx="425">
                  <c:v>3.20818509046074e-7</c:v>
                </c:pt>
                <c:pt idx="426">
                  <c:v>2.14603579083184e-7</c:v>
                </c:pt>
                <c:pt idx="427">
                  <c:v>1.42956842105483e-7</c:v>
                </c:pt>
                <c:pt idx="428">
                  <c:v>9.48338478769592e-8</c:v>
                </c:pt>
                <c:pt idx="429">
                  <c:v>6.26487253890891e-8</c:v>
                </c:pt>
                <c:pt idx="430">
                  <c:v>4.1214643495771e-8</c:v>
                </c:pt>
                <c:pt idx="431">
                  <c:v>2.70010900030046e-8</c:v>
                </c:pt>
                <c:pt idx="432">
                  <c:v>1.7615764116931e-8</c:v>
                </c:pt>
                <c:pt idx="433">
                  <c:v>1.144490301884e-8</c:v>
                </c:pt>
                <c:pt idx="434">
                  <c:v>7.40479753670783e-9</c:v>
                </c:pt>
                <c:pt idx="435">
                  <c:v>4.77094819549984e-9</c:v>
                </c:pt>
                <c:pt idx="436">
                  <c:v>3.0611644009158e-9</c:v>
                </c:pt>
                <c:pt idx="437">
                  <c:v>1.95595585313199e-9</c:v>
                </c:pt>
                <c:pt idx="438">
                  <c:v>1.24457732234163e-9</c:v>
                </c:pt>
                <c:pt idx="439">
                  <c:v>7.88633387335837e-10</c:v>
                </c:pt>
                <c:pt idx="440">
                  <c:v>4.97644118990172e-10</c:v>
                </c:pt>
                <c:pt idx="441">
                  <c:v>3.12718110784523e-10</c:v>
                </c:pt>
                <c:pt idx="442">
                  <c:v>1.95694054946204e-10</c:v>
                </c:pt>
                <c:pt idx="443">
                  <c:v>1.21953051509614e-10</c:v>
                </c:pt>
                <c:pt idx="444">
                  <c:v>7.5682967456777e-11</c:v>
                </c:pt>
                <c:pt idx="445">
                  <c:v>4.67728758135277e-11</c:v>
                </c:pt>
                <c:pt idx="446">
                  <c:v>2.87859412846746e-11</c:v>
                </c:pt>
                <c:pt idx="447">
                  <c:v>1.76423826815348e-11</c:v>
                </c:pt>
                <c:pt idx="448">
                  <c:v>1.07677380535651e-11</c:v>
                </c:pt>
                <c:pt idx="449">
                  <c:v>6.54458581360088e-12</c:v>
                </c:pt>
                <c:pt idx="450">
                  <c:v>3.96123212235866e-12</c:v>
                </c:pt>
                <c:pt idx="451">
                  <c:v>2.38764006927722e-12</c:v>
                </c:pt>
                <c:pt idx="452">
                  <c:v>1.43317051884863e-12</c:v>
                </c:pt>
                <c:pt idx="453">
                  <c:v>8.56677408170633e-13</c:v>
                </c:pt>
                <c:pt idx="454">
                  <c:v>5.09949538549103e-13</c:v>
                </c:pt>
                <c:pt idx="455">
                  <c:v>3.0229261190578e-13</c:v>
                </c:pt>
                <c:pt idx="456">
                  <c:v>1.78450719717231e-13</c:v>
                </c:pt>
                <c:pt idx="457">
                  <c:v>1.04905803756358e-13</c:v>
                </c:pt>
                <c:pt idx="458">
                  <c:v>6.14145350242249e-14</c:v>
                </c:pt>
                <c:pt idx="459">
                  <c:v>3.58041412301165e-14</c:v>
                </c:pt>
                <c:pt idx="460">
                  <c:v>2.07867118521265e-14</c:v>
                </c:pt>
                <c:pt idx="461">
                  <c:v>1.20179051215053e-14</c:v>
                </c:pt>
                <c:pt idx="462">
                  <c:v>6.91930042045003e-15</c:v>
                </c:pt>
                <c:pt idx="463">
                  <c:v>3.96721780157528e-15</c:v>
                </c:pt>
                <c:pt idx="464">
                  <c:v>2.26516760427701e-15</c:v>
                </c:pt>
                <c:pt idx="465">
                  <c:v>1.28796802247861e-15</c:v>
                </c:pt>
                <c:pt idx="466">
                  <c:v>7.2929000258271e-16</c:v>
                </c:pt>
                <c:pt idx="467">
                  <c:v>4.11231032882878e-16</c:v>
                </c:pt>
                <c:pt idx="468">
                  <c:v>2.30920208986634e-16</c:v>
                </c:pt>
                <c:pt idx="469">
                  <c:v>1.29130384463275e-16</c:v>
                </c:pt>
                <c:pt idx="470">
                  <c:v>7.19093539771408e-17</c:v>
                </c:pt>
                <c:pt idx="471">
                  <c:v>3.98779450948677e-17</c:v>
                </c:pt>
                <c:pt idx="472">
                  <c:v>2.20227016816982e-17</c:v>
                </c:pt>
                <c:pt idx="473">
                  <c:v>1.21115258822805e-17</c:v>
                </c:pt>
                <c:pt idx="474">
                  <c:v>6.63311563133435e-18</c:v>
                </c:pt>
                <c:pt idx="475">
                  <c:v>3.61765140060457e-18</c:v>
                </c:pt>
                <c:pt idx="476">
                  <c:v>1.96483598737792e-18</c:v>
                </c:pt>
                <c:pt idx="477">
                  <c:v>1.06271383168919e-18</c:v>
                </c:pt>
                <c:pt idx="478">
                  <c:v>5.72396280800692e-19</c:v>
                </c:pt>
                <c:pt idx="479">
                  <c:v>3.07020740042852e-19</c:v>
                </c:pt>
                <c:pt idx="480">
                  <c:v>1.63994418043386e-19</c:v>
                </c:pt>
                <c:pt idx="481">
                  <c:v>8.72330101054856e-20</c:v>
                </c:pt>
                <c:pt idx="482">
                  <c:v>4.62086299585997e-20</c:v>
                </c:pt>
                <c:pt idx="483">
                  <c:v>2.43756253799563e-20</c:v>
                </c:pt>
                <c:pt idx="484">
                  <c:v>1.28049793396239e-20</c:v>
                </c:pt>
                <c:pt idx="485">
                  <c:v>6.69872945843438e-21</c:v>
                </c:pt>
                <c:pt idx="486">
                  <c:v>3.48976703081152e-21</c:v>
                </c:pt>
                <c:pt idx="487">
                  <c:v>1.81046808450104e-21</c:v>
                </c:pt>
                <c:pt idx="488">
                  <c:v>9.35353449406051e-22</c:v>
                </c:pt>
                <c:pt idx="489">
                  <c:v>4.81228203098028e-22</c:v>
                </c:pt>
                <c:pt idx="490">
                  <c:v>2.46556713519401e-22</c:v>
                </c:pt>
                <c:pt idx="491">
                  <c:v>1.25797796488277e-22</c:v>
                </c:pt>
                <c:pt idx="492">
                  <c:v>6.39174847190019e-23</c:v>
                </c:pt>
                <c:pt idx="493">
                  <c:v>3.23412468709327e-23</c:v>
                </c:pt>
                <c:pt idx="494">
                  <c:v>1.62961226104406e-23</c:v>
                </c:pt>
                <c:pt idx="495">
                  <c:v>8.17715534969509e-24</c:v>
                </c:pt>
                <c:pt idx="496">
                  <c:v>4.08611565026741e-24</c:v>
                </c:pt>
                <c:pt idx="497">
                  <c:v>2.03333764462027e-24</c:v>
                </c:pt>
                <c:pt idx="498">
                  <c:v>1.00762466256384e-24</c:v>
                </c:pt>
                <c:pt idx="499">
                  <c:v>4.97254265452623e-25</c:v>
                </c:pt>
                <c:pt idx="500">
                  <c:v>2.44370448860885e-25</c:v>
                </c:pt>
                <c:pt idx="501">
                  <c:v>1.19593973842175e-25</c:v>
                </c:pt>
                <c:pt idx="502">
                  <c:v>5.82854760394052e-26</c:v>
                </c:pt>
                <c:pt idx="503">
                  <c:v>2.82879737185148e-26</c:v>
                </c:pt>
                <c:pt idx="504">
                  <c:v>1.36720542412303e-26</c:v>
                </c:pt>
                <c:pt idx="505">
                  <c:v>6.58045837657903e-27</c:v>
                </c:pt>
                <c:pt idx="506">
                  <c:v>3.15405281252425e-27</c:v>
                </c:pt>
                <c:pt idx="507">
                  <c:v>1.50547038443872e-27</c:v>
                </c:pt>
                <c:pt idx="508">
                  <c:v>7.15592718664499e-28</c:v>
                </c:pt>
                <c:pt idx="509">
                  <c:v>3.38727182793065e-28</c:v>
                </c:pt>
                <c:pt idx="510">
                  <c:v>1.59670479020751e-28</c:v>
                </c:pt>
                <c:pt idx="511">
                  <c:v>7.49531082079281e-29</c:v>
                </c:pt>
                <c:pt idx="512">
                  <c:v>3.50384678348476e-29</c:v>
                </c:pt>
                <c:pt idx="513">
                  <c:v>1.63113913556852e-29</c:v>
                </c:pt>
                <c:pt idx="514">
                  <c:v>7.56183765722161e-30</c:v>
                </c:pt>
                <c:pt idx="515">
                  <c:v>3.49103442883125e-30</c:v>
                </c:pt>
                <c:pt idx="516">
                  <c:v>1.60498639452878e-30</c:v>
                </c:pt>
                <c:pt idx="517">
                  <c:v>7.34816702758189e-31</c:v>
                </c:pt>
                <c:pt idx="518">
                  <c:v>3.35024929594072e-31</c:v>
                </c:pt>
                <c:pt idx="519">
                  <c:v>1.52112768459654e-31</c:v>
                </c:pt>
                <c:pt idx="520">
                  <c:v>6.87772263271096e-32</c:v>
                </c:pt>
                <c:pt idx="521">
                  <c:v>3.09680660930274e-32</c:v>
                </c:pt>
              </c:numCache>
            </c:numRef>
          </c:yVal>
          <c:smooth val="1"/>
        </c:ser>
        <c:dLbls>
          <c:showLegendKey val="0"/>
          <c:showVal val="0"/>
          <c:showCatName val="0"/>
          <c:showSerName val="0"/>
          <c:showPercent val="0"/>
          <c:showBubbleSize val="0"/>
        </c:dLbls>
        <c:axId val="143771782"/>
        <c:axId val="220574559"/>
      </c:scatterChart>
      <c:valAx>
        <c:axId val="143771782"/>
        <c:scaling>
          <c:orientation val="minMax"/>
          <c:max val="500"/>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r>
                  <a:rPr lang="en-US" altLang="zh-CN"/>
                  <a:t>x(m)</a:t>
                </a:r>
                <a:endParaRPr lang="zh-CN" altLang="en-US" sz="1000" b="0" i="0" u="none" strike="noStrike"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endParaRPr>
              </a:p>
            </c:rich>
          </c:tx>
          <c:layout>
            <c:manualLayout>
              <c:xMode val="edge"/>
              <c:yMode val="edge"/>
              <c:x val="0.472651524620029"/>
              <c:y val="0.9286148386381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p>
        </c:txPr>
        <c:crossAx val="220574559"/>
        <c:crosses val="autoZero"/>
        <c:crossBetween val="midCat"/>
        <c:majorUnit val="100"/>
      </c:valAx>
      <c:valAx>
        <c:axId val="220574559"/>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r>
                  <a:rPr lang="en-US" altLang="zh-CN" sz="900" b="0" i="0" u="none" strike="noStrike" baseline="0">
                    <a:solidFill>
                      <a:srgbClr val="000000"/>
                    </a:solidFill>
                    <a:latin typeface="Calibri" panose="020F0502020204030204" pitchFamily="2" charset="0"/>
                    <a:ea typeface="Calibri" panose="020F0502020204030204" pitchFamily="2" charset="0"/>
                    <a:cs typeface="Calibri" panose="020F0502020204030204" pitchFamily="2" charset="0"/>
                  </a:rPr>
                  <a:t>c(mg/L</a:t>
                </a:r>
                <a:r>
                  <a:rPr lang="en-US" altLang="zh-CN" sz="1000" b="0" i="0" u="none" strike="noStrike" baseline="0">
                    <a:solidFill>
                      <a:srgbClr val="000000"/>
                    </a:solidFill>
                    <a:latin typeface="Calibri" panose="020F0502020204030204" pitchFamily="2" charset="0"/>
                    <a:ea typeface="Calibri" panose="020F0502020204030204" pitchFamily="2" charset="0"/>
                    <a:cs typeface="Calibri" panose="020F0502020204030204" pitchFamily="2" charset="0"/>
                  </a:rPr>
                  <a:t>)</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4334460833240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1" vertOverflow="ellipsis" vert="horz" wrap="square" anchor="ctr" anchorCtr="0"/>
          <a:lstStyle/>
          <a:p>
            <a:pPr>
              <a:defRPr lang="zh-CN" sz="900" b="0" i="0" u="none" strike="noStrike" kern="1200" baseline="0">
                <a:solidFill>
                  <a:schemeClr val="tx1"/>
                </a:solidFill>
                <a:latin typeface="+mn-lt"/>
                <a:ea typeface="+mn-ea"/>
                <a:cs typeface="+mn-cs"/>
              </a:defRPr>
            </a:pPr>
          </a:p>
        </c:txPr>
        <c:crossAx val="14377178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solidFill>
            <a:schemeClr val="tx1"/>
          </a:solidFill>
        </a:defRPr>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346</Pages>
  <Words>2871</Words>
  <Characters>3350</Characters>
  <Lines>1784</Lines>
  <Paragraphs>502</Paragraphs>
  <TotalTime>15</TotalTime>
  <ScaleCrop>false</ScaleCrop>
  <LinksUpToDate>false</LinksUpToDate>
  <CharactersWithSpaces>3591</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2023-10-23T10:00:00Z</dcterms:created>
  <dc:creator>摘星</dc:creator>
  <cp:lastModifiedBy>Administrator</cp:lastModifiedBy>
  <cp:lastPrinted>2023-12-25T05:39:00Z</cp:lastPrinted>
  <dcterms:modified xsi:type="dcterms:W3CDTF">2025-03-06T04:12:58Z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1D9B94BDAE7F4B9BA0447A0C3575D84A_13</vt:lpwstr>
  </property>
  <property fmtid="{D5CDD505-2E9C-101B-9397-08002B2CF9AE}" pid="4" name="KSOTemplateDocerSaveRecord">
    <vt:lpwstr>eyJoZGlkIjoiOTdiMDY0Mzg4MWY5NTRkMjdiMmZlYzgxOTJkMDkxMDciLCJ1c2VySWQiOiIxNTY1NjA1NjM1In0=</vt:lpwstr>
  </property>
</Properties>
</file>