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rPr>
          <w:rFonts w:ascii="宋体" w:hAnsi="宋体" w:eastAsia="宋体" w:cs="Times New Roman"/>
          <w:color w:val="auto"/>
          <w:kern w:val="2"/>
          <w:sz w:val="21"/>
          <w:szCs w:val="24"/>
          <w:highlight w:val="none"/>
          <w:lang w:val="en-US" w:eastAsia="zh-CN" w:bidi="ar-SA"/>
        </w:rPr>
        <w:id w:val="147465422"/>
        <w15:color w:val="DBDBDB"/>
        <w:docPartObj>
          <w:docPartGallery w:val="Table of Contents"/>
          <w:docPartUnique/>
        </w:docPartObj>
      </w:sdtPr>
      <w:sdtEndPr>
        <w:rPr>
          <w:rFonts w:hint="default" w:ascii="Times New Roman" w:hAnsi="Times New Roman" w:eastAsia="宋体" w:cs="Times New Roman"/>
          <w:b/>
          <w:color w:val="auto"/>
          <w:kern w:val="2"/>
          <w:sz w:val="24"/>
          <w:szCs w:val="24"/>
          <w:highlight w:val="none"/>
          <w:lang w:val="en-US" w:eastAsia="zh-CN" w:bidi="ar-SA"/>
        </w:rPr>
      </w:sdtEndPr>
      <w:sdtContent>
        <w:p>
          <w:pPr>
            <w:spacing w:before="0" w:beforeLines="0" w:after="0" w:afterLines="0" w:line="240" w:lineRule="auto"/>
            <w:ind w:left="0" w:leftChars="0" w:right="0" w:rightChars="0" w:firstLine="0" w:firstLineChars="0"/>
            <w:jc w:val="center"/>
            <w:rPr>
              <w:b/>
              <w:bCs/>
              <w:color w:val="auto"/>
              <w:sz w:val="28"/>
              <w:szCs w:val="28"/>
              <w:highlight w:val="none"/>
            </w:rPr>
          </w:pPr>
          <w:bookmarkStart w:id="0" w:name="_Toc5477"/>
          <w:bookmarkStart w:id="1" w:name="_Toc16967"/>
          <w:r>
            <w:rPr>
              <w:rFonts w:ascii="宋体" w:hAnsi="宋体" w:eastAsia="宋体"/>
              <w:b/>
              <w:bCs/>
              <w:color w:val="auto"/>
              <w:sz w:val="28"/>
              <w:szCs w:val="28"/>
              <w:highlight w:val="none"/>
            </w:rPr>
            <w:t>目</w:t>
          </w:r>
          <w:r>
            <w:rPr>
              <w:rFonts w:hint="eastAsia" w:ascii="宋体" w:hAnsi="宋体"/>
              <w:b/>
              <w:bCs/>
              <w:color w:val="auto"/>
              <w:sz w:val="28"/>
              <w:szCs w:val="28"/>
              <w:highlight w:val="none"/>
              <w:lang w:val="en-US" w:eastAsia="zh-CN"/>
            </w:rPr>
            <w:t xml:space="preserve"> </w:t>
          </w:r>
          <w:r>
            <w:rPr>
              <w:rFonts w:ascii="宋体" w:hAnsi="宋体" w:eastAsia="宋体"/>
              <w:b/>
              <w:bCs/>
              <w:color w:val="auto"/>
              <w:sz w:val="28"/>
              <w:szCs w:val="28"/>
              <w:highlight w:val="none"/>
            </w:rPr>
            <w:t>录</w:t>
          </w:r>
        </w:p>
        <w:p>
          <w:pPr>
            <w:pStyle w:val="23"/>
            <w:tabs>
              <w:tab w:val="right" w:leader="dot" w:pos="8250"/>
            </w:tabs>
            <w:rPr>
              <w:color w:val="auto"/>
            </w:rPr>
          </w:pPr>
          <w:r>
            <w:rPr>
              <w:rFonts w:hint="default"/>
              <w:color w:val="auto"/>
              <w:highlight w:val="none"/>
            </w:rPr>
            <w:fldChar w:fldCharType="begin"/>
          </w:r>
          <w:r>
            <w:rPr>
              <w:rFonts w:hint="default"/>
              <w:color w:val="auto"/>
              <w:highlight w:val="none"/>
            </w:rPr>
            <w:instrText xml:space="preserve">TOC \o "1-2" \h \u </w:instrText>
          </w:r>
          <w:r>
            <w:rPr>
              <w:rFonts w:hint="default"/>
              <w:color w:val="auto"/>
              <w:highlight w:val="none"/>
            </w:rPr>
            <w:fldChar w:fldCharType="separate"/>
          </w:r>
          <w:r>
            <w:rPr>
              <w:rFonts w:hint="default"/>
              <w:color w:val="auto"/>
              <w:highlight w:val="none"/>
            </w:rPr>
            <w:fldChar w:fldCharType="begin"/>
          </w:r>
          <w:r>
            <w:rPr>
              <w:rFonts w:hint="default"/>
              <w:color w:val="auto"/>
              <w:highlight w:val="none"/>
            </w:rPr>
            <w:instrText xml:space="preserve"> HYPERLINK \l _Toc19789 </w:instrText>
          </w:r>
          <w:r>
            <w:rPr>
              <w:rFonts w:hint="default"/>
              <w:color w:val="auto"/>
              <w:highlight w:val="none"/>
            </w:rPr>
            <w:fldChar w:fldCharType="separate"/>
          </w:r>
          <w:r>
            <w:rPr>
              <w:rFonts w:hint="default" w:ascii="Times New Roman" w:hAnsi="Times New Roman" w:cs="Times New Roman"/>
              <w:snapToGrid w:val="0"/>
              <w:color w:val="auto"/>
              <w:kern w:val="0"/>
              <w:szCs w:val="44"/>
              <w:highlight w:val="none"/>
            </w:rPr>
            <w:t>1</w:t>
          </w:r>
          <w:r>
            <w:rPr>
              <w:rFonts w:hint="eastAsia" w:ascii="Times New Roman" w:hAnsi="Times New Roman" w:cs="Times New Roman"/>
              <w:snapToGrid w:val="0"/>
              <w:color w:val="auto"/>
              <w:kern w:val="0"/>
              <w:szCs w:val="44"/>
              <w:highlight w:val="none"/>
              <w:lang w:val="en-US" w:eastAsia="zh-CN"/>
            </w:rPr>
            <w:t>概述</w:t>
          </w:r>
          <w:r>
            <w:rPr>
              <w:color w:val="auto"/>
            </w:rPr>
            <w:tab/>
          </w:r>
          <w:r>
            <w:rPr>
              <w:color w:val="auto"/>
            </w:rPr>
            <w:fldChar w:fldCharType="begin"/>
          </w:r>
          <w:r>
            <w:rPr>
              <w:color w:val="auto"/>
            </w:rPr>
            <w:instrText xml:space="preserve"> PAGEREF _Toc19789 \h </w:instrText>
          </w:r>
          <w:r>
            <w:rPr>
              <w:color w:val="auto"/>
            </w:rPr>
            <w:fldChar w:fldCharType="separate"/>
          </w:r>
          <w:r>
            <w:rPr>
              <w:color w:val="auto"/>
            </w:rPr>
            <w:t>1</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_Toc9937 </w:instrText>
          </w:r>
          <w:r>
            <w:rPr>
              <w:rFonts w:hint="default"/>
              <w:color w:val="auto"/>
              <w:highlight w:val="none"/>
            </w:rPr>
            <w:fldChar w:fldCharType="separate"/>
          </w:r>
          <w:r>
            <w:rPr>
              <w:rFonts w:hint="default" w:ascii="Times New Roman" w:hAnsi="Times New Roman" w:cs="Times New Roman"/>
              <w:bCs/>
              <w:snapToGrid w:val="0"/>
              <w:color w:val="auto"/>
              <w:kern w:val="0"/>
              <w:szCs w:val="32"/>
              <w:highlight w:val="none"/>
              <w:lang w:eastAsia="zh-CN" w:bidi="ar-SA"/>
            </w:rPr>
            <w:t>1.1</w:t>
          </w:r>
          <w:r>
            <w:rPr>
              <w:rFonts w:hint="eastAsia" w:ascii="Times New Roman" w:hAnsi="Times New Roman" w:cs="Times New Roman"/>
              <w:bCs/>
              <w:snapToGrid w:val="0"/>
              <w:color w:val="auto"/>
              <w:kern w:val="0"/>
              <w:szCs w:val="32"/>
              <w:highlight w:val="none"/>
              <w:lang w:val="en-US" w:eastAsia="zh-CN" w:bidi="ar-SA"/>
            </w:rPr>
            <w:t>项目</w:t>
          </w:r>
          <w:r>
            <w:rPr>
              <w:rFonts w:hint="eastAsia" w:ascii="Times New Roman" w:hAnsi="Times New Roman" w:cs="Times New Roman"/>
              <w:bCs/>
              <w:snapToGrid w:val="0"/>
              <w:color w:val="auto"/>
              <w:kern w:val="0"/>
              <w:szCs w:val="32"/>
              <w:highlight w:val="none"/>
              <w:lang w:eastAsia="zh-CN" w:bidi="ar-SA"/>
            </w:rPr>
            <w:t>由来及背景</w:t>
          </w:r>
          <w:r>
            <w:rPr>
              <w:color w:val="auto"/>
            </w:rPr>
            <w:tab/>
          </w:r>
          <w:r>
            <w:rPr>
              <w:color w:val="auto"/>
            </w:rPr>
            <w:fldChar w:fldCharType="begin"/>
          </w:r>
          <w:r>
            <w:rPr>
              <w:color w:val="auto"/>
            </w:rPr>
            <w:instrText xml:space="preserve"> PAGEREF _Toc9937 \h </w:instrText>
          </w:r>
          <w:r>
            <w:rPr>
              <w:color w:val="auto"/>
            </w:rPr>
            <w:fldChar w:fldCharType="separate"/>
          </w:r>
          <w:r>
            <w:rPr>
              <w:color w:val="auto"/>
            </w:rPr>
            <w:t>1</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_Toc24076 </w:instrText>
          </w:r>
          <w:r>
            <w:rPr>
              <w:rFonts w:hint="default"/>
              <w:color w:val="auto"/>
              <w:highlight w:val="none"/>
            </w:rPr>
            <w:fldChar w:fldCharType="separate"/>
          </w:r>
          <w:r>
            <w:rPr>
              <w:rFonts w:hint="default" w:ascii="Times New Roman" w:hAnsi="Times New Roman" w:eastAsia="宋体" w:cs="Times New Roman"/>
              <w:bCs/>
              <w:snapToGrid w:val="0"/>
              <w:color w:val="auto"/>
              <w:kern w:val="0"/>
              <w:szCs w:val="32"/>
              <w:highlight w:val="none"/>
              <w:lang w:eastAsia="zh-CN" w:bidi="ar-SA"/>
            </w:rPr>
            <w:t>1.</w:t>
          </w:r>
          <w:r>
            <w:rPr>
              <w:rFonts w:hint="eastAsia" w:ascii="Times New Roman" w:hAnsi="Times New Roman" w:eastAsia="宋体" w:cs="Times New Roman"/>
              <w:bCs/>
              <w:snapToGrid w:val="0"/>
              <w:color w:val="auto"/>
              <w:kern w:val="0"/>
              <w:szCs w:val="32"/>
              <w:highlight w:val="none"/>
              <w:lang w:val="en-US" w:eastAsia="zh-CN" w:bidi="ar-SA"/>
            </w:rPr>
            <w:t>2</w:t>
          </w:r>
          <w:r>
            <w:rPr>
              <w:rFonts w:hint="default" w:ascii="Times New Roman" w:hAnsi="Times New Roman" w:eastAsia="宋体" w:cs="Times New Roman"/>
              <w:bCs/>
              <w:snapToGrid w:val="0"/>
              <w:color w:val="auto"/>
              <w:kern w:val="0"/>
              <w:szCs w:val="32"/>
              <w:highlight w:val="none"/>
              <w:lang w:eastAsia="zh-CN" w:bidi="ar-SA"/>
            </w:rPr>
            <w:t>项目特点</w:t>
          </w:r>
          <w:r>
            <w:rPr>
              <w:color w:val="auto"/>
            </w:rPr>
            <w:tab/>
          </w:r>
          <w:r>
            <w:rPr>
              <w:color w:val="auto"/>
            </w:rPr>
            <w:fldChar w:fldCharType="begin"/>
          </w:r>
          <w:r>
            <w:rPr>
              <w:color w:val="auto"/>
            </w:rPr>
            <w:instrText xml:space="preserve"> PAGEREF _Toc24076 \h </w:instrText>
          </w:r>
          <w:r>
            <w:rPr>
              <w:color w:val="auto"/>
            </w:rPr>
            <w:fldChar w:fldCharType="separate"/>
          </w:r>
          <w:r>
            <w:rPr>
              <w:color w:val="auto"/>
            </w:rPr>
            <w:t>2</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_Toc22710 </w:instrText>
          </w:r>
          <w:r>
            <w:rPr>
              <w:rFonts w:hint="default"/>
              <w:color w:val="auto"/>
              <w:highlight w:val="none"/>
            </w:rPr>
            <w:fldChar w:fldCharType="separate"/>
          </w:r>
          <w:r>
            <w:rPr>
              <w:rFonts w:hint="default" w:ascii="Times New Roman" w:hAnsi="Times New Roman" w:eastAsia="宋体" w:cs="Times New Roman"/>
              <w:bCs/>
              <w:snapToGrid w:val="0"/>
              <w:color w:val="auto"/>
              <w:kern w:val="0"/>
              <w:szCs w:val="32"/>
              <w:highlight w:val="none"/>
              <w:lang w:eastAsia="zh-CN" w:bidi="ar-SA"/>
            </w:rPr>
            <w:t>1.</w:t>
          </w:r>
          <w:r>
            <w:rPr>
              <w:rFonts w:hint="eastAsia" w:ascii="Times New Roman" w:hAnsi="Times New Roman" w:eastAsia="宋体" w:cs="Times New Roman"/>
              <w:bCs/>
              <w:snapToGrid w:val="0"/>
              <w:color w:val="auto"/>
              <w:kern w:val="0"/>
              <w:szCs w:val="32"/>
              <w:highlight w:val="none"/>
              <w:lang w:val="en-US" w:eastAsia="zh-CN" w:bidi="ar-SA"/>
            </w:rPr>
            <w:t>3</w:t>
          </w:r>
          <w:r>
            <w:rPr>
              <w:rFonts w:hint="default" w:ascii="Times New Roman" w:hAnsi="Times New Roman" w:eastAsia="宋体" w:cs="Times New Roman"/>
              <w:bCs/>
              <w:snapToGrid w:val="0"/>
              <w:color w:val="auto"/>
              <w:kern w:val="0"/>
              <w:szCs w:val="32"/>
              <w:highlight w:val="none"/>
              <w:lang w:eastAsia="zh-CN" w:bidi="ar-SA"/>
            </w:rPr>
            <w:t>评价技术路线</w:t>
          </w:r>
          <w:r>
            <w:rPr>
              <w:color w:val="auto"/>
            </w:rPr>
            <w:tab/>
          </w:r>
          <w:r>
            <w:rPr>
              <w:color w:val="auto"/>
            </w:rPr>
            <w:fldChar w:fldCharType="begin"/>
          </w:r>
          <w:r>
            <w:rPr>
              <w:color w:val="auto"/>
            </w:rPr>
            <w:instrText xml:space="preserve"> PAGEREF _Toc22710 \h </w:instrText>
          </w:r>
          <w:r>
            <w:rPr>
              <w:color w:val="auto"/>
            </w:rPr>
            <w:fldChar w:fldCharType="separate"/>
          </w:r>
          <w:r>
            <w:rPr>
              <w:color w:val="auto"/>
            </w:rPr>
            <w:t>2</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_Toc1178 </w:instrText>
          </w:r>
          <w:r>
            <w:rPr>
              <w:rFonts w:hint="default"/>
              <w:color w:val="auto"/>
              <w:highlight w:val="none"/>
            </w:rPr>
            <w:fldChar w:fldCharType="separate"/>
          </w:r>
          <w:r>
            <w:rPr>
              <w:rFonts w:hint="default" w:ascii="Times New Roman" w:hAnsi="Times New Roman" w:eastAsia="宋体" w:cs="Times New Roman"/>
              <w:bCs/>
              <w:snapToGrid w:val="0"/>
              <w:color w:val="auto"/>
              <w:kern w:val="0"/>
              <w:szCs w:val="32"/>
              <w:highlight w:val="none"/>
              <w:lang w:eastAsia="zh-CN" w:bidi="ar-SA"/>
            </w:rPr>
            <w:t>1.</w:t>
          </w:r>
          <w:r>
            <w:rPr>
              <w:rFonts w:hint="eastAsia" w:ascii="Times New Roman" w:hAnsi="Times New Roman" w:eastAsia="宋体" w:cs="Times New Roman"/>
              <w:bCs/>
              <w:snapToGrid w:val="0"/>
              <w:color w:val="auto"/>
              <w:kern w:val="0"/>
              <w:szCs w:val="32"/>
              <w:highlight w:val="none"/>
              <w:lang w:val="en-US" w:eastAsia="zh-CN" w:bidi="ar-SA"/>
            </w:rPr>
            <w:t>4</w:t>
          </w:r>
          <w:r>
            <w:rPr>
              <w:rFonts w:hint="default" w:ascii="Times New Roman" w:hAnsi="Times New Roman" w:eastAsia="宋体" w:cs="Times New Roman"/>
              <w:bCs/>
              <w:snapToGrid w:val="0"/>
              <w:color w:val="auto"/>
              <w:kern w:val="0"/>
              <w:szCs w:val="32"/>
              <w:highlight w:val="none"/>
              <w:lang w:eastAsia="zh-CN" w:bidi="ar-SA"/>
            </w:rPr>
            <w:t>分析判定相关情况</w:t>
          </w:r>
          <w:r>
            <w:rPr>
              <w:color w:val="auto"/>
            </w:rPr>
            <w:tab/>
          </w:r>
          <w:r>
            <w:rPr>
              <w:color w:val="auto"/>
            </w:rPr>
            <w:fldChar w:fldCharType="begin"/>
          </w:r>
          <w:r>
            <w:rPr>
              <w:color w:val="auto"/>
            </w:rPr>
            <w:instrText xml:space="preserve"> PAGEREF _Toc1178 \h </w:instrText>
          </w:r>
          <w:r>
            <w:rPr>
              <w:color w:val="auto"/>
            </w:rPr>
            <w:fldChar w:fldCharType="separate"/>
          </w:r>
          <w:r>
            <w:rPr>
              <w:color w:val="auto"/>
            </w:rPr>
            <w:t>4</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_Toc30332 </w:instrText>
          </w:r>
          <w:r>
            <w:rPr>
              <w:rFonts w:hint="default"/>
              <w:color w:val="auto"/>
              <w:highlight w:val="none"/>
            </w:rPr>
            <w:fldChar w:fldCharType="separate"/>
          </w:r>
          <w:r>
            <w:rPr>
              <w:rFonts w:hint="default"/>
              <w:color w:val="auto"/>
              <w:highlight w:val="none"/>
            </w:rPr>
            <w:t>1.</w:t>
          </w:r>
          <w:r>
            <w:rPr>
              <w:rFonts w:hint="eastAsia"/>
              <w:color w:val="auto"/>
              <w:highlight w:val="none"/>
              <w:lang w:val="en-US" w:eastAsia="zh-CN"/>
            </w:rPr>
            <w:t>5</w:t>
          </w:r>
          <w:r>
            <w:rPr>
              <w:rFonts w:hint="default"/>
              <w:color w:val="auto"/>
              <w:highlight w:val="none"/>
            </w:rPr>
            <w:t>主要环境影响</w:t>
          </w:r>
          <w:r>
            <w:rPr>
              <w:color w:val="auto"/>
            </w:rPr>
            <w:tab/>
          </w:r>
          <w:r>
            <w:rPr>
              <w:color w:val="auto"/>
            </w:rPr>
            <w:fldChar w:fldCharType="begin"/>
          </w:r>
          <w:r>
            <w:rPr>
              <w:color w:val="auto"/>
            </w:rPr>
            <w:instrText xml:space="preserve"> PAGEREF _Toc30332 \h </w:instrText>
          </w:r>
          <w:r>
            <w:rPr>
              <w:color w:val="auto"/>
            </w:rPr>
            <w:fldChar w:fldCharType="separate"/>
          </w:r>
          <w:r>
            <w:rPr>
              <w:color w:val="auto"/>
            </w:rPr>
            <w:t>15</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_Toc9370 </w:instrText>
          </w:r>
          <w:r>
            <w:rPr>
              <w:rFonts w:hint="default"/>
              <w:color w:val="auto"/>
              <w:highlight w:val="none"/>
            </w:rPr>
            <w:fldChar w:fldCharType="separate"/>
          </w:r>
          <w:r>
            <w:rPr>
              <w:rFonts w:hint="default" w:ascii="Times New Roman" w:hAnsi="Times New Roman" w:eastAsia="宋体" w:cs="Times New Roman"/>
              <w:bCs/>
              <w:snapToGrid w:val="0"/>
              <w:color w:val="auto"/>
              <w:kern w:val="0"/>
              <w:szCs w:val="32"/>
              <w:highlight w:val="none"/>
              <w:lang w:eastAsia="zh-CN" w:bidi="ar-SA"/>
            </w:rPr>
            <w:t>1.</w:t>
          </w:r>
          <w:r>
            <w:rPr>
              <w:rFonts w:hint="eastAsia" w:ascii="Times New Roman" w:hAnsi="Times New Roman" w:eastAsia="宋体" w:cs="Times New Roman"/>
              <w:bCs/>
              <w:snapToGrid w:val="0"/>
              <w:color w:val="auto"/>
              <w:kern w:val="0"/>
              <w:szCs w:val="32"/>
              <w:highlight w:val="none"/>
              <w:lang w:val="en-US" w:eastAsia="zh-CN" w:bidi="ar-SA"/>
            </w:rPr>
            <w:t>6</w:t>
          </w:r>
          <w:r>
            <w:rPr>
              <w:rFonts w:hint="default" w:ascii="Times New Roman" w:hAnsi="Times New Roman" w:eastAsia="宋体" w:cs="Times New Roman"/>
              <w:bCs/>
              <w:snapToGrid w:val="0"/>
              <w:color w:val="auto"/>
              <w:kern w:val="0"/>
              <w:szCs w:val="32"/>
              <w:highlight w:val="none"/>
              <w:lang w:eastAsia="zh-CN" w:bidi="ar-SA"/>
            </w:rPr>
            <w:t>关注的主要环境问题</w:t>
          </w:r>
          <w:r>
            <w:rPr>
              <w:color w:val="auto"/>
            </w:rPr>
            <w:tab/>
          </w:r>
          <w:r>
            <w:rPr>
              <w:color w:val="auto"/>
            </w:rPr>
            <w:fldChar w:fldCharType="begin"/>
          </w:r>
          <w:r>
            <w:rPr>
              <w:color w:val="auto"/>
            </w:rPr>
            <w:instrText xml:space="preserve"> PAGEREF _Toc9370 \h </w:instrText>
          </w:r>
          <w:r>
            <w:rPr>
              <w:color w:val="auto"/>
            </w:rPr>
            <w:fldChar w:fldCharType="separate"/>
          </w:r>
          <w:r>
            <w:rPr>
              <w:color w:val="auto"/>
            </w:rPr>
            <w:t>16</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_Toc8610 </w:instrText>
          </w:r>
          <w:r>
            <w:rPr>
              <w:rFonts w:hint="default"/>
              <w:color w:val="auto"/>
              <w:highlight w:val="none"/>
            </w:rPr>
            <w:fldChar w:fldCharType="separate"/>
          </w:r>
          <w:r>
            <w:rPr>
              <w:rFonts w:hint="default" w:ascii="Times New Roman" w:hAnsi="Times New Roman" w:eastAsia="宋体" w:cs="Times New Roman"/>
              <w:bCs/>
              <w:snapToGrid w:val="0"/>
              <w:color w:val="auto"/>
              <w:kern w:val="0"/>
              <w:szCs w:val="32"/>
              <w:highlight w:val="none"/>
              <w:lang w:eastAsia="zh-CN" w:bidi="ar-SA"/>
            </w:rPr>
            <w:t>1.</w:t>
          </w:r>
          <w:r>
            <w:rPr>
              <w:rFonts w:hint="eastAsia" w:ascii="Times New Roman" w:hAnsi="Times New Roman" w:eastAsia="宋体" w:cs="Times New Roman"/>
              <w:bCs/>
              <w:snapToGrid w:val="0"/>
              <w:color w:val="auto"/>
              <w:kern w:val="0"/>
              <w:szCs w:val="32"/>
              <w:highlight w:val="none"/>
              <w:lang w:val="en-US" w:eastAsia="zh-CN" w:bidi="ar-SA"/>
            </w:rPr>
            <w:t>7</w:t>
          </w:r>
          <w:r>
            <w:rPr>
              <w:rFonts w:hint="default" w:ascii="Times New Roman" w:hAnsi="Times New Roman" w:eastAsia="宋体" w:cs="Times New Roman"/>
              <w:bCs/>
              <w:snapToGrid w:val="0"/>
              <w:color w:val="auto"/>
              <w:kern w:val="0"/>
              <w:szCs w:val="32"/>
              <w:highlight w:val="none"/>
              <w:lang w:eastAsia="zh-CN" w:bidi="ar-SA"/>
            </w:rPr>
            <w:t>环境影响报告书的主要结论</w:t>
          </w:r>
          <w:r>
            <w:rPr>
              <w:color w:val="auto"/>
            </w:rPr>
            <w:tab/>
          </w:r>
          <w:r>
            <w:rPr>
              <w:color w:val="auto"/>
            </w:rPr>
            <w:fldChar w:fldCharType="begin"/>
          </w:r>
          <w:r>
            <w:rPr>
              <w:color w:val="auto"/>
            </w:rPr>
            <w:instrText xml:space="preserve"> PAGEREF _Toc8610 \h </w:instrText>
          </w:r>
          <w:r>
            <w:rPr>
              <w:color w:val="auto"/>
            </w:rPr>
            <w:fldChar w:fldCharType="separate"/>
          </w:r>
          <w:r>
            <w:rPr>
              <w:color w:val="auto"/>
            </w:rPr>
            <w:t>16</w:t>
          </w:r>
          <w:r>
            <w:rPr>
              <w:color w:val="auto"/>
            </w:rPr>
            <w:fldChar w:fldCharType="end"/>
          </w:r>
          <w:r>
            <w:rPr>
              <w:rFonts w:hint="default"/>
              <w:color w:val="auto"/>
              <w:highlight w:val="none"/>
            </w:rPr>
            <w:fldChar w:fldCharType="end"/>
          </w:r>
        </w:p>
        <w:p>
          <w:pPr>
            <w:pStyle w:val="23"/>
            <w:tabs>
              <w:tab w:val="right" w:leader="dot" w:pos="8250"/>
            </w:tabs>
            <w:rPr>
              <w:color w:val="auto"/>
            </w:rPr>
          </w:pPr>
          <w:r>
            <w:rPr>
              <w:rFonts w:hint="default"/>
              <w:color w:val="auto"/>
              <w:highlight w:val="none"/>
            </w:rPr>
            <w:fldChar w:fldCharType="begin"/>
          </w:r>
          <w:r>
            <w:rPr>
              <w:rFonts w:hint="default"/>
              <w:color w:val="auto"/>
              <w:highlight w:val="none"/>
            </w:rPr>
            <w:instrText xml:space="preserve"> HYPERLINK \l _Toc7253 </w:instrText>
          </w:r>
          <w:r>
            <w:rPr>
              <w:rFonts w:hint="default"/>
              <w:color w:val="auto"/>
              <w:highlight w:val="none"/>
            </w:rPr>
            <w:fldChar w:fldCharType="separate"/>
          </w:r>
          <w:r>
            <w:rPr>
              <w:rFonts w:hint="default" w:ascii="Times New Roman" w:hAnsi="Times New Roman" w:eastAsia="宋体" w:cs="Times New Roman"/>
              <w:snapToGrid w:val="0"/>
              <w:color w:val="auto"/>
              <w:kern w:val="0"/>
              <w:szCs w:val="44"/>
              <w:highlight w:val="none"/>
            </w:rPr>
            <w:t>2总论</w:t>
          </w:r>
          <w:r>
            <w:rPr>
              <w:color w:val="auto"/>
            </w:rPr>
            <w:tab/>
          </w:r>
          <w:r>
            <w:rPr>
              <w:color w:val="auto"/>
            </w:rPr>
            <w:fldChar w:fldCharType="begin"/>
          </w:r>
          <w:r>
            <w:rPr>
              <w:color w:val="auto"/>
            </w:rPr>
            <w:instrText xml:space="preserve"> PAGEREF _Toc7253 \h </w:instrText>
          </w:r>
          <w:r>
            <w:rPr>
              <w:color w:val="auto"/>
            </w:rPr>
            <w:fldChar w:fldCharType="separate"/>
          </w:r>
          <w:r>
            <w:rPr>
              <w:color w:val="auto"/>
            </w:rPr>
            <w:t>17</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_Toc32520 </w:instrText>
          </w:r>
          <w:r>
            <w:rPr>
              <w:rFonts w:hint="default"/>
              <w:color w:val="auto"/>
              <w:highlight w:val="none"/>
            </w:rPr>
            <w:fldChar w:fldCharType="separate"/>
          </w:r>
          <w:r>
            <w:rPr>
              <w:rFonts w:hint="default" w:ascii="Times New Roman" w:hAnsi="Times New Roman" w:eastAsia="宋体" w:cs="Times New Roman"/>
              <w:bCs/>
              <w:snapToGrid w:val="0"/>
              <w:color w:val="auto"/>
              <w:kern w:val="0"/>
              <w:szCs w:val="32"/>
              <w:highlight w:val="none"/>
              <w:lang w:eastAsia="zh-CN" w:bidi="ar-SA"/>
            </w:rPr>
            <w:t>2.1编制依据</w:t>
          </w:r>
          <w:r>
            <w:rPr>
              <w:color w:val="auto"/>
            </w:rPr>
            <w:tab/>
          </w:r>
          <w:r>
            <w:rPr>
              <w:color w:val="auto"/>
            </w:rPr>
            <w:fldChar w:fldCharType="begin"/>
          </w:r>
          <w:r>
            <w:rPr>
              <w:color w:val="auto"/>
            </w:rPr>
            <w:instrText xml:space="preserve"> PAGEREF _Toc32520 \h </w:instrText>
          </w:r>
          <w:r>
            <w:rPr>
              <w:color w:val="auto"/>
            </w:rPr>
            <w:fldChar w:fldCharType="separate"/>
          </w:r>
          <w:r>
            <w:rPr>
              <w:color w:val="auto"/>
            </w:rPr>
            <w:t>17</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_Toc9725 </w:instrText>
          </w:r>
          <w:r>
            <w:rPr>
              <w:rFonts w:hint="default"/>
              <w:color w:val="auto"/>
              <w:highlight w:val="none"/>
            </w:rPr>
            <w:fldChar w:fldCharType="separate"/>
          </w:r>
          <w:r>
            <w:rPr>
              <w:rFonts w:hint="default" w:ascii="Times New Roman" w:hAnsi="Times New Roman" w:eastAsia="宋体" w:cs="Times New Roman"/>
              <w:bCs/>
              <w:snapToGrid w:val="0"/>
              <w:color w:val="auto"/>
              <w:kern w:val="0"/>
              <w:szCs w:val="32"/>
              <w:highlight w:val="none"/>
              <w:lang w:eastAsia="zh-CN" w:bidi="ar-SA"/>
            </w:rPr>
            <w:t>2.</w:t>
          </w:r>
          <w:r>
            <w:rPr>
              <w:rFonts w:hint="default" w:ascii="Times New Roman" w:hAnsi="Times New Roman" w:eastAsia="宋体" w:cs="Times New Roman"/>
              <w:bCs/>
              <w:snapToGrid w:val="0"/>
              <w:color w:val="auto"/>
              <w:kern w:val="0"/>
              <w:szCs w:val="32"/>
              <w:highlight w:val="none"/>
              <w:lang w:val="en-US" w:eastAsia="zh-CN" w:bidi="ar-SA"/>
            </w:rPr>
            <w:t>2</w:t>
          </w:r>
          <w:r>
            <w:rPr>
              <w:rFonts w:hint="default" w:ascii="Times New Roman" w:hAnsi="Times New Roman" w:eastAsia="宋体" w:cs="Times New Roman"/>
              <w:bCs/>
              <w:snapToGrid w:val="0"/>
              <w:color w:val="auto"/>
              <w:kern w:val="0"/>
              <w:szCs w:val="32"/>
              <w:highlight w:val="none"/>
              <w:lang w:eastAsia="zh-CN" w:bidi="ar-SA"/>
            </w:rPr>
            <w:t>环境影响因素识别及评价因子筛选</w:t>
          </w:r>
          <w:r>
            <w:rPr>
              <w:color w:val="auto"/>
            </w:rPr>
            <w:tab/>
          </w:r>
          <w:r>
            <w:rPr>
              <w:color w:val="auto"/>
            </w:rPr>
            <w:fldChar w:fldCharType="begin"/>
          </w:r>
          <w:r>
            <w:rPr>
              <w:color w:val="auto"/>
            </w:rPr>
            <w:instrText xml:space="preserve"> PAGEREF _Toc9725 \h </w:instrText>
          </w:r>
          <w:r>
            <w:rPr>
              <w:color w:val="auto"/>
            </w:rPr>
            <w:fldChar w:fldCharType="separate"/>
          </w:r>
          <w:r>
            <w:rPr>
              <w:color w:val="auto"/>
            </w:rPr>
            <w:t>22</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_Toc11682 </w:instrText>
          </w:r>
          <w:r>
            <w:rPr>
              <w:rFonts w:hint="default"/>
              <w:color w:val="auto"/>
              <w:highlight w:val="none"/>
            </w:rPr>
            <w:fldChar w:fldCharType="separate"/>
          </w:r>
          <w:r>
            <w:rPr>
              <w:rFonts w:hint="default" w:ascii="Times New Roman" w:hAnsi="Times New Roman" w:eastAsia="宋体" w:cs="Times New Roman"/>
              <w:bCs/>
              <w:snapToGrid w:val="0"/>
              <w:color w:val="auto"/>
              <w:kern w:val="0"/>
              <w:szCs w:val="32"/>
              <w:highlight w:val="none"/>
              <w:lang w:eastAsia="zh-CN" w:bidi="ar-SA"/>
            </w:rPr>
            <w:t>2.</w:t>
          </w:r>
          <w:r>
            <w:rPr>
              <w:rFonts w:hint="default" w:ascii="Times New Roman" w:hAnsi="Times New Roman" w:eastAsia="宋体" w:cs="Times New Roman"/>
              <w:bCs/>
              <w:snapToGrid w:val="0"/>
              <w:color w:val="auto"/>
              <w:kern w:val="0"/>
              <w:szCs w:val="32"/>
              <w:highlight w:val="none"/>
              <w:lang w:val="en-US" w:eastAsia="zh-CN" w:bidi="ar-SA"/>
            </w:rPr>
            <w:t>3</w:t>
          </w:r>
          <w:r>
            <w:rPr>
              <w:rFonts w:hint="default" w:ascii="Times New Roman" w:hAnsi="Times New Roman" w:eastAsia="宋体" w:cs="Times New Roman"/>
              <w:bCs/>
              <w:snapToGrid w:val="0"/>
              <w:color w:val="auto"/>
              <w:kern w:val="0"/>
              <w:szCs w:val="32"/>
              <w:highlight w:val="none"/>
              <w:lang w:eastAsia="zh-CN" w:bidi="ar-SA"/>
            </w:rPr>
            <w:t>环境影响评价标准</w:t>
          </w:r>
          <w:r>
            <w:rPr>
              <w:color w:val="auto"/>
            </w:rPr>
            <w:tab/>
          </w:r>
          <w:r>
            <w:rPr>
              <w:color w:val="auto"/>
            </w:rPr>
            <w:fldChar w:fldCharType="begin"/>
          </w:r>
          <w:r>
            <w:rPr>
              <w:color w:val="auto"/>
            </w:rPr>
            <w:instrText xml:space="preserve"> PAGEREF _Toc11682 \h </w:instrText>
          </w:r>
          <w:r>
            <w:rPr>
              <w:color w:val="auto"/>
            </w:rPr>
            <w:fldChar w:fldCharType="separate"/>
          </w:r>
          <w:r>
            <w:rPr>
              <w:color w:val="auto"/>
            </w:rPr>
            <w:t>23</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_Toc9239 </w:instrText>
          </w:r>
          <w:r>
            <w:rPr>
              <w:rFonts w:hint="default"/>
              <w:color w:val="auto"/>
              <w:highlight w:val="none"/>
            </w:rPr>
            <w:fldChar w:fldCharType="separate"/>
          </w:r>
          <w:r>
            <w:rPr>
              <w:rFonts w:hint="default" w:ascii="Times New Roman" w:hAnsi="Times New Roman" w:cs="Times New Roman"/>
              <w:color w:val="auto"/>
              <w:highlight w:val="none"/>
            </w:rPr>
            <w:t>2.</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评价工作等级和评价范围</w:t>
          </w:r>
          <w:r>
            <w:rPr>
              <w:color w:val="auto"/>
            </w:rPr>
            <w:tab/>
          </w:r>
          <w:r>
            <w:rPr>
              <w:color w:val="auto"/>
            </w:rPr>
            <w:fldChar w:fldCharType="begin"/>
          </w:r>
          <w:r>
            <w:rPr>
              <w:color w:val="auto"/>
            </w:rPr>
            <w:instrText xml:space="preserve"> PAGEREF _Toc9239 \h </w:instrText>
          </w:r>
          <w:r>
            <w:rPr>
              <w:color w:val="auto"/>
            </w:rPr>
            <w:fldChar w:fldCharType="separate"/>
          </w:r>
          <w:r>
            <w:rPr>
              <w:color w:val="auto"/>
            </w:rPr>
            <w:t>28</w:t>
          </w:r>
          <w:r>
            <w:rPr>
              <w:color w:val="auto"/>
            </w:rPr>
            <w:fldChar w:fldCharType="end"/>
          </w:r>
          <w:r>
            <w:rPr>
              <w:rFonts w:hint="default"/>
              <w:color w:val="auto"/>
              <w:highlight w:val="none"/>
            </w:rPr>
            <w:fldChar w:fldCharType="end"/>
          </w:r>
        </w:p>
        <w:p>
          <w:pPr>
            <w:pStyle w:val="23"/>
            <w:tabs>
              <w:tab w:val="right" w:leader="dot" w:pos="8250"/>
            </w:tabs>
            <w:rPr>
              <w:color w:val="auto"/>
            </w:rPr>
          </w:pPr>
          <w:r>
            <w:rPr>
              <w:rFonts w:hint="default"/>
              <w:color w:val="auto"/>
              <w:highlight w:val="none"/>
            </w:rPr>
            <w:fldChar w:fldCharType="begin"/>
          </w:r>
          <w:r>
            <w:rPr>
              <w:rFonts w:hint="default"/>
              <w:color w:val="auto"/>
              <w:highlight w:val="none"/>
            </w:rPr>
            <w:instrText xml:space="preserve"> HYPERLINK \l _Toc20412 </w:instrText>
          </w:r>
          <w:r>
            <w:rPr>
              <w:rFonts w:hint="default"/>
              <w:color w:val="auto"/>
              <w:highlight w:val="none"/>
            </w:rPr>
            <w:fldChar w:fldCharType="separate"/>
          </w:r>
          <w:r>
            <w:rPr>
              <w:rFonts w:hint="default" w:ascii="Times New Roman" w:hAnsi="Times New Roman" w:eastAsia="宋体" w:cs="Times New Roman"/>
              <w:snapToGrid w:val="0"/>
              <w:color w:val="auto"/>
              <w:kern w:val="0"/>
              <w:szCs w:val="44"/>
              <w:highlight w:val="none"/>
            </w:rPr>
            <w:t>3</w:t>
          </w:r>
          <w:r>
            <w:rPr>
              <w:rFonts w:hint="eastAsia" w:cs="Times New Roman"/>
              <w:snapToGrid w:val="0"/>
              <w:color w:val="auto"/>
              <w:kern w:val="0"/>
              <w:szCs w:val="44"/>
              <w:highlight w:val="none"/>
              <w:lang w:val="en-US" w:eastAsia="zh-CN"/>
            </w:rPr>
            <w:t>现有</w:t>
          </w:r>
          <w:r>
            <w:rPr>
              <w:rFonts w:hint="default" w:ascii="Times New Roman" w:hAnsi="Times New Roman" w:eastAsia="宋体" w:cs="Times New Roman"/>
              <w:snapToGrid w:val="0"/>
              <w:color w:val="auto"/>
              <w:kern w:val="0"/>
              <w:szCs w:val="44"/>
              <w:highlight w:val="none"/>
            </w:rPr>
            <w:t>项目工程分析</w:t>
          </w:r>
          <w:r>
            <w:rPr>
              <w:color w:val="auto"/>
            </w:rPr>
            <w:tab/>
          </w:r>
          <w:r>
            <w:rPr>
              <w:color w:val="auto"/>
            </w:rPr>
            <w:fldChar w:fldCharType="begin"/>
          </w:r>
          <w:r>
            <w:rPr>
              <w:color w:val="auto"/>
            </w:rPr>
            <w:instrText xml:space="preserve"> PAGEREF _Toc20412 \h </w:instrText>
          </w:r>
          <w:r>
            <w:rPr>
              <w:color w:val="auto"/>
            </w:rPr>
            <w:fldChar w:fldCharType="separate"/>
          </w:r>
          <w:r>
            <w:rPr>
              <w:color w:val="auto"/>
            </w:rPr>
            <w:t>39</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_Toc14897 </w:instrText>
          </w:r>
          <w:r>
            <w:rPr>
              <w:rFonts w:hint="default"/>
              <w:color w:val="auto"/>
              <w:highlight w:val="none"/>
            </w:rPr>
            <w:fldChar w:fldCharType="separate"/>
          </w:r>
          <w:r>
            <w:rPr>
              <w:rFonts w:hint="default" w:ascii="Times New Roman" w:hAnsi="Times New Roman" w:eastAsia="宋体" w:cs="Times New Roman"/>
              <w:bCs/>
              <w:snapToGrid w:val="0"/>
              <w:color w:val="auto"/>
              <w:kern w:val="0"/>
              <w:szCs w:val="32"/>
              <w:highlight w:val="none"/>
              <w:lang w:eastAsia="zh-CN" w:bidi="ar-SA"/>
            </w:rPr>
            <w:t>3.1现有项目概况</w:t>
          </w:r>
          <w:r>
            <w:rPr>
              <w:color w:val="auto"/>
            </w:rPr>
            <w:tab/>
          </w:r>
          <w:r>
            <w:rPr>
              <w:color w:val="auto"/>
            </w:rPr>
            <w:fldChar w:fldCharType="begin"/>
          </w:r>
          <w:r>
            <w:rPr>
              <w:color w:val="auto"/>
            </w:rPr>
            <w:instrText xml:space="preserve"> PAGEREF _Toc14897 \h </w:instrText>
          </w:r>
          <w:r>
            <w:rPr>
              <w:color w:val="auto"/>
            </w:rPr>
            <w:fldChar w:fldCharType="separate"/>
          </w:r>
          <w:r>
            <w:rPr>
              <w:color w:val="auto"/>
            </w:rPr>
            <w:t>39</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_Toc9046 </w:instrText>
          </w:r>
          <w:r>
            <w:rPr>
              <w:rFonts w:hint="default"/>
              <w:color w:val="auto"/>
              <w:highlight w:val="none"/>
            </w:rPr>
            <w:fldChar w:fldCharType="separate"/>
          </w:r>
          <w:r>
            <w:rPr>
              <w:rFonts w:hint="eastAsia"/>
              <w:color w:val="auto"/>
              <w:lang w:val="en-US" w:eastAsia="zh-CN"/>
            </w:rPr>
            <w:t>3.2排污许可执行情况</w:t>
          </w:r>
          <w:r>
            <w:rPr>
              <w:color w:val="auto"/>
            </w:rPr>
            <w:tab/>
          </w:r>
          <w:r>
            <w:rPr>
              <w:color w:val="auto"/>
            </w:rPr>
            <w:fldChar w:fldCharType="begin"/>
          </w:r>
          <w:r>
            <w:rPr>
              <w:color w:val="auto"/>
            </w:rPr>
            <w:instrText xml:space="preserve"> PAGEREF _Toc9046 \h </w:instrText>
          </w:r>
          <w:r>
            <w:rPr>
              <w:color w:val="auto"/>
            </w:rPr>
            <w:fldChar w:fldCharType="separate"/>
          </w:r>
          <w:r>
            <w:rPr>
              <w:color w:val="auto"/>
            </w:rPr>
            <w:t>45</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_Toc23629 </w:instrText>
          </w:r>
          <w:r>
            <w:rPr>
              <w:rFonts w:hint="default"/>
              <w:color w:val="auto"/>
              <w:highlight w:val="none"/>
            </w:rPr>
            <w:fldChar w:fldCharType="separate"/>
          </w:r>
          <w:r>
            <w:rPr>
              <w:rFonts w:hint="eastAsia"/>
              <w:color w:val="auto"/>
              <w:lang w:val="en-US" w:eastAsia="zh-CN"/>
            </w:rPr>
            <w:t>3.3现有工程排污情况</w:t>
          </w:r>
          <w:r>
            <w:rPr>
              <w:color w:val="auto"/>
            </w:rPr>
            <w:tab/>
          </w:r>
          <w:r>
            <w:rPr>
              <w:color w:val="auto"/>
            </w:rPr>
            <w:fldChar w:fldCharType="begin"/>
          </w:r>
          <w:r>
            <w:rPr>
              <w:color w:val="auto"/>
            </w:rPr>
            <w:instrText xml:space="preserve"> PAGEREF _Toc23629 \h </w:instrText>
          </w:r>
          <w:r>
            <w:rPr>
              <w:color w:val="auto"/>
            </w:rPr>
            <w:fldChar w:fldCharType="separate"/>
          </w:r>
          <w:r>
            <w:rPr>
              <w:color w:val="auto"/>
            </w:rPr>
            <w:t>46</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_Toc19040 </w:instrText>
          </w:r>
          <w:r>
            <w:rPr>
              <w:rFonts w:hint="default"/>
              <w:color w:val="auto"/>
              <w:highlight w:val="none"/>
            </w:rPr>
            <w:fldChar w:fldCharType="separate"/>
          </w:r>
          <w:r>
            <w:rPr>
              <w:rFonts w:hint="eastAsia"/>
              <w:color w:val="auto"/>
              <w:lang w:val="en-US" w:eastAsia="zh-CN"/>
            </w:rPr>
            <w:t>3.4现有工程主要环境问题及整改措施</w:t>
          </w:r>
          <w:r>
            <w:rPr>
              <w:color w:val="auto"/>
            </w:rPr>
            <w:tab/>
          </w:r>
          <w:r>
            <w:rPr>
              <w:color w:val="auto"/>
            </w:rPr>
            <w:fldChar w:fldCharType="begin"/>
          </w:r>
          <w:r>
            <w:rPr>
              <w:color w:val="auto"/>
            </w:rPr>
            <w:instrText xml:space="preserve"> PAGEREF _Toc19040 \h </w:instrText>
          </w:r>
          <w:r>
            <w:rPr>
              <w:color w:val="auto"/>
            </w:rPr>
            <w:fldChar w:fldCharType="separate"/>
          </w:r>
          <w:r>
            <w:rPr>
              <w:color w:val="auto"/>
            </w:rPr>
            <w:t>50</w:t>
          </w:r>
          <w:r>
            <w:rPr>
              <w:color w:val="auto"/>
            </w:rPr>
            <w:fldChar w:fldCharType="end"/>
          </w:r>
          <w:r>
            <w:rPr>
              <w:rFonts w:hint="default"/>
              <w:color w:val="auto"/>
              <w:highlight w:val="none"/>
            </w:rPr>
            <w:fldChar w:fldCharType="end"/>
          </w:r>
        </w:p>
        <w:p>
          <w:pPr>
            <w:pStyle w:val="23"/>
            <w:tabs>
              <w:tab w:val="right" w:leader="dot" w:pos="8250"/>
            </w:tabs>
            <w:rPr>
              <w:color w:val="auto"/>
            </w:rPr>
          </w:pPr>
          <w:r>
            <w:rPr>
              <w:rFonts w:hint="default"/>
              <w:color w:val="auto"/>
              <w:highlight w:val="none"/>
            </w:rPr>
            <w:fldChar w:fldCharType="begin"/>
          </w:r>
          <w:r>
            <w:rPr>
              <w:rFonts w:hint="default"/>
              <w:color w:val="auto"/>
              <w:highlight w:val="none"/>
            </w:rPr>
            <w:instrText xml:space="preserve"> HYPERLINK \l _Toc4782 </w:instrText>
          </w:r>
          <w:r>
            <w:rPr>
              <w:rFonts w:hint="default"/>
              <w:color w:val="auto"/>
              <w:highlight w:val="none"/>
            </w:rPr>
            <w:fldChar w:fldCharType="separate"/>
          </w:r>
          <w:r>
            <w:rPr>
              <w:rFonts w:hint="eastAsia" w:cs="Times New Roman"/>
              <w:snapToGrid w:val="0"/>
              <w:color w:val="auto"/>
              <w:kern w:val="0"/>
              <w:szCs w:val="44"/>
              <w:highlight w:val="none"/>
              <w:lang w:val="en-US" w:eastAsia="zh-CN"/>
            </w:rPr>
            <w:t>4改扩建</w:t>
          </w:r>
          <w:r>
            <w:rPr>
              <w:rFonts w:hint="default" w:ascii="Times New Roman" w:hAnsi="Times New Roman" w:eastAsia="宋体" w:cs="Times New Roman"/>
              <w:snapToGrid w:val="0"/>
              <w:color w:val="auto"/>
              <w:kern w:val="0"/>
              <w:szCs w:val="44"/>
              <w:highlight w:val="none"/>
            </w:rPr>
            <w:t>项目工程分析</w:t>
          </w:r>
          <w:r>
            <w:rPr>
              <w:color w:val="auto"/>
            </w:rPr>
            <w:tab/>
          </w:r>
          <w:r>
            <w:rPr>
              <w:color w:val="auto"/>
            </w:rPr>
            <w:fldChar w:fldCharType="begin"/>
          </w:r>
          <w:r>
            <w:rPr>
              <w:color w:val="auto"/>
            </w:rPr>
            <w:instrText xml:space="preserve"> PAGEREF _Toc4782 \h </w:instrText>
          </w:r>
          <w:r>
            <w:rPr>
              <w:color w:val="auto"/>
            </w:rPr>
            <w:fldChar w:fldCharType="separate"/>
          </w:r>
          <w:r>
            <w:rPr>
              <w:color w:val="auto"/>
            </w:rPr>
            <w:t>52</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_Toc10721 </w:instrText>
          </w:r>
          <w:r>
            <w:rPr>
              <w:rFonts w:hint="default"/>
              <w:color w:val="auto"/>
              <w:highlight w:val="none"/>
            </w:rPr>
            <w:fldChar w:fldCharType="separate"/>
          </w:r>
          <w:r>
            <w:rPr>
              <w:rFonts w:hint="eastAsia" w:ascii="Times New Roman" w:hAnsi="Times New Roman" w:cs="Times New Roman"/>
              <w:bCs/>
              <w:snapToGrid w:val="0"/>
              <w:color w:val="auto"/>
              <w:kern w:val="0"/>
              <w:szCs w:val="32"/>
              <w:highlight w:val="none"/>
              <w:lang w:val="en-US" w:eastAsia="zh-CN" w:bidi="ar-SA"/>
            </w:rPr>
            <w:t>4</w:t>
          </w:r>
          <w:r>
            <w:rPr>
              <w:rFonts w:hint="default" w:ascii="Times New Roman" w:hAnsi="Times New Roman" w:eastAsia="宋体" w:cs="Times New Roman"/>
              <w:bCs/>
              <w:snapToGrid w:val="0"/>
              <w:color w:val="auto"/>
              <w:kern w:val="0"/>
              <w:szCs w:val="32"/>
              <w:highlight w:val="none"/>
              <w:lang w:eastAsia="zh-CN" w:bidi="ar-SA"/>
            </w:rPr>
            <w:t>.1项目概况</w:t>
          </w:r>
          <w:r>
            <w:rPr>
              <w:color w:val="auto"/>
            </w:rPr>
            <w:tab/>
          </w:r>
          <w:r>
            <w:rPr>
              <w:color w:val="auto"/>
            </w:rPr>
            <w:fldChar w:fldCharType="begin"/>
          </w:r>
          <w:r>
            <w:rPr>
              <w:color w:val="auto"/>
            </w:rPr>
            <w:instrText xml:space="preserve"> PAGEREF _Toc10721 \h </w:instrText>
          </w:r>
          <w:r>
            <w:rPr>
              <w:color w:val="auto"/>
            </w:rPr>
            <w:fldChar w:fldCharType="separate"/>
          </w:r>
          <w:r>
            <w:rPr>
              <w:color w:val="auto"/>
            </w:rPr>
            <w:t>52</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_Toc23775 </w:instrText>
          </w:r>
          <w:r>
            <w:rPr>
              <w:rFonts w:hint="default"/>
              <w:color w:val="auto"/>
              <w:highlight w:val="none"/>
            </w:rPr>
            <w:fldChar w:fldCharType="separate"/>
          </w:r>
          <w:r>
            <w:rPr>
              <w:rFonts w:hint="eastAsia" w:ascii="Times New Roman" w:hAnsi="Times New Roman" w:cs="Times New Roman"/>
              <w:bCs/>
              <w:snapToGrid w:val="0"/>
              <w:color w:val="auto"/>
              <w:kern w:val="0"/>
              <w:szCs w:val="32"/>
              <w:highlight w:val="none"/>
              <w:lang w:val="en-US" w:eastAsia="zh-CN" w:bidi="ar-SA"/>
            </w:rPr>
            <w:t>4</w:t>
          </w:r>
          <w:r>
            <w:rPr>
              <w:rFonts w:hint="default" w:ascii="Times New Roman" w:hAnsi="Times New Roman" w:cs="Times New Roman"/>
              <w:bCs/>
              <w:snapToGrid w:val="0"/>
              <w:color w:val="auto"/>
              <w:kern w:val="0"/>
              <w:szCs w:val="32"/>
              <w:highlight w:val="none"/>
              <w:lang w:val="en-US" w:eastAsia="zh-CN" w:bidi="ar-SA"/>
            </w:rPr>
            <w:t>.</w:t>
          </w:r>
          <w:r>
            <w:rPr>
              <w:rFonts w:hint="eastAsia" w:ascii="Times New Roman" w:hAnsi="Times New Roman" w:cs="Times New Roman"/>
              <w:bCs/>
              <w:snapToGrid w:val="0"/>
              <w:color w:val="auto"/>
              <w:kern w:val="0"/>
              <w:szCs w:val="32"/>
              <w:highlight w:val="none"/>
              <w:lang w:val="en-US" w:eastAsia="zh-CN" w:bidi="ar-SA"/>
            </w:rPr>
            <w:t>2</w:t>
          </w:r>
          <w:r>
            <w:rPr>
              <w:rFonts w:hint="default" w:ascii="Times New Roman" w:hAnsi="Times New Roman" w:cs="Times New Roman"/>
              <w:bCs/>
              <w:snapToGrid w:val="0"/>
              <w:color w:val="auto"/>
              <w:kern w:val="0"/>
              <w:szCs w:val="32"/>
              <w:highlight w:val="none"/>
              <w:lang w:val="en-US" w:eastAsia="zh-CN" w:bidi="ar-SA"/>
            </w:rPr>
            <w:t>建设内容</w:t>
          </w:r>
          <w:r>
            <w:rPr>
              <w:color w:val="auto"/>
            </w:rPr>
            <w:tab/>
          </w:r>
          <w:r>
            <w:rPr>
              <w:color w:val="auto"/>
            </w:rPr>
            <w:fldChar w:fldCharType="begin"/>
          </w:r>
          <w:r>
            <w:rPr>
              <w:color w:val="auto"/>
            </w:rPr>
            <w:instrText xml:space="preserve"> PAGEREF _Toc23775 \h </w:instrText>
          </w:r>
          <w:r>
            <w:rPr>
              <w:color w:val="auto"/>
            </w:rPr>
            <w:fldChar w:fldCharType="separate"/>
          </w:r>
          <w:r>
            <w:rPr>
              <w:color w:val="auto"/>
            </w:rPr>
            <w:t>53</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_Toc16207 </w:instrText>
          </w:r>
          <w:r>
            <w:rPr>
              <w:rFonts w:hint="default"/>
              <w:color w:val="auto"/>
              <w:highlight w:val="none"/>
            </w:rPr>
            <w:fldChar w:fldCharType="separate"/>
          </w:r>
          <w:r>
            <w:rPr>
              <w:rFonts w:hint="eastAsia" w:ascii="Times New Roman" w:hAnsi="Times New Roman" w:cs="Times New Roman"/>
              <w:bCs/>
              <w:snapToGrid w:val="0"/>
              <w:color w:val="auto"/>
              <w:kern w:val="0"/>
              <w:szCs w:val="32"/>
              <w:highlight w:val="none"/>
              <w:lang w:val="en-US" w:eastAsia="zh-CN" w:bidi="ar-SA"/>
            </w:rPr>
            <w:t>4.3</w:t>
          </w:r>
          <w:r>
            <w:rPr>
              <w:rFonts w:hint="default" w:ascii="Times New Roman" w:hAnsi="Times New Roman" w:cs="Times New Roman"/>
              <w:bCs/>
              <w:snapToGrid w:val="0"/>
              <w:color w:val="auto"/>
              <w:kern w:val="0"/>
              <w:szCs w:val="32"/>
              <w:highlight w:val="none"/>
              <w:lang w:val="en-US" w:eastAsia="zh-CN" w:bidi="ar-SA"/>
            </w:rPr>
            <w:t>原辅材料用量及设备清单</w:t>
          </w:r>
          <w:r>
            <w:rPr>
              <w:color w:val="auto"/>
            </w:rPr>
            <w:tab/>
          </w:r>
          <w:r>
            <w:rPr>
              <w:color w:val="auto"/>
            </w:rPr>
            <w:fldChar w:fldCharType="begin"/>
          </w:r>
          <w:r>
            <w:rPr>
              <w:color w:val="auto"/>
            </w:rPr>
            <w:instrText xml:space="preserve"> PAGEREF _Toc16207 \h </w:instrText>
          </w:r>
          <w:r>
            <w:rPr>
              <w:color w:val="auto"/>
            </w:rPr>
            <w:fldChar w:fldCharType="separate"/>
          </w:r>
          <w:r>
            <w:rPr>
              <w:color w:val="auto"/>
            </w:rPr>
            <w:t>56</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_Toc13875 </w:instrText>
          </w:r>
          <w:r>
            <w:rPr>
              <w:rFonts w:hint="default"/>
              <w:color w:val="auto"/>
              <w:highlight w:val="none"/>
            </w:rPr>
            <w:fldChar w:fldCharType="separate"/>
          </w:r>
          <w:r>
            <w:rPr>
              <w:rFonts w:hint="eastAsia" w:ascii="Times New Roman" w:hAnsi="Times New Roman" w:eastAsia="宋体" w:cs="Times New Roman"/>
              <w:bCs/>
              <w:snapToGrid w:val="0"/>
              <w:color w:val="auto"/>
              <w:kern w:val="0"/>
              <w:szCs w:val="32"/>
              <w:highlight w:val="none"/>
              <w:lang w:val="en-US" w:eastAsia="zh-CN" w:bidi="ar-SA"/>
            </w:rPr>
            <w:t>4.4平面布置</w:t>
          </w:r>
          <w:r>
            <w:rPr>
              <w:color w:val="auto"/>
            </w:rPr>
            <w:tab/>
          </w:r>
          <w:r>
            <w:rPr>
              <w:color w:val="auto"/>
            </w:rPr>
            <w:fldChar w:fldCharType="begin"/>
          </w:r>
          <w:r>
            <w:rPr>
              <w:color w:val="auto"/>
            </w:rPr>
            <w:instrText xml:space="preserve"> PAGEREF _Toc13875 \h </w:instrText>
          </w:r>
          <w:r>
            <w:rPr>
              <w:color w:val="auto"/>
            </w:rPr>
            <w:fldChar w:fldCharType="separate"/>
          </w:r>
          <w:r>
            <w:rPr>
              <w:color w:val="auto"/>
            </w:rPr>
            <w:t>63</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_Toc1437 </w:instrText>
          </w:r>
          <w:r>
            <w:rPr>
              <w:rFonts w:hint="default"/>
              <w:color w:val="auto"/>
              <w:highlight w:val="none"/>
            </w:rPr>
            <w:fldChar w:fldCharType="separate"/>
          </w:r>
          <w:r>
            <w:rPr>
              <w:rFonts w:hint="eastAsia" w:cs="Times New Roman"/>
              <w:bCs/>
              <w:color w:val="auto"/>
              <w:highlight w:val="none"/>
              <w:lang w:val="en-US" w:eastAsia="zh-CN"/>
            </w:rPr>
            <w:t>4.5</w:t>
          </w:r>
          <w:r>
            <w:rPr>
              <w:rFonts w:hint="eastAsia" w:ascii="Times New Roman" w:hAnsi="Times New Roman" w:eastAsia="宋体" w:cs="Times New Roman"/>
              <w:bCs/>
              <w:color w:val="auto"/>
              <w:highlight w:val="none"/>
              <w:lang w:val="en-US" w:eastAsia="zh-CN"/>
            </w:rPr>
            <w:t>公用工程</w:t>
          </w:r>
          <w:r>
            <w:rPr>
              <w:color w:val="auto"/>
            </w:rPr>
            <w:tab/>
          </w:r>
          <w:r>
            <w:rPr>
              <w:color w:val="auto"/>
            </w:rPr>
            <w:fldChar w:fldCharType="begin"/>
          </w:r>
          <w:r>
            <w:rPr>
              <w:color w:val="auto"/>
            </w:rPr>
            <w:instrText xml:space="preserve"> PAGEREF _Toc1437 \h </w:instrText>
          </w:r>
          <w:r>
            <w:rPr>
              <w:color w:val="auto"/>
            </w:rPr>
            <w:fldChar w:fldCharType="separate"/>
          </w:r>
          <w:r>
            <w:rPr>
              <w:color w:val="auto"/>
            </w:rPr>
            <w:t>65</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_Toc3856 </w:instrText>
          </w:r>
          <w:r>
            <w:rPr>
              <w:rFonts w:hint="default"/>
              <w:color w:val="auto"/>
              <w:highlight w:val="none"/>
            </w:rPr>
            <w:fldChar w:fldCharType="separate"/>
          </w:r>
          <w:r>
            <w:rPr>
              <w:rFonts w:hint="eastAsia" w:cs="Times New Roman"/>
              <w:bCs/>
              <w:color w:val="auto"/>
              <w:highlight w:val="none"/>
              <w:lang w:val="en-US" w:eastAsia="zh-CN"/>
            </w:rPr>
            <w:t>4.6</w:t>
          </w:r>
          <w:r>
            <w:rPr>
              <w:rFonts w:hint="eastAsia" w:ascii="Times New Roman" w:hAnsi="Times New Roman" w:eastAsia="宋体" w:cs="Times New Roman"/>
              <w:bCs/>
              <w:color w:val="auto"/>
              <w:highlight w:val="none"/>
              <w:lang w:val="en-US" w:eastAsia="zh-CN"/>
            </w:rPr>
            <w:t>生产工艺流程简述</w:t>
          </w:r>
          <w:r>
            <w:rPr>
              <w:color w:val="auto"/>
            </w:rPr>
            <w:tab/>
          </w:r>
          <w:r>
            <w:rPr>
              <w:color w:val="auto"/>
            </w:rPr>
            <w:fldChar w:fldCharType="begin"/>
          </w:r>
          <w:r>
            <w:rPr>
              <w:color w:val="auto"/>
            </w:rPr>
            <w:instrText xml:space="preserve"> PAGEREF _Toc3856 \h </w:instrText>
          </w:r>
          <w:r>
            <w:rPr>
              <w:color w:val="auto"/>
            </w:rPr>
            <w:fldChar w:fldCharType="separate"/>
          </w:r>
          <w:r>
            <w:rPr>
              <w:color w:val="auto"/>
            </w:rPr>
            <w:t>67</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_Toc4046 </w:instrText>
          </w:r>
          <w:r>
            <w:rPr>
              <w:rFonts w:hint="default"/>
              <w:color w:val="auto"/>
              <w:highlight w:val="none"/>
            </w:rPr>
            <w:fldChar w:fldCharType="separate"/>
          </w:r>
          <w:r>
            <w:rPr>
              <w:rFonts w:hint="eastAsia" w:cs="Times New Roman"/>
              <w:bCs/>
              <w:color w:val="auto"/>
              <w:highlight w:val="none"/>
              <w:lang w:val="en-US" w:eastAsia="zh-CN"/>
            </w:rPr>
            <w:t>4.7</w:t>
          </w:r>
          <w:r>
            <w:rPr>
              <w:rFonts w:hint="eastAsia" w:ascii="Times New Roman" w:hAnsi="Times New Roman" w:cs="Times New Roman"/>
              <w:color w:val="auto"/>
              <w:highlight w:val="none"/>
              <w:lang w:val="en-US" w:eastAsia="zh-CN"/>
            </w:rPr>
            <w:t>项目污染源强分析</w:t>
          </w:r>
          <w:r>
            <w:rPr>
              <w:color w:val="auto"/>
            </w:rPr>
            <w:tab/>
          </w:r>
          <w:r>
            <w:rPr>
              <w:color w:val="auto"/>
            </w:rPr>
            <w:fldChar w:fldCharType="begin"/>
          </w:r>
          <w:r>
            <w:rPr>
              <w:color w:val="auto"/>
            </w:rPr>
            <w:instrText xml:space="preserve"> PAGEREF _Toc4046 \h </w:instrText>
          </w:r>
          <w:r>
            <w:rPr>
              <w:color w:val="auto"/>
            </w:rPr>
            <w:fldChar w:fldCharType="separate"/>
          </w:r>
          <w:r>
            <w:rPr>
              <w:color w:val="auto"/>
            </w:rPr>
            <w:t>79</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_Toc27074 </w:instrText>
          </w:r>
          <w:r>
            <w:rPr>
              <w:rFonts w:hint="default"/>
              <w:color w:val="auto"/>
              <w:highlight w:val="none"/>
            </w:rPr>
            <w:fldChar w:fldCharType="separate"/>
          </w:r>
          <w:r>
            <w:rPr>
              <w:rFonts w:hint="eastAsia" w:ascii="Times New Roman" w:hAnsi="Times New Roman" w:eastAsia="宋体" w:cs="Times New Roman"/>
              <w:bCs/>
              <w:color w:val="auto"/>
              <w:highlight w:val="none"/>
              <w:lang w:val="en-US" w:eastAsia="zh-CN"/>
            </w:rPr>
            <w:t>4.8污染物总量控制分析</w:t>
          </w:r>
          <w:r>
            <w:rPr>
              <w:color w:val="auto"/>
            </w:rPr>
            <w:tab/>
          </w:r>
          <w:r>
            <w:rPr>
              <w:color w:val="auto"/>
            </w:rPr>
            <w:fldChar w:fldCharType="begin"/>
          </w:r>
          <w:r>
            <w:rPr>
              <w:color w:val="auto"/>
            </w:rPr>
            <w:instrText xml:space="preserve"> PAGEREF _Toc27074 \h </w:instrText>
          </w:r>
          <w:r>
            <w:rPr>
              <w:color w:val="auto"/>
            </w:rPr>
            <w:fldChar w:fldCharType="separate"/>
          </w:r>
          <w:r>
            <w:rPr>
              <w:color w:val="auto"/>
            </w:rPr>
            <w:t>99</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_Toc27918 </w:instrText>
          </w:r>
          <w:r>
            <w:rPr>
              <w:rFonts w:hint="default"/>
              <w:color w:val="auto"/>
              <w:highlight w:val="none"/>
            </w:rPr>
            <w:fldChar w:fldCharType="separate"/>
          </w:r>
          <w:r>
            <w:rPr>
              <w:rFonts w:hint="eastAsia"/>
              <w:color w:val="auto"/>
              <w:highlight w:val="none"/>
              <w:lang w:val="en-US" w:eastAsia="zh-CN"/>
            </w:rPr>
            <w:t>4.9</w:t>
          </w:r>
          <w:r>
            <w:rPr>
              <w:color w:val="auto"/>
              <w:highlight w:val="none"/>
              <w:lang w:eastAsia="zh-CN"/>
            </w:rPr>
            <w:t>清洁生产</w:t>
          </w:r>
          <w:r>
            <w:rPr>
              <w:rFonts w:hint="eastAsia"/>
              <w:color w:val="auto"/>
              <w:highlight w:val="none"/>
              <w:lang w:val="en-US" w:eastAsia="zh-CN"/>
            </w:rPr>
            <w:t>分析</w:t>
          </w:r>
          <w:r>
            <w:rPr>
              <w:color w:val="auto"/>
            </w:rPr>
            <w:tab/>
          </w:r>
          <w:r>
            <w:rPr>
              <w:color w:val="auto"/>
            </w:rPr>
            <w:fldChar w:fldCharType="begin"/>
          </w:r>
          <w:r>
            <w:rPr>
              <w:color w:val="auto"/>
            </w:rPr>
            <w:instrText xml:space="preserve"> PAGEREF _Toc27918 \h </w:instrText>
          </w:r>
          <w:r>
            <w:rPr>
              <w:color w:val="auto"/>
            </w:rPr>
            <w:fldChar w:fldCharType="separate"/>
          </w:r>
          <w:r>
            <w:rPr>
              <w:color w:val="auto"/>
            </w:rPr>
            <w:t>99</w:t>
          </w:r>
          <w:r>
            <w:rPr>
              <w:color w:val="auto"/>
            </w:rPr>
            <w:fldChar w:fldCharType="end"/>
          </w:r>
          <w:r>
            <w:rPr>
              <w:rFonts w:hint="default"/>
              <w:color w:val="auto"/>
              <w:highlight w:val="none"/>
            </w:rPr>
            <w:fldChar w:fldCharType="end"/>
          </w:r>
        </w:p>
        <w:p>
          <w:pPr>
            <w:pStyle w:val="23"/>
            <w:tabs>
              <w:tab w:val="right" w:leader="dot" w:pos="8250"/>
            </w:tabs>
            <w:rPr>
              <w:color w:val="auto"/>
            </w:rPr>
          </w:pPr>
          <w:r>
            <w:rPr>
              <w:rFonts w:hint="default"/>
              <w:color w:val="auto"/>
              <w:highlight w:val="none"/>
            </w:rPr>
            <w:fldChar w:fldCharType="begin"/>
          </w:r>
          <w:r>
            <w:rPr>
              <w:rFonts w:hint="default"/>
              <w:color w:val="auto"/>
              <w:highlight w:val="none"/>
            </w:rPr>
            <w:instrText xml:space="preserve"> HYPERLINK \l _Toc32422 </w:instrText>
          </w:r>
          <w:r>
            <w:rPr>
              <w:rFonts w:hint="default"/>
              <w:color w:val="auto"/>
              <w:highlight w:val="none"/>
            </w:rPr>
            <w:fldChar w:fldCharType="separate"/>
          </w:r>
          <w:r>
            <w:rPr>
              <w:rFonts w:hint="eastAsia"/>
              <w:color w:val="auto"/>
              <w:highlight w:val="none"/>
              <w:lang w:val="en-US" w:eastAsia="zh-CN"/>
            </w:rPr>
            <w:t>5</w:t>
          </w:r>
          <w:r>
            <w:rPr>
              <w:color w:val="auto"/>
              <w:highlight w:val="none"/>
            </w:rPr>
            <w:t>环境现状调查与评价</w:t>
          </w:r>
          <w:r>
            <w:rPr>
              <w:color w:val="auto"/>
            </w:rPr>
            <w:tab/>
          </w:r>
          <w:r>
            <w:rPr>
              <w:color w:val="auto"/>
            </w:rPr>
            <w:fldChar w:fldCharType="begin"/>
          </w:r>
          <w:r>
            <w:rPr>
              <w:color w:val="auto"/>
            </w:rPr>
            <w:instrText xml:space="preserve"> PAGEREF _Toc32422 \h </w:instrText>
          </w:r>
          <w:r>
            <w:rPr>
              <w:color w:val="auto"/>
            </w:rPr>
            <w:fldChar w:fldCharType="separate"/>
          </w:r>
          <w:r>
            <w:rPr>
              <w:color w:val="auto"/>
            </w:rPr>
            <w:t>104</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_Toc19100 </w:instrText>
          </w:r>
          <w:r>
            <w:rPr>
              <w:rFonts w:hint="default"/>
              <w:color w:val="auto"/>
              <w:highlight w:val="none"/>
            </w:rPr>
            <w:fldChar w:fldCharType="separate"/>
          </w:r>
          <w:r>
            <w:rPr>
              <w:rFonts w:hint="eastAsia"/>
              <w:color w:val="auto"/>
              <w:highlight w:val="none"/>
              <w:lang w:val="en-US" w:eastAsia="zh-CN"/>
            </w:rPr>
            <w:t>5</w:t>
          </w:r>
          <w:r>
            <w:rPr>
              <w:color w:val="auto"/>
              <w:highlight w:val="none"/>
            </w:rPr>
            <w:t>.1自然环境状况</w:t>
          </w:r>
          <w:r>
            <w:rPr>
              <w:color w:val="auto"/>
            </w:rPr>
            <w:tab/>
          </w:r>
          <w:r>
            <w:rPr>
              <w:color w:val="auto"/>
            </w:rPr>
            <w:fldChar w:fldCharType="begin"/>
          </w:r>
          <w:r>
            <w:rPr>
              <w:color w:val="auto"/>
            </w:rPr>
            <w:instrText xml:space="preserve"> PAGEREF _Toc19100 \h </w:instrText>
          </w:r>
          <w:r>
            <w:rPr>
              <w:color w:val="auto"/>
            </w:rPr>
            <w:fldChar w:fldCharType="separate"/>
          </w:r>
          <w:r>
            <w:rPr>
              <w:color w:val="auto"/>
            </w:rPr>
            <w:t>104</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_Toc10987 </w:instrText>
          </w:r>
          <w:r>
            <w:rPr>
              <w:rFonts w:hint="default"/>
              <w:color w:val="auto"/>
              <w:highlight w:val="none"/>
            </w:rPr>
            <w:fldChar w:fldCharType="separate"/>
          </w:r>
          <w:r>
            <w:rPr>
              <w:rFonts w:hint="eastAsia"/>
              <w:color w:val="auto"/>
              <w:highlight w:val="none"/>
              <w:lang w:val="en-US" w:eastAsia="zh-CN"/>
            </w:rPr>
            <w:t>5.2</w:t>
          </w:r>
          <w:r>
            <w:rPr>
              <w:color w:val="auto"/>
              <w:highlight w:val="none"/>
            </w:rPr>
            <w:t>环境质量调查</w:t>
          </w:r>
          <w:r>
            <w:rPr>
              <w:color w:val="auto"/>
            </w:rPr>
            <w:tab/>
          </w:r>
          <w:r>
            <w:rPr>
              <w:color w:val="auto"/>
            </w:rPr>
            <w:fldChar w:fldCharType="begin"/>
          </w:r>
          <w:r>
            <w:rPr>
              <w:color w:val="auto"/>
            </w:rPr>
            <w:instrText xml:space="preserve"> PAGEREF _Toc10987 \h </w:instrText>
          </w:r>
          <w:r>
            <w:rPr>
              <w:color w:val="auto"/>
            </w:rPr>
            <w:fldChar w:fldCharType="separate"/>
          </w:r>
          <w:r>
            <w:rPr>
              <w:color w:val="auto"/>
            </w:rPr>
            <w:t>107</w:t>
          </w:r>
          <w:r>
            <w:rPr>
              <w:color w:val="auto"/>
            </w:rPr>
            <w:fldChar w:fldCharType="end"/>
          </w:r>
          <w:r>
            <w:rPr>
              <w:rFonts w:hint="default"/>
              <w:color w:val="auto"/>
              <w:highlight w:val="none"/>
            </w:rPr>
            <w:fldChar w:fldCharType="end"/>
          </w:r>
        </w:p>
        <w:p>
          <w:pPr>
            <w:pStyle w:val="23"/>
            <w:tabs>
              <w:tab w:val="right" w:leader="dot" w:pos="8250"/>
            </w:tabs>
            <w:rPr>
              <w:color w:val="auto"/>
            </w:rPr>
          </w:pPr>
          <w:r>
            <w:rPr>
              <w:rFonts w:hint="default"/>
              <w:color w:val="auto"/>
              <w:highlight w:val="none"/>
            </w:rPr>
            <w:fldChar w:fldCharType="begin"/>
          </w:r>
          <w:r>
            <w:rPr>
              <w:rFonts w:hint="default"/>
              <w:color w:val="auto"/>
              <w:highlight w:val="none"/>
            </w:rPr>
            <w:instrText xml:space="preserve"> HYPERLINK \l _Toc10772 </w:instrText>
          </w:r>
          <w:r>
            <w:rPr>
              <w:rFonts w:hint="default"/>
              <w:color w:val="auto"/>
              <w:highlight w:val="none"/>
            </w:rPr>
            <w:fldChar w:fldCharType="separate"/>
          </w:r>
          <w:r>
            <w:rPr>
              <w:rFonts w:hint="eastAsia" w:ascii="Times New Roman" w:hAnsi="Times New Roman" w:eastAsia="宋体" w:cs="宋体"/>
              <w:snapToGrid/>
              <w:color w:val="auto"/>
              <w:kern w:val="0"/>
              <w:highlight w:val="none"/>
              <w:lang w:val="en-US" w:eastAsia="zh-CN"/>
            </w:rPr>
            <w:t>6</w:t>
          </w:r>
          <w:r>
            <w:rPr>
              <w:rFonts w:hint="eastAsia" w:ascii="Times New Roman" w:hAnsi="Times New Roman" w:eastAsia="宋体" w:cs="宋体"/>
              <w:snapToGrid/>
              <w:color w:val="auto"/>
              <w:kern w:val="0"/>
              <w:highlight w:val="none"/>
              <w:lang w:eastAsia="zh-CN"/>
            </w:rPr>
            <w:t>建设项目环境影响分析</w:t>
          </w:r>
          <w:r>
            <w:rPr>
              <w:color w:val="auto"/>
            </w:rPr>
            <w:tab/>
          </w:r>
          <w:r>
            <w:rPr>
              <w:color w:val="auto"/>
            </w:rPr>
            <w:fldChar w:fldCharType="begin"/>
          </w:r>
          <w:r>
            <w:rPr>
              <w:color w:val="auto"/>
            </w:rPr>
            <w:instrText xml:space="preserve"> PAGEREF _Toc10772 \h </w:instrText>
          </w:r>
          <w:r>
            <w:rPr>
              <w:color w:val="auto"/>
            </w:rPr>
            <w:fldChar w:fldCharType="separate"/>
          </w:r>
          <w:r>
            <w:rPr>
              <w:color w:val="auto"/>
            </w:rPr>
            <w:t>119</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_Toc17994 </w:instrText>
          </w:r>
          <w:r>
            <w:rPr>
              <w:rFonts w:hint="default"/>
              <w:color w:val="auto"/>
              <w:highlight w:val="none"/>
            </w:rPr>
            <w:fldChar w:fldCharType="separate"/>
          </w:r>
          <w:r>
            <w:rPr>
              <w:rFonts w:hint="eastAsia" w:ascii="Times New Roman" w:hAnsi="Times New Roman" w:cs="Times New Roman"/>
              <w:color w:val="auto"/>
              <w:highlight w:val="none"/>
              <w:lang w:val="en-US" w:eastAsia="zh-CN"/>
            </w:rPr>
            <w:t>6</w:t>
          </w:r>
          <w:r>
            <w:rPr>
              <w:rFonts w:hint="default" w:ascii="Times New Roman" w:hAnsi="Times New Roman" w:cs="Times New Roman"/>
              <w:color w:val="auto"/>
              <w:highlight w:val="none"/>
            </w:rPr>
            <w:t>.1施工期环境影响分析</w:t>
          </w:r>
          <w:r>
            <w:rPr>
              <w:color w:val="auto"/>
            </w:rPr>
            <w:tab/>
          </w:r>
          <w:r>
            <w:rPr>
              <w:color w:val="auto"/>
            </w:rPr>
            <w:fldChar w:fldCharType="begin"/>
          </w:r>
          <w:r>
            <w:rPr>
              <w:color w:val="auto"/>
            </w:rPr>
            <w:instrText xml:space="preserve"> PAGEREF _Toc17994 \h </w:instrText>
          </w:r>
          <w:r>
            <w:rPr>
              <w:color w:val="auto"/>
            </w:rPr>
            <w:fldChar w:fldCharType="separate"/>
          </w:r>
          <w:r>
            <w:rPr>
              <w:color w:val="auto"/>
            </w:rPr>
            <w:t>119</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_Toc30411 </w:instrText>
          </w:r>
          <w:r>
            <w:rPr>
              <w:rFonts w:hint="default"/>
              <w:color w:val="auto"/>
              <w:highlight w:val="none"/>
            </w:rPr>
            <w:fldChar w:fldCharType="separate"/>
          </w:r>
          <w:r>
            <w:rPr>
              <w:rFonts w:hint="eastAsia"/>
              <w:color w:val="auto"/>
              <w:highlight w:val="none"/>
              <w:lang w:val="en-US" w:eastAsia="zh-CN"/>
            </w:rPr>
            <w:t>6</w:t>
          </w:r>
          <w:r>
            <w:rPr>
              <w:color w:val="auto"/>
              <w:highlight w:val="none"/>
            </w:rPr>
            <w:t>.2</w:t>
          </w:r>
          <w:r>
            <w:rPr>
              <w:rFonts w:hint="default" w:ascii="Times New Roman" w:hAnsi="Times New Roman" w:eastAsia="宋体" w:cs="Times New Roman"/>
              <w:bCs/>
              <w:color w:val="auto"/>
              <w:highlight w:val="none"/>
              <w:lang w:val="en-US" w:eastAsia="zh-CN"/>
            </w:rPr>
            <w:t>运营期环境影响预测与评价</w:t>
          </w:r>
          <w:r>
            <w:rPr>
              <w:color w:val="auto"/>
            </w:rPr>
            <w:tab/>
          </w:r>
          <w:r>
            <w:rPr>
              <w:color w:val="auto"/>
            </w:rPr>
            <w:fldChar w:fldCharType="begin"/>
          </w:r>
          <w:r>
            <w:rPr>
              <w:color w:val="auto"/>
            </w:rPr>
            <w:instrText xml:space="preserve"> PAGEREF _Toc30411 \h </w:instrText>
          </w:r>
          <w:r>
            <w:rPr>
              <w:color w:val="auto"/>
            </w:rPr>
            <w:fldChar w:fldCharType="separate"/>
          </w:r>
          <w:r>
            <w:rPr>
              <w:color w:val="auto"/>
            </w:rPr>
            <w:t>126</w:t>
          </w:r>
          <w:r>
            <w:rPr>
              <w:color w:val="auto"/>
            </w:rPr>
            <w:fldChar w:fldCharType="end"/>
          </w:r>
          <w:r>
            <w:rPr>
              <w:rFonts w:hint="default"/>
              <w:color w:val="auto"/>
              <w:highlight w:val="none"/>
            </w:rPr>
            <w:fldChar w:fldCharType="end"/>
          </w:r>
        </w:p>
        <w:p>
          <w:pPr>
            <w:pStyle w:val="23"/>
            <w:tabs>
              <w:tab w:val="right" w:leader="dot" w:pos="8250"/>
            </w:tabs>
            <w:rPr>
              <w:color w:val="auto"/>
            </w:rPr>
          </w:pPr>
          <w:r>
            <w:rPr>
              <w:rFonts w:hint="default"/>
              <w:color w:val="auto"/>
              <w:highlight w:val="none"/>
            </w:rPr>
            <w:fldChar w:fldCharType="begin"/>
          </w:r>
          <w:r>
            <w:rPr>
              <w:rFonts w:hint="default"/>
              <w:color w:val="auto"/>
              <w:highlight w:val="none"/>
            </w:rPr>
            <w:instrText xml:space="preserve"> HYPERLINK \l _Toc8014 </w:instrText>
          </w:r>
          <w:r>
            <w:rPr>
              <w:rFonts w:hint="default"/>
              <w:color w:val="auto"/>
              <w:highlight w:val="none"/>
            </w:rPr>
            <w:fldChar w:fldCharType="separate"/>
          </w:r>
          <w:r>
            <w:rPr>
              <w:rFonts w:hint="eastAsia" w:ascii="Times New Roman" w:hAnsi="Times New Roman" w:cs="Times New Roman"/>
              <w:color w:val="auto"/>
              <w:highlight w:val="none"/>
              <w:lang w:val="en-US" w:eastAsia="zh-CN"/>
            </w:rPr>
            <w:t>7</w:t>
          </w:r>
          <w:r>
            <w:rPr>
              <w:rFonts w:hint="default" w:ascii="Times New Roman" w:hAnsi="Times New Roman" w:cs="Times New Roman"/>
              <w:color w:val="auto"/>
              <w:highlight w:val="none"/>
            </w:rPr>
            <w:t>环境保护措施及其可行性分析</w:t>
          </w:r>
          <w:r>
            <w:rPr>
              <w:color w:val="auto"/>
            </w:rPr>
            <w:tab/>
          </w:r>
          <w:r>
            <w:rPr>
              <w:color w:val="auto"/>
            </w:rPr>
            <w:fldChar w:fldCharType="begin"/>
          </w:r>
          <w:r>
            <w:rPr>
              <w:color w:val="auto"/>
            </w:rPr>
            <w:instrText xml:space="preserve"> PAGEREF _Toc8014 \h </w:instrText>
          </w:r>
          <w:r>
            <w:rPr>
              <w:color w:val="auto"/>
            </w:rPr>
            <w:fldChar w:fldCharType="separate"/>
          </w:r>
          <w:r>
            <w:rPr>
              <w:color w:val="auto"/>
            </w:rPr>
            <w:t>167</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_Toc23396 </w:instrText>
          </w:r>
          <w:r>
            <w:rPr>
              <w:rFonts w:hint="default"/>
              <w:color w:val="auto"/>
              <w:highlight w:val="none"/>
            </w:rPr>
            <w:fldChar w:fldCharType="separate"/>
          </w:r>
          <w:r>
            <w:rPr>
              <w:rFonts w:hint="eastAsia" w:ascii="Times New Roman" w:hAnsi="Times New Roman" w:cs="Times New Roman"/>
              <w:color w:val="auto"/>
              <w:highlight w:val="none"/>
              <w:lang w:val="en-US" w:eastAsia="zh-CN"/>
            </w:rPr>
            <w:t>7</w:t>
          </w:r>
          <w:r>
            <w:rPr>
              <w:rFonts w:hint="default" w:ascii="Times New Roman" w:hAnsi="Times New Roman" w:cs="Times New Roman"/>
              <w:color w:val="auto"/>
              <w:highlight w:val="none"/>
            </w:rPr>
            <w:t>.1施工期污染防治措施及可行性分析</w:t>
          </w:r>
          <w:r>
            <w:rPr>
              <w:color w:val="auto"/>
            </w:rPr>
            <w:tab/>
          </w:r>
          <w:r>
            <w:rPr>
              <w:color w:val="auto"/>
            </w:rPr>
            <w:fldChar w:fldCharType="begin"/>
          </w:r>
          <w:r>
            <w:rPr>
              <w:color w:val="auto"/>
            </w:rPr>
            <w:instrText xml:space="preserve"> PAGEREF _Toc23396 \h </w:instrText>
          </w:r>
          <w:r>
            <w:rPr>
              <w:color w:val="auto"/>
            </w:rPr>
            <w:fldChar w:fldCharType="separate"/>
          </w:r>
          <w:r>
            <w:rPr>
              <w:color w:val="auto"/>
            </w:rPr>
            <w:t>167</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_Toc6961 </w:instrText>
          </w:r>
          <w:r>
            <w:rPr>
              <w:rFonts w:hint="default"/>
              <w:color w:val="auto"/>
              <w:highlight w:val="none"/>
            </w:rPr>
            <w:fldChar w:fldCharType="separate"/>
          </w:r>
          <w:r>
            <w:rPr>
              <w:rFonts w:hint="eastAsia"/>
              <w:color w:val="auto"/>
              <w:highlight w:val="none"/>
              <w:lang w:val="en-US" w:eastAsia="zh-CN"/>
            </w:rPr>
            <w:t>7</w:t>
          </w:r>
          <w:r>
            <w:rPr>
              <w:color w:val="auto"/>
              <w:highlight w:val="none"/>
            </w:rPr>
            <w:t>.</w:t>
          </w:r>
          <w:r>
            <w:rPr>
              <w:rFonts w:hint="eastAsia"/>
              <w:color w:val="auto"/>
              <w:highlight w:val="none"/>
              <w:lang w:val="en-US" w:eastAsia="zh-CN"/>
            </w:rPr>
            <w:t>2</w:t>
          </w:r>
          <w:r>
            <w:rPr>
              <w:color w:val="auto"/>
              <w:highlight w:val="none"/>
            </w:rPr>
            <w:t>运营期环境影响减缓措施</w:t>
          </w:r>
          <w:r>
            <w:rPr>
              <w:color w:val="auto"/>
            </w:rPr>
            <w:tab/>
          </w:r>
          <w:r>
            <w:rPr>
              <w:color w:val="auto"/>
            </w:rPr>
            <w:fldChar w:fldCharType="begin"/>
          </w:r>
          <w:r>
            <w:rPr>
              <w:color w:val="auto"/>
            </w:rPr>
            <w:instrText xml:space="preserve"> PAGEREF _Toc6961 \h </w:instrText>
          </w:r>
          <w:r>
            <w:rPr>
              <w:color w:val="auto"/>
            </w:rPr>
            <w:fldChar w:fldCharType="separate"/>
          </w:r>
          <w:r>
            <w:rPr>
              <w:color w:val="auto"/>
            </w:rPr>
            <w:t>172</w:t>
          </w:r>
          <w:r>
            <w:rPr>
              <w:color w:val="auto"/>
            </w:rPr>
            <w:fldChar w:fldCharType="end"/>
          </w:r>
          <w:r>
            <w:rPr>
              <w:rFonts w:hint="default"/>
              <w:color w:val="auto"/>
              <w:highlight w:val="none"/>
            </w:rPr>
            <w:fldChar w:fldCharType="end"/>
          </w:r>
        </w:p>
        <w:p>
          <w:pPr>
            <w:pStyle w:val="23"/>
            <w:tabs>
              <w:tab w:val="right" w:leader="dot" w:pos="8250"/>
            </w:tabs>
            <w:rPr>
              <w:color w:val="auto"/>
            </w:rPr>
          </w:pPr>
          <w:r>
            <w:rPr>
              <w:rFonts w:hint="default"/>
              <w:color w:val="auto"/>
              <w:highlight w:val="none"/>
            </w:rPr>
            <w:fldChar w:fldCharType="begin"/>
          </w:r>
          <w:r>
            <w:rPr>
              <w:rFonts w:hint="default"/>
              <w:color w:val="auto"/>
              <w:highlight w:val="none"/>
            </w:rPr>
            <w:instrText xml:space="preserve"> HYPERLINK \l _Toc205 </w:instrText>
          </w:r>
          <w:r>
            <w:rPr>
              <w:rFonts w:hint="default"/>
              <w:color w:val="auto"/>
              <w:highlight w:val="none"/>
            </w:rPr>
            <w:fldChar w:fldCharType="separate"/>
          </w:r>
          <w:r>
            <w:rPr>
              <w:rFonts w:hint="eastAsia"/>
              <w:color w:val="auto"/>
              <w:highlight w:val="none"/>
              <w:lang w:val="en-US" w:eastAsia="zh-CN"/>
            </w:rPr>
            <w:t>8</w:t>
          </w:r>
          <w:r>
            <w:rPr>
              <w:color w:val="auto"/>
              <w:highlight w:val="none"/>
            </w:rPr>
            <w:t>环境影响经济损益分析</w:t>
          </w:r>
          <w:r>
            <w:rPr>
              <w:color w:val="auto"/>
            </w:rPr>
            <w:tab/>
          </w:r>
          <w:r>
            <w:rPr>
              <w:color w:val="auto"/>
            </w:rPr>
            <w:fldChar w:fldCharType="begin"/>
          </w:r>
          <w:r>
            <w:rPr>
              <w:color w:val="auto"/>
            </w:rPr>
            <w:instrText xml:space="preserve"> PAGEREF _Toc205 \h </w:instrText>
          </w:r>
          <w:r>
            <w:rPr>
              <w:color w:val="auto"/>
            </w:rPr>
            <w:fldChar w:fldCharType="separate"/>
          </w:r>
          <w:r>
            <w:rPr>
              <w:color w:val="auto"/>
            </w:rPr>
            <w:t>188</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_Toc7516 </w:instrText>
          </w:r>
          <w:r>
            <w:rPr>
              <w:rFonts w:hint="default"/>
              <w:color w:val="auto"/>
              <w:highlight w:val="none"/>
            </w:rPr>
            <w:fldChar w:fldCharType="separate"/>
          </w:r>
          <w:r>
            <w:rPr>
              <w:rFonts w:hint="eastAsia" w:ascii="Times New Roman" w:hAnsi="Times New Roman" w:eastAsia="宋体" w:cs="Times New Roman"/>
              <w:color w:val="auto"/>
              <w:highlight w:val="none"/>
              <w:lang w:val="en-US" w:eastAsia="zh-CN"/>
            </w:rPr>
            <w:t>8.1社会效益分析</w:t>
          </w:r>
          <w:r>
            <w:rPr>
              <w:color w:val="auto"/>
            </w:rPr>
            <w:tab/>
          </w:r>
          <w:r>
            <w:rPr>
              <w:color w:val="auto"/>
            </w:rPr>
            <w:fldChar w:fldCharType="begin"/>
          </w:r>
          <w:r>
            <w:rPr>
              <w:color w:val="auto"/>
            </w:rPr>
            <w:instrText xml:space="preserve"> PAGEREF _Toc7516 \h </w:instrText>
          </w:r>
          <w:r>
            <w:rPr>
              <w:color w:val="auto"/>
            </w:rPr>
            <w:fldChar w:fldCharType="separate"/>
          </w:r>
          <w:r>
            <w:rPr>
              <w:color w:val="auto"/>
            </w:rPr>
            <w:t>188</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_Toc27192 </w:instrText>
          </w:r>
          <w:r>
            <w:rPr>
              <w:rFonts w:hint="default"/>
              <w:color w:val="auto"/>
              <w:highlight w:val="none"/>
            </w:rPr>
            <w:fldChar w:fldCharType="separate"/>
          </w:r>
          <w:r>
            <w:rPr>
              <w:rFonts w:hint="eastAsia" w:ascii="Times New Roman" w:hAnsi="Times New Roman" w:eastAsia="宋体" w:cs="Times New Roman"/>
              <w:color w:val="auto"/>
              <w:highlight w:val="none"/>
              <w:lang w:val="en-US" w:eastAsia="zh-CN"/>
            </w:rPr>
            <w:t>8.2经济效益分析</w:t>
          </w:r>
          <w:r>
            <w:rPr>
              <w:color w:val="auto"/>
            </w:rPr>
            <w:tab/>
          </w:r>
          <w:r>
            <w:rPr>
              <w:color w:val="auto"/>
            </w:rPr>
            <w:fldChar w:fldCharType="begin"/>
          </w:r>
          <w:r>
            <w:rPr>
              <w:color w:val="auto"/>
            </w:rPr>
            <w:instrText xml:space="preserve"> PAGEREF _Toc27192 \h </w:instrText>
          </w:r>
          <w:r>
            <w:rPr>
              <w:color w:val="auto"/>
            </w:rPr>
            <w:fldChar w:fldCharType="separate"/>
          </w:r>
          <w:r>
            <w:rPr>
              <w:color w:val="auto"/>
            </w:rPr>
            <w:t>188</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_Toc15356 </w:instrText>
          </w:r>
          <w:r>
            <w:rPr>
              <w:rFonts w:hint="default"/>
              <w:color w:val="auto"/>
              <w:highlight w:val="none"/>
            </w:rPr>
            <w:fldChar w:fldCharType="separate"/>
          </w:r>
          <w:r>
            <w:rPr>
              <w:rFonts w:hint="eastAsia" w:ascii="Times New Roman" w:hAnsi="Times New Roman" w:eastAsia="宋体" w:cs="Times New Roman"/>
              <w:color w:val="auto"/>
              <w:highlight w:val="none"/>
              <w:lang w:val="en-US" w:eastAsia="zh-CN"/>
            </w:rPr>
            <w:t>8.3环保投资及环境效益分析</w:t>
          </w:r>
          <w:r>
            <w:rPr>
              <w:color w:val="auto"/>
            </w:rPr>
            <w:tab/>
          </w:r>
          <w:r>
            <w:rPr>
              <w:color w:val="auto"/>
            </w:rPr>
            <w:fldChar w:fldCharType="begin"/>
          </w:r>
          <w:r>
            <w:rPr>
              <w:color w:val="auto"/>
            </w:rPr>
            <w:instrText xml:space="preserve"> PAGEREF _Toc15356 \h </w:instrText>
          </w:r>
          <w:r>
            <w:rPr>
              <w:color w:val="auto"/>
            </w:rPr>
            <w:fldChar w:fldCharType="separate"/>
          </w:r>
          <w:r>
            <w:rPr>
              <w:color w:val="auto"/>
            </w:rPr>
            <w:t>188</w:t>
          </w:r>
          <w:r>
            <w:rPr>
              <w:color w:val="auto"/>
            </w:rPr>
            <w:fldChar w:fldCharType="end"/>
          </w:r>
          <w:r>
            <w:rPr>
              <w:rFonts w:hint="default"/>
              <w:color w:val="auto"/>
              <w:highlight w:val="none"/>
            </w:rPr>
            <w:fldChar w:fldCharType="end"/>
          </w:r>
        </w:p>
        <w:p>
          <w:pPr>
            <w:pStyle w:val="23"/>
            <w:tabs>
              <w:tab w:val="right" w:leader="dot" w:pos="8250"/>
            </w:tabs>
            <w:rPr>
              <w:color w:val="auto"/>
            </w:rPr>
          </w:pPr>
          <w:r>
            <w:rPr>
              <w:rFonts w:hint="default"/>
              <w:color w:val="auto"/>
              <w:highlight w:val="none"/>
            </w:rPr>
            <w:fldChar w:fldCharType="begin"/>
          </w:r>
          <w:r>
            <w:rPr>
              <w:rFonts w:hint="default"/>
              <w:color w:val="auto"/>
              <w:highlight w:val="none"/>
            </w:rPr>
            <w:instrText xml:space="preserve"> HYPERLINK \l _Toc32210 </w:instrText>
          </w:r>
          <w:r>
            <w:rPr>
              <w:rFonts w:hint="default"/>
              <w:color w:val="auto"/>
              <w:highlight w:val="none"/>
            </w:rPr>
            <w:fldChar w:fldCharType="separate"/>
          </w:r>
          <w:r>
            <w:rPr>
              <w:rFonts w:hint="eastAsia"/>
              <w:color w:val="auto"/>
              <w:highlight w:val="none"/>
              <w:lang w:val="en-US" w:eastAsia="zh-CN"/>
            </w:rPr>
            <w:t>9</w:t>
          </w:r>
          <w:r>
            <w:rPr>
              <w:color w:val="auto"/>
              <w:highlight w:val="none"/>
            </w:rPr>
            <w:t>环境管理与监测计划</w:t>
          </w:r>
          <w:r>
            <w:rPr>
              <w:color w:val="auto"/>
            </w:rPr>
            <w:tab/>
          </w:r>
          <w:r>
            <w:rPr>
              <w:color w:val="auto"/>
            </w:rPr>
            <w:fldChar w:fldCharType="begin"/>
          </w:r>
          <w:r>
            <w:rPr>
              <w:color w:val="auto"/>
            </w:rPr>
            <w:instrText xml:space="preserve"> PAGEREF _Toc32210 \h </w:instrText>
          </w:r>
          <w:r>
            <w:rPr>
              <w:color w:val="auto"/>
            </w:rPr>
            <w:fldChar w:fldCharType="separate"/>
          </w:r>
          <w:r>
            <w:rPr>
              <w:color w:val="auto"/>
            </w:rPr>
            <w:t>190</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_Toc12893 </w:instrText>
          </w:r>
          <w:r>
            <w:rPr>
              <w:rFonts w:hint="default"/>
              <w:color w:val="auto"/>
              <w:highlight w:val="none"/>
            </w:rPr>
            <w:fldChar w:fldCharType="separate"/>
          </w:r>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.1环境管理</w:t>
          </w:r>
          <w:r>
            <w:rPr>
              <w:color w:val="auto"/>
            </w:rPr>
            <w:tab/>
          </w:r>
          <w:r>
            <w:rPr>
              <w:color w:val="auto"/>
            </w:rPr>
            <w:fldChar w:fldCharType="begin"/>
          </w:r>
          <w:r>
            <w:rPr>
              <w:color w:val="auto"/>
            </w:rPr>
            <w:instrText xml:space="preserve"> PAGEREF _Toc12893 \h </w:instrText>
          </w:r>
          <w:r>
            <w:rPr>
              <w:color w:val="auto"/>
            </w:rPr>
            <w:fldChar w:fldCharType="separate"/>
          </w:r>
          <w:r>
            <w:rPr>
              <w:color w:val="auto"/>
            </w:rPr>
            <w:t>190</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_Toc2118 </w:instrText>
          </w:r>
          <w:r>
            <w:rPr>
              <w:rFonts w:hint="default"/>
              <w:color w:val="auto"/>
              <w:highlight w:val="none"/>
            </w:rPr>
            <w:fldChar w:fldCharType="separate"/>
          </w:r>
          <w:r>
            <w:rPr>
              <w:rFonts w:hint="eastAsia"/>
              <w:color w:val="auto"/>
              <w:highlight w:val="none"/>
              <w:lang w:val="en-US" w:eastAsia="zh-CN"/>
            </w:rPr>
            <w:t>9</w:t>
          </w:r>
          <w:r>
            <w:rPr>
              <w:color w:val="auto"/>
              <w:highlight w:val="none"/>
            </w:rPr>
            <w:t>.2环境监测计划</w:t>
          </w:r>
          <w:r>
            <w:rPr>
              <w:color w:val="auto"/>
            </w:rPr>
            <w:tab/>
          </w:r>
          <w:r>
            <w:rPr>
              <w:color w:val="auto"/>
            </w:rPr>
            <w:fldChar w:fldCharType="begin"/>
          </w:r>
          <w:r>
            <w:rPr>
              <w:color w:val="auto"/>
            </w:rPr>
            <w:instrText xml:space="preserve"> PAGEREF _Toc2118 \h </w:instrText>
          </w:r>
          <w:r>
            <w:rPr>
              <w:color w:val="auto"/>
            </w:rPr>
            <w:fldChar w:fldCharType="separate"/>
          </w:r>
          <w:r>
            <w:rPr>
              <w:color w:val="auto"/>
            </w:rPr>
            <w:t>194</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_Toc18141 </w:instrText>
          </w:r>
          <w:r>
            <w:rPr>
              <w:rFonts w:hint="default"/>
              <w:color w:val="auto"/>
              <w:highlight w:val="none"/>
            </w:rPr>
            <w:fldChar w:fldCharType="separate"/>
          </w:r>
          <w:r>
            <w:rPr>
              <w:rFonts w:hint="eastAsia"/>
              <w:color w:val="auto"/>
              <w:lang w:val="en-US" w:eastAsia="zh-CN"/>
            </w:rPr>
            <w:t>9</w:t>
          </w:r>
          <w:r>
            <w:rPr>
              <w:rFonts w:hint="default"/>
              <w:color w:val="auto"/>
              <w:lang w:val="en-US" w:eastAsia="zh-CN"/>
            </w:rPr>
            <w:t>.</w:t>
          </w:r>
          <w:r>
            <w:rPr>
              <w:rFonts w:hint="eastAsia"/>
              <w:color w:val="auto"/>
              <w:lang w:val="en-US" w:eastAsia="zh-CN"/>
            </w:rPr>
            <w:t>3</w:t>
          </w:r>
          <w:r>
            <w:rPr>
              <w:rFonts w:hint="default"/>
              <w:color w:val="auto"/>
              <w:lang w:val="en-US" w:eastAsia="zh-CN"/>
            </w:rPr>
            <w:t>环保</w:t>
          </w:r>
          <w:r>
            <w:rPr>
              <w:rFonts w:hint="eastAsia"/>
              <w:color w:val="auto"/>
              <w:lang w:val="en-US" w:eastAsia="zh-CN"/>
            </w:rPr>
            <w:t>“</w:t>
          </w:r>
          <w:r>
            <w:rPr>
              <w:rFonts w:hint="default"/>
              <w:color w:val="auto"/>
              <w:lang w:val="en-US" w:eastAsia="zh-CN"/>
            </w:rPr>
            <w:t>三同时</w:t>
          </w:r>
          <w:r>
            <w:rPr>
              <w:rFonts w:hint="eastAsia"/>
              <w:color w:val="auto"/>
              <w:lang w:val="en-US" w:eastAsia="zh-CN"/>
            </w:rPr>
            <w:t>”</w:t>
          </w:r>
          <w:r>
            <w:rPr>
              <w:rFonts w:hint="default"/>
              <w:color w:val="auto"/>
              <w:lang w:val="en-US" w:eastAsia="zh-CN"/>
            </w:rPr>
            <w:t>验收</w:t>
          </w:r>
          <w:r>
            <w:rPr>
              <w:color w:val="auto"/>
            </w:rPr>
            <w:tab/>
          </w:r>
          <w:r>
            <w:rPr>
              <w:color w:val="auto"/>
            </w:rPr>
            <w:fldChar w:fldCharType="begin"/>
          </w:r>
          <w:r>
            <w:rPr>
              <w:color w:val="auto"/>
            </w:rPr>
            <w:instrText xml:space="preserve"> PAGEREF _Toc18141 \h </w:instrText>
          </w:r>
          <w:r>
            <w:rPr>
              <w:color w:val="auto"/>
            </w:rPr>
            <w:fldChar w:fldCharType="separate"/>
          </w:r>
          <w:r>
            <w:rPr>
              <w:color w:val="auto"/>
            </w:rPr>
            <w:t>198</w:t>
          </w:r>
          <w:r>
            <w:rPr>
              <w:color w:val="auto"/>
            </w:rPr>
            <w:fldChar w:fldCharType="end"/>
          </w:r>
          <w:r>
            <w:rPr>
              <w:rFonts w:hint="default"/>
              <w:color w:val="auto"/>
              <w:highlight w:val="none"/>
            </w:rPr>
            <w:fldChar w:fldCharType="end"/>
          </w:r>
        </w:p>
        <w:p>
          <w:pPr>
            <w:pStyle w:val="23"/>
            <w:tabs>
              <w:tab w:val="right" w:leader="dot" w:pos="8250"/>
            </w:tabs>
            <w:rPr>
              <w:color w:val="auto"/>
            </w:rPr>
          </w:pPr>
          <w:r>
            <w:rPr>
              <w:rFonts w:hint="default"/>
              <w:color w:val="auto"/>
              <w:highlight w:val="none"/>
            </w:rPr>
            <w:fldChar w:fldCharType="begin"/>
          </w:r>
          <w:r>
            <w:rPr>
              <w:rFonts w:hint="default"/>
              <w:color w:val="auto"/>
              <w:highlight w:val="none"/>
            </w:rPr>
            <w:instrText xml:space="preserve"> HYPERLINK \l _Toc14674 </w:instrText>
          </w:r>
          <w:r>
            <w:rPr>
              <w:rFonts w:hint="default"/>
              <w:color w:val="auto"/>
              <w:highlight w:val="none"/>
            </w:rPr>
            <w:fldChar w:fldCharType="separate"/>
          </w:r>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rPr>
            <w:t>结论与建议</w:t>
          </w:r>
          <w:r>
            <w:rPr>
              <w:color w:val="auto"/>
            </w:rPr>
            <w:tab/>
          </w:r>
          <w:r>
            <w:rPr>
              <w:color w:val="auto"/>
            </w:rPr>
            <w:fldChar w:fldCharType="begin"/>
          </w:r>
          <w:r>
            <w:rPr>
              <w:color w:val="auto"/>
            </w:rPr>
            <w:instrText xml:space="preserve"> PAGEREF _Toc14674 \h </w:instrText>
          </w:r>
          <w:r>
            <w:rPr>
              <w:color w:val="auto"/>
            </w:rPr>
            <w:fldChar w:fldCharType="separate"/>
          </w:r>
          <w:r>
            <w:rPr>
              <w:color w:val="auto"/>
            </w:rPr>
            <w:t>200</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_Toc18871 </w:instrText>
          </w:r>
          <w:r>
            <w:rPr>
              <w:rFonts w:hint="default"/>
              <w:color w:val="auto"/>
              <w:highlight w:val="none"/>
            </w:rPr>
            <w:fldChar w:fldCharType="separate"/>
          </w:r>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rPr>
            <w:t>.1项目建设概况</w:t>
          </w:r>
          <w:r>
            <w:rPr>
              <w:color w:val="auto"/>
            </w:rPr>
            <w:tab/>
          </w:r>
          <w:r>
            <w:rPr>
              <w:color w:val="auto"/>
            </w:rPr>
            <w:fldChar w:fldCharType="begin"/>
          </w:r>
          <w:r>
            <w:rPr>
              <w:color w:val="auto"/>
            </w:rPr>
            <w:instrText xml:space="preserve"> PAGEREF _Toc18871 \h </w:instrText>
          </w:r>
          <w:r>
            <w:rPr>
              <w:color w:val="auto"/>
            </w:rPr>
            <w:fldChar w:fldCharType="separate"/>
          </w:r>
          <w:r>
            <w:rPr>
              <w:color w:val="auto"/>
            </w:rPr>
            <w:t>200</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_Toc18927 </w:instrText>
          </w:r>
          <w:r>
            <w:rPr>
              <w:rFonts w:hint="default"/>
              <w:color w:val="auto"/>
              <w:highlight w:val="none"/>
            </w:rPr>
            <w:fldChar w:fldCharType="separate"/>
          </w:r>
          <w:r>
            <w:rPr>
              <w:rFonts w:hint="default" w:ascii="Times New Roman" w:hAnsi="Times New Roman" w:eastAsia="宋体" w:cs="Times New Roman"/>
              <w:color w:val="auto"/>
              <w:highlight w:val="none"/>
              <w:lang w:val="en-US" w:eastAsia="zh-CN"/>
            </w:rPr>
            <w:t>10.2</w:t>
          </w:r>
          <w:r>
            <w:rPr>
              <w:rFonts w:hint="default" w:ascii="Times New Roman" w:hAnsi="Times New Roman" w:eastAsia="宋体" w:cs="Times New Roman"/>
              <w:color w:val="auto"/>
              <w:highlight w:val="none"/>
            </w:rPr>
            <w:t>环境保护措施</w:t>
          </w:r>
          <w:r>
            <w:rPr>
              <w:rFonts w:hint="default" w:ascii="Times New Roman" w:hAnsi="Times New Roman" w:eastAsia="宋体" w:cs="Times New Roman"/>
              <w:color w:val="auto"/>
              <w:highlight w:val="none"/>
              <w:lang w:val="en-US" w:eastAsia="zh-CN"/>
            </w:rPr>
            <w:t>及</w:t>
          </w:r>
          <w:r>
            <w:rPr>
              <w:rFonts w:hint="default" w:ascii="Times New Roman" w:hAnsi="Times New Roman" w:eastAsia="宋体" w:cs="Times New Roman"/>
              <w:color w:val="auto"/>
              <w:highlight w:val="none"/>
            </w:rPr>
            <w:t>影响分析</w:t>
          </w:r>
          <w:r>
            <w:rPr>
              <w:color w:val="auto"/>
            </w:rPr>
            <w:tab/>
          </w:r>
          <w:r>
            <w:rPr>
              <w:color w:val="auto"/>
            </w:rPr>
            <w:fldChar w:fldCharType="begin"/>
          </w:r>
          <w:r>
            <w:rPr>
              <w:color w:val="auto"/>
            </w:rPr>
            <w:instrText xml:space="preserve"> PAGEREF _Toc18927 \h </w:instrText>
          </w:r>
          <w:r>
            <w:rPr>
              <w:color w:val="auto"/>
            </w:rPr>
            <w:fldChar w:fldCharType="separate"/>
          </w:r>
          <w:r>
            <w:rPr>
              <w:color w:val="auto"/>
            </w:rPr>
            <w:t>201</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_Toc15100 </w:instrText>
          </w:r>
          <w:r>
            <w:rPr>
              <w:rFonts w:hint="default"/>
              <w:color w:val="auto"/>
              <w:highlight w:val="none"/>
            </w:rPr>
            <w:fldChar w:fldCharType="separate"/>
          </w:r>
          <w:r>
            <w:rPr>
              <w:rFonts w:hint="default" w:ascii="Times New Roman" w:hAnsi="Times New Roman" w:eastAsia="宋体" w:cs="Times New Roman"/>
              <w:color w:val="auto"/>
              <w:lang w:val="en-US" w:eastAsia="zh-CN"/>
            </w:rPr>
            <w:t>10.3</w:t>
          </w:r>
          <w:r>
            <w:rPr>
              <w:rFonts w:hint="default" w:ascii="Times New Roman" w:hAnsi="Times New Roman" w:eastAsia="宋体" w:cs="Times New Roman"/>
              <w:color w:val="auto"/>
            </w:rPr>
            <w:t>总量控制</w:t>
          </w:r>
          <w:r>
            <w:rPr>
              <w:color w:val="auto"/>
            </w:rPr>
            <w:tab/>
          </w:r>
          <w:r>
            <w:rPr>
              <w:color w:val="auto"/>
            </w:rPr>
            <w:fldChar w:fldCharType="begin"/>
          </w:r>
          <w:r>
            <w:rPr>
              <w:color w:val="auto"/>
            </w:rPr>
            <w:instrText xml:space="preserve"> PAGEREF _Toc15100 \h </w:instrText>
          </w:r>
          <w:r>
            <w:rPr>
              <w:color w:val="auto"/>
            </w:rPr>
            <w:fldChar w:fldCharType="separate"/>
          </w:r>
          <w:r>
            <w:rPr>
              <w:color w:val="auto"/>
            </w:rPr>
            <w:t>203</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_Toc16613 </w:instrText>
          </w:r>
          <w:r>
            <w:rPr>
              <w:rFonts w:hint="default"/>
              <w:color w:val="auto"/>
              <w:highlight w:val="none"/>
            </w:rPr>
            <w:fldChar w:fldCharType="separate"/>
          </w:r>
          <w:r>
            <w:rPr>
              <w:rFonts w:hint="default" w:ascii="Times New Roman" w:hAnsi="Times New Roman" w:eastAsia="宋体" w:cs="Times New Roman"/>
              <w:color w:val="auto"/>
              <w:lang w:val="en-US" w:eastAsia="zh-CN"/>
            </w:rPr>
            <w:t>10.4</w:t>
          </w:r>
          <w:r>
            <w:rPr>
              <w:rFonts w:hint="default" w:ascii="Times New Roman" w:hAnsi="Times New Roman" w:eastAsia="宋体" w:cs="Times New Roman"/>
              <w:color w:val="auto"/>
            </w:rPr>
            <w:t>清洁生产水平</w:t>
          </w:r>
          <w:r>
            <w:rPr>
              <w:color w:val="auto"/>
            </w:rPr>
            <w:tab/>
          </w:r>
          <w:r>
            <w:rPr>
              <w:color w:val="auto"/>
            </w:rPr>
            <w:fldChar w:fldCharType="begin"/>
          </w:r>
          <w:r>
            <w:rPr>
              <w:color w:val="auto"/>
            </w:rPr>
            <w:instrText xml:space="preserve"> PAGEREF _Toc16613 \h </w:instrText>
          </w:r>
          <w:r>
            <w:rPr>
              <w:color w:val="auto"/>
            </w:rPr>
            <w:fldChar w:fldCharType="separate"/>
          </w:r>
          <w:r>
            <w:rPr>
              <w:color w:val="auto"/>
            </w:rPr>
            <w:t>203</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_Toc22893 </w:instrText>
          </w:r>
          <w:r>
            <w:rPr>
              <w:rFonts w:hint="default"/>
              <w:color w:val="auto"/>
              <w:highlight w:val="none"/>
            </w:rPr>
            <w:fldChar w:fldCharType="separate"/>
          </w:r>
          <w:r>
            <w:rPr>
              <w:rFonts w:hint="default" w:ascii="Times New Roman" w:hAnsi="Times New Roman" w:eastAsia="宋体" w:cs="Times New Roman"/>
              <w:color w:val="auto"/>
              <w:highlight w:val="none"/>
              <w:lang w:val="en-US" w:eastAsia="zh-CN"/>
            </w:rPr>
            <w:t>10.5</w:t>
          </w:r>
          <w:r>
            <w:rPr>
              <w:rFonts w:hint="default" w:ascii="Times New Roman" w:hAnsi="Times New Roman" w:eastAsia="宋体" w:cs="Times New Roman"/>
              <w:color w:val="auto"/>
              <w:highlight w:val="none"/>
            </w:rPr>
            <w:t>环境管理与监测计划</w:t>
          </w:r>
          <w:r>
            <w:rPr>
              <w:color w:val="auto"/>
            </w:rPr>
            <w:tab/>
          </w:r>
          <w:r>
            <w:rPr>
              <w:color w:val="auto"/>
            </w:rPr>
            <w:fldChar w:fldCharType="begin"/>
          </w:r>
          <w:r>
            <w:rPr>
              <w:color w:val="auto"/>
            </w:rPr>
            <w:instrText xml:space="preserve"> PAGEREF _Toc22893 \h </w:instrText>
          </w:r>
          <w:r>
            <w:rPr>
              <w:color w:val="auto"/>
            </w:rPr>
            <w:fldChar w:fldCharType="separate"/>
          </w:r>
          <w:r>
            <w:rPr>
              <w:color w:val="auto"/>
            </w:rPr>
            <w:t>204</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_Toc12474 </w:instrText>
          </w:r>
          <w:r>
            <w:rPr>
              <w:rFonts w:hint="default"/>
              <w:color w:val="auto"/>
              <w:highlight w:val="none"/>
            </w:rPr>
            <w:fldChar w:fldCharType="separate"/>
          </w:r>
          <w:r>
            <w:rPr>
              <w:rFonts w:hint="default" w:ascii="Times New Roman" w:hAnsi="Times New Roman" w:eastAsia="宋体" w:cs="Times New Roman"/>
              <w:color w:val="auto"/>
              <w:highlight w:val="none"/>
              <w:lang w:val="en-US" w:eastAsia="zh-CN"/>
            </w:rPr>
            <w:t>10.6环境影响经济损益分析</w:t>
          </w:r>
          <w:r>
            <w:rPr>
              <w:color w:val="auto"/>
            </w:rPr>
            <w:tab/>
          </w:r>
          <w:r>
            <w:rPr>
              <w:color w:val="auto"/>
            </w:rPr>
            <w:fldChar w:fldCharType="begin"/>
          </w:r>
          <w:r>
            <w:rPr>
              <w:color w:val="auto"/>
            </w:rPr>
            <w:instrText xml:space="preserve"> PAGEREF _Toc12474 \h </w:instrText>
          </w:r>
          <w:r>
            <w:rPr>
              <w:color w:val="auto"/>
            </w:rPr>
            <w:fldChar w:fldCharType="separate"/>
          </w:r>
          <w:r>
            <w:rPr>
              <w:color w:val="auto"/>
            </w:rPr>
            <w:t>204</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_Toc10521 </w:instrText>
          </w:r>
          <w:r>
            <w:rPr>
              <w:rFonts w:hint="default"/>
              <w:color w:val="auto"/>
              <w:highlight w:val="none"/>
            </w:rPr>
            <w:fldChar w:fldCharType="separate"/>
          </w:r>
          <w:r>
            <w:rPr>
              <w:rFonts w:hint="default"/>
              <w:color w:val="auto"/>
              <w:lang w:val="en-US" w:eastAsia="zh-CN"/>
            </w:rPr>
            <w:t>10.7</w:t>
          </w:r>
          <w:r>
            <w:rPr>
              <w:rFonts w:hint="default"/>
              <w:color w:val="auto"/>
            </w:rPr>
            <w:t>公众参与</w:t>
          </w:r>
          <w:r>
            <w:rPr>
              <w:color w:val="auto"/>
            </w:rPr>
            <w:tab/>
          </w:r>
          <w:r>
            <w:rPr>
              <w:color w:val="auto"/>
            </w:rPr>
            <w:fldChar w:fldCharType="begin"/>
          </w:r>
          <w:r>
            <w:rPr>
              <w:color w:val="auto"/>
            </w:rPr>
            <w:instrText xml:space="preserve"> PAGEREF _Toc10521 \h </w:instrText>
          </w:r>
          <w:r>
            <w:rPr>
              <w:color w:val="auto"/>
            </w:rPr>
            <w:fldChar w:fldCharType="separate"/>
          </w:r>
          <w:r>
            <w:rPr>
              <w:color w:val="auto"/>
            </w:rPr>
            <w:t>204</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_Toc25179 </w:instrText>
          </w:r>
          <w:r>
            <w:rPr>
              <w:rFonts w:hint="default"/>
              <w:color w:val="auto"/>
              <w:highlight w:val="none"/>
            </w:rPr>
            <w:fldChar w:fldCharType="separate"/>
          </w:r>
          <w:r>
            <w:rPr>
              <w:rFonts w:hint="default"/>
              <w:color w:val="auto"/>
              <w:lang w:val="en-US" w:eastAsia="zh-CN"/>
            </w:rPr>
            <w:t>10.8</w:t>
          </w:r>
          <w:r>
            <w:rPr>
              <w:rFonts w:hint="default"/>
              <w:color w:val="auto"/>
            </w:rPr>
            <w:t>环境风险评价结论</w:t>
          </w:r>
          <w:r>
            <w:rPr>
              <w:color w:val="auto"/>
            </w:rPr>
            <w:tab/>
          </w:r>
          <w:r>
            <w:rPr>
              <w:color w:val="auto"/>
            </w:rPr>
            <w:fldChar w:fldCharType="begin"/>
          </w:r>
          <w:r>
            <w:rPr>
              <w:color w:val="auto"/>
            </w:rPr>
            <w:instrText xml:space="preserve"> PAGEREF _Toc25179 \h </w:instrText>
          </w:r>
          <w:r>
            <w:rPr>
              <w:color w:val="auto"/>
            </w:rPr>
            <w:fldChar w:fldCharType="separate"/>
          </w:r>
          <w:r>
            <w:rPr>
              <w:color w:val="auto"/>
            </w:rPr>
            <w:t>204</w:t>
          </w:r>
          <w:r>
            <w:rPr>
              <w:color w:val="auto"/>
            </w:rPr>
            <w:fldChar w:fldCharType="end"/>
          </w:r>
          <w:r>
            <w:rPr>
              <w:rFonts w:hint="default"/>
              <w:color w:val="auto"/>
              <w:highlight w:val="none"/>
            </w:rPr>
            <w:fldChar w:fldCharType="end"/>
          </w:r>
        </w:p>
        <w:p>
          <w:pPr>
            <w:pStyle w:val="26"/>
            <w:tabs>
              <w:tab w:val="right" w:leader="dot" w:pos="8250"/>
              <w:tab w:val="clear" w:pos="8720"/>
            </w:tabs>
            <w:rPr>
              <w:color w:val="auto"/>
            </w:rPr>
          </w:pPr>
          <w:r>
            <w:rPr>
              <w:rFonts w:hint="default"/>
              <w:color w:val="auto"/>
              <w:highlight w:val="none"/>
            </w:rPr>
            <w:fldChar w:fldCharType="begin"/>
          </w:r>
          <w:r>
            <w:rPr>
              <w:rFonts w:hint="default"/>
              <w:color w:val="auto"/>
              <w:highlight w:val="none"/>
            </w:rPr>
            <w:instrText xml:space="preserve"> HYPERLINK \l _Toc14310 </w:instrText>
          </w:r>
          <w:r>
            <w:rPr>
              <w:rFonts w:hint="default"/>
              <w:color w:val="auto"/>
              <w:highlight w:val="none"/>
            </w:rPr>
            <w:fldChar w:fldCharType="separate"/>
          </w:r>
          <w:r>
            <w:rPr>
              <w:rFonts w:hint="default"/>
              <w:color w:val="auto"/>
              <w:lang w:val="en-US" w:eastAsia="zh-CN"/>
            </w:rPr>
            <w:t>10.9</w:t>
          </w:r>
          <w:r>
            <w:rPr>
              <w:rFonts w:hint="default"/>
              <w:color w:val="auto"/>
            </w:rPr>
            <w:t>综合结论</w:t>
          </w:r>
          <w:r>
            <w:rPr>
              <w:color w:val="auto"/>
            </w:rPr>
            <w:tab/>
          </w:r>
          <w:r>
            <w:rPr>
              <w:color w:val="auto"/>
            </w:rPr>
            <w:fldChar w:fldCharType="begin"/>
          </w:r>
          <w:r>
            <w:rPr>
              <w:color w:val="auto"/>
            </w:rPr>
            <w:instrText xml:space="preserve"> PAGEREF _Toc14310 \h </w:instrText>
          </w:r>
          <w:r>
            <w:rPr>
              <w:color w:val="auto"/>
            </w:rPr>
            <w:fldChar w:fldCharType="separate"/>
          </w:r>
          <w:r>
            <w:rPr>
              <w:color w:val="auto"/>
            </w:rPr>
            <w:t>204</w:t>
          </w:r>
          <w:r>
            <w:rPr>
              <w:color w:val="auto"/>
            </w:rPr>
            <w:fldChar w:fldCharType="end"/>
          </w:r>
          <w:r>
            <w:rPr>
              <w:rFonts w:hint="default"/>
              <w:color w:val="auto"/>
              <w:highlight w:val="none"/>
            </w:rPr>
            <w:fldChar w:fldCharType="end"/>
          </w:r>
        </w:p>
        <w:p>
          <w:pPr>
            <w:rPr>
              <w:rFonts w:hint="default" w:ascii="Times New Roman" w:hAnsi="Times New Roman" w:eastAsia="宋体" w:cs="Times New Roman"/>
              <w:b/>
              <w:color w:val="auto"/>
              <w:kern w:val="2"/>
              <w:sz w:val="24"/>
              <w:szCs w:val="24"/>
              <w:highlight w:val="none"/>
              <w:lang w:val="en-US" w:eastAsia="zh-CN" w:bidi="ar-SA"/>
            </w:rPr>
          </w:pPr>
          <w:r>
            <w:rPr>
              <w:rFonts w:hint="default"/>
              <w:color w:val="auto"/>
              <w:highlight w:val="none"/>
            </w:rPr>
            <w:fldChar w:fldCharType="end"/>
          </w:r>
        </w:p>
      </w:sdtContent>
    </w:sdt>
    <w:p>
      <w:pPr>
        <w:bidi w:val="0"/>
        <w:rPr>
          <w:rFonts w:hint="default" w:ascii="Times New Roman" w:hAnsi="Times New Roman" w:eastAsia="宋体" w:cs="Times New Roman"/>
          <w:color w:val="auto"/>
          <w:kern w:val="2"/>
          <w:sz w:val="24"/>
          <w:szCs w:val="24"/>
          <w:lang w:val="en-US" w:eastAsia="zh-CN" w:bidi="ar-SA"/>
        </w:rPr>
      </w:pPr>
    </w:p>
    <w:bookmarkEnd w:id="0"/>
    <w:bookmarkEnd w:id="1"/>
    <w:p>
      <w:pPr>
        <w:bidi w:val="0"/>
        <w:rPr>
          <w:color w:val="auto"/>
          <w:highlight w:val="none"/>
        </w:rPr>
        <w:sectPr>
          <w:headerReference r:id="rId5" w:type="default"/>
          <w:footerReference r:id="rId6" w:type="default"/>
          <w:pgSz w:w="11906" w:h="16838"/>
          <w:pgMar w:top="1440" w:right="1800" w:bottom="1440" w:left="1800" w:header="1020"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pageBreakBefore w:val="0"/>
        <w:widowControl w:val="0"/>
        <w:tabs>
          <w:tab w:val="left" w:pos="625"/>
        </w:tabs>
        <w:kinsoku/>
        <w:wordWrap/>
        <w:overflowPunct/>
        <w:topLinePunct w:val="0"/>
        <w:autoSpaceDE/>
        <w:autoSpaceDN/>
        <w:bidi w:val="0"/>
        <w:adjustRightInd w:val="0"/>
        <w:snapToGrid w:val="0"/>
        <w:spacing w:before="0" w:after="0" w:line="360" w:lineRule="auto"/>
        <w:textAlignment w:val="auto"/>
        <w:rPr>
          <w:rFonts w:hint="eastAsia" w:ascii="Times New Roman" w:hAnsi="Times New Roman" w:eastAsia="宋体" w:cs="宋体"/>
          <w:snapToGrid/>
          <w:color w:val="auto"/>
          <w:kern w:val="0"/>
          <w:highlight w:val="none"/>
          <w:lang w:eastAsia="zh-CN"/>
        </w:rPr>
      </w:pPr>
      <w:bookmarkStart w:id="2" w:name="_Toc10772"/>
      <w:bookmarkStart w:id="3" w:name="_Toc20043"/>
      <w:r>
        <w:rPr>
          <w:rFonts w:hint="eastAsia" w:ascii="Times New Roman" w:hAnsi="Times New Roman" w:eastAsia="宋体" w:cs="宋体"/>
          <w:snapToGrid/>
          <w:color w:val="auto"/>
          <w:kern w:val="0"/>
          <w:highlight w:val="none"/>
          <w:lang w:val="en-US" w:eastAsia="zh-CN"/>
        </w:rPr>
        <w:t>6</w:t>
      </w:r>
      <w:r>
        <w:rPr>
          <w:rFonts w:hint="eastAsia" w:ascii="Times New Roman" w:hAnsi="Times New Roman" w:eastAsia="宋体" w:cs="宋体"/>
          <w:snapToGrid/>
          <w:color w:val="auto"/>
          <w:kern w:val="0"/>
          <w:highlight w:val="none"/>
          <w:lang w:eastAsia="zh-CN"/>
        </w:rPr>
        <w:t>建设项目环境影响分析</w:t>
      </w:r>
      <w:bookmarkEnd w:id="2"/>
      <w:bookmarkEnd w:id="3"/>
    </w:p>
    <w:p>
      <w:pPr>
        <w:pStyle w:val="3"/>
        <w:pageBreakBefore w:val="0"/>
        <w:widowControl w:val="0"/>
        <w:tabs>
          <w:tab w:val="left" w:pos="1302"/>
        </w:tabs>
        <w:kinsoku/>
        <w:wordWrap/>
        <w:overflowPunct/>
        <w:topLinePunct w:val="0"/>
        <w:autoSpaceDE/>
        <w:autoSpaceDN/>
        <w:bidi w:val="0"/>
        <w:adjustRightInd w:val="0"/>
        <w:snapToGrid w:val="0"/>
        <w:spacing w:before="0" w:after="0" w:line="360" w:lineRule="auto"/>
        <w:textAlignment w:val="auto"/>
        <w:rPr>
          <w:rFonts w:hint="default" w:ascii="Times New Roman" w:hAnsi="Times New Roman" w:cs="Times New Roman"/>
          <w:color w:val="auto"/>
          <w:highlight w:val="none"/>
        </w:rPr>
      </w:pPr>
      <w:bookmarkStart w:id="4" w:name="_Toc17994"/>
      <w:bookmarkStart w:id="5" w:name="_Toc17302"/>
      <w:r>
        <w:rPr>
          <w:rFonts w:hint="eastAsia" w:ascii="Times New Roman" w:hAnsi="Times New Roman" w:cs="Times New Roman"/>
          <w:color w:val="auto"/>
          <w:highlight w:val="none"/>
          <w:lang w:val="en-US" w:eastAsia="zh-CN"/>
        </w:rPr>
        <w:t>6</w:t>
      </w:r>
      <w:r>
        <w:rPr>
          <w:rFonts w:hint="default" w:ascii="Times New Roman" w:hAnsi="Times New Roman" w:cs="Times New Roman"/>
          <w:color w:val="auto"/>
          <w:highlight w:val="none"/>
        </w:rPr>
        <w:t>.1施工期环境影响分析</w:t>
      </w:r>
      <w:bookmarkEnd w:id="4"/>
      <w:bookmarkEnd w:id="5"/>
    </w:p>
    <w:p>
      <w:pPr>
        <w:pStyle w:val="4"/>
        <w:pageBreakBefore w:val="0"/>
        <w:widowControl w:val="0"/>
        <w:kinsoku/>
        <w:wordWrap/>
        <w:overflowPunct/>
        <w:topLinePunct w:val="0"/>
        <w:autoSpaceDE/>
        <w:autoSpaceDN/>
        <w:bidi w:val="0"/>
        <w:adjustRightInd w:val="0"/>
        <w:snapToGrid w:val="0"/>
        <w:spacing w:before="0" w:after="0" w:line="360" w:lineRule="auto"/>
        <w:textAlignment w:val="auto"/>
        <w:rPr>
          <w:rFonts w:hint="default" w:ascii="Times New Roman" w:hAnsi="Times New Roman" w:eastAsia="宋体" w:cs="Times New Roman"/>
          <w:b/>
          <w:bCs/>
          <w:color w:val="auto"/>
          <w:highlight w:val="none"/>
          <w:lang w:val="en-US" w:eastAsia="zh-CN"/>
        </w:rPr>
      </w:pPr>
      <w:bookmarkStart w:id="6" w:name="_Toc14796583"/>
      <w:bookmarkStart w:id="7" w:name="_Toc176876592"/>
      <w:bookmarkStart w:id="8" w:name="_Toc180808273"/>
      <w:bookmarkStart w:id="9" w:name="_Toc181015460"/>
      <w:bookmarkStart w:id="10" w:name="_Toc181686442"/>
      <w:bookmarkStart w:id="11" w:name="_Toc233346626"/>
      <w:bookmarkStart w:id="12" w:name="_Toc182638477"/>
      <w:bookmarkStart w:id="13" w:name="_Toc215548899"/>
      <w:bookmarkStart w:id="14" w:name="_Toc250734486"/>
      <w:bookmarkStart w:id="15" w:name="_Toc484674142"/>
      <w:bookmarkStart w:id="16" w:name="_Toc369267835"/>
      <w:bookmarkStart w:id="17" w:name="_Toc329428835"/>
      <w:r>
        <w:rPr>
          <w:rFonts w:hint="eastAsia" w:ascii="Times New Roman" w:hAnsi="Times New Roman" w:eastAsia="宋体" w:cs="Times New Roman"/>
          <w:b/>
          <w:bCs/>
          <w:color w:val="auto"/>
          <w:highlight w:val="none"/>
          <w:lang w:val="en-US" w:eastAsia="zh-CN"/>
        </w:rPr>
        <w:t>6</w:t>
      </w:r>
      <w:r>
        <w:rPr>
          <w:rFonts w:hint="default" w:ascii="Times New Roman" w:hAnsi="Times New Roman" w:eastAsia="宋体" w:cs="Times New Roman"/>
          <w:b/>
          <w:bCs/>
          <w:color w:val="auto"/>
          <w:highlight w:val="none"/>
          <w:lang w:val="en-US" w:eastAsia="zh-CN"/>
        </w:rPr>
        <w:t>.1</w:t>
      </w:r>
      <w:r>
        <w:rPr>
          <w:rFonts w:hint="eastAsia" w:ascii="Times New Roman" w:hAnsi="Times New Roman" w:eastAsia="宋体" w:cs="Times New Roman"/>
          <w:b/>
          <w:bCs/>
          <w:color w:val="auto"/>
          <w:highlight w:val="none"/>
          <w:lang w:val="en-US" w:eastAsia="zh-CN"/>
        </w:rPr>
        <w:t>.1</w:t>
      </w:r>
      <w:r>
        <w:rPr>
          <w:rFonts w:hint="default" w:ascii="Times New Roman" w:hAnsi="Times New Roman" w:eastAsia="宋体" w:cs="Times New Roman"/>
          <w:b/>
          <w:bCs/>
          <w:color w:val="auto"/>
          <w:highlight w:val="none"/>
          <w:lang w:val="en-US" w:eastAsia="zh-CN"/>
        </w:rPr>
        <w:t>施工期大气环境影响分析</w:t>
      </w:r>
      <w:bookmarkEnd w:id="6"/>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eastAsia" w:ascii="宋体" w:hAnsi="宋体" w:eastAsia="宋体" w:cs="宋体"/>
          <w:color w:val="auto"/>
          <w:highlight w:val="none"/>
          <w:lang w:val="en-US" w:eastAsia="zh-CN"/>
        </w:rPr>
        <w:t>本项目包括改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w:t>
      </w:r>
      <w:r>
        <w:rPr>
          <w:rFonts w:hint="default" w:ascii="Times New Roman" w:hAnsi="Times New Roman" w:cs="Times New Roman"/>
          <w:color w:val="auto"/>
          <w:highlight w:val="none"/>
          <w:lang w:val="en-US" w:eastAsia="zh-CN"/>
        </w:rPr>
        <w:t>及</w:t>
      </w:r>
      <w:r>
        <w:rPr>
          <w:rFonts w:hint="eastAsia" w:ascii="Times New Roman" w:hAnsi="Times New Roman" w:eastAsia="宋体" w:cs="Times New Roman"/>
          <w:color w:val="auto"/>
          <w:highlight w:val="none"/>
          <w:lang w:val="en-US" w:eastAsia="zh-CN"/>
        </w:rPr>
        <w:t>新建供热管网</w:t>
      </w:r>
      <w:r>
        <w:rPr>
          <w:rFonts w:hint="eastAsia" w:cs="Times New Roman"/>
          <w:color w:val="auto"/>
          <w:highlight w:val="none"/>
          <w:lang w:val="en-US" w:eastAsia="zh-CN"/>
        </w:rPr>
        <w:t>工程。</w:t>
      </w:r>
      <w:r>
        <w:rPr>
          <w:rFonts w:hint="default" w:ascii="Times New Roman" w:hAnsi="Times New Roman" w:cs="Times New Roman"/>
          <w:color w:val="auto"/>
          <w:highlight w:val="none"/>
        </w:rPr>
        <w:t>施工期大气污染主要</w:t>
      </w:r>
      <w:r>
        <w:rPr>
          <w:rFonts w:hint="default" w:ascii="Times New Roman" w:hAnsi="Times New Roman" w:cs="Times New Roman"/>
          <w:color w:val="auto"/>
          <w:highlight w:val="none"/>
          <w:lang w:val="en-US" w:eastAsia="zh-CN"/>
        </w:rPr>
        <w:t>为</w:t>
      </w:r>
      <w:r>
        <w:rPr>
          <w:rFonts w:hint="default" w:ascii="Times New Roman" w:hAnsi="Times New Roman" w:cs="Times New Roman"/>
          <w:color w:val="auto"/>
          <w:highlight w:val="none"/>
        </w:rPr>
        <w:t>场地平整、地基开挖等过程产生的施工扬尘；建筑材料的运输、装卸、储存和使用过程中产生的扬尘；各类施工机械和运输车辆排放的废气等</w:t>
      </w:r>
      <w:r>
        <w:rPr>
          <w:rFonts w:hint="default" w:ascii="Times New Roman" w:hAnsi="Times New Roman" w:cs="Times New Roman"/>
          <w:color w:val="auto"/>
          <w:highlight w:val="none"/>
          <w:lang w:eastAsia="zh-CN"/>
        </w:rPr>
        <w:t>；</w:t>
      </w:r>
      <w:r>
        <w:rPr>
          <w:rFonts w:hint="eastAsia" w:ascii="Times New Roman" w:hAnsi="Times New Roman" w:eastAsia="宋体" w:cs="Times New Roman"/>
          <w:color w:val="auto"/>
          <w:highlight w:val="none"/>
          <w:lang w:val="en-US" w:eastAsia="zh-CN"/>
        </w:rPr>
        <w:t>管网</w:t>
      </w:r>
      <w:r>
        <w:rPr>
          <w:rFonts w:hint="default" w:ascii="Times New Roman" w:hAnsi="Times New Roman" w:cs="Times New Roman"/>
          <w:color w:val="auto"/>
          <w:highlight w:val="none"/>
          <w:lang w:val="en-US" w:eastAsia="zh-CN"/>
        </w:rPr>
        <w:t>建设施工期大气污染主要为在开拓施工带和开挖管沟阶段产生扬尘。</w:t>
      </w:r>
    </w:p>
    <w:p>
      <w:pPr>
        <w:pStyle w:val="5"/>
        <w:pageBreakBefore w:val="0"/>
        <w:widowControl w:val="0"/>
        <w:kinsoku/>
        <w:wordWrap/>
        <w:overflowPunct/>
        <w:topLinePunct w:val="0"/>
        <w:autoSpaceDE/>
        <w:autoSpaceDN/>
        <w:bidi w:val="0"/>
        <w:adjustRightInd w:val="0"/>
        <w:snapToGrid w:val="0"/>
        <w:spacing w:before="0" w:after="0" w:line="360" w:lineRule="auto"/>
        <w:ind w:left="0" w:leftChars="0" w:firstLine="0" w:firstLineChars="0"/>
        <w:textAlignment w:val="auto"/>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6</w:t>
      </w:r>
      <w:r>
        <w:rPr>
          <w:rFonts w:hint="default" w:ascii="Times New Roman" w:hAnsi="Times New Roman" w:eastAsia="宋体" w:cs="Times New Roman"/>
          <w:b/>
          <w:bCs/>
          <w:color w:val="auto"/>
          <w:highlight w:val="none"/>
          <w:lang w:val="en-US" w:eastAsia="zh-CN"/>
        </w:rPr>
        <w:t>.1.1</w:t>
      </w:r>
      <w:r>
        <w:rPr>
          <w:rFonts w:hint="eastAsia" w:ascii="Times New Roman" w:hAnsi="Times New Roman" w:eastAsia="宋体" w:cs="Times New Roman"/>
          <w:b/>
          <w:bCs/>
          <w:color w:val="auto"/>
          <w:highlight w:val="none"/>
          <w:lang w:val="en-US" w:eastAsia="zh-CN"/>
        </w:rPr>
        <w:t>.1改扩建热源工程及新建供热管网工程</w:t>
      </w:r>
      <w:r>
        <w:rPr>
          <w:rFonts w:hint="default" w:ascii="Times New Roman" w:hAnsi="Times New Roman" w:eastAsia="宋体" w:cs="Times New Roman"/>
          <w:b/>
          <w:bCs/>
          <w:color w:val="auto"/>
          <w:highlight w:val="none"/>
          <w:lang w:val="en-US" w:eastAsia="zh-CN"/>
        </w:rPr>
        <w:t>施工期大气环境影响分析</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施工扬尘</w:t>
      </w:r>
    </w:p>
    <w:p>
      <w:pPr>
        <w:keepNext w:val="0"/>
        <w:keepLines w:val="0"/>
        <w:pageBreakBefore w:val="0"/>
        <w:widowControl w:val="0"/>
        <w:kinsoku/>
        <w:wordWrap/>
        <w:overflowPunct/>
        <w:topLinePunct w:val="0"/>
        <w:autoSpaceDE/>
        <w:autoSpaceDN/>
        <w:bidi w:val="0"/>
        <w:adjustRightInd w:val="0"/>
        <w:snapToGrid w:val="0"/>
        <w:spacing w:line="360" w:lineRule="auto"/>
        <w:ind w:firstLine="464" w:firstLineChars="200"/>
        <w:textAlignment w:val="auto"/>
        <w:rPr>
          <w:rFonts w:hint="default" w:ascii="Times New Roman" w:hAnsi="Times New Roman" w:cs="Times New Roman"/>
          <w:color w:val="auto"/>
          <w:spacing w:val="-4"/>
          <w:sz w:val="24"/>
          <w:highlight w:val="none"/>
        </w:rPr>
      </w:pPr>
      <w:r>
        <w:rPr>
          <w:rFonts w:hint="default" w:ascii="Times New Roman" w:hAnsi="Times New Roman" w:cs="Times New Roman"/>
          <w:color w:val="auto"/>
          <w:spacing w:val="-4"/>
          <w:sz w:val="24"/>
          <w:highlight w:val="none"/>
        </w:rPr>
        <w:t>施工产生的扬尘主要集中在土建施工阶段。按起尘的原因可分为风力起尘和动力起尘，主要是在建筑材料的装卸、运输等过程中，由于外力而产生的尘粒在空气中悬浮而造成的，其中建筑材料装卸造成的扬尘最为严重。</w:t>
      </w:r>
    </w:p>
    <w:p>
      <w:pPr>
        <w:keepNext w:val="0"/>
        <w:keepLines w:val="0"/>
        <w:pageBreakBefore w:val="0"/>
        <w:widowControl w:val="0"/>
        <w:kinsoku/>
        <w:wordWrap/>
        <w:overflowPunct/>
        <w:topLinePunct w:val="0"/>
        <w:autoSpaceDE/>
        <w:autoSpaceDN/>
        <w:bidi w:val="0"/>
        <w:adjustRightInd w:val="0"/>
        <w:snapToGrid w:val="0"/>
        <w:spacing w:line="360" w:lineRule="auto"/>
        <w:ind w:firstLine="464" w:firstLineChars="200"/>
        <w:textAlignment w:val="auto"/>
        <w:rPr>
          <w:rFonts w:hint="default" w:ascii="Times New Roman" w:hAnsi="Times New Roman" w:cs="Times New Roman"/>
          <w:color w:val="auto"/>
          <w:spacing w:val="-4"/>
          <w:sz w:val="24"/>
          <w:highlight w:val="none"/>
        </w:rPr>
      </w:pPr>
      <w:r>
        <w:rPr>
          <w:rFonts w:hint="default" w:ascii="Times New Roman" w:hAnsi="Times New Roman" w:cs="Times New Roman"/>
          <w:color w:val="auto"/>
          <w:spacing w:val="-4"/>
          <w:sz w:val="24"/>
          <w:highlight w:val="none"/>
        </w:rPr>
        <w:t>扬尘污染造成大气中TSP值增高，根据类比资料，施工扬尘的起尘量与许多因素有关。影响起尘量的因素包括：基础开挖起尘量、施工渣土堆场起尘量、进出车辆夹带泥砂量、水泥搬运量、弃土外运装载起尘量以及起尘高度、采取的防护措施、空气湿度、风速等因素有关。</w:t>
      </w:r>
    </w:p>
    <w:p>
      <w:pPr>
        <w:pStyle w:val="129"/>
        <w:keepNext w:val="0"/>
        <w:keepLines w:val="0"/>
        <w:pageBreakBefore w:val="0"/>
        <w:widowControl w:val="0"/>
        <w:kinsoku/>
        <w:wordWrap/>
        <w:overflowPunct/>
        <w:topLinePunct w:val="0"/>
        <w:autoSpaceDE/>
        <w:autoSpaceDN/>
        <w:bidi w:val="0"/>
        <w:adjustRightInd w:val="0"/>
        <w:snapToGrid w:val="0"/>
        <w:spacing w:line="360" w:lineRule="auto"/>
        <w:ind w:firstLine="464" w:firstLineChars="200"/>
        <w:jc w:val="left"/>
        <w:textAlignment w:val="auto"/>
        <w:rPr>
          <w:rFonts w:hint="default" w:ascii="Times New Roman" w:hAnsi="Times New Roman" w:cs="Times New Roman"/>
          <w:snapToGrid w:val="0"/>
          <w:color w:val="auto"/>
          <w:highlight w:val="none"/>
        </w:rPr>
      </w:pPr>
      <w:r>
        <w:rPr>
          <w:rFonts w:hint="default" w:ascii="Times New Roman" w:hAnsi="Times New Roman" w:cs="Times New Roman"/>
          <w:color w:val="auto"/>
          <w:spacing w:val="-4"/>
          <w:highlight w:val="none"/>
        </w:rPr>
        <w:t>据有关调查显示，施工工地的扬尘主要是由运输车辆的行驶产生，约占扬尘总量的</w:t>
      </w:r>
      <w:r>
        <w:rPr>
          <w:rFonts w:hint="default" w:ascii="Times New Roman" w:hAnsi="Times New Roman" w:cs="Times New Roman"/>
          <w:color w:val="auto"/>
          <w:spacing w:val="-4"/>
          <w:highlight w:val="none"/>
          <w:lang w:eastAsia="zh-CN"/>
        </w:rPr>
        <w:t>60%</w:t>
      </w:r>
      <w:r>
        <w:rPr>
          <w:rFonts w:hint="default" w:ascii="Times New Roman" w:hAnsi="Times New Roman" w:cs="Times New Roman"/>
          <w:color w:val="auto"/>
          <w:spacing w:val="-4"/>
          <w:highlight w:val="none"/>
        </w:rPr>
        <w:t>，</w:t>
      </w:r>
      <w:r>
        <w:rPr>
          <w:rFonts w:hint="default" w:ascii="Times New Roman" w:hAnsi="Times New Roman" w:cs="Times New Roman"/>
          <w:snapToGrid w:val="0"/>
          <w:color w:val="auto"/>
          <w:highlight w:val="none"/>
        </w:rPr>
        <w:t>在完全干燥情况下，可按下列经验公式计算：</w:t>
      </w:r>
    </w:p>
    <w:p>
      <w:pPr>
        <w:pageBreakBefore w:val="0"/>
        <w:widowControl w:val="0"/>
        <w:kinsoku/>
        <w:overflowPunct/>
        <w:topLinePunct w:val="0"/>
        <w:bidi w:val="0"/>
        <w:spacing w:before="78" w:beforeLines="25" w:after="78" w:afterLines="25" w:line="360" w:lineRule="auto"/>
        <w:ind w:firstLine="3920" w:firstLineChars="1400"/>
        <w:rPr>
          <w:rFonts w:hint="eastAsia" w:ascii="Times New Roman" w:hAnsi="Times New Roman" w:eastAsia="宋体" w:cs="Times New Roman"/>
          <w:color w:val="auto"/>
          <w:sz w:val="28"/>
          <w:highlight w:val="none"/>
          <w:lang w:eastAsia="zh-CN"/>
        </w:rPr>
      </w:pPr>
      <w:r>
        <w:rPr>
          <w:rFonts w:hint="eastAsia" w:ascii="Times New Roman" w:hAnsi="Times New Roman" w:eastAsia="宋体" w:cs="Times New Roman"/>
          <w:color w:val="auto"/>
          <w:position w:val="-24"/>
          <w:sz w:val="28"/>
          <w:highlight w:val="none"/>
          <w:lang w:eastAsia="zh-CN"/>
        </w:rPr>
        <w:object>
          <v:shape id="_x0000_i1032" o:spt="75" type="#_x0000_t75" style="height:33pt;width:113pt;" o:ole="t" filled="f" o:preferrelative="t" stroked="f" coordsize="21600,21600">
            <v:path/>
            <v:fill on="f" focussize="0,0"/>
            <v:stroke on="f"/>
            <v:imagedata r:id="rId18" o:title=""/>
            <o:lock v:ext="edit" aspectratio="t"/>
            <w10:wrap type="none"/>
            <w10:anchorlock/>
          </v:shape>
          <o:OLEObject Type="Embed" ProgID="Equation.KSEE3" ShapeID="_x0000_i1032" DrawAspect="Content" ObjectID="_1468075725" r:id="rId17">
            <o:LockedField>false</o:LockedField>
          </o:OLEObject>
        </w:object>
      </w:r>
    </w:p>
    <w:p>
      <w:pPr>
        <w:pStyle w:val="12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 xml:space="preserve">    式中：Q——汽车行驶的扬尘，kg/km·辆；</w:t>
      </w:r>
    </w:p>
    <w:p>
      <w:pPr>
        <w:pStyle w:val="12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 xml:space="preserve">         </w:t>
      </w:r>
      <w:r>
        <w:rPr>
          <w:rFonts w:hint="eastAsia" w:ascii="Times New Roman" w:hAnsi="Times New Roman" w:cs="Times New Roman"/>
          <w:snapToGrid w:val="0"/>
          <w:color w:val="auto"/>
          <w:highlight w:val="none"/>
          <w:lang w:val="en-US" w:eastAsia="zh-CN"/>
        </w:rPr>
        <w:t xml:space="preserve"> </w:t>
      </w:r>
      <w:r>
        <w:rPr>
          <w:rFonts w:hint="default" w:ascii="Times New Roman" w:hAnsi="Times New Roman" w:cs="Times New Roman"/>
          <w:snapToGrid w:val="0"/>
          <w:color w:val="auto"/>
          <w:highlight w:val="none"/>
        </w:rPr>
        <w:t>V——汽车速度，km/h；</w:t>
      </w:r>
    </w:p>
    <w:p>
      <w:pPr>
        <w:pStyle w:val="12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 xml:space="preserve">      </w:t>
      </w:r>
      <w:r>
        <w:rPr>
          <w:rFonts w:hint="eastAsia" w:ascii="Times New Roman" w:hAnsi="Times New Roman" w:cs="Times New Roman"/>
          <w:snapToGrid w:val="0"/>
          <w:color w:val="auto"/>
          <w:highlight w:val="none"/>
          <w:lang w:val="en-US" w:eastAsia="zh-CN"/>
        </w:rPr>
        <w:t xml:space="preserve">    </w:t>
      </w:r>
      <w:r>
        <w:rPr>
          <w:rFonts w:hint="default" w:ascii="Times New Roman" w:hAnsi="Times New Roman" w:cs="Times New Roman"/>
          <w:snapToGrid w:val="0"/>
          <w:color w:val="auto"/>
          <w:highlight w:val="none"/>
        </w:rPr>
        <w:t>W——汽车载重量，t；</w:t>
      </w:r>
    </w:p>
    <w:p>
      <w:pPr>
        <w:pStyle w:val="12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 xml:space="preserve">     </w:t>
      </w:r>
      <w:r>
        <w:rPr>
          <w:rFonts w:hint="eastAsia" w:ascii="Times New Roman" w:hAnsi="Times New Roman" w:cs="Times New Roman"/>
          <w:snapToGrid w:val="0"/>
          <w:color w:val="auto"/>
          <w:highlight w:val="none"/>
          <w:lang w:val="en-US" w:eastAsia="zh-CN"/>
        </w:rPr>
        <w:t xml:space="preserve">     </w:t>
      </w:r>
      <w:r>
        <w:rPr>
          <w:rFonts w:hint="default" w:ascii="Times New Roman" w:hAnsi="Times New Roman" w:cs="Times New Roman"/>
          <w:snapToGrid w:val="0"/>
          <w:color w:val="auto"/>
          <w:highlight w:val="none"/>
        </w:rPr>
        <w:t xml:space="preserve"> P——道路表面粉尘量，kg/m</w:t>
      </w:r>
      <w:r>
        <w:rPr>
          <w:rFonts w:hint="default" w:ascii="Times New Roman" w:hAnsi="Times New Roman" w:cs="Times New Roman"/>
          <w:snapToGrid w:val="0"/>
          <w:color w:val="auto"/>
          <w:highlight w:val="none"/>
          <w:vertAlign w:val="superscript"/>
        </w:rPr>
        <w:t>2</w:t>
      </w:r>
      <w:r>
        <w:rPr>
          <w:rFonts w:hint="default" w:ascii="Times New Roman" w:hAnsi="Times New Roman" w:cs="Times New Roman"/>
          <w:snapToGrid w:val="0"/>
          <w:color w:val="auto"/>
          <w:highlight w:val="none"/>
        </w:rPr>
        <w:t>。</w:t>
      </w:r>
    </w:p>
    <w:p>
      <w:pPr>
        <w:pStyle w:val="12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黑体" w:cs="Times New Roman"/>
          <w:b/>
          <w:color w:val="auto"/>
          <w:highlight w:val="none"/>
        </w:rPr>
      </w:pPr>
      <w:r>
        <w:rPr>
          <w:rFonts w:hint="default" w:ascii="Times New Roman" w:hAnsi="Times New Roman" w:cs="Times New Roman"/>
          <w:snapToGrid w:val="0"/>
          <w:color w:val="auto"/>
          <w:highlight w:val="none"/>
        </w:rPr>
        <w:t>表</w:t>
      </w:r>
      <w:r>
        <w:rPr>
          <w:rFonts w:hint="eastAsia" w:ascii="Times New Roman" w:hAnsi="Times New Roman" w:cs="Times New Roman"/>
          <w:snapToGrid w:val="0"/>
          <w:color w:val="auto"/>
          <w:highlight w:val="none"/>
          <w:lang w:val="en-US" w:eastAsia="zh-CN"/>
        </w:rPr>
        <w:t>6.1.1</w:t>
      </w:r>
      <w:r>
        <w:rPr>
          <w:rFonts w:hint="default" w:ascii="Times New Roman" w:hAnsi="Times New Roman" w:cs="Times New Roman"/>
          <w:snapToGrid w:val="0"/>
          <w:color w:val="auto"/>
          <w:highlight w:val="none"/>
        </w:rPr>
        <w:t>-1为一辆载重5t的卡车，通过一段长度为500m的路面时，不同路面清洁程度，不同行驶速度情况下产生的扬尘量。在同样路面清洁情况下，车速越快，扬尘量越大；而在同样车速情况下，路面清洁度越差，则扬尘量越大。</w:t>
      </w:r>
    </w:p>
    <w:p>
      <w:pPr>
        <w:pStyle w:val="122"/>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right="0"/>
        <w:textAlignment w:val="auto"/>
        <w:rPr>
          <w:rStyle w:val="130"/>
          <w:rFonts w:hint="default" w:ascii="Times New Roman" w:hAnsi="Times New Roman" w:cs="Times New Roman"/>
          <w:color w:val="auto"/>
          <w:highlight w:val="none"/>
        </w:rPr>
      </w:pPr>
      <w:r>
        <w:rPr>
          <w:rStyle w:val="130"/>
          <w:rFonts w:hint="default" w:ascii="Times New Roman" w:hAnsi="Times New Roman" w:cs="Times New Roman"/>
          <w:color w:val="auto"/>
          <w:sz w:val="21"/>
          <w:szCs w:val="21"/>
          <w:highlight w:val="none"/>
        </w:rPr>
        <w:t>表</w:t>
      </w:r>
      <w:r>
        <w:rPr>
          <w:rStyle w:val="130"/>
          <w:rFonts w:hint="eastAsia" w:cs="Times New Roman"/>
          <w:color w:val="auto"/>
          <w:sz w:val="21"/>
          <w:szCs w:val="21"/>
          <w:highlight w:val="none"/>
          <w:lang w:val="en-US" w:eastAsia="zh-CN"/>
        </w:rPr>
        <w:t>6</w:t>
      </w:r>
      <w:r>
        <w:rPr>
          <w:rStyle w:val="130"/>
          <w:rFonts w:hint="default" w:ascii="Times New Roman" w:hAnsi="Times New Roman" w:cs="Times New Roman"/>
          <w:color w:val="auto"/>
          <w:sz w:val="21"/>
          <w:szCs w:val="21"/>
          <w:highlight w:val="none"/>
        </w:rPr>
        <w:t>.1</w:t>
      </w:r>
      <w:r>
        <w:rPr>
          <w:rStyle w:val="130"/>
          <w:rFonts w:hint="eastAsia" w:cs="Times New Roman"/>
          <w:color w:val="auto"/>
          <w:sz w:val="21"/>
          <w:szCs w:val="21"/>
          <w:highlight w:val="none"/>
          <w:lang w:val="en-US" w:eastAsia="zh-CN"/>
        </w:rPr>
        <w:t>.1</w:t>
      </w:r>
      <w:r>
        <w:rPr>
          <w:rStyle w:val="130"/>
          <w:rFonts w:hint="default" w:ascii="Times New Roman" w:hAnsi="Times New Roman" w:cs="Times New Roman"/>
          <w:color w:val="auto"/>
          <w:sz w:val="21"/>
          <w:szCs w:val="21"/>
          <w:highlight w:val="none"/>
        </w:rPr>
        <w:t>-1   不同车速和地面清洁程度时的汽车扬尘   单位：kg/辆·km</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79"/>
        <w:gridCol w:w="1205"/>
        <w:gridCol w:w="1207"/>
        <w:gridCol w:w="1207"/>
        <w:gridCol w:w="1207"/>
        <w:gridCol w:w="1206"/>
        <w:gridCol w:w="1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43" w:hRule="atLeast"/>
          <w:jc w:val="center"/>
        </w:trPr>
        <w:tc>
          <w:tcPr>
            <w:tcW w:w="1148" w:type="dxa"/>
            <w:tcBorders>
              <w:tl2br w:val="nil"/>
              <w:tr2bl w:val="nil"/>
            </w:tcBorders>
            <w:noWrap w:val="0"/>
            <w:vAlign w:val="center"/>
            <mc:AlternateContent>
              <mc:Choice Requires="wpsCustomData">
                <wpsCustomData:diagonals>
                  <wpsCustomData:diagonal from="30000" to="10000">
                    <wpsCustomData:border w:val="single" w:color="auto" w:sz="4" w:space="0"/>
                  </wpsCustomData:diagonal>
                </wpsCustomData:diagonals>
              </mc:Choice>
            </mc:AlternateContent>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b/>
                <w:bCs/>
                <w:color w:val="auto"/>
                <w:kern w:val="28"/>
                <w:sz w:val="21"/>
                <w:szCs w:val="21"/>
                <w:highlight w:val="none"/>
              </w:rPr>
            </w:pPr>
            <w:r>
              <w:rPr>
                <w:rFonts w:hint="default" w:ascii="Times New Roman" w:hAnsi="Times New Roman" w:cs="Times New Roman"/>
                <w:b/>
                <w:bCs/>
                <w:color w:val="auto"/>
                <w:kern w:val="28"/>
                <w:sz w:val="21"/>
                <w:szCs w:val="21"/>
                <w:highlight w:val="none"/>
              </w:rPr>
              <w:t xml:space="preserve">      </w:t>
            </w:r>
          </w:p>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both"/>
              <w:textAlignment w:val="auto"/>
              <mc:AlternateContent>
                <mc:Choice Requires="wpsCustomData">
                  <wpsCustomData:diagonalParaType/>
                </mc:Choice>
              </mc:AlternateContent>
              <w:rPr>
                <w:rFonts w:hint="default" w:ascii="Times New Roman" w:hAnsi="Times New Roman" w:cs="Times New Roman"/>
                <w:b/>
                <w:bCs/>
                <w:color w:val="auto"/>
                <w:kern w:val="28"/>
                <w:sz w:val="21"/>
                <w:szCs w:val="21"/>
                <w:highlight w:val="none"/>
              </w:rPr>
            </w:pPr>
            <w:r>
              <w:rPr>
                <w:rFonts w:hint="default" w:ascii="Times New Roman" w:hAnsi="Times New Roman" w:cs="Times New Roman"/>
                <w:b/>
                <w:bCs/>
                <w:color w:val="auto"/>
                <w:kern w:val="28"/>
                <w:sz w:val="21"/>
                <w:szCs w:val="21"/>
                <w:highlight w:val="none"/>
              </w:rPr>
              <w:t>车速</w:t>
            </w:r>
          </w:p>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632" w:firstLineChars="300"/>
              <w:jc w:val="both"/>
              <w:textAlignment w:val="auto"/>
              <w:rPr>
                <w:rFonts w:hint="default" w:ascii="Times New Roman" w:hAnsi="Times New Roman" w:cs="Times New Roman"/>
                <w:b/>
                <w:bCs/>
                <w:color w:val="auto"/>
                <w:kern w:val="28"/>
                <w:sz w:val="21"/>
                <w:szCs w:val="21"/>
                <w:highlight w:val="none"/>
              </w:rPr>
            </w:pPr>
            <w:r>
              <w:rPr>
                <w:rFonts w:hint="default" w:ascii="Times New Roman" w:hAnsi="Times New Roman" w:cs="Times New Roman"/>
                <w:b/>
                <w:bCs/>
                <w:color w:val="auto"/>
                <w:kern w:val="28"/>
                <w:sz w:val="21"/>
                <w:szCs w:val="21"/>
                <w:highlight w:val="none"/>
              </w:rPr>
              <w:t>P</w:t>
            </w:r>
          </w:p>
        </w:tc>
        <w:tc>
          <w:tcPr>
            <w:tcW w:w="1281"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b/>
                <w:bCs/>
                <w:color w:val="auto"/>
                <w:kern w:val="28"/>
                <w:sz w:val="21"/>
                <w:szCs w:val="21"/>
                <w:highlight w:val="none"/>
              </w:rPr>
            </w:pPr>
            <w:r>
              <w:rPr>
                <w:rFonts w:hint="default" w:ascii="Times New Roman" w:hAnsi="Times New Roman" w:cs="Times New Roman"/>
                <w:b/>
                <w:bCs/>
                <w:color w:val="auto"/>
                <w:kern w:val="28"/>
                <w:sz w:val="21"/>
                <w:szCs w:val="21"/>
                <w:highlight w:val="none"/>
              </w:rPr>
              <w:t>0.1（kg/m</w:t>
            </w:r>
            <w:r>
              <w:rPr>
                <w:rFonts w:hint="default" w:ascii="Times New Roman" w:hAnsi="Times New Roman" w:cs="Times New Roman"/>
                <w:b/>
                <w:bCs/>
                <w:color w:val="auto"/>
                <w:kern w:val="28"/>
                <w:sz w:val="21"/>
                <w:szCs w:val="21"/>
                <w:highlight w:val="none"/>
                <w:vertAlign w:val="superscript"/>
              </w:rPr>
              <w:t>2</w:t>
            </w:r>
            <w:r>
              <w:rPr>
                <w:rFonts w:hint="default" w:ascii="Times New Roman" w:hAnsi="Times New Roman" w:cs="Times New Roman"/>
                <w:b/>
                <w:bCs/>
                <w:color w:val="auto"/>
                <w:kern w:val="28"/>
                <w:sz w:val="21"/>
                <w:szCs w:val="21"/>
                <w:highlight w:val="none"/>
              </w:rPr>
              <w:t>）</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b/>
                <w:bCs/>
                <w:color w:val="auto"/>
                <w:kern w:val="28"/>
                <w:sz w:val="21"/>
                <w:szCs w:val="21"/>
                <w:highlight w:val="none"/>
              </w:rPr>
            </w:pPr>
            <w:r>
              <w:rPr>
                <w:rFonts w:hint="default" w:ascii="Times New Roman" w:hAnsi="Times New Roman" w:cs="Times New Roman"/>
                <w:b/>
                <w:bCs/>
                <w:color w:val="auto"/>
                <w:kern w:val="28"/>
                <w:sz w:val="21"/>
                <w:szCs w:val="21"/>
                <w:highlight w:val="none"/>
              </w:rPr>
              <w:t>0.2（kg/m</w:t>
            </w:r>
            <w:r>
              <w:rPr>
                <w:rFonts w:hint="default" w:ascii="Times New Roman" w:hAnsi="Times New Roman" w:cs="Times New Roman"/>
                <w:b/>
                <w:bCs/>
                <w:color w:val="auto"/>
                <w:kern w:val="28"/>
                <w:sz w:val="21"/>
                <w:szCs w:val="21"/>
                <w:highlight w:val="none"/>
                <w:vertAlign w:val="superscript"/>
              </w:rPr>
              <w:t>2</w:t>
            </w:r>
            <w:r>
              <w:rPr>
                <w:rFonts w:hint="default" w:ascii="Times New Roman" w:hAnsi="Times New Roman" w:cs="Times New Roman"/>
                <w:b/>
                <w:bCs/>
                <w:color w:val="auto"/>
                <w:kern w:val="28"/>
                <w:sz w:val="21"/>
                <w:szCs w:val="21"/>
                <w:highlight w:val="none"/>
              </w:rPr>
              <w:t>）</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b/>
                <w:bCs/>
                <w:color w:val="auto"/>
                <w:kern w:val="28"/>
                <w:sz w:val="21"/>
                <w:szCs w:val="21"/>
                <w:highlight w:val="none"/>
              </w:rPr>
            </w:pPr>
            <w:r>
              <w:rPr>
                <w:rFonts w:hint="default" w:ascii="Times New Roman" w:hAnsi="Times New Roman" w:cs="Times New Roman"/>
                <w:b/>
                <w:bCs/>
                <w:color w:val="auto"/>
                <w:kern w:val="28"/>
                <w:sz w:val="21"/>
                <w:szCs w:val="21"/>
                <w:highlight w:val="none"/>
              </w:rPr>
              <w:t>0.3（kg/m</w:t>
            </w:r>
            <w:r>
              <w:rPr>
                <w:rFonts w:hint="default" w:ascii="Times New Roman" w:hAnsi="Times New Roman" w:cs="Times New Roman"/>
                <w:b/>
                <w:bCs/>
                <w:color w:val="auto"/>
                <w:kern w:val="28"/>
                <w:sz w:val="21"/>
                <w:szCs w:val="21"/>
                <w:highlight w:val="none"/>
                <w:vertAlign w:val="superscript"/>
              </w:rPr>
              <w:t>2</w:t>
            </w:r>
            <w:r>
              <w:rPr>
                <w:rFonts w:hint="default" w:ascii="Times New Roman" w:hAnsi="Times New Roman" w:cs="Times New Roman"/>
                <w:b/>
                <w:bCs/>
                <w:color w:val="auto"/>
                <w:kern w:val="28"/>
                <w:sz w:val="21"/>
                <w:szCs w:val="21"/>
                <w:highlight w:val="none"/>
              </w:rPr>
              <w:t>）</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b/>
                <w:bCs/>
                <w:color w:val="auto"/>
                <w:kern w:val="28"/>
                <w:sz w:val="21"/>
                <w:szCs w:val="21"/>
                <w:highlight w:val="none"/>
              </w:rPr>
            </w:pPr>
            <w:r>
              <w:rPr>
                <w:rFonts w:hint="default" w:ascii="Times New Roman" w:hAnsi="Times New Roman" w:cs="Times New Roman"/>
                <w:b/>
                <w:bCs/>
                <w:color w:val="auto"/>
                <w:kern w:val="28"/>
                <w:sz w:val="21"/>
                <w:szCs w:val="21"/>
                <w:highlight w:val="none"/>
              </w:rPr>
              <w:t>0.4（kg/m</w:t>
            </w:r>
            <w:r>
              <w:rPr>
                <w:rFonts w:hint="default" w:ascii="Times New Roman" w:hAnsi="Times New Roman" w:cs="Times New Roman"/>
                <w:b/>
                <w:bCs/>
                <w:color w:val="auto"/>
                <w:kern w:val="28"/>
                <w:sz w:val="21"/>
                <w:szCs w:val="21"/>
                <w:highlight w:val="none"/>
                <w:vertAlign w:val="superscript"/>
              </w:rPr>
              <w:t>2</w:t>
            </w:r>
            <w:r>
              <w:rPr>
                <w:rFonts w:hint="default" w:ascii="Times New Roman" w:hAnsi="Times New Roman" w:cs="Times New Roman"/>
                <w:b/>
                <w:bCs/>
                <w:color w:val="auto"/>
                <w:kern w:val="28"/>
                <w:sz w:val="21"/>
                <w:szCs w:val="21"/>
                <w:highlight w:val="none"/>
              </w:rPr>
              <w:t>）</w:t>
            </w:r>
          </w:p>
        </w:tc>
        <w:tc>
          <w:tcPr>
            <w:tcW w:w="1281"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b/>
                <w:bCs/>
                <w:color w:val="auto"/>
                <w:kern w:val="28"/>
                <w:sz w:val="21"/>
                <w:szCs w:val="21"/>
                <w:highlight w:val="none"/>
              </w:rPr>
            </w:pPr>
            <w:r>
              <w:rPr>
                <w:rFonts w:hint="default" w:ascii="Times New Roman" w:hAnsi="Times New Roman" w:cs="Times New Roman"/>
                <w:b/>
                <w:bCs/>
                <w:color w:val="auto"/>
                <w:kern w:val="28"/>
                <w:sz w:val="21"/>
                <w:szCs w:val="21"/>
                <w:highlight w:val="none"/>
              </w:rPr>
              <w:t>0.5（kg/m</w:t>
            </w:r>
            <w:r>
              <w:rPr>
                <w:rFonts w:hint="default" w:ascii="Times New Roman" w:hAnsi="Times New Roman" w:cs="Times New Roman"/>
                <w:b/>
                <w:bCs/>
                <w:color w:val="auto"/>
                <w:kern w:val="28"/>
                <w:sz w:val="21"/>
                <w:szCs w:val="21"/>
                <w:highlight w:val="none"/>
                <w:vertAlign w:val="superscript"/>
              </w:rPr>
              <w:t>2</w:t>
            </w:r>
            <w:r>
              <w:rPr>
                <w:rFonts w:hint="default" w:ascii="Times New Roman" w:hAnsi="Times New Roman" w:cs="Times New Roman"/>
                <w:b/>
                <w:bCs/>
                <w:color w:val="auto"/>
                <w:kern w:val="28"/>
                <w:sz w:val="21"/>
                <w:szCs w:val="21"/>
                <w:highlight w:val="none"/>
              </w:rPr>
              <w:t>）</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b/>
                <w:bCs/>
                <w:color w:val="auto"/>
                <w:kern w:val="28"/>
                <w:sz w:val="21"/>
                <w:szCs w:val="21"/>
                <w:highlight w:val="none"/>
              </w:rPr>
            </w:pPr>
            <w:r>
              <w:rPr>
                <w:rFonts w:hint="default" w:ascii="Times New Roman" w:hAnsi="Times New Roman" w:cs="Times New Roman"/>
                <w:b/>
                <w:bCs/>
                <w:color w:val="auto"/>
                <w:kern w:val="28"/>
                <w:sz w:val="21"/>
                <w:szCs w:val="21"/>
                <w:highlight w:val="none"/>
              </w:rPr>
              <w:t>1.0（kg/m</w:t>
            </w:r>
            <w:r>
              <w:rPr>
                <w:rFonts w:hint="default" w:ascii="Times New Roman" w:hAnsi="Times New Roman" w:cs="Times New Roman"/>
                <w:b/>
                <w:bCs/>
                <w:color w:val="auto"/>
                <w:kern w:val="28"/>
                <w:sz w:val="21"/>
                <w:szCs w:val="21"/>
                <w:highlight w:val="none"/>
                <w:vertAlign w:val="superscript"/>
              </w:rPr>
              <w:t>2</w:t>
            </w:r>
            <w:r>
              <w:rPr>
                <w:rFonts w:hint="default" w:ascii="Times New Roman" w:hAnsi="Times New Roman" w:cs="Times New Roman"/>
                <w:b/>
                <w:bCs/>
                <w:color w:val="auto"/>
                <w:kern w:val="28"/>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48"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5（km/h）</w:t>
            </w:r>
          </w:p>
        </w:tc>
        <w:tc>
          <w:tcPr>
            <w:tcW w:w="1281"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0.0283</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0.0476</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0.0646</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0.0801</w:t>
            </w:r>
          </w:p>
        </w:tc>
        <w:tc>
          <w:tcPr>
            <w:tcW w:w="1281"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0.0947</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0.1593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48"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10（km/h）</w:t>
            </w:r>
          </w:p>
        </w:tc>
        <w:tc>
          <w:tcPr>
            <w:tcW w:w="1281"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0.0566</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0.0953</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0.1291</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0.1602</w:t>
            </w:r>
          </w:p>
        </w:tc>
        <w:tc>
          <w:tcPr>
            <w:tcW w:w="1281"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0.1894</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0.3186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48"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15（km/h）</w:t>
            </w:r>
          </w:p>
        </w:tc>
        <w:tc>
          <w:tcPr>
            <w:tcW w:w="1281"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0.0850</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0.1429</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0.1937</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0.2403</w:t>
            </w:r>
          </w:p>
        </w:tc>
        <w:tc>
          <w:tcPr>
            <w:tcW w:w="1281"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0.2841</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0.4778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48"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20（km/h）</w:t>
            </w:r>
          </w:p>
        </w:tc>
        <w:tc>
          <w:tcPr>
            <w:tcW w:w="1281"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0.1133</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0.1905</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0.2583</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0.3204</w:t>
            </w:r>
          </w:p>
        </w:tc>
        <w:tc>
          <w:tcPr>
            <w:tcW w:w="1281"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0.3788</w:t>
            </w:r>
          </w:p>
        </w:tc>
        <w:tc>
          <w:tcPr>
            <w:tcW w:w="128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cs="Times New Roman"/>
                <w:color w:val="auto"/>
                <w:kern w:val="28"/>
                <w:sz w:val="21"/>
                <w:szCs w:val="21"/>
                <w:highlight w:val="none"/>
              </w:rPr>
            </w:pPr>
            <w:r>
              <w:rPr>
                <w:rFonts w:hint="default" w:ascii="Times New Roman" w:hAnsi="Times New Roman" w:cs="Times New Roman"/>
                <w:color w:val="auto"/>
                <w:kern w:val="28"/>
                <w:sz w:val="21"/>
                <w:szCs w:val="21"/>
                <w:highlight w:val="none"/>
              </w:rPr>
              <w:t>0.6371</w:t>
            </w:r>
          </w:p>
        </w:tc>
      </w:tr>
    </w:tbl>
    <w:p>
      <w:pPr>
        <w:pStyle w:val="12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如果在施工期间对车辆行驶的路面实施洒水抑尘，可使扬尘减少70%左右。表</w:t>
      </w:r>
      <w:r>
        <w:rPr>
          <w:rFonts w:hint="eastAsia" w:ascii="Times New Roman" w:hAnsi="Times New Roman"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rPr>
        <w:t>.1</w:t>
      </w:r>
      <w:r>
        <w:rPr>
          <w:rFonts w:hint="eastAsia" w:ascii="Times New Roman" w:hAnsi="Times New Roman"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-2为施工场地洒水抑尘的试验结果，结果表明实施每天洒水进行抑尘，可有效地控制施工扬尘，可将TSP污染距离缩小到20～50m范围。</w:t>
      </w:r>
    </w:p>
    <w:p>
      <w:pPr>
        <w:pStyle w:val="122"/>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right="0"/>
        <w:textAlignment w:val="auto"/>
        <w:rPr>
          <w:rStyle w:val="130"/>
          <w:rFonts w:hint="default" w:ascii="Times New Roman" w:hAnsi="Times New Roman" w:eastAsia="宋体" w:cs="Times New Roman"/>
          <w:color w:val="auto"/>
          <w:sz w:val="21"/>
          <w:szCs w:val="21"/>
          <w:highlight w:val="none"/>
        </w:rPr>
      </w:pPr>
      <w:r>
        <w:rPr>
          <w:rStyle w:val="130"/>
          <w:rFonts w:hint="default" w:ascii="Times New Roman" w:hAnsi="Times New Roman" w:eastAsia="宋体" w:cs="Times New Roman"/>
          <w:color w:val="auto"/>
          <w:sz w:val="21"/>
          <w:szCs w:val="21"/>
          <w:highlight w:val="none"/>
        </w:rPr>
        <w:t>表</w:t>
      </w:r>
      <w:r>
        <w:rPr>
          <w:rStyle w:val="130"/>
          <w:rFonts w:hint="eastAsia" w:cs="Times New Roman"/>
          <w:color w:val="auto"/>
          <w:sz w:val="21"/>
          <w:szCs w:val="21"/>
          <w:highlight w:val="none"/>
          <w:lang w:val="en-US" w:eastAsia="zh-CN"/>
        </w:rPr>
        <w:t>6</w:t>
      </w:r>
      <w:r>
        <w:rPr>
          <w:rStyle w:val="130"/>
          <w:rFonts w:hint="default" w:ascii="Times New Roman" w:hAnsi="Times New Roman" w:eastAsia="宋体" w:cs="Times New Roman"/>
          <w:color w:val="auto"/>
          <w:sz w:val="21"/>
          <w:szCs w:val="21"/>
          <w:highlight w:val="none"/>
        </w:rPr>
        <w:t>.1</w:t>
      </w:r>
      <w:r>
        <w:rPr>
          <w:rStyle w:val="130"/>
          <w:rFonts w:hint="eastAsia" w:cs="Times New Roman"/>
          <w:color w:val="auto"/>
          <w:sz w:val="21"/>
          <w:szCs w:val="21"/>
          <w:highlight w:val="none"/>
          <w:lang w:val="en-US" w:eastAsia="zh-CN"/>
        </w:rPr>
        <w:t>.1</w:t>
      </w:r>
      <w:r>
        <w:rPr>
          <w:rStyle w:val="130"/>
          <w:rFonts w:hint="default" w:ascii="Times New Roman" w:hAnsi="Times New Roman" w:eastAsia="宋体" w:cs="Times New Roman"/>
          <w:color w:val="auto"/>
          <w:sz w:val="21"/>
          <w:szCs w:val="21"/>
          <w:highlight w:val="none"/>
        </w:rPr>
        <w:t>-2   施工场地洒水抑尘试验结果</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3"/>
        <w:gridCol w:w="1333"/>
        <w:gridCol w:w="1293"/>
        <w:gridCol w:w="1293"/>
        <w:gridCol w:w="1294"/>
        <w:gridCol w:w="12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71" w:type="dxa"/>
            <w:gridSpan w:val="2"/>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eastAsia="宋体" w:cs="Times New Roman"/>
                <w:b/>
                <w:bCs/>
                <w:color w:val="auto"/>
                <w:kern w:val="28"/>
                <w:sz w:val="21"/>
                <w:szCs w:val="21"/>
                <w:highlight w:val="none"/>
              </w:rPr>
            </w:pPr>
            <w:r>
              <w:rPr>
                <w:rFonts w:hint="default" w:ascii="Times New Roman" w:hAnsi="Times New Roman" w:eastAsia="宋体" w:cs="Times New Roman"/>
                <w:b/>
                <w:bCs/>
                <w:color w:val="auto"/>
                <w:kern w:val="28"/>
                <w:sz w:val="21"/>
                <w:szCs w:val="21"/>
                <w:highlight w:val="none"/>
              </w:rPr>
              <w:t>单位（mg/m</w:t>
            </w:r>
            <w:r>
              <w:rPr>
                <w:rFonts w:hint="default" w:ascii="Times New Roman" w:hAnsi="Times New Roman" w:eastAsia="宋体" w:cs="Times New Roman"/>
                <w:b/>
                <w:bCs/>
                <w:color w:val="auto"/>
                <w:kern w:val="28"/>
                <w:sz w:val="21"/>
                <w:szCs w:val="21"/>
                <w:highlight w:val="none"/>
                <w:vertAlign w:val="superscript"/>
              </w:rPr>
              <w:t>3</w:t>
            </w:r>
            <w:r>
              <w:rPr>
                <w:rFonts w:hint="default" w:ascii="Times New Roman" w:hAnsi="Times New Roman" w:eastAsia="宋体" w:cs="Times New Roman"/>
                <w:b/>
                <w:bCs/>
                <w:color w:val="auto"/>
                <w:kern w:val="28"/>
                <w:sz w:val="21"/>
                <w:szCs w:val="21"/>
                <w:highlight w:val="none"/>
              </w:rPr>
              <w:t>）</w:t>
            </w:r>
          </w:p>
        </w:tc>
        <w:tc>
          <w:tcPr>
            <w:tcW w:w="1341"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eastAsia="宋体" w:cs="Times New Roman"/>
                <w:b/>
                <w:bCs/>
                <w:color w:val="auto"/>
                <w:kern w:val="28"/>
                <w:sz w:val="21"/>
                <w:szCs w:val="21"/>
                <w:highlight w:val="none"/>
              </w:rPr>
            </w:pPr>
            <w:r>
              <w:rPr>
                <w:rFonts w:hint="default" w:ascii="Times New Roman" w:hAnsi="Times New Roman" w:eastAsia="宋体" w:cs="Times New Roman"/>
                <w:b/>
                <w:bCs/>
                <w:color w:val="auto"/>
                <w:kern w:val="28"/>
                <w:sz w:val="21"/>
                <w:szCs w:val="21"/>
                <w:highlight w:val="none"/>
              </w:rPr>
              <w:t>5</w:t>
            </w:r>
          </w:p>
        </w:tc>
        <w:tc>
          <w:tcPr>
            <w:tcW w:w="1341"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eastAsia="宋体" w:cs="Times New Roman"/>
                <w:b/>
                <w:bCs/>
                <w:color w:val="auto"/>
                <w:kern w:val="28"/>
                <w:sz w:val="21"/>
                <w:szCs w:val="21"/>
                <w:highlight w:val="none"/>
              </w:rPr>
            </w:pPr>
            <w:r>
              <w:rPr>
                <w:rFonts w:hint="default" w:ascii="Times New Roman" w:hAnsi="Times New Roman" w:eastAsia="宋体" w:cs="Times New Roman"/>
                <w:b/>
                <w:bCs/>
                <w:color w:val="auto"/>
                <w:kern w:val="28"/>
                <w:sz w:val="21"/>
                <w:szCs w:val="21"/>
                <w:highlight w:val="none"/>
              </w:rPr>
              <w:t>20</w:t>
            </w:r>
          </w:p>
        </w:tc>
        <w:tc>
          <w:tcPr>
            <w:tcW w:w="134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eastAsia="宋体" w:cs="Times New Roman"/>
                <w:b/>
                <w:bCs/>
                <w:color w:val="auto"/>
                <w:kern w:val="28"/>
                <w:sz w:val="21"/>
                <w:szCs w:val="21"/>
                <w:highlight w:val="none"/>
              </w:rPr>
            </w:pPr>
            <w:r>
              <w:rPr>
                <w:rFonts w:hint="default" w:ascii="Times New Roman" w:hAnsi="Times New Roman" w:eastAsia="宋体" w:cs="Times New Roman"/>
                <w:b/>
                <w:bCs/>
                <w:color w:val="auto"/>
                <w:kern w:val="28"/>
                <w:sz w:val="21"/>
                <w:szCs w:val="21"/>
                <w:highlight w:val="none"/>
              </w:rPr>
              <w:t>50</w:t>
            </w:r>
          </w:p>
        </w:tc>
        <w:tc>
          <w:tcPr>
            <w:tcW w:w="1343"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eastAsia="宋体" w:cs="Times New Roman"/>
                <w:b/>
                <w:bCs/>
                <w:color w:val="auto"/>
                <w:kern w:val="28"/>
                <w:sz w:val="21"/>
                <w:szCs w:val="21"/>
                <w:highlight w:val="none"/>
              </w:rPr>
            </w:pPr>
            <w:r>
              <w:rPr>
                <w:rFonts w:hint="default" w:ascii="Times New Roman" w:hAnsi="Times New Roman" w:eastAsia="宋体" w:cs="Times New Roman"/>
                <w:b/>
                <w:bCs/>
                <w:color w:val="auto"/>
                <w:kern w:val="28"/>
                <w:sz w:val="21"/>
                <w:szCs w:val="21"/>
                <w:highlight w:val="none"/>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88" w:type="dxa"/>
            <w:vMerge w:val="restart"/>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kern w:val="28"/>
                <w:sz w:val="21"/>
                <w:szCs w:val="21"/>
                <w:highlight w:val="none"/>
              </w:rPr>
              <w:t>TSP小时平均浓度</w:t>
            </w:r>
          </w:p>
        </w:tc>
        <w:tc>
          <w:tcPr>
            <w:tcW w:w="1383"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kern w:val="28"/>
                <w:sz w:val="21"/>
                <w:szCs w:val="21"/>
                <w:highlight w:val="none"/>
              </w:rPr>
              <w:t>不洒水</w:t>
            </w:r>
          </w:p>
        </w:tc>
        <w:tc>
          <w:tcPr>
            <w:tcW w:w="1341"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kern w:val="28"/>
                <w:sz w:val="21"/>
                <w:szCs w:val="21"/>
                <w:highlight w:val="none"/>
              </w:rPr>
              <w:t>10.14</w:t>
            </w:r>
          </w:p>
        </w:tc>
        <w:tc>
          <w:tcPr>
            <w:tcW w:w="1341"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kern w:val="28"/>
                <w:sz w:val="21"/>
                <w:szCs w:val="21"/>
                <w:highlight w:val="none"/>
              </w:rPr>
              <w:t>2.89</w:t>
            </w:r>
          </w:p>
        </w:tc>
        <w:tc>
          <w:tcPr>
            <w:tcW w:w="134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kern w:val="28"/>
                <w:sz w:val="21"/>
                <w:szCs w:val="21"/>
                <w:highlight w:val="none"/>
              </w:rPr>
              <w:t>1.15</w:t>
            </w:r>
          </w:p>
        </w:tc>
        <w:tc>
          <w:tcPr>
            <w:tcW w:w="1343"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kern w:val="28"/>
                <w:sz w:val="21"/>
                <w:szCs w:val="21"/>
                <w:highlight w:val="none"/>
              </w:rPr>
              <w:t>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88" w:type="dxa"/>
            <w:vMerge w:val="continue"/>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eastAsia="宋体" w:cs="Times New Roman"/>
                <w:color w:val="auto"/>
                <w:kern w:val="28"/>
                <w:sz w:val="21"/>
                <w:szCs w:val="21"/>
                <w:highlight w:val="none"/>
              </w:rPr>
            </w:pPr>
          </w:p>
        </w:tc>
        <w:tc>
          <w:tcPr>
            <w:tcW w:w="1383"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kern w:val="28"/>
                <w:sz w:val="21"/>
                <w:szCs w:val="21"/>
                <w:highlight w:val="none"/>
              </w:rPr>
              <w:t>洒水</w:t>
            </w:r>
          </w:p>
        </w:tc>
        <w:tc>
          <w:tcPr>
            <w:tcW w:w="1341"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kern w:val="28"/>
                <w:sz w:val="21"/>
                <w:szCs w:val="21"/>
                <w:highlight w:val="none"/>
              </w:rPr>
              <w:t>2.01</w:t>
            </w:r>
          </w:p>
        </w:tc>
        <w:tc>
          <w:tcPr>
            <w:tcW w:w="1341"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kern w:val="28"/>
                <w:sz w:val="21"/>
                <w:szCs w:val="21"/>
                <w:highlight w:val="none"/>
              </w:rPr>
              <w:t>1.40</w:t>
            </w:r>
          </w:p>
        </w:tc>
        <w:tc>
          <w:tcPr>
            <w:tcW w:w="1342"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kern w:val="28"/>
                <w:sz w:val="21"/>
                <w:szCs w:val="21"/>
                <w:highlight w:val="none"/>
              </w:rPr>
              <w:t>0.67</w:t>
            </w:r>
          </w:p>
        </w:tc>
        <w:tc>
          <w:tcPr>
            <w:tcW w:w="1343" w:type="dxa"/>
            <w:tcBorders>
              <w:tl2br w:val="nil"/>
              <w:tr2bl w:val="nil"/>
            </w:tcBorders>
            <w:noWrap w:val="0"/>
            <w:vAlign w:val="center"/>
          </w:tcPr>
          <w:p>
            <w:pPr>
              <w:pStyle w:val="123"/>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kern w:val="28"/>
                <w:sz w:val="21"/>
                <w:szCs w:val="21"/>
                <w:highlight w:val="none"/>
              </w:rPr>
              <w:t>0.60</w:t>
            </w:r>
          </w:p>
        </w:tc>
      </w:tr>
    </w:tbl>
    <w:p>
      <w:pPr>
        <w:pStyle w:val="12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因此，限速行驶及保持路面清洁，同时适当洒水是减少汽车扬尘的有效手段。</w:t>
      </w:r>
    </w:p>
    <w:p>
      <w:pPr>
        <w:pStyle w:val="12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施工扬尘的另一个主要原因是露天堆场和裸露场地（工地）的一些建筑材料的堆放和现场土石方临时堆放，在气候干燥且有风的情况下，产生扬尘。其扬尘量可按堆场起尘的经验公式计算：</w:t>
      </w:r>
    </w:p>
    <w:p>
      <w:pPr>
        <w:pStyle w:val="129"/>
        <w:pageBreakBefore w:val="0"/>
        <w:widowControl w:val="0"/>
        <w:kinsoku/>
        <w:overflowPunct/>
        <w:topLinePunct w:val="0"/>
        <w:bidi w:val="0"/>
        <w:spacing w:before="78" w:beforeLines="25" w:after="78" w:afterLines="25" w:line="360" w:lineRule="auto"/>
        <w:ind w:firstLine="480" w:firstLineChars="200"/>
        <w:jc w:val="center"/>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position w:val="-12"/>
          <w:highlight w:val="none"/>
          <w:lang w:eastAsia="zh-CN"/>
        </w:rPr>
        <w:object>
          <v:shape id="_x0000_i1033" o:spt="75" type="#_x0000_t75" style="height:19pt;width:121pt;" o:ole="t" filled="f" o:preferrelative="t" stroked="f" coordsize="21600,21600">
            <v:path/>
            <v:fill on="f" focussize="0,0"/>
            <v:stroke on="f"/>
            <v:imagedata r:id="rId20" o:title=""/>
            <o:lock v:ext="edit" aspectratio="t"/>
            <w10:wrap type="none"/>
            <w10:anchorlock/>
          </v:shape>
          <o:OLEObject Type="Embed" ProgID="Equation.KSEE3" ShapeID="_x0000_i1033" DrawAspect="Content" ObjectID="_1468075726" r:id="rId19">
            <o:LockedField>false</o:LockedField>
          </o:OLEObject>
        </w:objec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式中：Q——起尘量，kg/吨·年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 xml:space="preserve">      V</w:t>
      </w:r>
      <w:r>
        <w:rPr>
          <w:rFonts w:hint="default" w:ascii="Times New Roman" w:hAnsi="Times New Roman" w:cs="Times New Roman"/>
          <w:color w:val="auto"/>
          <w:sz w:val="24"/>
          <w:highlight w:val="none"/>
          <w:vertAlign w:val="subscript"/>
        </w:rPr>
        <w:t>50</w:t>
      </w:r>
      <w:r>
        <w:rPr>
          <w:rFonts w:hint="default" w:ascii="Times New Roman" w:hAnsi="Times New Roman" w:cs="Times New Roman"/>
          <w:color w:val="auto"/>
          <w:sz w:val="24"/>
          <w:highlight w:val="none"/>
        </w:rPr>
        <w:t>——距地面50m处风速，</w:t>
      </w:r>
      <w:r>
        <w:rPr>
          <w:rFonts w:hint="eastAsia" w:ascii="Times New Roman" w:hAnsi="Times New Roman" w:cs="Times New Roman"/>
          <w:color w:val="auto"/>
          <w:sz w:val="24"/>
          <w:highlight w:val="none"/>
          <w:lang w:val="en-US" w:eastAsia="zh-CN"/>
        </w:rPr>
        <w:t>m/s；</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      V</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——起尘风速，m/s；</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      W——尘粒的含水率，%。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起尘量与含水率、气象、风速、起尘风速有关，而起尘风速与粒径和含水率有关，因此，减少沙土的露天堆放和保证沙土一定的含水率及减少裸露地面是减少风力起尘的有效手段。粉尘在空气中的扩散稀释与气象条件和本身沉降速率有关，而粉尘的沉降速度随粒径的增大而迅速增大。不同粒径粉尘的沉降速度见表</w:t>
      </w:r>
      <w:r>
        <w:rPr>
          <w:rFonts w:hint="eastAsia" w:cs="Times New Roman"/>
          <w:color w:val="auto"/>
          <w:sz w:val="24"/>
          <w:highlight w:val="none"/>
          <w:lang w:val="en-US" w:eastAsia="zh-CN"/>
        </w:rPr>
        <w:t>6</w:t>
      </w:r>
      <w:r>
        <w:rPr>
          <w:rFonts w:hint="default" w:ascii="Times New Roman" w:hAnsi="Times New Roman" w:cs="Times New Roman"/>
          <w:color w:val="auto"/>
          <w:sz w:val="24"/>
          <w:highlight w:val="none"/>
        </w:rPr>
        <w:t>.1</w:t>
      </w:r>
      <w:r>
        <w:rPr>
          <w:rFonts w:hint="eastAsia" w:cs="Times New Roman"/>
          <w:color w:val="auto"/>
          <w:sz w:val="24"/>
          <w:highlight w:val="none"/>
          <w:lang w:val="en-US" w:eastAsia="zh-CN"/>
        </w:rPr>
        <w:t>.1</w:t>
      </w:r>
      <w:r>
        <w:rPr>
          <w:rFonts w:hint="default" w:ascii="Times New Roman" w:hAnsi="Times New Roman" w:cs="Times New Roman"/>
          <w:color w:val="auto"/>
          <w:sz w:val="24"/>
          <w:highlight w:val="none"/>
        </w:rPr>
        <w:t>-3。</w:t>
      </w:r>
    </w:p>
    <w:p>
      <w:pPr>
        <w:pStyle w:val="122"/>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right="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.1</w:t>
      </w: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-3   不同粒径尘粒的沉降速度</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1"/>
        <w:gridCol w:w="827"/>
        <w:gridCol w:w="829"/>
        <w:gridCol w:w="828"/>
        <w:gridCol w:w="830"/>
        <w:gridCol w:w="828"/>
        <w:gridCol w:w="828"/>
        <w:gridCol w:w="11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4" w:type="dxa"/>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jc w:val="center"/>
              <w:textAlignment w:val="auto"/>
              <w:rPr>
                <w:rFonts w:hint="eastAsia"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粉尘粒径</w:t>
            </w:r>
            <w:r>
              <w:rPr>
                <w:rFonts w:hint="eastAsia"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μm</w:t>
            </w:r>
            <w:r>
              <w:rPr>
                <w:rFonts w:hint="eastAsia" w:ascii="Times New Roman" w:hAnsi="Times New Roman" w:cs="Times New Roman"/>
                <w:b/>
                <w:bCs/>
                <w:color w:val="auto"/>
                <w:sz w:val="21"/>
                <w:szCs w:val="21"/>
                <w:highlight w:val="none"/>
                <w:lang w:eastAsia="zh-CN"/>
              </w:rPr>
              <w:t>）</w:t>
            </w:r>
          </w:p>
        </w:tc>
        <w:tc>
          <w:tcPr>
            <w:tcW w:w="890" w:type="dxa"/>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10</w:t>
            </w:r>
          </w:p>
        </w:tc>
        <w:tc>
          <w:tcPr>
            <w:tcW w:w="892"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20</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30</w:t>
            </w:r>
          </w:p>
        </w:tc>
        <w:tc>
          <w:tcPr>
            <w:tcW w:w="892"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40</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50</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60</w:t>
            </w:r>
          </w:p>
        </w:tc>
        <w:tc>
          <w:tcPr>
            <w:tcW w:w="1239"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4" w:type="dxa"/>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沉降速度</w:t>
            </w:r>
            <w:r>
              <w:rPr>
                <w:rFonts w:hint="eastAsia" w:ascii="Times New Roman" w:hAnsi="Times New Roman" w:cs="Times New Roman"/>
                <w:b w:val="0"/>
                <w:bCs w:val="0"/>
                <w:color w:val="auto"/>
                <w:sz w:val="21"/>
                <w:szCs w:val="21"/>
                <w:highlight w:val="none"/>
                <w:lang w:eastAsia="zh-CN"/>
              </w:rPr>
              <w:t>（</w:t>
            </w:r>
            <w:r>
              <w:rPr>
                <w:rFonts w:hint="default" w:ascii="Times New Roman" w:hAnsi="Times New Roman" w:cs="Times New Roman"/>
                <w:b w:val="0"/>
                <w:bCs w:val="0"/>
                <w:color w:val="auto"/>
                <w:sz w:val="21"/>
                <w:szCs w:val="21"/>
                <w:highlight w:val="none"/>
              </w:rPr>
              <w:t>m/s</w:t>
            </w:r>
            <w:r>
              <w:rPr>
                <w:rFonts w:hint="eastAsia" w:ascii="Times New Roman" w:hAnsi="Times New Roman" w:cs="Times New Roman"/>
                <w:b w:val="0"/>
                <w:bCs w:val="0"/>
                <w:color w:val="auto"/>
                <w:sz w:val="21"/>
                <w:szCs w:val="21"/>
                <w:highlight w:val="none"/>
                <w:lang w:eastAsia="zh-CN"/>
              </w:rPr>
              <w:t>）</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0.003</w:t>
            </w:r>
          </w:p>
        </w:tc>
        <w:tc>
          <w:tcPr>
            <w:tcW w:w="892"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0.012</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0.027</w:t>
            </w:r>
          </w:p>
        </w:tc>
        <w:tc>
          <w:tcPr>
            <w:tcW w:w="892"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0.048</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0.075</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0.108</w:t>
            </w:r>
          </w:p>
        </w:tc>
        <w:tc>
          <w:tcPr>
            <w:tcW w:w="1239"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4" w:type="dxa"/>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粉尘粒径</w:t>
            </w:r>
            <w:r>
              <w:rPr>
                <w:rFonts w:hint="eastAsia" w:ascii="Times New Roman" w:hAnsi="Times New Roman" w:cs="Times New Roman"/>
                <w:b w:val="0"/>
                <w:bCs w:val="0"/>
                <w:color w:val="auto"/>
                <w:sz w:val="21"/>
                <w:szCs w:val="21"/>
                <w:highlight w:val="none"/>
                <w:lang w:eastAsia="zh-CN"/>
              </w:rPr>
              <w:t>（</w:t>
            </w:r>
            <w:r>
              <w:rPr>
                <w:rFonts w:hint="default" w:ascii="Times New Roman" w:hAnsi="Times New Roman" w:cs="Times New Roman"/>
                <w:b w:val="0"/>
                <w:bCs w:val="0"/>
                <w:color w:val="auto"/>
                <w:sz w:val="21"/>
                <w:szCs w:val="21"/>
                <w:highlight w:val="none"/>
              </w:rPr>
              <w:t>m/s</w:t>
            </w:r>
            <w:r>
              <w:rPr>
                <w:rFonts w:hint="eastAsia" w:ascii="Times New Roman" w:hAnsi="Times New Roman" w:cs="Times New Roman"/>
                <w:b w:val="0"/>
                <w:bCs w:val="0"/>
                <w:color w:val="auto"/>
                <w:sz w:val="21"/>
                <w:szCs w:val="21"/>
                <w:highlight w:val="none"/>
                <w:lang w:eastAsia="zh-CN"/>
              </w:rPr>
              <w:t>）</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80</w:t>
            </w:r>
          </w:p>
        </w:tc>
        <w:tc>
          <w:tcPr>
            <w:tcW w:w="892"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90</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w:t>
            </w:r>
          </w:p>
        </w:tc>
        <w:tc>
          <w:tcPr>
            <w:tcW w:w="892"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p>
        </w:tc>
        <w:tc>
          <w:tcPr>
            <w:tcW w:w="1239"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4"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沉降速度</w:t>
            </w:r>
            <w:r>
              <w:rPr>
                <w:rFonts w:hint="eastAsia" w:ascii="Times New Roman" w:hAnsi="Times New Roman" w:cs="Times New Roman"/>
                <w:b w:val="0"/>
                <w:bCs w:val="0"/>
                <w:color w:val="auto"/>
                <w:sz w:val="21"/>
                <w:szCs w:val="21"/>
                <w:highlight w:val="none"/>
                <w:lang w:eastAsia="zh-CN"/>
              </w:rPr>
              <w:t>（</w:t>
            </w:r>
            <w:r>
              <w:rPr>
                <w:rFonts w:hint="default" w:ascii="Times New Roman" w:hAnsi="Times New Roman" w:cs="Times New Roman"/>
                <w:b w:val="0"/>
                <w:bCs w:val="0"/>
                <w:color w:val="auto"/>
                <w:sz w:val="21"/>
                <w:szCs w:val="21"/>
                <w:highlight w:val="none"/>
              </w:rPr>
              <w:t>m/s</w:t>
            </w:r>
            <w:r>
              <w:rPr>
                <w:rFonts w:hint="eastAsia" w:ascii="Times New Roman" w:hAnsi="Times New Roman" w:cs="Times New Roman"/>
                <w:b w:val="0"/>
                <w:bCs w:val="0"/>
                <w:color w:val="auto"/>
                <w:sz w:val="21"/>
                <w:szCs w:val="21"/>
                <w:highlight w:val="none"/>
                <w:lang w:eastAsia="zh-CN"/>
              </w:rPr>
              <w:t>）</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0.158</w:t>
            </w:r>
          </w:p>
        </w:tc>
        <w:tc>
          <w:tcPr>
            <w:tcW w:w="892"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0.170</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0.180</w:t>
            </w:r>
          </w:p>
        </w:tc>
        <w:tc>
          <w:tcPr>
            <w:tcW w:w="892"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0.239</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0.804</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1.005</w:t>
            </w:r>
          </w:p>
        </w:tc>
        <w:tc>
          <w:tcPr>
            <w:tcW w:w="1239"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1.829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4"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粉尘粒径</w:t>
            </w:r>
            <w:r>
              <w:rPr>
                <w:rFonts w:hint="eastAsia" w:ascii="Times New Roman" w:hAnsi="Times New Roman" w:cs="Times New Roman"/>
                <w:b w:val="0"/>
                <w:bCs w:val="0"/>
                <w:color w:val="auto"/>
                <w:sz w:val="21"/>
                <w:szCs w:val="21"/>
                <w:highlight w:val="none"/>
                <w:lang w:eastAsia="zh-CN"/>
              </w:rPr>
              <w:t>（</w:t>
            </w:r>
            <w:r>
              <w:rPr>
                <w:rFonts w:hint="default" w:ascii="Times New Roman" w:hAnsi="Times New Roman" w:cs="Times New Roman"/>
                <w:b w:val="0"/>
                <w:bCs w:val="0"/>
                <w:color w:val="auto"/>
                <w:sz w:val="21"/>
                <w:szCs w:val="21"/>
                <w:highlight w:val="none"/>
              </w:rPr>
              <w:t>m/s</w:t>
            </w:r>
            <w:r>
              <w:rPr>
                <w:rFonts w:hint="eastAsia" w:ascii="Times New Roman" w:hAnsi="Times New Roman" w:cs="Times New Roman"/>
                <w:b w:val="0"/>
                <w:bCs w:val="0"/>
                <w:color w:val="auto"/>
                <w:sz w:val="21"/>
                <w:szCs w:val="21"/>
                <w:highlight w:val="none"/>
                <w:lang w:eastAsia="zh-CN"/>
              </w:rPr>
              <w:t>）</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450</w:t>
            </w:r>
          </w:p>
        </w:tc>
        <w:tc>
          <w:tcPr>
            <w:tcW w:w="892"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550</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650</w:t>
            </w:r>
          </w:p>
        </w:tc>
        <w:tc>
          <w:tcPr>
            <w:tcW w:w="892"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750</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850</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950</w:t>
            </w:r>
          </w:p>
        </w:tc>
        <w:tc>
          <w:tcPr>
            <w:tcW w:w="1239"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4"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沉降速度</w:t>
            </w:r>
            <w:r>
              <w:rPr>
                <w:rFonts w:hint="eastAsia" w:ascii="Times New Roman" w:hAnsi="Times New Roman" w:cs="Times New Roman"/>
                <w:b w:val="0"/>
                <w:bCs w:val="0"/>
                <w:color w:val="auto"/>
                <w:sz w:val="21"/>
                <w:szCs w:val="21"/>
                <w:highlight w:val="none"/>
                <w:lang w:eastAsia="zh-CN"/>
              </w:rPr>
              <w:t>（</w:t>
            </w:r>
            <w:r>
              <w:rPr>
                <w:rFonts w:hint="default" w:ascii="Times New Roman" w:hAnsi="Times New Roman" w:cs="Times New Roman"/>
                <w:b w:val="0"/>
                <w:bCs w:val="0"/>
                <w:color w:val="auto"/>
                <w:sz w:val="21"/>
                <w:szCs w:val="21"/>
                <w:highlight w:val="none"/>
              </w:rPr>
              <w:t>m/s</w:t>
            </w:r>
            <w:r>
              <w:rPr>
                <w:rFonts w:hint="eastAsia" w:ascii="Times New Roman" w:hAnsi="Times New Roman" w:cs="Times New Roman"/>
                <w:b w:val="0"/>
                <w:bCs w:val="0"/>
                <w:color w:val="auto"/>
                <w:sz w:val="21"/>
                <w:szCs w:val="21"/>
                <w:highlight w:val="none"/>
                <w:lang w:eastAsia="zh-CN"/>
              </w:rPr>
              <w:t>）</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2.211</w:t>
            </w:r>
          </w:p>
        </w:tc>
        <w:tc>
          <w:tcPr>
            <w:tcW w:w="892"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2.614</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3.016</w:t>
            </w:r>
          </w:p>
        </w:tc>
        <w:tc>
          <w:tcPr>
            <w:tcW w:w="892"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3.418</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3.820</w:t>
            </w:r>
          </w:p>
        </w:tc>
        <w:tc>
          <w:tcPr>
            <w:tcW w:w="890"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4.222</w:t>
            </w:r>
          </w:p>
        </w:tc>
        <w:tc>
          <w:tcPr>
            <w:tcW w:w="1239" w:type="dxa"/>
            <w:tcBorders>
              <w:tl2br w:val="nil"/>
              <w:tr2bl w:val="nil"/>
            </w:tcBorders>
            <w:noWrap w:val="0"/>
            <w:vAlign w:val="center"/>
          </w:tcPr>
          <w:p>
            <w:pPr>
              <w:pStyle w:val="11"/>
              <w:keepNext w:val="0"/>
              <w:keepLines w:val="0"/>
              <w:pageBreakBefore w:val="0"/>
              <w:widowControl w:val="0"/>
              <w:numPr>
                <w:ilvl w:val="0"/>
                <w:numId w:val="0"/>
              </w:numPr>
              <w:tabs>
                <w:tab w:val="clear" w:pos="3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4.624</w:t>
            </w:r>
          </w:p>
        </w:tc>
      </w:tr>
    </w:tbl>
    <w:p>
      <w:pPr>
        <w:pageBreakBefore w:val="0"/>
        <w:widowControl w:val="0"/>
        <w:kinsoku/>
        <w:wordWrap/>
        <w:overflowPunct/>
        <w:topLinePunct w:val="0"/>
        <w:bidi w:val="0"/>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由表可知，大粒径的尘粒（粒径大于250μm），由于沉降速度较快，主要影响范围在扬尘点下风向近距离范围内，而小粒径尘粒由于沉降速度较慢，主要影响在远距离范围，因此真正对外环境产生影响的是一些微小粒径的粉尘。</w:t>
      </w:r>
    </w:p>
    <w:p>
      <w:pPr>
        <w:pageBreakBefore w:val="0"/>
        <w:widowControl w:val="0"/>
        <w:kinsoku/>
        <w:wordWrap/>
        <w:overflowPunct/>
        <w:topLinePunct w:val="0"/>
        <w:bidi w:val="0"/>
        <w:adjustRightInd w:val="0"/>
        <w:snapToGrid w:val="0"/>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0"/>
          <w:sz w:val="24"/>
          <w:highlight w:val="none"/>
        </w:rPr>
        <w:t>因此，在施工期应对运输的道路及施工工地不定期洒水，并加强施工管理，采用防护网，使用商品混凝土。运输车辆采取加盖、蓬布遮盖等措施，运输道路应注意清扫，适当定时冲洗，采取以上措施处理后，本项目施工期对周围环境影响不大。</w:t>
      </w:r>
    </w:p>
    <w:p>
      <w:pPr>
        <w:pStyle w:val="5"/>
        <w:pageBreakBefore w:val="0"/>
        <w:widowControl w:val="0"/>
        <w:kinsoku/>
        <w:wordWrap/>
        <w:overflowPunct/>
        <w:topLinePunct w:val="0"/>
        <w:autoSpaceDE/>
        <w:autoSpaceDN/>
        <w:bidi w:val="0"/>
        <w:adjustRightInd w:val="0"/>
        <w:snapToGrid w:val="0"/>
        <w:spacing w:before="0" w:after="0" w:line="360" w:lineRule="auto"/>
        <w:ind w:left="0" w:leftChars="0" w:firstLine="0" w:firstLineChars="0"/>
        <w:textAlignment w:val="auto"/>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6</w:t>
      </w:r>
      <w:r>
        <w:rPr>
          <w:rFonts w:hint="default" w:ascii="Times New Roman" w:hAnsi="Times New Roman" w:eastAsia="宋体" w:cs="Times New Roman"/>
          <w:b/>
          <w:bCs/>
          <w:color w:val="auto"/>
          <w:highlight w:val="none"/>
          <w:lang w:val="en-US" w:eastAsia="zh-CN"/>
        </w:rPr>
        <w:t>.1.1.2燃油废气</w:t>
      </w:r>
    </w:p>
    <w:p>
      <w:pPr>
        <w:pStyle w:val="13"/>
        <w:pageBreakBefore w:val="0"/>
        <w:widowControl w:val="0"/>
        <w:kinsoku/>
        <w:wordWrap/>
        <w:overflowPunct/>
        <w:topLinePunct w:val="0"/>
        <w:bidi w:val="0"/>
        <w:adjustRightInd w:val="0"/>
        <w:snapToGrid w:val="0"/>
        <w:spacing w:before="0" w:beforeLines="0" w:after="0" w:afterLines="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本项目施工所需要的各种机动车辆、施工机械如推土机、铲车、运输卡车等在施工过程中会产生一定的尾气排放，释放出一定量的NO</w:t>
      </w:r>
      <w:r>
        <w:rPr>
          <w:rFonts w:hint="default" w:ascii="Times New Roman" w:hAnsi="Times New Roman" w:cs="Times New Roman"/>
          <w:color w:val="auto"/>
          <w:highlight w:val="none"/>
          <w:vertAlign w:val="subscript"/>
        </w:rPr>
        <w:t>x</w:t>
      </w:r>
      <w:r>
        <w:rPr>
          <w:rFonts w:hint="default" w:ascii="Times New Roman" w:hAnsi="Times New Roman" w:cs="Times New Roman"/>
          <w:color w:val="auto"/>
          <w:highlight w:val="none"/>
        </w:rPr>
        <w:t>、CO、HC等大气污染物，但由于施工机械数量不大，分布较为分散，施工区域地域开阔平坦，且燃油机械多为间断作业，施工过程所使用机械的尾气污染物排放量很小，污染物经稀释扩散后，施工机械尾气对项目区周围环境空气质量影响较小。</w:t>
      </w:r>
    </w:p>
    <w:p>
      <w:pPr>
        <w:pStyle w:val="5"/>
        <w:pageBreakBefore w:val="0"/>
        <w:widowControl w:val="0"/>
        <w:kinsoku/>
        <w:wordWrap/>
        <w:overflowPunct/>
        <w:topLinePunct w:val="0"/>
        <w:autoSpaceDE/>
        <w:autoSpaceDN/>
        <w:bidi w:val="0"/>
        <w:adjustRightInd w:val="0"/>
        <w:snapToGrid w:val="0"/>
        <w:spacing w:before="0" w:after="0" w:line="360" w:lineRule="auto"/>
        <w:ind w:left="0" w:leftChars="0" w:firstLine="0" w:firstLineChars="0"/>
        <w:textAlignment w:val="auto"/>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6</w:t>
      </w:r>
      <w:r>
        <w:rPr>
          <w:rFonts w:hint="default" w:ascii="Times New Roman" w:hAnsi="Times New Roman" w:eastAsia="宋体" w:cs="Times New Roman"/>
          <w:b/>
          <w:bCs/>
          <w:color w:val="auto"/>
          <w:highlight w:val="none"/>
          <w:lang w:val="en-US" w:eastAsia="zh-CN"/>
        </w:rPr>
        <w:t>.1.</w:t>
      </w:r>
      <w:r>
        <w:rPr>
          <w:rFonts w:hint="eastAsia" w:ascii="Times New Roman" w:hAnsi="Times New Roman" w:eastAsia="宋体" w:cs="Times New Roman"/>
          <w:b/>
          <w:bCs/>
          <w:color w:val="auto"/>
          <w:highlight w:val="none"/>
          <w:lang w:val="en-US" w:eastAsia="zh-CN"/>
        </w:rPr>
        <w:t>1.3</w:t>
      </w:r>
      <w:r>
        <w:rPr>
          <w:rFonts w:hint="eastAsia" w:ascii="Times New Roman" w:hAnsi="Times New Roman" w:eastAsia="宋体" w:cs="Times New Roman"/>
          <w:color w:val="auto"/>
          <w:highlight w:val="none"/>
          <w:lang w:val="en-US" w:eastAsia="zh-CN"/>
        </w:rPr>
        <w:t>新建供热管网</w:t>
      </w:r>
      <w:r>
        <w:rPr>
          <w:rFonts w:hint="eastAsia" w:cs="Times New Roman"/>
          <w:color w:val="auto"/>
          <w:highlight w:val="none"/>
          <w:lang w:val="en-US" w:eastAsia="zh-CN"/>
        </w:rPr>
        <w:t>工程</w:t>
      </w:r>
      <w:r>
        <w:rPr>
          <w:rFonts w:hint="default" w:ascii="Times New Roman" w:hAnsi="Times New Roman" w:eastAsia="宋体" w:cs="Times New Roman"/>
          <w:b/>
          <w:bCs/>
          <w:color w:val="auto"/>
          <w:highlight w:val="none"/>
          <w:lang w:val="en-US" w:eastAsia="zh-CN"/>
        </w:rPr>
        <w:t>施工期大气环境影响分析</w:t>
      </w:r>
    </w:p>
    <w:p>
      <w:pPr>
        <w:pStyle w:val="13"/>
        <w:pageBreakBefore w:val="0"/>
        <w:widowControl w:val="0"/>
        <w:kinsoku/>
        <w:wordWrap/>
        <w:overflowPunct/>
        <w:topLinePunct w:val="0"/>
        <w:bidi w:val="0"/>
        <w:adjustRightInd w:val="0"/>
        <w:snapToGrid w:val="0"/>
        <w:spacing w:before="0" w:beforeLines="0" w:after="0" w:afterLines="0" w:line="360" w:lineRule="auto"/>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本项目管网建设施工期间的大气污染主要是施工扬尘。</w:t>
      </w:r>
    </w:p>
    <w:p>
      <w:pPr>
        <w:pageBreakBefore w:val="0"/>
        <w:widowControl w:val="0"/>
        <w:kinsoku/>
        <w:wordWrap/>
        <w:overflowPunct/>
        <w:topLinePunct w:val="0"/>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施工期间扬尘主要来自管沟开挖、回填土、弃土临时堆放及车辆运输来往造成的道路扬尘。本项目管道较短，管道敷设后即将管沟填埋，并将剩余的弃土清运。因此，该项目对施工范围内大气环境的影响是有限及暂时的，随着短时间施工的结束而消失。为最大限度减少扬尘污染，本环评要求建设单位采取有效措施，降低扬尘污染。</w:t>
      </w:r>
    </w:p>
    <w:p>
      <w:pPr>
        <w:pStyle w:val="13"/>
        <w:pageBreakBefore w:val="0"/>
        <w:widowControl w:val="0"/>
        <w:kinsoku/>
        <w:wordWrap/>
        <w:overflowPunct/>
        <w:topLinePunct w:val="0"/>
        <w:bidi w:val="0"/>
        <w:adjustRightInd w:val="0"/>
        <w:snapToGrid w:val="0"/>
        <w:spacing w:before="0" w:beforeLines="0" w:after="0" w:afterLines="0" w:line="360" w:lineRule="auto"/>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由于管线施工的特点，施工面呈细、长的特性，故</w:t>
      </w:r>
      <w:r>
        <w:rPr>
          <w:rFonts w:hint="default" w:ascii="Times New Roman" w:hAnsi="Times New Roman" w:eastAsia="宋体" w:cs="Times New Roman"/>
          <w:color w:val="auto"/>
          <w:sz w:val="24"/>
          <w:szCs w:val="24"/>
          <w:highlight w:val="none"/>
        </w:rPr>
        <w:t>施工方式采用分段围档作业，施工场地内的运输道路及时清理、定时洒水，防治风力起尘，降低二次扬尘对环境的污染。结合当地气候条件，合理安排挖方，填方及运输等工序，遇4级以上大风日停止管线开挖。施工场地严格设置临时建材、土方堆放场所，杜绝随意堆放。施工弃土应及时清运，运输车辆应覆盖蓬布，严禁沿路抛洒砂土，车辆进入施工场地时应低速行驶或限速行驶，减少扬尘产生。</w:t>
      </w:r>
    </w:p>
    <w:p>
      <w:pPr>
        <w:pStyle w:val="4"/>
        <w:pageBreakBefore w:val="0"/>
        <w:widowControl w:val="0"/>
        <w:kinsoku/>
        <w:wordWrap/>
        <w:overflowPunct/>
        <w:topLinePunct w:val="0"/>
        <w:autoSpaceDE/>
        <w:autoSpaceDN/>
        <w:bidi w:val="0"/>
        <w:adjustRightInd w:val="0"/>
        <w:snapToGrid w:val="0"/>
        <w:spacing w:before="0" w:after="0" w:line="360" w:lineRule="auto"/>
        <w:textAlignment w:val="auto"/>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6</w:t>
      </w:r>
      <w:r>
        <w:rPr>
          <w:rFonts w:hint="default" w:ascii="Times New Roman" w:hAnsi="Times New Roman" w:eastAsia="宋体" w:cs="Times New Roman"/>
          <w:b/>
          <w:bCs/>
          <w:color w:val="auto"/>
          <w:highlight w:val="none"/>
          <w:lang w:val="en-US" w:eastAsia="zh-CN"/>
        </w:rPr>
        <w:t>.</w:t>
      </w:r>
      <w:r>
        <w:rPr>
          <w:rFonts w:hint="eastAsia" w:ascii="Times New Roman" w:hAnsi="Times New Roman" w:eastAsia="宋体" w:cs="Times New Roman"/>
          <w:b/>
          <w:bCs/>
          <w:color w:val="auto"/>
          <w:highlight w:val="none"/>
          <w:lang w:val="en-US" w:eastAsia="zh-CN"/>
        </w:rPr>
        <w:t>1.2</w:t>
      </w:r>
      <w:r>
        <w:rPr>
          <w:rFonts w:hint="default" w:ascii="Times New Roman" w:hAnsi="Times New Roman" w:eastAsia="宋体" w:cs="Times New Roman"/>
          <w:b/>
          <w:bCs/>
          <w:color w:val="auto"/>
          <w:highlight w:val="none"/>
          <w:lang w:val="en-US" w:eastAsia="zh-CN"/>
        </w:rPr>
        <w:t>施工期水环境影响</w:t>
      </w:r>
      <w:bookmarkEnd w:id="7"/>
      <w:bookmarkEnd w:id="8"/>
      <w:bookmarkEnd w:id="9"/>
      <w:bookmarkEnd w:id="10"/>
      <w:bookmarkEnd w:id="11"/>
      <w:bookmarkEnd w:id="12"/>
      <w:bookmarkEnd w:id="13"/>
      <w:bookmarkEnd w:id="14"/>
      <w:r>
        <w:rPr>
          <w:rFonts w:hint="default" w:ascii="Times New Roman" w:hAnsi="Times New Roman" w:eastAsia="宋体" w:cs="Times New Roman"/>
          <w:b/>
          <w:bCs/>
          <w:color w:val="auto"/>
          <w:highlight w:val="none"/>
          <w:lang w:val="en-US" w:eastAsia="zh-CN"/>
        </w:rPr>
        <w:t>分析</w:t>
      </w:r>
      <w:bookmarkEnd w:id="15"/>
      <w:bookmarkEnd w:id="16"/>
      <w:bookmarkEnd w:id="17"/>
      <w:bookmarkStart w:id="18" w:name="_Toc181686441"/>
      <w:bookmarkStart w:id="19" w:name="_Toc176876593"/>
      <w:bookmarkStart w:id="20" w:name="_Toc215548898"/>
      <w:bookmarkStart w:id="21" w:name="_Toc180808272"/>
      <w:bookmarkStart w:id="22" w:name="_Toc484674143"/>
      <w:bookmarkStart w:id="23" w:name="_Toc250734485"/>
      <w:bookmarkStart w:id="24" w:name="_Toc181015459"/>
      <w:bookmarkStart w:id="25" w:name="_Toc233346625"/>
      <w:bookmarkStart w:id="26" w:name="_Toc369267836"/>
      <w:bookmarkStart w:id="27" w:name="_Toc182638476"/>
      <w:bookmarkStart w:id="28" w:name="_Toc329428836"/>
    </w:p>
    <w:p>
      <w:pPr>
        <w:pStyle w:val="5"/>
        <w:pageBreakBefore w:val="0"/>
        <w:widowControl w:val="0"/>
        <w:kinsoku/>
        <w:wordWrap/>
        <w:overflowPunct/>
        <w:topLinePunct w:val="0"/>
        <w:autoSpaceDE/>
        <w:autoSpaceDN/>
        <w:bidi w:val="0"/>
        <w:adjustRightInd w:val="0"/>
        <w:snapToGrid w:val="0"/>
        <w:spacing w:before="0" w:after="0" w:line="360" w:lineRule="auto"/>
        <w:ind w:left="0" w:leftChars="0" w:firstLine="0" w:firstLineChars="0"/>
        <w:textAlignment w:val="auto"/>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6</w:t>
      </w:r>
      <w:r>
        <w:rPr>
          <w:rFonts w:hint="eastAsia" w:ascii="Times New Roman" w:hAnsi="Times New Roman" w:eastAsia="宋体" w:cs="Times New Roman"/>
          <w:b/>
          <w:bCs/>
          <w:color w:val="auto"/>
          <w:highlight w:val="none"/>
          <w:lang w:val="en-US" w:eastAsia="zh-CN"/>
        </w:rPr>
        <w:t>.1.2.1</w:t>
      </w:r>
      <w:r>
        <w:rPr>
          <w:rFonts w:hint="eastAsia" w:ascii="宋体" w:hAnsi="宋体" w:eastAsia="宋体" w:cs="宋体"/>
          <w:color w:val="auto"/>
          <w:highlight w:val="none"/>
          <w:lang w:val="en-US" w:eastAsia="zh-CN"/>
        </w:rPr>
        <w:t>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w:t>
      </w:r>
      <w:r>
        <w:rPr>
          <w:rFonts w:hint="default" w:ascii="Times New Roman" w:hAnsi="Times New Roman" w:cs="Times New Roman"/>
          <w:color w:val="auto"/>
          <w:highlight w:val="none"/>
          <w:lang w:val="en-US" w:eastAsia="zh-CN"/>
        </w:rPr>
        <w:t>及</w:t>
      </w:r>
      <w:r>
        <w:rPr>
          <w:rFonts w:hint="eastAsia" w:ascii="Times New Roman" w:hAnsi="Times New Roman" w:eastAsia="宋体" w:cs="Times New Roman"/>
          <w:color w:val="auto"/>
          <w:highlight w:val="none"/>
          <w:lang w:val="en-US" w:eastAsia="zh-CN"/>
        </w:rPr>
        <w:t>新建供热管网</w:t>
      </w:r>
      <w:r>
        <w:rPr>
          <w:rFonts w:hint="eastAsia" w:cs="Times New Roman"/>
          <w:color w:val="auto"/>
          <w:highlight w:val="none"/>
          <w:lang w:val="en-US" w:eastAsia="zh-CN"/>
        </w:rPr>
        <w:t>工程</w:t>
      </w:r>
      <w:r>
        <w:rPr>
          <w:rFonts w:hint="default" w:ascii="Times New Roman" w:hAnsi="Times New Roman" w:eastAsia="宋体" w:cs="Times New Roman"/>
          <w:b/>
          <w:bCs/>
          <w:color w:val="auto"/>
          <w:highlight w:val="none"/>
          <w:lang w:val="en-US" w:eastAsia="zh-CN"/>
        </w:rPr>
        <w:t>施工期水环境影响分析</w:t>
      </w:r>
    </w:p>
    <w:p>
      <w:pPr>
        <w:pStyle w:val="13"/>
        <w:pageBreakBefore w:val="0"/>
        <w:widowControl w:val="0"/>
        <w:kinsoku/>
        <w:wordWrap/>
        <w:overflowPunct/>
        <w:topLinePunct w:val="0"/>
        <w:bidi w:val="0"/>
        <w:adjustRightInd w:val="0"/>
        <w:snapToGrid w:val="0"/>
        <w:spacing w:before="0" w:beforeLines="0" w:after="0" w:afterLines="0" w:line="360" w:lineRule="auto"/>
        <w:ind w:firstLine="480" w:firstLineChars="200"/>
        <w:rPr>
          <w:rFonts w:hint="default" w:ascii="Times New Roman" w:hAnsi="Times New Roman" w:cs="Times New Roman"/>
          <w:color w:val="auto"/>
          <w:highlight w:val="none"/>
          <w:lang w:eastAsia="zh-CN"/>
        </w:rPr>
      </w:pPr>
      <w:r>
        <w:rPr>
          <w:rFonts w:hint="eastAsia" w:ascii="宋体" w:hAnsi="宋体" w:eastAsia="宋体" w:cs="宋体"/>
          <w:color w:val="auto"/>
          <w:highlight w:val="none"/>
          <w:lang w:val="en-US" w:eastAsia="zh-CN"/>
        </w:rPr>
        <w:t>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w:t>
      </w:r>
      <w:r>
        <w:rPr>
          <w:rFonts w:hint="default" w:ascii="Times New Roman" w:hAnsi="Times New Roman" w:cs="Times New Roman"/>
          <w:color w:val="auto"/>
          <w:highlight w:val="none"/>
          <w:lang w:val="en-US" w:eastAsia="zh-CN"/>
        </w:rPr>
        <w:t>及</w:t>
      </w:r>
      <w:r>
        <w:rPr>
          <w:rFonts w:hint="eastAsia" w:ascii="Times New Roman" w:hAnsi="Times New Roman" w:eastAsia="宋体" w:cs="Times New Roman"/>
          <w:color w:val="auto"/>
          <w:highlight w:val="none"/>
          <w:lang w:val="en-US" w:eastAsia="zh-CN"/>
        </w:rPr>
        <w:t>新建供热管网</w:t>
      </w:r>
      <w:r>
        <w:rPr>
          <w:rFonts w:hint="eastAsia" w:cs="Times New Roman"/>
          <w:color w:val="auto"/>
          <w:highlight w:val="none"/>
          <w:lang w:val="en-US" w:eastAsia="zh-CN"/>
        </w:rPr>
        <w:t>工程</w:t>
      </w:r>
      <w:r>
        <w:rPr>
          <w:rFonts w:hint="default" w:ascii="Times New Roman" w:hAnsi="Times New Roman" w:cs="Times New Roman"/>
          <w:color w:val="auto"/>
          <w:highlight w:val="none"/>
        </w:rPr>
        <w:t>施工期废水主要为施工生产废水和施工人员的生活污水。施工生产废水包括砂石冲洗水、养护水、场地冲洗水以及机械设备清洗水等，这部分废水主要污染物为SS。工程施工期间，施工单位应严格执行《建筑工程施工场地文明施工及环境暂行规定》，对施工废水的排放进行组织设计，严禁乱排、乱流，污染道路和环境。施工时产生的生产废水设置临时沉砂池，经沉砂池沉淀处理后循环使用</w:t>
      </w:r>
      <w:r>
        <w:rPr>
          <w:rFonts w:hint="default" w:ascii="Times New Roman" w:hAnsi="Times New Roman" w:cs="Times New Roman"/>
          <w:color w:val="auto"/>
          <w:highlight w:val="none"/>
          <w:lang w:eastAsia="zh-CN"/>
        </w:rPr>
        <w:t>。</w:t>
      </w:r>
    </w:p>
    <w:p>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color w:val="auto"/>
          <w:spacing w:val="-3"/>
          <w:sz w:val="24"/>
          <w:szCs w:val="24"/>
        </w:rPr>
      </w:pPr>
      <w:r>
        <w:rPr>
          <w:rFonts w:hint="default" w:ascii="Times New Roman" w:hAnsi="Times New Roman" w:eastAsia="宋体" w:cs="Times New Roman"/>
          <w:color w:val="auto"/>
          <w:spacing w:val="-3"/>
          <w:sz w:val="24"/>
          <w:szCs w:val="24"/>
        </w:rPr>
        <w:t>施工期生活污水</w:t>
      </w:r>
      <w:r>
        <w:rPr>
          <w:rFonts w:hint="eastAsia" w:ascii="Times New Roman" w:hAnsi="Times New Roman" w:eastAsia="宋体" w:cs="Times New Roman"/>
          <w:color w:val="auto"/>
          <w:spacing w:val="-3"/>
          <w:sz w:val="24"/>
          <w:szCs w:val="24"/>
          <w:lang w:val="en-US" w:eastAsia="zh-CN"/>
        </w:rPr>
        <w:t>依托现有项目污水系统，生活污水</w:t>
      </w:r>
      <w:r>
        <w:rPr>
          <w:rFonts w:hint="default" w:ascii="Times New Roman" w:hAnsi="Times New Roman" w:eastAsia="宋体" w:cs="Times New Roman"/>
          <w:color w:val="auto"/>
          <w:spacing w:val="-3"/>
          <w:sz w:val="24"/>
          <w:szCs w:val="24"/>
        </w:rPr>
        <w:t>排入</w:t>
      </w:r>
      <w:r>
        <w:rPr>
          <w:rFonts w:hint="eastAsia" w:ascii="Times New Roman" w:hAnsi="Times New Roman" w:eastAsia="宋体" w:cs="Times New Roman"/>
          <w:color w:val="auto"/>
          <w:spacing w:val="-3"/>
          <w:sz w:val="24"/>
          <w:szCs w:val="24"/>
          <w:lang w:val="en-US" w:eastAsia="zh-CN"/>
        </w:rPr>
        <w:t>托里县市政下水</w:t>
      </w:r>
      <w:r>
        <w:rPr>
          <w:rFonts w:hint="default" w:ascii="Times New Roman" w:hAnsi="Times New Roman" w:eastAsia="宋体" w:cs="Times New Roman"/>
          <w:color w:val="auto"/>
          <w:spacing w:val="-3"/>
          <w:sz w:val="24"/>
          <w:szCs w:val="24"/>
        </w:rPr>
        <w:t>管网</w:t>
      </w:r>
      <w:r>
        <w:rPr>
          <w:rFonts w:hint="eastAsia" w:ascii="Times New Roman" w:hAnsi="Times New Roman" w:eastAsia="宋体" w:cs="Times New Roman"/>
          <w:color w:val="auto"/>
          <w:spacing w:val="-3"/>
          <w:sz w:val="24"/>
          <w:szCs w:val="24"/>
          <w:lang w:eastAsia="zh-CN"/>
        </w:rPr>
        <w:t>，</w:t>
      </w:r>
      <w:r>
        <w:rPr>
          <w:rFonts w:hint="eastAsia" w:ascii="Times New Roman" w:hAnsi="Times New Roman" w:eastAsia="宋体" w:cs="Times New Roman"/>
          <w:color w:val="auto"/>
          <w:spacing w:val="-3"/>
          <w:sz w:val="24"/>
          <w:szCs w:val="24"/>
          <w:lang w:val="en-US" w:eastAsia="zh-CN"/>
        </w:rPr>
        <w:t>最终排入托里县污水处理厂</w:t>
      </w:r>
      <w:r>
        <w:rPr>
          <w:rFonts w:hint="default" w:ascii="Times New Roman" w:hAnsi="Times New Roman" w:eastAsia="宋体" w:cs="Times New Roman"/>
          <w:color w:val="auto"/>
          <w:spacing w:val="-3"/>
          <w:sz w:val="24"/>
          <w:szCs w:val="24"/>
        </w:rPr>
        <w:t>。采取上述措施后，项目施工期对水环境影响甚微。</w:t>
      </w:r>
    </w:p>
    <w:p>
      <w:pPr>
        <w:pStyle w:val="5"/>
        <w:pageBreakBefore w:val="0"/>
        <w:widowControl w:val="0"/>
        <w:kinsoku/>
        <w:wordWrap/>
        <w:overflowPunct/>
        <w:topLinePunct w:val="0"/>
        <w:autoSpaceDE/>
        <w:autoSpaceDN/>
        <w:bidi w:val="0"/>
        <w:adjustRightInd w:val="0"/>
        <w:snapToGrid w:val="0"/>
        <w:spacing w:before="0" w:after="0" w:line="360" w:lineRule="auto"/>
        <w:ind w:left="0" w:leftChars="0" w:firstLine="0" w:firstLineChars="0"/>
        <w:textAlignment w:val="auto"/>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6</w:t>
      </w:r>
      <w:r>
        <w:rPr>
          <w:rFonts w:hint="eastAsia" w:ascii="Times New Roman" w:hAnsi="Times New Roman" w:eastAsia="宋体" w:cs="Times New Roman"/>
          <w:b/>
          <w:bCs/>
          <w:color w:val="auto"/>
          <w:highlight w:val="none"/>
          <w:lang w:val="en-US" w:eastAsia="zh-CN"/>
        </w:rPr>
        <w:t>.1.2.2</w:t>
      </w:r>
      <w:r>
        <w:rPr>
          <w:rFonts w:hint="eastAsia" w:ascii="宋体" w:hAnsi="宋体" w:eastAsia="宋体" w:cs="宋体"/>
          <w:color w:val="auto"/>
          <w:highlight w:val="none"/>
          <w:lang w:val="en-US" w:eastAsia="zh-CN"/>
        </w:rPr>
        <w:t>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w:t>
      </w:r>
      <w:r>
        <w:rPr>
          <w:rFonts w:hint="default" w:ascii="Times New Roman" w:hAnsi="Times New Roman" w:cs="Times New Roman"/>
          <w:color w:val="auto"/>
          <w:highlight w:val="none"/>
          <w:lang w:val="en-US" w:eastAsia="zh-CN"/>
        </w:rPr>
        <w:t>及</w:t>
      </w:r>
      <w:r>
        <w:rPr>
          <w:rFonts w:hint="eastAsia" w:ascii="Times New Roman" w:hAnsi="Times New Roman" w:eastAsia="宋体" w:cs="Times New Roman"/>
          <w:color w:val="auto"/>
          <w:highlight w:val="none"/>
          <w:lang w:val="en-US" w:eastAsia="zh-CN"/>
        </w:rPr>
        <w:t>新建供热管网</w:t>
      </w:r>
      <w:r>
        <w:rPr>
          <w:rFonts w:hint="eastAsia" w:cs="Times New Roman"/>
          <w:color w:val="auto"/>
          <w:highlight w:val="none"/>
          <w:lang w:val="en-US" w:eastAsia="zh-CN"/>
        </w:rPr>
        <w:t>工程</w:t>
      </w:r>
      <w:r>
        <w:rPr>
          <w:rFonts w:hint="default" w:ascii="Times New Roman" w:hAnsi="Times New Roman" w:eastAsia="宋体" w:cs="Times New Roman"/>
          <w:b/>
          <w:bCs/>
          <w:color w:val="auto"/>
          <w:highlight w:val="none"/>
          <w:lang w:val="en-US" w:eastAsia="zh-CN"/>
        </w:rPr>
        <w:t>施工期水环境影响分析</w:t>
      </w:r>
    </w:p>
    <w:p>
      <w:pPr>
        <w:pStyle w:val="13"/>
        <w:pageBreakBefore w:val="0"/>
        <w:widowControl w:val="0"/>
        <w:kinsoku/>
        <w:wordWrap/>
        <w:overflowPunct/>
        <w:topLinePunct w:val="0"/>
        <w:bidi w:val="0"/>
        <w:adjustRightInd w:val="0"/>
        <w:snapToGrid w:val="0"/>
        <w:spacing w:before="0" w:beforeLines="0" w:after="0" w:afterLines="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本项目管线开挖和回填过程不产生废水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施工期生产废水主要为</w:t>
      </w:r>
      <w:r>
        <w:rPr>
          <w:rFonts w:hint="default" w:ascii="Times New Roman" w:hAnsi="Times New Roman" w:cs="Times New Roman"/>
          <w:color w:val="auto"/>
          <w:highlight w:val="none"/>
        </w:rPr>
        <w:t>管道铺设后</w:t>
      </w:r>
      <w:r>
        <w:rPr>
          <w:rFonts w:hint="default" w:ascii="Times New Roman" w:hAnsi="Times New Roman" w:cs="Times New Roman"/>
          <w:color w:val="auto"/>
          <w:highlight w:val="none"/>
          <w:lang w:val="en-US" w:eastAsia="zh-CN"/>
        </w:rPr>
        <w:t>清管、试压废水</w:t>
      </w:r>
      <w:r>
        <w:rPr>
          <w:rFonts w:hint="default" w:ascii="Times New Roman" w:hAnsi="Times New Roman" w:cs="Times New Roman"/>
          <w:color w:val="auto"/>
          <w:highlight w:val="none"/>
        </w:rPr>
        <w:t>。本项目所用管道均为新出厂管道，试压废水在密闭管道中使用，基本没有</w:t>
      </w:r>
      <w:r>
        <w:rPr>
          <w:rFonts w:hint="default" w:ascii="Times New Roman" w:hAnsi="Times New Roman" w:cs="Times New Roman"/>
          <w:color w:val="auto"/>
          <w:highlight w:val="none"/>
          <w:lang w:val="en-US" w:eastAsia="zh-CN"/>
        </w:rPr>
        <w:t>受</w:t>
      </w:r>
      <w:r>
        <w:rPr>
          <w:rFonts w:hint="default" w:ascii="Times New Roman" w:hAnsi="Times New Roman" w:cs="Times New Roman"/>
          <w:color w:val="auto"/>
          <w:highlight w:val="none"/>
        </w:rPr>
        <w:t>到污染。清管、试压后排放废水中的污染物主要是悬浮物，浓度一般为180~450mg/L，经沉淀后回用于施工区域的洒水降尘。</w:t>
      </w:r>
    </w:p>
    <w:p>
      <w:pPr>
        <w:pStyle w:val="13"/>
        <w:pageBreakBefore w:val="0"/>
        <w:widowControl w:val="0"/>
        <w:kinsoku/>
        <w:wordWrap/>
        <w:overflowPunct/>
        <w:topLinePunct w:val="0"/>
        <w:bidi w:val="0"/>
        <w:adjustRightInd w:val="0"/>
        <w:snapToGrid w:val="0"/>
        <w:spacing w:before="0" w:beforeLines="0" w:after="0" w:afterLines="0" w:line="360" w:lineRule="auto"/>
        <w:ind w:firstLine="480" w:firstLineChars="20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综上，</w:t>
      </w: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施工期生产废水和生活污水不外排，不会对地表水体和地下水产生影响，并随着施工期的完成而消除。</w:t>
      </w:r>
    </w:p>
    <w:p>
      <w:pPr>
        <w:pStyle w:val="4"/>
        <w:pageBreakBefore w:val="0"/>
        <w:widowControl w:val="0"/>
        <w:kinsoku/>
        <w:wordWrap/>
        <w:overflowPunct/>
        <w:topLinePunct w:val="0"/>
        <w:autoSpaceDE/>
        <w:autoSpaceDN/>
        <w:bidi w:val="0"/>
        <w:adjustRightInd w:val="0"/>
        <w:snapToGrid w:val="0"/>
        <w:spacing w:before="0" w:after="0" w:line="360" w:lineRule="auto"/>
        <w:textAlignment w:val="auto"/>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6</w:t>
      </w:r>
      <w:r>
        <w:rPr>
          <w:rFonts w:hint="default" w:ascii="Times New Roman" w:hAnsi="Times New Roman" w:eastAsia="宋体" w:cs="Times New Roman"/>
          <w:b/>
          <w:bCs/>
          <w:color w:val="auto"/>
          <w:highlight w:val="none"/>
          <w:lang w:val="en-US" w:eastAsia="zh-CN"/>
        </w:rPr>
        <w:t>.</w:t>
      </w:r>
      <w:r>
        <w:rPr>
          <w:rFonts w:hint="eastAsia" w:ascii="Times New Roman" w:hAnsi="Times New Roman" w:eastAsia="宋体" w:cs="Times New Roman"/>
          <w:b/>
          <w:bCs/>
          <w:color w:val="auto"/>
          <w:highlight w:val="none"/>
          <w:lang w:val="en-US" w:eastAsia="zh-CN"/>
        </w:rPr>
        <w:t>1.</w:t>
      </w:r>
      <w:r>
        <w:rPr>
          <w:rFonts w:hint="default" w:ascii="Times New Roman" w:hAnsi="Times New Roman" w:eastAsia="宋体" w:cs="Times New Roman"/>
          <w:b/>
          <w:bCs/>
          <w:color w:val="auto"/>
          <w:highlight w:val="none"/>
          <w:lang w:val="en-US" w:eastAsia="zh-CN"/>
        </w:rPr>
        <w:t>3施工期声环境影响分析</w:t>
      </w:r>
      <w:bookmarkEnd w:id="18"/>
      <w:bookmarkEnd w:id="19"/>
      <w:bookmarkEnd w:id="20"/>
      <w:bookmarkEnd w:id="21"/>
      <w:bookmarkEnd w:id="22"/>
      <w:bookmarkEnd w:id="23"/>
      <w:bookmarkEnd w:id="24"/>
      <w:bookmarkEnd w:id="25"/>
      <w:bookmarkEnd w:id="26"/>
      <w:bookmarkEnd w:id="27"/>
      <w:bookmarkEnd w:id="28"/>
    </w:p>
    <w:p>
      <w:pPr>
        <w:pStyle w:val="5"/>
        <w:pageBreakBefore w:val="0"/>
        <w:widowControl w:val="0"/>
        <w:kinsoku/>
        <w:wordWrap/>
        <w:overflowPunct/>
        <w:topLinePunct w:val="0"/>
        <w:autoSpaceDE/>
        <w:autoSpaceDN/>
        <w:bidi w:val="0"/>
        <w:adjustRightInd w:val="0"/>
        <w:snapToGrid w:val="0"/>
        <w:spacing w:before="0" w:after="0" w:line="360" w:lineRule="auto"/>
        <w:ind w:left="0" w:leftChars="0" w:firstLine="0" w:firstLineChars="0"/>
        <w:textAlignment w:val="auto"/>
        <w:rPr>
          <w:rFonts w:hint="default" w:ascii="Times New Roman" w:hAnsi="Times New Roman" w:eastAsia="宋体" w:cs="Times New Roman"/>
          <w:b/>
          <w:bCs/>
          <w:color w:val="auto"/>
          <w:highlight w:val="none"/>
          <w:lang w:val="en-US" w:eastAsia="zh-CN"/>
        </w:rPr>
      </w:pPr>
      <w:bookmarkStart w:id="29" w:name="_Toc182638478"/>
      <w:bookmarkStart w:id="30" w:name="_Toc233346627"/>
      <w:bookmarkStart w:id="31" w:name="_Toc181686443"/>
      <w:bookmarkStart w:id="32" w:name="_Toc250734487"/>
      <w:bookmarkStart w:id="33" w:name="_Toc181015461"/>
      <w:bookmarkStart w:id="34" w:name="_Toc215548900"/>
      <w:bookmarkStart w:id="35" w:name="_Toc329428837"/>
      <w:bookmarkStart w:id="36" w:name="_Toc180808274"/>
      <w:bookmarkStart w:id="37" w:name="_Toc369267837"/>
      <w:bookmarkStart w:id="38" w:name="_Toc484674144"/>
      <w:r>
        <w:rPr>
          <w:rFonts w:hint="eastAsia" w:cs="Times New Roman"/>
          <w:b/>
          <w:bCs/>
          <w:color w:val="auto"/>
          <w:highlight w:val="none"/>
          <w:lang w:val="en-US" w:eastAsia="zh-CN"/>
        </w:rPr>
        <w:t>6</w:t>
      </w:r>
      <w:r>
        <w:rPr>
          <w:rFonts w:hint="eastAsia" w:ascii="Times New Roman" w:hAnsi="Times New Roman" w:eastAsia="宋体" w:cs="Times New Roman"/>
          <w:b/>
          <w:bCs/>
          <w:color w:val="auto"/>
          <w:highlight w:val="none"/>
          <w:lang w:val="en-US" w:eastAsia="zh-CN"/>
        </w:rPr>
        <w:t>.1.3.1</w:t>
      </w:r>
      <w:r>
        <w:rPr>
          <w:rFonts w:hint="eastAsia" w:ascii="宋体" w:hAnsi="宋体" w:eastAsia="宋体" w:cs="宋体"/>
          <w:color w:val="auto"/>
          <w:highlight w:val="none"/>
          <w:lang w:val="en-US" w:eastAsia="zh-CN"/>
        </w:rPr>
        <w:t>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w:t>
      </w:r>
      <w:r>
        <w:rPr>
          <w:rFonts w:hint="default" w:ascii="Times New Roman" w:hAnsi="Times New Roman" w:eastAsia="宋体" w:cs="Times New Roman"/>
          <w:b/>
          <w:bCs/>
          <w:color w:val="auto"/>
          <w:highlight w:val="none"/>
          <w:lang w:val="en-US" w:eastAsia="zh-CN"/>
        </w:rPr>
        <w:t>施工期声环境影响分析</w:t>
      </w:r>
    </w:p>
    <w:p>
      <w:pPr>
        <w:pStyle w:val="13"/>
        <w:pageBreakBefore w:val="0"/>
        <w:widowControl w:val="0"/>
        <w:kinsoku/>
        <w:wordWrap/>
        <w:overflowPunct/>
        <w:topLinePunct w:val="0"/>
        <w:bidi w:val="0"/>
        <w:adjustRightInd w:val="0"/>
        <w:snapToGrid w:val="0"/>
        <w:spacing w:before="0" w:beforeLines="0" w:after="0" w:afterLines="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（1）施工噪声源</w:t>
      </w:r>
    </w:p>
    <w:p>
      <w:pPr>
        <w:pStyle w:val="13"/>
        <w:pageBreakBefore w:val="0"/>
        <w:widowControl w:val="0"/>
        <w:kinsoku/>
        <w:wordWrap/>
        <w:overflowPunct/>
        <w:topLinePunct w:val="0"/>
        <w:bidi w:val="0"/>
        <w:adjustRightInd w:val="0"/>
        <w:snapToGrid w:val="0"/>
        <w:spacing w:before="0" w:beforeLines="0" w:after="0" w:afterLines="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项目施工期间，不同施工阶段使用不同的施工机械设备，因而产生不同施工阶段噪声。根据项目的施工特点，主要产噪施工机械有挖掘机、推土机和</w:t>
      </w:r>
      <w:r>
        <w:rPr>
          <w:rFonts w:hint="default" w:ascii="Times New Roman" w:hAnsi="Times New Roman" w:cs="Times New Roman"/>
          <w:color w:val="auto"/>
          <w:highlight w:val="none"/>
          <w:lang w:val="en-US" w:eastAsia="zh-CN"/>
        </w:rPr>
        <w:t>装载</w:t>
      </w:r>
      <w:r>
        <w:rPr>
          <w:rFonts w:hint="default" w:ascii="Times New Roman" w:hAnsi="Times New Roman" w:cs="Times New Roman"/>
          <w:color w:val="auto"/>
          <w:highlight w:val="none"/>
        </w:rPr>
        <w:t>机等，大多属于高噪声设备。</w:t>
      </w:r>
    </w:p>
    <w:p>
      <w:pPr>
        <w:pStyle w:val="13"/>
        <w:pageBreakBefore w:val="0"/>
        <w:widowControl w:val="0"/>
        <w:kinsoku/>
        <w:wordWrap/>
        <w:overflowPunct/>
        <w:topLinePunct w:val="0"/>
        <w:bidi w:val="0"/>
        <w:adjustRightInd w:val="0"/>
        <w:snapToGrid w:val="0"/>
        <w:spacing w:before="0" w:beforeLines="0" w:after="0" w:afterLines="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（2）执行标准</w:t>
      </w:r>
    </w:p>
    <w:p>
      <w:pPr>
        <w:pStyle w:val="13"/>
        <w:pageBreakBefore w:val="0"/>
        <w:widowControl w:val="0"/>
        <w:kinsoku/>
        <w:wordWrap/>
        <w:overflowPunct/>
        <w:topLinePunct w:val="0"/>
        <w:bidi w:val="0"/>
        <w:adjustRightInd w:val="0"/>
        <w:snapToGrid w:val="0"/>
        <w:spacing w:before="0" w:beforeLines="0" w:after="0" w:afterLines="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根据《中华人民共和国环境噪声污染防治条例》等有关规定，为控制施工噪声对环境影响，施工期间场界噪声限值要求执行《建筑施工场界环境噪声排放标准》（GB12523-2011）要求。</w:t>
      </w:r>
    </w:p>
    <w:p>
      <w:pPr>
        <w:pStyle w:val="13"/>
        <w:pageBreakBefore w:val="0"/>
        <w:widowControl w:val="0"/>
        <w:kinsoku/>
        <w:wordWrap/>
        <w:overflowPunct/>
        <w:topLinePunct w:val="0"/>
        <w:bidi w:val="0"/>
        <w:adjustRightInd w:val="0"/>
        <w:snapToGrid w:val="0"/>
        <w:spacing w:before="0" w:beforeLines="0" w:after="0" w:afterLines="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（3）施工噪声影响分析</w:t>
      </w:r>
    </w:p>
    <w:p>
      <w:pPr>
        <w:pStyle w:val="13"/>
        <w:pageBreakBefore w:val="0"/>
        <w:widowControl w:val="0"/>
        <w:kinsoku/>
        <w:wordWrap/>
        <w:overflowPunct/>
        <w:topLinePunct w:val="0"/>
        <w:bidi w:val="0"/>
        <w:adjustRightInd w:val="0"/>
        <w:snapToGrid w:val="0"/>
        <w:spacing w:before="0" w:beforeLines="0" w:after="0" w:afterLines="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施工期一般为露天作业，而且场地内设备多数属于移动声源，要准确预测施工场地各场界噪声值较困难，因此本评价只预测各噪声源单独作用时超标范围，结果见表</w:t>
      </w:r>
      <w:r>
        <w:rPr>
          <w:rFonts w:hint="eastAsia" w:cs="Times New Roman"/>
          <w:color w:val="auto"/>
          <w:highlight w:val="none"/>
          <w:lang w:val="en-US" w:eastAsia="zh-CN"/>
        </w:rPr>
        <w:t>6</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1</w:t>
      </w:r>
      <w:r>
        <w:rPr>
          <w:rFonts w:hint="eastAsia" w:cs="Times New Roman"/>
          <w:color w:val="auto"/>
          <w:highlight w:val="none"/>
          <w:lang w:val="en-US" w:eastAsia="zh-CN"/>
        </w:rPr>
        <w:t>.3-1</w:t>
      </w:r>
      <w:r>
        <w:rPr>
          <w:rFonts w:hint="default" w:ascii="Times New Roman" w:hAnsi="Times New Roman" w:cs="Times New Roman"/>
          <w:color w:val="auto"/>
          <w:highlight w:val="none"/>
        </w:rPr>
        <w:t>。</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val="en-US" w:eastAsia="zh-CN" w:bidi="ar-SA"/>
        </w:rPr>
        <w:t>表</w:t>
      </w:r>
      <w:r>
        <w:rPr>
          <w:rFonts w:hint="eastAsia" w:cs="Times New Roman"/>
          <w:b/>
          <w:color w:val="auto"/>
          <w:kern w:val="0"/>
          <w:sz w:val="21"/>
          <w:szCs w:val="21"/>
          <w:highlight w:val="none"/>
          <w:lang w:val="en-US" w:eastAsia="zh-CN" w:bidi="ar-SA"/>
        </w:rPr>
        <w:t>6</w:t>
      </w:r>
      <w:r>
        <w:rPr>
          <w:rFonts w:hint="eastAsia" w:ascii="Times New Roman" w:hAnsi="Times New Roman" w:eastAsia="宋体" w:cs="Times New Roman"/>
          <w:b/>
          <w:color w:val="auto"/>
          <w:kern w:val="0"/>
          <w:sz w:val="21"/>
          <w:szCs w:val="21"/>
          <w:highlight w:val="none"/>
          <w:lang w:val="en-US" w:eastAsia="zh-CN" w:bidi="ar-SA"/>
        </w:rPr>
        <w:t>.1</w:t>
      </w:r>
      <w:r>
        <w:rPr>
          <w:rFonts w:hint="eastAsia" w:cs="Times New Roman"/>
          <w:b/>
          <w:color w:val="auto"/>
          <w:kern w:val="0"/>
          <w:sz w:val="21"/>
          <w:szCs w:val="21"/>
          <w:highlight w:val="none"/>
          <w:lang w:val="en-US" w:eastAsia="zh-CN" w:bidi="ar-SA"/>
        </w:rPr>
        <w:t>.3-1</w:t>
      </w:r>
      <w:r>
        <w:rPr>
          <w:rFonts w:hint="default" w:ascii="Times New Roman" w:hAnsi="Times New Roman" w:eastAsia="宋体" w:cs="Times New Roman"/>
          <w:b/>
          <w:color w:val="auto"/>
          <w:kern w:val="0"/>
          <w:sz w:val="21"/>
          <w:szCs w:val="21"/>
          <w:highlight w:val="none"/>
          <w:lang w:val="en-US" w:eastAsia="zh-CN" w:bidi="ar-SA"/>
        </w:rPr>
        <w:t xml:space="preserve">   施工机械环境噪声源及噪声影响预测结果表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8"/>
        <w:gridCol w:w="1520"/>
        <w:gridCol w:w="1494"/>
        <w:gridCol w:w="1087"/>
        <w:gridCol w:w="1236"/>
        <w:gridCol w:w="813"/>
        <w:gridCol w:w="10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设备名称</w:t>
            </w:r>
          </w:p>
        </w:tc>
        <w:tc>
          <w:tcPr>
            <w:tcW w:w="139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both"/>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声级dB（A）</w:t>
            </w:r>
          </w:p>
        </w:tc>
        <w:tc>
          <w:tcPr>
            <w:tcW w:w="137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距声源</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距离（m）</w:t>
            </w:r>
          </w:p>
        </w:tc>
        <w:tc>
          <w:tcPr>
            <w:tcW w:w="2133"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评价标准dB（A）</w:t>
            </w:r>
          </w:p>
        </w:tc>
        <w:tc>
          <w:tcPr>
            <w:tcW w:w="1734"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最大超标范围（m）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b/>
                <w:bCs/>
                <w:color w:val="auto"/>
                <w:kern w:val="0"/>
                <w:sz w:val="21"/>
                <w:szCs w:val="21"/>
                <w:highlight w:val="none"/>
              </w:rPr>
            </w:pPr>
          </w:p>
        </w:tc>
        <w:tc>
          <w:tcPr>
            <w:tcW w:w="139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b/>
                <w:bCs/>
                <w:color w:val="auto"/>
                <w:kern w:val="0"/>
                <w:sz w:val="21"/>
                <w:szCs w:val="21"/>
                <w:highlight w:val="none"/>
              </w:rPr>
            </w:pPr>
          </w:p>
        </w:tc>
        <w:tc>
          <w:tcPr>
            <w:tcW w:w="137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b/>
                <w:bCs/>
                <w:color w:val="auto"/>
                <w:kern w:val="0"/>
                <w:sz w:val="21"/>
                <w:szCs w:val="21"/>
                <w:highlight w:val="none"/>
              </w:rPr>
            </w:pPr>
          </w:p>
        </w:tc>
        <w:tc>
          <w:tcPr>
            <w:tcW w:w="9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昼间</w:t>
            </w:r>
          </w:p>
        </w:tc>
        <w:tc>
          <w:tcPr>
            <w:tcW w:w="113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夜间</w:t>
            </w:r>
          </w:p>
        </w:tc>
        <w:tc>
          <w:tcPr>
            <w:tcW w:w="74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昼间</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翻斗机</w:t>
            </w:r>
          </w:p>
        </w:tc>
        <w:tc>
          <w:tcPr>
            <w:tcW w:w="13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83-89</w:t>
            </w:r>
          </w:p>
        </w:tc>
        <w:tc>
          <w:tcPr>
            <w:tcW w:w="13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w:t>
            </w:r>
          </w:p>
        </w:tc>
        <w:tc>
          <w:tcPr>
            <w:tcW w:w="998"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70</w:t>
            </w:r>
          </w:p>
        </w:tc>
        <w:tc>
          <w:tcPr>
            <w:tcW w:w="113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55</w:t>
            </w:r>
          </w:p>
        </w:tc>
        <w:tc>
          <w:tcPr>
            <w:tcW w:w="74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27</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推土机</w:t>
            </w:r>
          </w:p>
        </w:tc>
        <w:tc>
          <w:tcPr>
            <w:tcW w:w="13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90</w:t>
            </w:r>
          </w:p>
        </w:tc>
        <w:tc>
          <w:tcPr>
            <w:tcW w:w="13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5</w:t>
            </w:r>
          </w:p>
        </w:tc>
        <w:tc>
          <w:tcPr>
            <w:tcW w:w="99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p>
        </w:tc>
        <w:tc>
          <w:tcPr>
            <w:tcW w:w="113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p>
        </w:tc>
        <w:tc>
          <w:tcPr>
            <w:tcW w:w="74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50</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281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装载机</w:t>
            </w:r>
          </w:p>
        </w:tc>
        <w:tc>
          <w:tcPr>
            <w:tcW w:w="13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86</w:t>
            </w:r>
          </w:p>
        </w:tc>
        <w:tc>
          <w:tcPr>
            <w:tcW w:w="13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5</w:t>
            </w:r>
          </w:p>
        </w:tc>
        <w:tc>
          <w:tcPr>
            <w:tcW w:w="99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p>
        </w:tc>
        <w:tc>
          <w:tcPr>
            <w:tcW w:w="113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p>
        </w:tc>
        <w:tc>
          <w:tcPr>
            <w:tcW w:w="74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32</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挖掘机</w:t>
            </w:r>
          </w:p>
        </w:tc>
        <w:tc>
          <w:tcPr>
            <w:tcW w:w="13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85</w:t>
            </w:r>
          </w:p>
        </w:tc>
        <w:tc>
          <w:tcPr>
            <w:tcW w:w="13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5</w:t>
            </w:r>
          </w:p>
        </w:tc>
        <w:tc>
          <w:tcPr>
            <w:tcW w:w="99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p>
        </w:tc>
        <w:tc>
          <w:tcPr>
            <w:tcW w:w="113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p>
        </w:tc>
        <w:tc>
          <w:tcPr>
            <w:tcW w:w="74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28</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振捣棒</w:t>
            </w:r>
          </w:p>
        </w:tc>
        <w:tc>
          <w:tcPr>
            <w:tcW w:w="13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93</w:t>
            </w:r>
          </w:p>
        </w:tc>
        <w:tc>
          <w:tcPr>
            <w:tcW w:w="13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w:t>
            </w:r>
          </w:p>
        </w:tc>
        <w:tc>
          <w:tcPr>
            <w:tcW w:w="99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p>
        </w:tc>
        <w:tc>
          <w:tcPr>
            <w:tcW w:w="113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p>
        </w:tc>
        <w:tc>
          <w:tcPr>
            <w:tcW w:w="74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14</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砼输送泵</w:t>
            </w:r>
          </w:p>
        </w:tc>
        <w:tc>
          <w:tcPr>
            <w:tcW w:w="13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89</w:t>
            </w:r>
          </w:p>
        </w:tc>
        <w:tc>
          <w:tcPr>
            <w:tcW w:w="13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w:t>
            </w:r>
          </w:p>
        </w:tc>
        <w:tc>
          <w:tcPr>
            <w:tcW w:w="99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p>
        </w:tc>
        <w:tc>
          <w:tcPr>
            <w:tcW w:w="113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p>
        </w:tc>
        <w:tc>
          <w:tcPr>
            <w:tcW w:w="74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9</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电锯</w:t>
            </w:r>
          </w:p>
        </w:tc>
        <w:tc>
          <w:tcPr>
            <w:tcW w:w="13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90</w:t>
            </w:r>
          </w:p>
        </w:tc>
        <w:tc>
          <w:tcPr>
            <w:tcW w:w="13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w:t>
            </w:r>
          </w:p>
        </w:tc>
        <w:tc>
          <w:tcPr>
            <w:tcW w:w="99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p>
        </w:tc>
        <w:tc>
          <w:tcPr>
            <w:tcW w:w="113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p>
        </w:tc>
        <w:tc>
          <w:tcPr>
            <w:tcW w:w="74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45</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251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升降机</w:t>
            </w:r>
          </w:p>
        </w:tc>
        <w:tc>
          <w:tcPr>
            <w:tcW w:w="13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78</w:t>
            </w:r>
          </w:p>
        </w:tc>
        <w:tc>
          <w:tcPr>
            <w:tcW w:w="13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w:t>
            </w:r>
          </w:p>
        </w:tc>
        <w:tc>
          <w:tcPr>
            <w:tcW w:w="99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p>
        </w:tc>
        <w:tc>
          <w:tcPr>
            <w:tcW w:w="113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p>
        </w:tc>
        <w:tc>
          <w:tcPr>
            <w:tcW w:w="74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切割机</w:t>
            </w:r>
          </w:p>
        </w:tc>
        <w:tc>
          <w:tcPr>
            <w:tcW w:w="13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88</w:t>
            </w:r>
          </w:p>
        </w:tc>
        <w:tc>
          <w:tcPr>
            <w:tcW w:w="13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w:t>
            </w:r>
          </w:p>
        </w:tc>
        <w:tc>
          <w:tcPr>
            <w:tcW w:w="99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p>
        </w:tc>
        <w:tc>
          <w:tcPr>
            <w:tcW w:w="113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p>
        </w:tc>
        <w:tc>
          <w:tcPr>
            <w:tcW w:w="74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8</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45</w:t>
            </w:r>
          </w:p>
        </w:tc>
      </w:tr>
    </w:tbl>
    <w:p>
      <w:pPr>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从上表可以看出，施工机械噪声由于声级较高，在空旷地带声传播距离较远，以推土机影响范围最大，昼间至50m外噪声值才能达标，夜间在281m内。项目只在白天施工，夜间不施工。</w:t>
      </w:r>
      <w:r>
        <w:rPr>
          <w:rFonts w:hint="eastAsia" w:ascii="宋体" w:hAnsi="宋体" w:eastAsia="宋体" w:cs="宋体"/>
          <w:color w:val="auto"/>
          <w:highlight w:val="none"/>
          <w:lang w:val="en-US" w:eastAsia="zh-CN"/>
        </w:rPr>
        <w:t>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工程施工区域</w:t>
      </w:r>
      <w:r>
        <w:rPr>
          <w:rFonts w:hint="eastAsia" w:ascii="Times New Roman" w:hAnsi="Times New Roman" w:cs="Times New Roman"/>
          <w:color w:val="auto"/>
          <w:kern w:val="0"/>
          <w:sz w:val="24"/>
          <w:highlight w:val="none"/>
          <w:lang w:val="en-US" w:eastAsia="zh-CN"/>
        </w:rPr>
        <w:t>距离最近的敏感点（项目区北侧的</w:t>
      </w:r>
      <w:r>
        <w:rPr>
          <w:rFonts w:hint="eastAsia" w:cs="Times New Roman"/>
          <w:color w:val="auto"/>
          <w:kern w:val="0"/>
          <w:sz w:val="24"/>
          <w:highlight w:val="none"/>
          <w:lang w:val="en-US" w:eastAsia="zh-CN"/>
        </w:rPr>
        <w:t>**</w:t>
      </w:r>
      <w:r>
        <w:rPr>
          <w:rFonts w:hint="eastAsia" w:ascii="Times New Roman" w:hAnsi="Times New Roman" w:cs="Times New Roman"/>
          <w:color w:val="auto"/>
          <w:kern w:val="0"/>
          <w:sz w:val="24"/>
          <w:highlight w:val="none"/>
          <w:lang w:val="en-US" w:eastAsia="zh-CN"/>
        </w:rPr>
        <w:t>）约为150m。</w:t>
      </w:r>
      <w:r>
        <w:rPr>
          <w:rFonts w:hint="default" w:ascii="Times New Roman" w:hAnsi="Times New Roman" w:cs="Times New Roman"/>
          <w:color w:val="auto"/>
          <w:kern w:val="0"/>
          <w:sz w:val="24"/>
          <w:highlight w:val="none"/>
        </w:rPr>
        <w:t>通过以上分析，施工噪声对周围敏感目标影响很小。</w:t>
      </w:r>
    </w:p>
    <w:p>
      <w:pPr>
        <w:pStyle w:val="5"/>
        <w:pageBreakBefore w:val="0"/>
        <w:widowControl w:val="0"/>
        <w:kinsoku/>
        <w:wordWrap/>
        <w:overflowPunct/>
        <w:topLinePunct w:val="0"/>
        <w:autoSpaceDE/>
        <w:autoSpaceDN/>
        <w:bidi w:val="0"/>
        <w:adjustRightInd w:val="0"/>
        <w:snapToGrid w:val="0"/>
        <w:spacing w:before="0" w:after="0" w:line="360" w:lineRule="auto"/>
        <w:ind w:left="0" w:leftChars="0" w:firstLine="0" w:firstLineChars="0"/>
        <w:textAlignment w:val="auto"/>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6</w:t>
      </w:r>
      <w:r>
        <w:rPr>
          <w:rFonts w:hint="eastAsia" w:ascii="Times New Roman" w:hAnsi="Times New Roman" w:eastAsia="宋体" w:cs="Times New Roman"/>
          <w:b/>
          <w:bCs/>
          <w:color w:val="auto"/>
          <w:highlight w:val="none"/>
          <w:lang w:val="en-US" w:eastAsia="zh-CN"/>
        </w:rPr>
        <w:t>.1.3.2</w:t>
      </w:r>
      <w:r>
        <w:rPr>
          <w:rFonts w:hint="eastAsia" w:ascii="Times New Roman" w:hAnsi="Times New Roman" w:eastAsia="宋体" w:cs="Times New Roman"/>
          <w:color w:val="auto"/>
          <w:highlight w:val="none"/>
          <w:lang w:val="en-US" w:eastAsia="zh-CN"/>
        </w:rPr>
        <w:t>新建供热管网</w:t>
      </w:r>
      <w:r>
        <w:rPr>
          <w:rFonts w:hint="eastAsia" w:cs="Times New Roman"/>
          <w:color w:val="auto"/>
          <w:highlight w:val="none"/>
          <w:lang w:val="en-US" w:eastAsia="zh-CN"/>
        </w:rPr>
        <w:t>工程</w:t>
      </w:r>
      <w:r>
        <w:rPr>
          <w:rFonts w:hint="default" w:ascii="Times New Roman" w:hAnsi="Times New Roman" w:eastAsia="宋体" w:cs="Times New Roman"/>
          <w:b/>
          <w:bCs/>
          <w:color w:val="auto"/>
          <w:highlight w:val="none"/>
          <w:lang w:val="en-US" w:eastAsia="zh-CN"/>
        </w:rPr>
        <w:t>施工期声环境影响分析</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eastAsia" w:ascii="Times New Roman" w:hAnsi="Times New Roman" w:eastAsia="宋体" w:cs="Times New Roman"/>
          <w:color w:val="auto"/>
          <w:highlight w:val="none"/>
          <w:lang w:val="en-US" w:eastAsia="zh-CN"/>
        </w:rPr>
        <w:t>新建供热管网</w:t>
      </w:r>
      <w:r>
        <w:rPr>
          <w:rFonts w:hint="eastAsia" w:cs="Times New Roman"/>
          <w:color w:val="auto"/>
          <w:highlight w:val="none"/>
          <w:lang w:val="en-US" w:eastAsia="zh-CN"/>
        </w:rPr>
        <w:t>工程</w:t>
      </w:r>
      <w:r>
        <w:rPr>
          <w:rFonts w:hint="default" w:ascii="Times New Roman" w:hAnsi="Times New Roman" w:cs="Times New Roman"/>
          <w:color w:val="auto"/>
          <w:highlight w:val="none"/>
        </w:rPr>
        <w:t>建设施工期的噪声主要是各种施工机械（如</w:t>
      </w:r>
      <w:r>
        <w:rPr>
          <w:rFonts w:hint="default" w:ascii="Times New Roman" w:hAnsi="Times New Roman" w:cs="Times New Roman"/>
          <w:color w:val="auto"/>
          <w:highlight w:val="none"/>
          <w:lang w:val="en-US" w:eastAsia="zh-CN"/>
        </w:rPr>
        <w:t>挖掘</w:t>
      </w:r>
      <w:r>
        <w:rPr>
          <w:rFonts w:hint="default" w:ascii="Times New Roman" w:hAnsi="Times New Roman" w:cs="Times New Roman"/>
          <w:color w:val="auto"/>
          <w:highlight w:val="none"/>
        </w:rPr>
        <w:t>机、吊车、升降机等）和运输车辆产生的作业噪声，</w:t>
      </w:r>
      <w:r>
        <w:rPr>
          <w:rFonts w:hint="default" w:ascii="Times New Roman" w:hAnsi="Times New Roman" w:cs="Times New Roman"/>
          <w:color w:val="auto"/>
          <w:highlight w:val="none"/>
          <w:lang w:val="en-US" w:eastAsia="zh-CN"/>
        </w:rPr>
        <w:t>其</w:t>
      </w:r>
      <w:r>
        <w:rPr>
          <w:rFonts w:hint="default" w:ascii="Times New Roman" w:hAnsi="Times New Roman" w:cs="Times New Roman"/>
          <w:color w:val="auto"/>
          <w:highlight w:val="none"/>
        </w:rPr>
        <w:t>噪声有间歇性和短暂性的特点</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噪声值在</w:t>
      </w:r>
      <w:r>
        <w:rPr>
          <w:rFonts w:hint="default" w:ascii="Times New Roman" w:hAnsi="Times New Roman" w:cs="Times New Roman"/>
          <w:color w:val="auto"/>
          <w:highlight w:val="none"/>
          <w:lang w:val="en-US" w:eastAsia="zh-CN"/>
        </w:rPr>
        <w:t>75</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90</w:t>
      </w:r>
      <w:r>
        <w:rPr>
          <w:rFonts w:hint="default" w:ascii="Times New Roman" w:hAnsi="Times New Roman" w:cs="Times New Roman"/>
          <w:color w:val="auto"/>
          <w:highlight w:val="none"/>
        </w:rPr>
        <w:t>dB</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之间，会对</w:t>
      </w:r>
      <w:r>
        <w:rPr>
          <w:rFonts w:hint="default" w:ascii="Times New Roman" w:hAnsi="Times New Roman" w:cs="Times New Roman"/>
          <w:color w:val="auto"/>
          <w:highlight w:val="none"/>
          <w:lang w:val="en-US" w:eastAsia="zh-CN"/>
        </w:rPr>
        <w:t>管网</w:t>
      </w:r>
      <w:r>
        <w:rPr>
          <w:rFonts w:hint="default" w:ascii="Times New Roman" w:hAnsi="Times New Roman" w:cs="Times New Roman"/>
          <w:color w:val="auto"/>
          <w:highlight w:val="none"/>
        </w:rPr>
        <w:t>沿线声环境造成影响。</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为最大限度减少施工噪声对周边环境的影响，施工单位在施工期应严格按国家《噪声污染防治条例》和《建筑施工场界环境噪声排放标准》（GB12523-2011）的要求，实施施工期噪声防治计划，为保证</w:t>
      </w:r>
      <w:r>
        <w:rPr>
          <w:rFonts w:hint="eastAsia" w:ascii="Times New Roman" w:hAnsi="Times New Roman" w:cs="Times New Roman"/>
          <w:color w:val="auto"/>
          <w:highlight w:val="none"/>
          <w:lang w:val="en-US" w:eastAsia="zh-CN"/>
        </w:rPr>
        <w:t>沿线居民</w:t>
      </w:r>
      <w:r>
        <w:rPr>
          <w:rFonts w:hint="default" w:ascii="Times New Roman" w:hAnsi="Times New Roman" w:cs="Times New Roman"/>
          <w:color w:val="auto"/>
          <w:highlight w:val="none"/>
          <w:lang w:val="en-US" w:eastAsia="zh-CN"/>
        </w:rPr>
        <w:t>的正常</w:t>
      </w:r>
      <w:r>
        <w:rPr>
          <w:rFonts w:hint="default" w:ascii="Times New Roman" w:hAnsi="Times New Roman" w:cs="Times New Roman"/>
          <w:color w:val="auto"/>
          <w:highlight w:val="none"/>
        </w:rPr>
        <w:t>休息，夜间2</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：00～次日</w:t>
      </w:r>
      <w:r>
        <w:rPr>
          <w:rFonts w:hint="eastAsia" w:ascii="Times New Roman" w:hAnsi="Times New Roman" w:cs="Times New Roman"/>
          <w:color w:val="auto"/>
          <w:highlight w:val="none"/>
          <w:lang w:val="en-US" w:eastAsia="zh-CN"/>
        </w:rPr>
        <w:t>8</w:t>
      </w:r>
      <w:r>
        <w:rPr>
          <w:rFonts w:hint="default" w:ascii="Times New Roman" w:hAnsi="Times New Roman" w:cs="Times New Roman"/>
          <w:color w:val="auto"/>
          <w:highlight w:val="none"/>
        </w:rPr>
        <w:t>：00停止施工，且施工人员要精心保养施工机械，使之维持最小的工作噪声。在距</w:t>
      </w:r>
      <w:r>
        <w:rPr>
          <w:rFonts w:hint="default" w:ascii="Times New Roman" w:hAnsi="Times New Roman" w:cs="Times New Roman"/>
          <w:color w:val="auto"/>
          <w:highlight w:val="none"/>
          <w:lang w:val="en-US" w:eastAsia="zh-CN"/>
        </w:rPr>
        <w:t>离</w:t>
      </w:r>
      <w:r>
        <w:rPr>
          <w:rFonts w:hint="eastAsia" w:ascii="Times New Roman" w:hAnsi="Times New Roman" w:cs="Times New Roman"/>
          <w:color w:val="auto"/>
          <w:highlight w:val="none"/>
          <w:lang w:val="en-US" w:eastAsia="zh-CN"/>
        </w:rPr>
        <w:t>沿线居民</w:t>
      </w:r>
      <w:r>
        <w:rPr>
          <w:rFonts w:hint="default" w:ascii="Times New Roman" w:hAnsi="Times New Roman" w:cs="Times New Roman"/>
          <w:color w:val="auto"/>
          <w:highlight w:val="none"/>
          <w:lang w:val="en-US" w:eastAsia="zh-CN"/>
        </w:rPr>
        <w:t>区</w:t>
      </w:r>
      <w:r>
        <w:rPr>
          <w:rFonts w:hint="default" w:ascii="Times New Roman" w:hAnsi="Times New Roman" w:cs="Times New Roman"/>
          <w:color w:val="auto"/>
          <w:highlight w:val="none"/>
        </w:rPr>
        <w:t>较近处施工时，设置</w:t>
      </w:r>
      <w:r>
        <w:rPr>
          <w:rFonts w:hint="default" w:ascii="Times New Roman" w:hAnsi="Times New Roman" w:cs="Times New Roman"/>
          <w:color w:val="auto"/>
          <w:highlight w:val="none"/>
          <w:lang w:val="en-US" w:eastAsia="zh-CN"/>
        </w:rPr>
        <w:t>简易声屏障</w:t>
      </w:r>
      <w:r>
        <w:rPr>
          <w:rFonts w:hint="default" w:ascii="Times New Roman" w:hAnsi="Times New Roman" w:cs="Times New Roman"/>
          <w:color w:val="auto"/>
          <w:highlight w:val="none"/>
        </w:rPr>
        <w:t>，减少噪音对</w:t>
      </w:r>
      <w:r>
        <w:rPr>
          <w:rFonts w:hint="eastAsia" w:ascii="Times New Roman" w:hAnsi="Times New Roman" w:cs="Times New Roman"/>
          <w:color w:val="auto"/>
          <w:highlight w:val="none"/>
          <w:lang w:val="en-US" w:eastAsia="zh-CN"/>
        </w:rPr>
        <w:t>居民</w:t>
      </w:r>
      <w:r>
        <w:rPr>
          <w:rFonts w:hint="default" w:ascii="Times New Roman" w:hAnsi="Times New Roman" w:cs="Times New Roman"/>
          <w:color w:val="auto"/>
          <w:highlight w:val="none"/>
        </w:rPr>
        <w:t>的影响。</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管网施工噪声的持续时间较短暂，对沿线</w:t>
      </w:r>
      <w:r>
        <w:rPr>
          <w:rFonts w:hint="eastAsia" w:ascii="Times New Roman" w:hAnsi="Times New Roman" w:cs="Times New Roman"/>
          <w:color w:val="auto"/>
          <w:highlight w:val="none"/>
          <w:lang w:val="en-US" w:eastAsia="zh-CN"/>
        </w:rPr>
        <w:t>居民</w:t>
      </w:r>
      <w:r>
        <w:rPr>
          <w:rFonts w:hint="default" w:ascii="Times New Roman" w:hAnsi="Times New Roman" w:cs="Times New Roman"/>
          <w:color w:val="auto"/>
          <w:highlight w:val="none"/>
        </w:rPr>
        <w:t>的影响将随着施工的结束而结束</w:t>
      </w:r>
      <w:r>
        <w:rPr>
          <w:rFonts w:hint="eastAsia" w:ascii="Times New Roman" w:hAnsi="Times New Roman" w:cs="Times New Roman"/>
          <w:color w:val="auto"/>
          <w:highlight w:val="none"/>
          <w:lang w:eastAsia="zh-CN"/>
        </w:rPr>
        <w:t>。</w:t>
      </w:r>
    </w:p>
    <w:p>
      <w:pPr>
        <w:pStyle w:val="4"/>
        <w:pageBreakBefore w:val="0"/>
        <w:widowControl w:val="0"/>
        <w:kinsoku/>
        <w:wordWrap/>
        <w:overflowPunct/>
        <w:topLinePunct w:val="0"/>
        <w:autoSpaceDE/>
        <w:autoSpaceDN/>
        <w:bidi w:val="0"/>
        <w:adjustRightInd w:val="0"/>
        <w:snapToGrid w:val="0"/>
        <w:spacing w:before="0" w:after="0" w:line="360" w:lineRule="auto"/>
        <w:textAlignment w:val="auto"/>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6</w:t>
      </w:r>
      <w:r>
        <w:rPr>
          <w:rFonts w:hint="eastAsia" w:ascii="Times New Roman" w:hAnsi="Times New Roman" w:eastAsia="宋体" w:cs="Times New Roman"/>
          <w:b/>
          <w:bCs/>
          <w:color w:val="auto"/>
          <w:highlight w:val="none"/>
          <w:lang w:val="en-US" w:eastAsia="zh-CN"/>
        </w:rPr>
        <w:t>.1.4</w:t>
      </w:r>
      <w:r>
        <w:rPr>
          <w:rFonts w:hint="default" w:ascii="Times New Roman" w:hAnsi="Times New Roman" w:eastAsia="宋体" w:cs="Times New Roman"/>
          <w:b/>
          <w:bCs/>
          <w:color w:val="auto"/>
          <w:highlight w:val="none"/>
          <w:lang w:val="en-US" w:eastAsia="zh-CN"/>
        </w:rPr>
        <w:t>施工期固体废物影响分析</w:t>
      </w:r>
      <w:bookmarkEnd w:id="29"/>
      <w:bookmarkEnd w:id="30"/>
      <w:bookmarkEnd w:id="31"/>
      <w:bookmarkEnd w:id="32"/>
      <w:bookmarkEnd w:id="33"/>
      <w:bookmarkEnd w:id="34"/>
      <w:bookmarkEnd w:id="35"/>
      <w:bookmarkEnd w:id="36"/>
      <w:bookmarkEnd w:id="37"/>
      <w:bookmarkEnd w:id="38"/>
    </w:p>
    <w:p>
      <w:pPr>
        <w:pStyle w:val="5"/>
        <w:pageBreakBefore w:val="0"/>
        <w:widowControl w:val="0"/>
        <w:kinsoku/>
        <w:wordWrap/>
        <w:overflowPunct/>
        <w:topLinePunct w:val="0"/>
        <w:autoSpaceDE/>
        <w:autoSpaceDN/>
        <w:bidi w:val="0"/>
        <w:adjustRightInd w:val="0"/>
        <w:snapToGrid w:val="0"/>
        <w:spacing w:before="0" w:after="0" w:line="360" w:lineRule="auto"/>
        <w:ind w:left="0" w:leftChars="0" w:firstLine="0" w:firstLineChars="0"/>
        <w:textAlignment w:val="auto"/>
        <w:rPr>
          <w:rFonts w:hint="default" w:ascii="Times New Roman" w:hAnsi="Times New Roman" w:eastAsia="宋体" w:cs="Times New Roman"/>
          <w:b/>
          <w:bCs/>
          <w:color w:val="auto"/>
          <w:highlight w:val="none"/>
          <w:lang w:val="en-US" w:eastAsia="zh-CN"/>
        </w:rPr>
      </w:pPr>
      <w:bookmarkStart w:id="39" w:name="_Toc456189262"/>
      <w:bookmarkStart w:id="40" w:name="_Toc27143"/>
      <w:r>
        <w:rPr>
          <w:rFonts w:hint="eastAsia" w:cs="Times New Roman"/>
          <w:b/>
          <w:bCs/>
          <w:color w:val="auto"/>
          <w:highlight w:val="none"/>
          <w:lang w:val="en-US" w:eastAsia="zh-CN"/>
        </w:rPr>
        <w:t>6</w:t>
      </w:r>
      <w:r>
        <w:rPr>
          <w:rFonts w:hint="eastAsia" w:ascii="Times New Roman" w:hAnsi="Times New Roman" w:eastAsia="宋体" w:cs="Times New Roman"/>
          <w:b/>
          <w:bCs/>
          <w:color w:val="auto"/>
          <w:highlight w:val="none"/>
          <w:lang w:val="en-US" w:eastAsia="zh-CN"/>
        </w:rPr>
        <w:t>.1.4.1</w:t>
      </w:r>
      <w:r>
        <w:rPr>
          <w:rFonts w:hint="eastAsia" w:ascii="宋体" w:hAnsi="宋体" w:eastAsia="宋体" w:cs="宋体"/>
          <w:color w:val="auto"/>
          <w:highlight w:val="none"/>
          <w:lang w:val="en-US" w:eastAsia="zh-CN"/>
        </w:rPr>
        <w:t>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w:t>
      </w:r>
      <w:r>
        <w:rPr>
          <w:rFonts w:hint="default" w:ascii="Times New Roman" w:hAnsi="Times New Roman" w:eastAsia="宋体" w:cs="Times New Roman"/>
          <w:b/>
          <w:bCs/>
          <w:color w:val="auto"/>
          <w:highlight w:val="none"/>
          <w:lang w:val="en-US" w:eastAsia="zh-CN"/>
        </w:rPr>
        <w:t>施工期固体废物影响分析</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本项目</w:t>
      </w:r>
      <w:r>
        <w:rPr>
          <w:rFonts w:hint="eastAsia" w:ascii="宋体" w:hAnsi="宋体" w:eastAsia="宋体" w:cs="宋体"/>
          <w:color w:val="auto"/>
          <w:highlight w:val="none"/>
          <w:lang w:val="en-US" w:eastAsia="zh-CN"/>
        </w:rPr>
        <w:t>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w:t>
      </w:r>
      <w:r>
        <w:rPr>
          <w:rFonts w:hint="default" w:ascii="Times New Roman" w:hAnsi="Times New Roman" w:cs="Times New Roman"/>
          <w:color w:val="auto"/>
          <w:highlight w:val="none"/>
        </w:rPr>
        <w:t>施工期固废主要包括建筑垃圾和施工人员生活垃圾</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不进行土石方开挖。</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1</w:t>
      </w:r>
      <w:r>
        <w:rPr>
          <w:rFonts w:hint="default" w:ascii="Times New Roman" w:hAnsi="Times New Roman" w:cs="Times New Roman"/>
          <w:color w:val="auto"/>
          <w:highlight w:val="none"/>
        </w:rPr>
        <w:t>）建筑施工废料</w:t>
      </w:r>
    </w:p>
    <w:p>
      <w:pPr>
        <w:pStyle w:val="13"/>
        <w:pageBreakBefore w:val="0"/>
        <w:widowControl w:val="0"/>
        <w:numPr>
          <w:ilvl w:val="0"/>
          <w:numId w:val="0"/>
        </w:numPr>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在进行主体工程</w:t>
      </w:r>
      <w:r>
        <w:rPr>
          <w:rFonts w:hint="eastAsia" w:cs="Times New Roman"/>
          <w:color w:val="auto"/>
          <w:highlight w:val="none"/>
          <w:lang w:eastAsia="zh-CN"/>
        </w:rPr>
        <w:t>（</w:t>
      </w:r>
      <w:r>
        <w:rPr>
          <w:rFonts w:hint="eastAsia" w:cs="Times New Roman"/>
          <w:color w:val="auto"/>
          <w:highlight w:val="none"/>
          <w:lang w:val="en-US" w:eastAsia="zh-CN"/>
        </w:rPr>
        <w:t>新建和拆除</w:t>
      </w:r>
      <w:r>
        <w:rPr>
          <w:rFonts w:hint="eastAsia" w:cs="Times New Roman"/>
          <w:color w:val="auto"/>
          <w:highlight w:val="none"/>
          <w:lang w:eastAsia="zh-CN"/>
        </w:rPr>
        <w:t>）</w:t>
      </w:r>
      <w:r>
        <w:rPr>
          <w:rFonts w:hint="default" w:ascii="Times New Roman" w:hAnsi="Times New Roman" w:cs="Times New Roman"/>
          <w:color w:val="auto"/>
          <w:highlight w:val="none"/>
        </w:rPr>
        <w:t>和装饰工程时会产生废弃钢材、木材弃料和建材包装袋等建筑垃圾。施工生产的钢筋、钢板、木材等下角料可分类回收，交废物收购站处理；对不能回收的建筑垃圾，如混凝土废料、含砖、石、砂的杂土等应集中堆放，定时清运到</w:t>
      </w:r>
      <w:r>
        <w:rPr>
          <w:rFonts w:hint="eastAsia" w:ascii="Times New Roman" w:hAnsi="Times New Roman" w:cs="Times New Roman"/>
          <w:color w:val="auto"/>
          <w:highlight w:val="none"/>
          <w:lang w:val="en-US" w:eastAsia="zh-CN"/>
        </w:rPr>
        <w:t>托里县</w:t>
      </w:r>
      <w:r>
        <w:rPr>
          <w:rFonts w:hint="default" w:ascii="Times New Roman" w:hAnsi="Times New Roman" w:cs="Times New Roman"/>
          <w:color w:val="auto"/>
          <w:highlight w:val="none"/>
        </w:rPr>
        <w:t>建筑废弃物</w:t>
      </w:r>
      <w:r>
        <w:rPr>
          <w:rFonts w:hint="default" w:ascii="Times New Roman" w:hAnsi="Times New Roman" w:cs="Times New Roman"/>
          <w:color w:val="auto"/>
          <w:highlight w:val="none"/>
          <w:lang w:val="en-US" w:eastAsia="zh-CN"/>
        </w:rPr>
        <w:t>填埋场</w:t>
      </w:r>
      <w:r>
        <w:rPr>
          <w:rFonts w:hint="default" w:ascii="Times New Roman" w:hAnsi="Times New Roman" w:cs="Times New Roman"/>
          <w:color w:val="auto"/>
          <w:highlight w:val="none"/>
          <w:lang w:eastAsia="zh-CN"/>
        </w:rPr>
        <w:t>。</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rPr>
        <w:t>）生活垃圾</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本项目施工高峰期工地生活垃圾产生量约为</w:t>
      </w:r>
      <w:r>
        <w:rPr>
          <w:rFonts w:hint="eastAsia" w:ascii="Times New Roman" w:hAnsi="Times New Roman" w:cs="Times New Roman"/>
          <w:color w:val="auto"/>
          <w:highlight w:val="none"/>
          <w:lang w:val="en-US" w:eastAsia="zh-CN"/>
        </w:rPr>
        <w:t>15</w:t>
      </w:r>
      <w:r>
        <w:rPr>
          <w:rFonts w:hint="default" w:ascii="Times New Roman" w:hAnsi="Times New Roman" w:cs="Times New Roman"/>
          <w:color w:val="auto"/>
          <w:highlight w:val="none"/>
        </w:rPr>
        <w:t>kg/d。由施工单位清理后运至</w:t>
      </w:r>
      <w:r>
        <w:rPr>
          <w:rFonts w:hint="eastAsia" w:ascii="Times New Roman" w:hAnsi="Times New Roman" w:cs="Times New Roman"/>
          <w:color w:val="auto"/>
          <w:highlight w:val="none"/>
          <w:lang w:val="en-US" w:eastAsia="zh-CN"/>
        </w:rPr>
        <w:t>托里县</w:t>
      </w:r>
      <w:r>
        <w:rPr>
          <w:rFonts w:hint="default" w:ascii="Times New Roman" w:hAnsi="Times New Roman" w:cs="Times New Roman"/>
          <w:color w:val="auto"/>
          <w:highlight w:val="none"/>
        </w:rPr>
        <w:t>生活垃圾填埋场集中处理。</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w:t>
      </w:r>
      <w:r>
        <w:rPr>
          <w:rFonts w:hint="eastAsia" w:ascii="Times New Roman" w:hAnsi="Times New Roman" w:cs="Times New Roman"/>
          <w:color w:val="auto"/>
          <w:highlight w:val="none"/>
          <w:lang w:val="en-US" w:eastAsia="zh-CN"/>
        </w:rPr>
        <w:t>本项目</w:t>
      </w:r>
      <w:r>
        <w:rPr>
          <w:rFonts w:hint="eastAsia" w:ascii="宋体" w:hAnsi="宋体" w:eastAsia="宋体" w:cs="宋体"/>
          <w:color w:val="auto"/>
          <w:highlight w:val="none"/>
          <w:lang w:val="en-US" w:eastAsia="zh-CN"/>
        </w:rPr>
        <w:t>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w:t>
      </w:r>
      <w:r>
        <w:rPr>
          <w:rFonts w:hint="default" w:ascii="Times New Roman" w:hAnsi="Times New Roman" w:cs="Times New Roman"/>
          <w:color w:val="auto"/>
          <w:highlight w:val="none"/>
        </w:rPr>
        <w:t>施工期固体废弃物产生较少，影响范围主要在施工区，随着施工期的结束，施工期固体废弃物的影响随之消失。只要加强施工管理，并采取相应措施，施工期固体废弃物对环境的不利影响是可以减缓或消除的。</w:t>
      </w:r>
    </w:p>
    <w:p>
      <w:pPr>
        <w:pStyle w:val="5"/>
        <w:pageBreakBefore w:val="0"/>
        <w:widowControl w:val="0"/>
        <w:kinsoku/>
        <w:wordWrap/>
        <w:overflowPunct/>
        <w:topLinePunct w:val="0"/>
        <w:autoSpaceDE/>
        <w:autoSpaceDN/>
        <w:bidi w:val="0"/>
        <w:adjustRightInd w:val="0"/>
        <w:snapToGrid w:val="0"/>
        <w:spacing w:before="0" w:after="0" w:line="360" w:lineRule="auto"/>
        <w:ind w:left="0" w:leftChars="0" w:firstLine="0" w:firstLineChars="0"/>
        <w:textAlignment w:val="auto"/>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6</w:t>
      </w:r>
      <w:r>
        <w:rPr>
          <w:rFonts w:hint="eastAsia" w:ascii="Times New Roman" w:hAnsi="Times New Roman" w:eastAsia="宋体" w:cs="Times New Roman"/>
          <w:b/>
          <w:bCs/>
          <w:color w:val="auto"/>
          <w:highlight w:val="none"/>
          <w:lang w:val="en-US" w:eastAsia="zh-CN"/>
        </w:rPr>
        <w:t>.1.4.2</w:t>
      </w:r>
      <w:r>
        <w:rPr>
          <w:rFonts w:hint="eastAsia" w:ascii="Times New Roman" w:hAnsi="Times New Roman" w:eastAsia="宋体" w:cs="Times New Roman"/>
          <w:color w:val="auto"/>
          <w:highlight w:val="none"/>
          <w:lang w:val="en-US" w:eastAsia="zh-CN"/>
        </w:rPr>
        <w:t>新建供热管网</w:t>
      </w:r>
      <w:r>
        <w:rPr>
          <w:rFonts w:hint="eastAsia" w:cs="Times New Roman"/>
          <w:color w:val="auto"/>
          <w:highlight w:val="none"/>
          <w:lang w:val="en-US" w:eastAsia="zh-CN"/>
        </w:rPr>
        <w:t>工程</w:t>
      </w:r>
      <w:r>
        <w:rPr>
          <w:rFonts w:hint="default" w:ascii="Times New Roman" w:hAnsi="Times New Roman" w:eastAsia="宋体" w:cs="Times New Roman"/>
          <w:b/>
          <w:bCs/>
          <w:color w:val="auto"/>
          <w:highlight w:val="none"/>
          <w:lang w:val="en-US" w:eastAsia="zh-CN"/>
        </w:rPr>
        <w:t>施工期固体废物影响分析</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eastAsia"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管线工程固体废物主要为管网施工产生的</w:t>
      </w:r>
      <w:r>
        <w:rPr>
          <w:rFonts w:hint="eastAsia" w:ascii="Times New Roman" w:hAnsi="Times New Roman" w:cs="Times New Roman"/>
          <w:color w:val="auto"/>
          <w:highlight w:val="none"/>
          <w:lang w:val="en-US" w:eastAsia="zh-CN"/>
        </w:rPr>
        <w:t>土石方、顶管施工时产生的泥浆及施工人员生活垃圾。</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eastAsia"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本项目</w:t>
      </w:r>
      <w:r>
        <w:rPr>
          <w:rFonts w:hint="eastAsia" w:ascii="Times New Roman" w:hAnsi="Times New Roman" w:eastAsia="宋体" w:cs="Times New Roman"/>
          <w:color w:val="auto"/>
          <w:highlight w:val="none"/>
          <w:lang w:val="en-US" w:eastAsia="zh-CN"/>
        </w:rPr>
        <w:t>新建配套供热管网5851m</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2，</w:t>
      </w:r>
      <w:r>
        <w:rPr>
          <w:rFonts w:hint="default" w:ascii="Times New Roman" w:hAnsi="Times New Roman" w:cs="Times New Roman"/>
          <w:color w:val="auto"/>
          <w:highlight w:val="none"/>
        </w:rPr>
        <w:t>工程中</w:t>
      </w:r>
      <w:r>
        <w:rPr>
          <w:rFonts w:hint="default" w:ascii="Times New Roman" w:hAnsi="Times New Roman" w:cs="Times New Roman"/>
          <w:color w:val="auto"/>
          <w:highlight w:val="none"/>
          <w:lang w:val="en-US" w:eastAsia="zh-CN"/>
        </w:rPr>
        <w:t>挖方</w:t>
      </w:r>
      <w:r>
        <w:rPr>
          <w:rFonts w:hint="default" w:ascii="Times New Roman" w:hAnsi="Times New Roman" w:cs="Times New Roman"/>
          <w:color w:val="auto"/>
          <w:highlight w:val="none"/>
        </w:rPr>
        <w:t>大部分用于管沟回填，剩余</w:t>
      </w:r>
      <w:r>
        <w:rPr>
          <w:rFonts w:hint="default" w:ascii="Times New Roman" w:hAnsi="Times New Roman" w:cs="Times New Roman"/>
          <w:color w:val="auto"/>
          <w:spacing w:val="-1"/>
          <w:highlight w:val="none"/>
          <w:lang w:val="en-US" w:eastAsia="zh-CN"/>
        </w:rPr>
        <w:t>弃方</w:t>
      </w:r>
      <w:r>
        <w:rPr>
          <w:rFonts w:hint="eastAsia" w:ascii="Times New Roman" w:hAnsi="Times New Roman" w:cs="Times New Roman"/>
          <w:color w:val="auto"/>
          <w:spacing w:val="-1"/>
          <w:highlight w:val="none"/>
          <w:lang w:val="en-US" w:eastAsia="zh-CN"/>
        </w:rPr>
        <w:t>由当地工程公司拉运，用于其他项目铺路</w:t>
      </w:r>
      <w:r>
        <w:rPr>
          <w:rFonts w:hint="default" w:ascii="Times New Roman" w:hAnsi="Times New Roman" w:cs="Times New Roman"/>
          <w:color w:val="auto"/>
          <w:highlight w:val="none"/>
        </w:rPr>
        <w:t>，不会对环境产生明显影响</w:t>
      </w:r>
      <w:r>
        <w:rPr>
          <w:rFonts w:hint="eastAsia" w:ascii="Times New Roman" w:hAnsi="Times New Roman" w:cs="Times New Roman"/>
          <w:color w:val="auto"/>
          <w:highlight w:val="none"/>
          <w:lang w:eastAsia="zh-CN"/>
        </w:rPr>
        <w:t>。</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项目</w:t>
      </w:r>
      <w:r>
        <w:rPr>
          <w:rFonts w:hint="eastAsia" w:ascii="Times New Roman" w:hAnsi="Times New Roman" w:cs="Times New Roman"/>
          <w:color w:val="auto"/>
          <w:highlight w:val="none"/>
          <w:lang w:val="en-US" w:eastAsia="zh-CN"/>
        </w:rPr>
        <w:t>顶管</w:t>
      </w:r>
      <w:r>
        <w:rPr>
          <w:rFonts w:hint="eastAsia" w:ascii="Times New Roman" w:hAnsi="Times New Roman" w:cs="Times New Roman"/>
          <w:color w:val="auto"/>
          <w:highlight w:val="none"/>
          <w:lang w:eastAsia="zh-CN"/>
        </w:rPr>
        <w:t>施工过程中会产生泥浆约</w:t>
      </w:r>
      <w:r>
        <w:rPr>
          <w:rFonts w:hint="eastAsia" w:ascii="Times New Roman" w:hAnsi="Times New Roman" w:cs="Times New Roman"/>
          <w:color w:val="auto"/>
          <w:highlight w:val="none"/>
          <w:lang w:val="en-US" w:eastAsia="zh-CN"/>
        </w:rPr>
        <w:t>100</w:t>
      </w:r>
      <w:r>
        <w:rPr>
          <w:rFonts w:hint="eastAsia" w:ascii="Times New Roman" w:hAnsi="Times New Roman" w:cs="Times New Roman"/>
          <w:color w:val="auto"/>
          <w:highlight w:val="none"/>
          <w:lang w:eastAsia="zh-CN"/>
        </w:rPr>
        <w:t>m</w:t>
      </w:r>
      <w:r>
        <w:rPr>
          <w:rFonts w:hint="eastAsia" w:ascii="Times New Roman" w:hAnsi="Times New Roman" w:cs="Times New Roman"/>
          <w:color w:val="auto"/>
          <w:highlight w:val="none"/>
          <w:vertAlign w:val="superscript"/>
          <w:lang w:eastAsia="zh-CN"/>
        </w:rPr>
        <w:t>3</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施工时设置</w:t>
      </w:r>
      <w:r>
        <w:rPr>
          <w:rFonts w:hint="eastAsia" w:ascii="Times New Roman" w:hAnsi="Times New Roman" w:cs="Times New Roman"/>
          <w:color w:val="auto"/>
          <w:highlight w:val="none"/>
          <w:lang w:eastAsia="zh-CN"/>
        </w:rPr>
        <w:t>一个泥浆收集池，泥浆通过泥浆池收集，再经过泥浆回收系统回收再使用，</w:t>
      </w:r>
      <w:r>
        <w:rPr>
          <w:rFonts w:hint="eastAsia" w:ascii="Times New Roman" w:hAnsi="Times New Roman" w:cs="Times New Roman"/>
          <w:color w:val="auto"/>
          <w:highlight w:val="none"/>
          <w:lang w:val="en-US" w:eastAsia="zh-CN"/>
        </w:rPr>
        <w:t>最终</w:t>
      </w:r>
      <w:r>
        <w:rPr>
          <w:rFonts w:hint="eastAsia" w:ascii="Times New Roman" w:hAnsi="Times New Roman" w:cs="Times New Roman"/>
          <w:color w:val="auto"/>
          <w:highlight w:val="none"/>
          <w:lang w:eastAsia="zh-CN"/>
        </w:rPr>
        <w:t>剩余泥浆用专用的泥浆罐车拉运到当地环境保护部门指定地点填埋。</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本项目管网施工不设置施工营地，施工人员</w:t>
      </w:r>
      <w:r>
        <w:rPr>
          <w:rFonts w:hint="default" w:ascii="Times New Roman" w:hAnsi="Times New Roman" w:cs="Times New Roman"/>
          <w:color w:val="auto"/>
          <w:highlight w:val="none"/>
        </w:rPr>
        <w:t>生活垃圾产生量较小，</w:t>
      </w:r>
      <w:r>
        <w:rPr>
          <w:rFonts w:hint="eastAsia" w:ascii="Times New Roman" w:hAnsi="Times New Roman" w:cs="Times New Roman"/>
          <w:color w:val="auto"/>
          <w:highlight w:val="none"/>
          <w:lang w:val="en-US" w:eastAsia="zh-CN"/>
        </w:rPr>
        <w:t>集中</w:t>
      </w:r>
      <w:r>
        <w:rPr>
          <w:rFonts w:hint="default" w:ascii="Times New Roman" w:hAnsi="Times New Roman" w:cs="Times New Roman"/>
          <w:color w:val="auto"/>
          <w:highlight w:val="none"/>
        </w:rPr>
        <w:t>收集</w:t>
      </w:r>
      <w:r>
        <w:rPr>
          <w:rFonts w:hint="eastAsia" w:ascii="Times New Roman" w:hAnsi="Times New Roman" w:cs="Times New Roman"/>
          <w:color w:val="auto"/>
          <w:highlight w:val="none"/>
          <w:lang w:val="en-US" w:eastAsia="zh-CN"/>
        </w:rPr>
        <w:t>带回热源厂内，</w:t>
      </w:r>
      <w:r>
        <w:rPr>
          <w:rFonts w:hint="default" w:ascii="Times New Roman" w:hAnsi="Times New Roman" w:cs="Times New Roman"/>
          <w:color w:val="auto"/>
          <w:highlight w:val="none"/>
        </w:rPr>
        <w:t>统一交环卫部门处理。</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综上所述，</w:t>
      </w:r>
      <w:r>
        <w:rPr>
          <w:rFonts w:hint="default" w:ascii="Times New Roman" w:hAnsi="Times New Roman" w:cs="Times New Roman"/>
          <w:color w:val="auto"/>
          <w:highlight w:val="none"/>
          <w:lang w:val="en-US" w:eastAsia="zh-CN"/>
        </w:rPr>
        <w:t>管网</w:t>
      </w:r>
      <w:r>
        <w:rPr>
          <w:rFonts w:hint="default" w:ascii="Times New Roman" w:hAnsi="Times New Roman" w:cs="Times New Roman"/>
          <w:color w:val="auto"/>
          <w:highlight w:val="none"/>
        </w:rPr>
        <w:t>施工固废得到合理处置，不会对周围环境造成不利影响。</w:t>
      </w:r>
    </w:p>
    <w:p>
      <w:pPr>
        <w:pStyle w:val="4"/>
        <w:pageBreakBefore w:val="0"/>
        <w:widowControl w:val="0"/>
        <w:kinsoku/>
        <w:wordWrap/>
        <w:overflowPunct/>
        <w:topLinePunct w:val="0"/>
        <w:autoSpaceDE/>
        <w:autoSpaceDN/>
        <w:bidi w:val="0"/>
        <w:adjustRightInd w:val="0"/>
        <w:snapToGrid w:val="0"/>
        <w:spacing w:before="0" w:after="0" w:line="360" w:lineRule="auto"/>
        <w:textAlignment w:val="auto"/>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6</w:t>
      </w:r>
      <w:r>
        <w:rPr>
          <w:rFonts w:hint="eastAsia" w:ascii="Times New Roman" w:hAnsi="Times New Roman" w:eastAsia="宋体" w:cs="Times New Roman"/>
          <w:b/>
          <w:bCs/>
          <w:color w:val="auto"/>
          <w:highlight w:val="none"/>
          <w:lang w:val="en-US" w:eastAsia="zh-CN"/>
        </w:rPr>
        <w:t>.1.5</w:t>
      </w:r>
      <w:r>
        <w:rPr>
          <w:rFonts w:hint="default" w:ascii="Times New Roman" w:hAnsi="Times New Roman" w:eastAsia="宋体" w:cs="Times New Roman"/>
          <w:b/>
          <w:bCs/>
          <w:color w:val="auto"/>
          <w:highlight w:val="none"/>
          <w:lang w:val="en-US" w:eastAsia="zh-CN"/>
        </w:rPr>
        <w:t>施工期生态影响分析</w:t>
      </w:r>
      <w:bookmarkEnd w:id="39"/>
      <w:bookmarkEnd w:id="40"/>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本项目施工期的生态环境影响主要表现为植被破坏、水土流失和野生动物影响。</w:t>
      </w:r>
    </w:p>
    <w:p>
      <w:pPr>
        <w:pStyle w:val="5"/>
        <w:pageBreakBefore w:val="0"/>
        <w:widowControl w:val="0"/>
        <w:kinsoku/>
        <w:wordWrap/>
        <w:overflowPunct/>
        <w:topLinePunct w:val="0"/>
        <w:autoSpaceDE/>
        <w:autoSpaceDN/>
        <w:bidi w:val="0"/>
        <w:adjustRightInd w:val="0"/>
        <w:snapToGrid w:val="0"/>
        <w:spacing w:before="0" w:after="0" w:line="360" w:lineRule="auto"/>
        <w:ind w:left="0" w:leftChars="0" w:firstLine="0" w:firstLineChars="0"/>
        <w:textAlignment w:val="auto"/>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6</w:t>
      </w:r>
      <w:r>
        <w:rPr>
          <w:rFonts w:hint="eastAsia" w:ascii="Times New Roman" w:hAnsi="Times New Roman" w:eastAsia="宋体" w:cs="Times New Roman"/>
          <w:b/>
          <w:bCs/>
          <w:color w:val="auto"/>
          <w:highlight w:val="none"/>
          <w:lang w:val="en-US" w:eastAsia="zh-CN"/>
        </w:rPr>
        <w:t>.1.5.1</w:t>
      </w:r>
      <w:r>
        <w:rPr>
          <w:rFonts w:hint="eastAsia" w:ascii="宋体" w:hAnsi="宋体" w:eastAsia="宋体" w:cs="宋体"/>
          <w:color w:val="auto"/>
          <w:highlight w:val="none"/>
          <w:lang w:val="en-US" w:eastAsia="zh-CN"/>
        </w:rPr>
        <w:t>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w:t>
      </w:r>
      <w:r>
        <w:rPr>
          <w:rFonts w:hint="default" w:ascii="Times New Roman" w:hAnsi="Times New Roman" w:eastAsia="宋体" w:cs="Times New Roman"/>
          <w:b/>
          <w:bCs/>
          <w:color w:val="auto"/>
          <w:highlight w:val="none"/>
          <w:lang w:val="en-US" w:eastAsia="zh-CN"/>
        </w:rPr>
        <w:t>施工期对生态环境的影响分析</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lang w:val="en-US"/>
        </w:rPr>
      </w:pPr>
      <w:bookmarkStart w:id="41" w:name="_Toc258944021"/>
      <w:r>
        <w:rPr>
          <w:rFonts w:hint="eastAsia" w:ascii="宋体" w:hAnsi="宋体" w:cs="宋体"/>
          <w:color w:val="auto"/>
          <w:highlight w:val="none"/>
          <w:lang w:val="en-US" w:eastAsia="zh-CN"/>
        </w:rPr>
        <w:t>本项目</w:t>
      </w:r>
      <w:r>
        <w:rPr>
          <w:rFonts w:hint="eastAsia" w:ascii="宋体" w:hAnsi="宋体" w:eastAsia="宋体" w:cs="宋体"/>
          <w:color w:val="auto"/>
          <w:highlight w:val="none"/>
          <w:lang w:val="en-US" w:eastAsia="zh-CN"/>
        </w:rPr>
        <w:t>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工程为在原有厂址内建设，不新增占地。</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施工对生态环境的影响主要表现在</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三废</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排放对项目区影响范围内土壤植被的影响；施工噪声对野生动物的影响；运输、人类活动对野生动物的影响。</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对土壤环境的影响分析</w:t>
      </w:r>
      <w:bookmarkEnd w:id="41"/>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宋体" w:hAnsi="宋体" w:eastAsia="宋体" w:cs="宋体"/>
          <w:color w:val="auto"/>
          <w:highlight w:val="none"/>
          <w:lang w:val="en-US" w:eastAsia="zh-CN"/>
        </w:rPr>
      </w:pPr>
      <w:r>
        <w:rPr>
          <w:rFonts w:hint="eastAsia" w:cs="Times New Roman"/>
          <w:color w:val="auto"/>
          <w:highlight w:val="none"/>
          <w:lang w:val="en-US" w:eastAsia="zh-CN"/>
        </w:rPr>
        <w:t>原有厂址内已进行硬化及绿化，</w:t>
      </w:r>
      <w:r>
        <w:rPr>
          <w:rFonts w:hint="eastAsia" w:ascii="宋体" w:hAnsi="宋体" w:eastAsia="宋体" w:cs="宋体"/>
          <w:color w:val="auto"/>
          <w:highlight w:val="none"/>
          <w:lang w:val="en-US" w:eastAsia="zh-CN"/>
        </w:rPr>
        <w:t>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工程对</w:t>
      </w:r>
      <w:r>
        <w:rPr>
          <w:rFonts w:hint="default" w:ascii="Times New Roman" w:hAnsi="Times New Roman" w:cs="Times New Roman"/>
          <w:color w:val="auto"/>
          <w:highlight w:val="none"/>
        </w:rPr>
        <w:t>土壤环境</w:t>
      </w:r>
      <w:r>
        <w:rPr>
          <w:rFonts w:hint="eastAsia" w:ascii="Times New Roman" w:hAnsi="Times New Roman" w:cs="Times New Roman"/>
          <w:color w:val="auto"/>
          <w:highlight w:val="none"/>
          <w:lang w:val="en-US" w:eastAsia="zh-CN"/>
        </w:rPr>
        <w:t>影响较小。</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对动物</w:t>
      </w:r>
      <w:r>
        <w:rPr>
          <w:rFonts w:hint="default" w:ascii="Times New Roman" w:hAnsi="Times New Roman" w:cs="Times New Roman"/>
          <w:color w:val="auto"/>
          <w:highlight w:val="none"/>
        </w:rPr>
        <w:t>的影响</w:t>
      </w:r>
      <w:r>
        <w:rPr>
          <w:rFonts w:hint="default" w:ascii="Times New Roman" w:hAnsi="Times New Roman" w:cs="Times New Roman"/>
          <w:color w:val="auto"/>
          <w:highlight w:val="none"/>
          <w:lang w:val="en-US" w:eastAsia="zh-CN"/>
        </w:rPr>
        <w:t>分析</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项目评价区野生动物数量较少，主要为常见鸟类，啮齿类及昆虫等，因此，项目施工队伍的进驻、施工噪声、运输车辆进出等虽会对这些野生动物的栖息、觅食、活动区域等造成干扰</w:t>
      </w: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本项目位于城市建成区内</w:t>
      </w:r>
      <w:r>
        <w:rPr>
          <w:rFonts w:hint="default" w:ascii="Times New Roman" w:hAnsi="Times New Roman" w:cs="Times New Roman"/>
          <w:color w:val="auto"/>
          <w:highlight w:val="none"/>
          <w:lang w:val="en-US" w:eastAsia="zh-CN"/>
        </w:rPr>
        <w:t>，目前野生动物已经较少，因此本项目建设</w:t>
      </w:r>
      <w:r>
        <w:rPr>
          <w:rFonts w:hint="default" w:ascii="Times New Roman" w:hAnsi="Times New Roman" w:cs="Times New Roman"/>
          <w:color w:val="auto"/>
          <w:highlight w:val="none"/>
        </w:rPr>
        <w:t>不会使野生动物种数和种群数量等发生大的变化，总体影响较</w:t>
      </w:r>
      <w:r>
        <w:rPr>
          <w:rFonts w:hint="default" w:ascii="Times New Roman" w:hAnsi="Times New Roman" w:cs="Times New Roman"/>
          <w:color w:val="auto"/>
          <w:highlight w:val="none"/>
          <w:lang w:val="en-US" w:eastAsia="zh-CN"/>
        </w:rPr>
        <w:t>小</w:t>
      </w:r>
      <w:r>
        <w:rPr>
          <w:rFonts w:hint="default" w:ascii="Times New Roman" w:hAnsi="Times New Roman" w:cs="Times New Roman"/>
          <w:color w:val="auto"/>
          <w:highlight w:val="none"/>
        </w:rPr>
        <w:t>。</w:t>
      </w:r>
    </w:p>
    <w:p>
      <w:pPr>
        <w:pStyle w:val="5"/>
        <w:pageBreakBefore w:val="0"/>
        <w:widowControl w:val="0"/>
        <w:kinsoku/>
        <w:wordWrap/>
        <w:overflowPunct/>
        <w:topLinePunct w:val="0"/>
        <w:autoSpaceDE/>
        <w:autoSpaceDN/>
        <w:bidi w:val="0"/>
        <w:adjustRightInd w:val="0"/>
        <w:snapToGrid w:val="0"/>
        <w:spacing w:before="0" w:after="0" w:line="360" w:lineRule="auto"/>
        <w:ind w:left="0" w:leftChars="0" w:firstLine="0" w:firstLineChars="0"/>
        <w:textAlignment w:val="auto"/>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6</w:t>
      </w:r>
      <w:r>
        <w:rPr>
          <w:rFonts w:hint="eastAsia" w:ascii="Times New Roman" w:hAnsi="Times New Roman" w:eastAsia="宋体" w:cs="Times New Roman"/>
          <w:b/>
          <w:bCs/>
          <w:color w:val="auto"/>
          <w:highlight w:val="none"/>
          <w:lang w:val="en-US" w:eastAsia="zh-CN"/>
        </w:rPr>
        <w:t>.1.5.2</w:t>
      </w:r>
      <w:r>
        <w:rPr>
          <w:rFonts w:hint="eastAsia" w:ascii="Times New Roman" w:hAnsi="Times New Roman" w:eastAsia="宋体" w:cs="Times New Roman"/>
          <w:color w:val="auto"/>
          <w:highlight w:val="none"/>
          <w:lang w:val="en-US" w:eastAsia="zh-CN"/>
        </w:rPr>
        <w:t>新建供热管网</w:t>
      </w:r>
      <w:r>
        <w:rPr>
          <w:rFonts w:hint="eastAsia" w:cs="Times New Roman"/>
          <w:color w:val="auto"/>
          <w:highlight w:val="none"/>
          <w:lang w:val="en-US" w:eastAsia="zh-CN"/>
        </w:rPr>
        <w:t>工程</w:t>
      </w:r>
      <w:r>
        <w:rPr>
          <w:rFonts w:hint="default" w:ascii="Times New Roman" w:hAnsi="Times New Roman" w:eastAsia="宋体" w:cs="Times New Roman"/>
          <w:b/>
          <w:bCs/>
          <w:color w:val="auto"/>
          <w:highlight w:val="none"/>
          <w:lang w:val="en-US" w:eastAsia="zh-CN"/>
        </w:rPr>
        <w:t>施工期生态环境影响分析</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（1）生态环境影响分析</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本项目管网建设期间的主要生态环境影响表现在以下几个方面：</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①对植被的影响</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管道施工期间对植被的影响主要表现在因施工需要而对施工区域植被</w:t>
      </w:r>
      <w:r>
        <w:rPr>
          <w:rFonts w:hint="eastAsia" w:cs="Times New Roman"/>
          <w:color w:val="auto"/>
          <w:highlight w:val="none"/>
          <w:lang w:val="en-US" w:eastAsia="zh-CN"/>
        </w:rPr>
        <w:t>进行部分</w:t>
      </w:r>
      <w:r>
        <w:rPr>
          <w:rFonts w:hint="default" w:ascii="Times New Roman" w:hAnsi="Times New Roman" w:cs="Times New Roman"/>
          <w:color w:val="auto"/>
          <w:highlight w:val="none"/>
        </w:rPr>
        <w:t>清除和工程设施、物质、管材堆放对植被所在地的临时占用。工程物质运输、管材堆放都需要在管线附近开辟一定范围的施工用地，施工用地的开辟方式是由推土机进行地面平整，施工区域植被在这个过程中被完全清除破坏，土壤完全暴露，生态环境遭到局部严重破坏。在开挖管沟的过程中还会因为土壤的深挖而造成区域土壤结构的破坏和小型野生动物生境破坏。</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根据一般的施工需要，管道施工需开辟宽约</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m的施工带用于运输建材车辆行驶和建材堆放，另外人员、车辆的活动又会对施工带周边1~5m的距离产生践踏、碾压等间接影响</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施工时会对临时占地范围内植被产生直接的影响，植</w:t>
      </w:r>
      <w:r>
        <w:rPr>
          <w:rFonts w:hint="default" w:ascii="Times New Roman" w:hAnsi="Times New Roman" w:cs="Times New Roman"/>
          <w:color w:val="auto"/>
          <w:highlight w:val="none"/>
          <w:lang w:val="en-US" w:eastAsia="zh-CN"/>
        </w:rPr>
        <w:t>被</w:t>
      </w:r>
      <w:r>
        <w:rPr>
          <w:rFonts w:hint="default" w:ascii="Times New Roman" w:hAnsi="Times New Roman" w:cs="Times New Roman"/>
          <w:color w:val="auto"/>
          <w:highlight w:val="none"/>
        </w:rPr>
        <w:t>受到碾压、折断、踩踏等作用而使生长受到影响甚至直接导致植</w:t>
      </w:r>
      <w:r>
        <w:rPr>
          <w:rFonts w:hint="default" w:ascii="Times New Roman" w:hAnsi="Times New Roman" w:cs="Times New Roman"/>
          <w:color w:val="auto"/>
          <w:highlight w:val="none"/>
          <w:lang w:val="en-US" w:eastAsia="zh-CN"/>
        </w:rPr>
        <w:t>被</w:t>
      </w:r>
      <w:r>
        <w:rPr>
          <w:rFonts w:hint="default" w:ascii="Times New Roman" w:hAnsi="Times New Roman" w:cs="Times New Roman"/>
          <w:color w:val="auto"/>
          <w:highlight w:val="none"/>
        </w:rPr>
        <w:t>死亡。</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②对野生动物的影响</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项目评价区野生动物数量较少，主要为常见鸟类，啮齿类及昆虫等，因此，项目施工队伍的进驻、施工噪声、运输车辆进出等虽会对这些野生动物的栖息、觅食、活动区域等造成干扰</w:t>
      </w: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本项目位于城市建成区内</w:t>
      </w:r>
      <w:r>
        <w:rPr>
          <w:rFonts w:hint="default" w:ascii="Times New Roman" w:hAnsi="Times New Roman" w:cs="Times New Roman"/>
          <w:color w:val="auto"/>
          <w:highlight w:val="none"/>
          <w:lang w:val="en-US" w:eastAsia="zh-CN"/>
        </w:rPr>
        <w:t>，目前野生动物已经较少，因此本项目建设</w:t>
      </w:r>
      <w:r>
        <w:rPr>
          <w:rFonts w:hint="default" w:ascii="Times New Roman" w:hAnsi="Times New Roman" w:cs="Times New Roman"/>
          <w:color w:val="auto"/>
          <w:highlight w:val="none"/>
        </w:rPr>
        <w:t>不会使野生动物种数和种群数量等发生大的变化，总体影响较</w:t>
      </w:r>
      <w:r>
        <w:rPr>
          <w:rFonts w:hint="default" w:ascii="Times New Roman" w:hAnsi="Times New Roman" w:cs="Times New Roman"/>
          <w:color w:val="auto"/>
          <w:highlight w:val="none"/>
          <w:lang w:val="en-US" w:eastAsia="zh-CN"/>
        </w:rPr>
        <w:t>小</w:t>
      </w:r>
      <w:r>
        <w:rPr>
          <w:rFonts w:hint="default" w:ascii="Times New Roman" w:hAnsi="Times New Roman" w:cs="Times New Roman"/>
          <w:color w:val="auto"/>
          <w:highlight w:val="none"/>
        </w:rPr>
        <w:t>。</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③对土壤的影响</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管道工程的施工对土壤最为直接的环境影响是施工期开挖管沟及管道敷设临时占地和永久占地对土壤结构、肥力和物理性质破坏的影响。</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管道工程永久性占用土地较少，主要为测试桩、泵站、固定桩和线路附属设施的占地。主要为施工建材和机械临时堆放占地。对土壤的破坏作用主要表现在施工期间对土地的临时占地以及车辆和机械对土壤的践踏、碾压造成的土壤原有结构的破坏，土壤质地和紧实度等物理性质的改变，由于打乱土层，改变土壤容重。施工期对土壤的影响随着施工的结束而结束。</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在整个施工过程中，除了对土壤和植被的直接破坏，还由于施工人员、机械、车辆的运行和活动对植被和土壤的践踏、碾压而产生的间接影响。因此在施工过程中应严格限定作业范围，尽可能减少施工作业宽度，减施工活动对区域植被、土壤和野生动物的影响。</w:t>
      </w:r>
    </w:p>
    <w:p>
      <w:pPr>
        <w:pStyle w:val="5"/>
        <w:pageBreakBefore w:val="0"/>
        <w:widowControl w:val="0"/>
        <w:kinsoku/>
        <w:wordWrap/>
        <w:overflowPunct/>
        <w:topLinePunct w:val="0"/>
        <w:autoSpaceDE/>
        <w:autoSpaceDN/>
        <w:bidi w:val="0"/>
        <w:adjustRightInd w:val="0"/>
        <w:snapToGrid w:val="0"/>
        <w:spacing w:before="0" w:after="0" w:line="360" w:lineRule="auto"/>
        <w:ind w:left="0" w:leftChars="0" w:firstLine="0" w:firstLineChars="0"/>
        <w:textAlignment w:val="auto"/>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6</w:t>
      </w:r>
      <w:r>
        <w:rPr>
          <w:rFonts w:hint="eastAsia" w:ascii="Times New Roman" w:hAnsi="Times New Roman" w:eastAsia="宋体" w:cs="Times New Roman"/>
          <w:b/>
          <w:bCs/>
          <w:color w:val="auto"/>
          <w:highlight w:val="none"/>
          <w:lang w:val="en-US" w:eastAsia="zh-CN"/>
        </w:rPr>
        <w:t>.1.5.3</w:t>
      </w:r>
      <w:r>
        <w:rPr>
          <w:rFonts w:hint="default" w:ascii="Times New Roman" w:hAnsi="Times New Roman" w:eastAsia="宋体" w:cs="Times New Roman"/>
          <w:b/>
          <w:bCs/>
          <w:color w:val="auto"/>
          <w:highlight w:val="none"/>
          <w:lang w:val="en-US" w:eastAsia="zh-CN"/>
        </w:rPr>
        <w:t>水土流失影响分析</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根据《新疆维吾尔自治区防沙治沙规划》（2021-2030），本项目不属于沙化土地范围内。项目在新疆维吾尔自治区沙化土地分布位置见附图</w:t>
      </w:r>
      <w:r>
        <w:rPr>
          <w:rFonts w:hint="eastAsia" w:cs="Times New Roman"/>
          <w:color w:val="auto"/>
          <w:kern w:val="0"/>
          <w:sz w:val="24"/>
          <w:szCs w:val="24"/>
          <w:highlight w:val="none"/>
          <w:lang w:val="en-US" w:eastAsia="zh-CN" w:bidi="ar-SA"/>
        </w:rPr>
        <w:t>6</w:t>
      </w:r>
      <w:r>
        <w:rPr>
          <w:rFonts w:hint="eastAsia" w:ascii="Times New Roman" w:hAnsi="Times New Roman" w:eastAsia="宋体" w:cs="Times New Roman"/>
          <w:color w:val="auto"/>
          <w:kern w:val="0"/>
          <w:sz w:val="24"/>
          <w:szCs w:val="24"/>
          <w:highlight w:val="none"/>
          <w:lang w:val="en-US" w:eastAsia="zh-CN" w:bidi="ar-SA"/>
        </w:rPr>
        <w:t>.1-1。</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本项目建设对当地水土流失影响分析，见表</w:t>
      </w:r>
      <w:r>
        <w:rPr>
          <w:rFonts w:hint="eastAsia" w:cs="Times New Roman"/>
          <w:color w:val="auto"/>
          <w:kern w:val="0"/>
          <w:sz w:val="24"/>
          <w:szCs w:val="24"/>
          <w:highlight w:val="none"/>
          <w:lang w:val="en-US" w:eastAsia="zh-CN" w:bidi="ar-SA"/>
        </w:rPr>
        <w:t>6</w:t>
      </w:r>
      <w:r>
        <w:rPr>
          <w:rFonts w:hint="eastAsia" w:ascii="Times New Roman" w:hAnsi="Times New Roman" w:eastAsia="宋体" w:cs="Times New Roman"/>
          <w:color w:val="auto"/>
          <w:kern w:val="0"/>
          <w:sz w:val="24"/>
          <w:szCs w:val="24"/>
          <w:highlight w:val="none"/>
          <w:lang w:val="en-US" w:eastAsia="zh-CN" w:bidi="ar-SA"/>
        </w:rPr>
        <w:t>.1</w:t>
      </w:r>
      <w:r>
        <w:rPr>
          <w:rFonts w:hint="eastAsia" w:cs="Times New Roman"/>
          <w:color w:val="auto"/>
          <w:kern w:val="0"/>
          <w:sz w:val="24"/>
          <w:szCs w:val="24"/>
          <w:highlight w:val="none"/>
          <w:lang w:val="en-US" w:eastAsia="zh-CN" w:bidi="ar-SA"/>
        </w:rPr>
        <w:t>.5</w:t>
      </w:r>
      <w:r>
        <w:rPr>
          <w:rFonts w:hint="eastAsia"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1</w:t>
      </w:r>
      <w:r>
        <w:rPr>
          <w:rFonts w:hint="default" w:ascii="Times New Roman" w:hAnsi="Times New Roman" w:eastAsia="宋体" w:cs="Times New Roman"/>
          <w:color w:val="auto"/>
          <w:kern w:val="0"/>
          <w:sz w:val="24"/>
          <w:szCs w:val="24"/>
          <w:highlight w:val="none"/>
          <w:lang w:val="en-US" w:eastAsia="zh-CN" w:bidi="ar-SA"/>
        </w:rPr>
        <w:t>。</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cs="Times New Roman"/>
          <w:b/>
          <w:bCs/>
          <w:color w:val="auto"/>
          <w:highlight w:val="none"/>
          <w:lang w:val="zh-CN"/>
        </w:rPr>
      </w:pPr>
      <w:r>
        <w:rPr>
          <w:rFonts w:hint="default" w:ascii="Times New Roman" w:hAnsi="Times New Roman" w:cs="Times New Roman"/>
          <w:b/>
          <w:bCs/>
          <w:color w:val="auto"/>
          <w:sz w:val="21"/>
          <w:szCs w:val="21"/>
          <w:highlight w:val="none"/>
          <w:lang w:val="zh-CN"/>
        </w:rPr>
        <w:t>表</w:t>
      </w:r>
      <w:r>
        <w:rPr>
          <w:rFonts w:hint="eastAsia" w:cs="Times New Roman"/>
          <w:b/>
          <w:bCs/>
          <w:color w:val="auto"/>
          <w:sz w:val="21"/>
          <w:szCs w:val="21"/>
          <w:highlight w:val="none"/>
          <w:lang w:val="en-US" w:eastAsia="zh-CN"/>
        </w:rPr>
        <w:t>6</w:t>
      </w:r>
      <w:r>
        <w:rPr>
          <w:rFonts w:hint="eastAsia" w:ascii="Times New Roman" w:hAnsi="Times New Roman" w:cs="Times New Roman"/>
          <w:b/>
          <w:bCs/>
          <w:color w:val="auto"/>
          <w:sz w:val="21"/>
          <w:szCs w:val="21"/>
          <w:highlight w:val="none"/>
          <w:lang w:val="en-US" w:eastAsia="zh-CN"/>
        </w:rPr>
        <w:t>.1</w:t>
      </w:r>
      <w:r>
        <w:rPr>
          <w:rFonts w:hint="eastAsia" w:cs="Times New Roman"/>
          <w:b/>
          <w:bCs/>
          <w:color w:val="auto"/>
          <w:sz w:val="21"/>
          <w:szCs w:val="21"/>
          <w:highlight w:val="none"/>
          <w:lang w:val="en-US" w:eastAsia="zh-CN"/>
        </w:rPr>
        <w:t>.5-1</w:t>
      </w:r>
      <w:r>
        <w:rPr>
          <w:rFonts w:hint="default" w:ascii="Times New Roman" w:hAnsi="Times New Roman" w:cs="Times New Roman"/>
          <w:b/>
          <w:bCs/>
          <w:color w:val="auto"/>
          <w:sz w:val="21"/>
          <w:szCs w:val="21"/>
          <w:highlight w:val="none"/>
          <w:lang w:val="zh-CN"/>
        </w:rPr>
        <w:t xml:space="preserve">   本项目水土流失影响因素分析</w:t>
      </w:r>
    </w:p>
    <w:tbl>
      <w:tblPr>
        <w:tblStyle w:val="3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2"/>
        <w:gridCol w:w="1554"/>
        <w:gridCol w:w="56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时段</w:t>
            </w:r>
          </w:p>
        </w:tc>
        <w:tc>
          <w:tcPr>
            <w:tcW w:w="9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时段</w:t>
            </w:r>
          </w:p>
        </w:tc>
        <w:tc>
          <w:tcPr>
            <w:tcW w:w="33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产生水土流失的因素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施工准备期</w:t>
            </w:r>
          </w:p>
        </w:tc>
        <w:tc>
          <w:tcPr>
            <w:tcW w:w="9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准备期</w:t>
            </w:r>
          </w:p>
        </w:tc>
        <w:tc>
          <w:tcPr>
            <w:tcW w:w="33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场地平整、管沟和基坑开挖、打桩基工程、临时堆放余土以及建筑物土建工程等，使地面裸露、表土破损、破坏原地貌及植被产生水蚀。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施工期</w:t>
            </w:r>
          </w:p>
        </w:tc>
        <w:tc>
          <w:tcPr>
            <w:tcW w:w="9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土建期</w:t>
            </w:r>
          </w:p>
        </w:tc>
        <w:tc>
          <w:tcPr>
            <w:tcW w:w="33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场地平整，扰动原地表植被，大面积土壤暴露在外，在强降雨的条件下，产生水蚀。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p>
        </w:tc>
        <w:tc>
          <w:tcPr>
            <w:tcW w:w="9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安装期</w:t>
            </w:r>
          </w:p>
        </w:tc>
        <w:tc>
          <w:tcPr>
            <w:tcW w:w="33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部分地面裸露产生水蚀。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自然恢复期</w:t>
            </w:r>
          </w:p>
        </w:tc>
        <w:tc>
          <w:tcPr>
            <w:tcW w:w="9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自然恢复期</w:t>
            </w:r>
          </w:p>
        </w:tc>
        <w:tc>
          <w:tcPr>
            <w:tcW w:w="33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植物措施尚未完全发挥水土保持功能，仍有少量水土流失</w:t>
            </w:r>
            <w:r>
              <w:rPr>
                <w:rFonts w:hint="default" w:ascii="Times New Roman" w:hAnsi="Times New Roman" w:eastAsia="宋体" w:cs="Times New Roman"/>
                <w:color w:val="auto"/>
                <w:kern w:val="0"/>
                <w:sz w:val="21"/>
                <w:szCs w:val="21"/>
                <w:highlight w:val="none"/>
                <w:lang w:eastAsia="zh-CN"/>
              </w:rPr>
              <w:t>。</w:t>
            </w:r>
          </w:p>
        </w:tc>
      </w:tr>
    </w:tbl>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工程建设由于地基土层的填挖、管沟开挖、施工人员临时生活区的布置等，均有可能造成原生地表植被的破坏，引发水土流失。弃渣堆放被冲刷和风蚀的可能性较大，若堆放或保护措施不当，遇到大风、暴雨等特殊气候条件，极易形成水土流失。因此，</w:t>
      </w:r>
      <w:r>
        <w:rPr>
          <w:rFonts w:hint="default" w:ascii="Times New Roman" w:hAnsi="Times New Roman" w:cs="Times New Roman"/>
          <w:color w:val="auto"/>
          <w:spacing w:val="-1"/>
          <w:highlight w:val="none"/>
          <w:lang w:val="en-US" w:eastAsia="zh-CN"/>
        </w:rPr>
        <w:t>弃方</w:t>
      </w:r>
      <w:r>
        <w:rPr>
          <w:rFonts w:hint="eastAsia" w:ascii="Times New Roman" w:hAnsi="Times New Roman" w:cs="Times New Roman"/>
          <w:color w:val="auto"/>
          <w:spacing w:val="-1"/>
          <w:highlight w:val="none"/>
          <w:lang w:val="en-US" w:eastAsia="zh-CN"/>
        </w:rPr>
        <w:t>由</w:t>
      </w:r>
      <w:r>
        <w:rPr>
          <w:rFonts w:hint="eastAsia" w:cs="Times New Roman"/>
          <w:color w:val="auto"/>
          <w:spacing w:val="-1"/>
          <w:highlight w:val="none"/>
          <w:lang w:val="en-US" w:eastAsia="zh-CN"/>
        </w:rPr>
        <w:t>当地工程公司</w:t>
      </w:r>
      <w:r>
        <w:rPr>
          <w:rFonts w:hint="eastAsia" w:ascii="Times New Roman" w:hAnsi="Times New Roman" w:cs="Times New Roman"/>
          <w:color w:val="auto"/>
          <w:spacing w:val="-1"/>
          <w:highlight w:val="none"/>
          <w:lang w:val="en-US" w:eastAsia="zh-CN"/>
        </w:rPr>
        <w:t>拉运，用于其他项目铺路</w:t>
      </w:r>
      <w:r>
        <w:rPr>
          <w:rFonts w:hint="default" w:ascii="Times New Roman" w:hAnsi="Times New Roman" w:cs="Times New Roman"/>
          <w:color w:val="auto"/>
          <w:highlight w:val="none"/>
          <w:lang w:val="en-US" w:eastAsia="zh-CN"/>
        </w:rPr>
        <w:t>，可有效防止弃土堆放产生的水土流失影响。</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在项目建设的中后期，</w:t>
      </w:r>
      <w:r>
        <w:rPr>
          <w:rFonts w:hint="eastAsia" w:ascii="宋体" w:hAnsi="宋体" w:eastAsia="宋体" w:cs="宋体"/>
          <w:color w:val="auto"/>
          <w:highlight w:val="none"/>
          <w:lang w:val="en-US" w:eastAsia="zh-CN"/>
        </w:rPr>
        <w:t>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w:t>
      </w:r>
      <w:r>
        <w:rPr>
          <w:rFonts w:hint="default" w:ascii="Times New Roman" w:hAnsi="Times New Roman" w:cs="Times New Roman"/>
          <w:color w:val="auto"/>
          <w:highlight w:val="none"/>
        </w:rPr>
        <w:t>部分地面已硬化或被建筑物占用，</w:t>
      </w:r>
      <w:r>
        <w:rPr>
          <w:rFonts w:hint="default" w:ascii="Times New Roman" w:hAnsi="Times New Roman" w:cs="Times New Roman"/>
          <w:color w:val="auto"/>
          <w:highlight w:val="none"/>
          <w:lang w:val="en-US" w:eastAsia="zh-CN"/>
        </w:rPr>
        <w:t>开挖管沟已全部回填，</w:t>
      </w:r>
      <w:r>
        <w:rPr>
          <w:rFonts w:hint="default" w:ascii="Times New Roman" w:hAnsi="Times New Roman" w:cs="Times New Roman"/>
          <w:color w:val="auto"/>
          <w:highlight w:val="none"/>
        </w:rPr>
        <w:t>前期工程形成的弃土也得到治理，</w:t>
      </w:r>
      <w:r>
        <w:rPr>
          <w:rFonts w:hint="default" w:ascii="Times New Roman" w:hAnsi="Times New Roman" w:cs="Times New Roman"/>
          <w:color w:val="auto"/>
          <w:highlight w:val="none"/>
          <w:lang w:val="en-US" w:eastAsia="zh-CN"/>
        </w:rPr>
        <w:t>项目区</w:t>
      </w:r>
      <w:r>
        <w:rPr>
          <w:rFonts w:hint="default" w:ascii="Times New Roman" w:hAnsi="Times New Roman" w:cs="Times New Roman"/>
          <w:color w:val="auto"/>
          <w:highlight w:val="none"/>
        </w:rPr>
        <w:t>内的水土流失条件消失，基本不会产生水土流失。</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经过以上措施后，项目建设过程中产生水土流失的范围小且相对集中，因此，水土流失造成的危害影响较轻。</w:t>
      </w:r>
    </w:p>
    <w:p>
      <w:pPr>
        <w:pStyle w:val="3"/>
        <w:keepLines w:val="0"/>
        <w:pageBreakBefore w:val="0"/>
        <w:widowControl w:val="0"/>
        <w:tabs>
          <w:tab w:val="left" w:pos="1302"/>
        </w:tabs>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highlight w:val="none"/>
          <w:lang w:val="en-US" w:eastAsia="zh-CN"/>
        </w:rPr>
      </w:pPr>
      <w:bookmarkStart w:id="42" w:name="_Toc30411"/>
      <w:r>
        <w:rPr>
          <w:rFonts w:hint="eastAsia"/>
          <w:color w:val="auto"/>
          <w:highlight w:val="none"/>
          <w:lang w:val="en-US" w:eastAsia="zh-CN"/>
        </w:rPr>
        <w:t>6</w:t>
      </w:r>
      <w:r>
        <w:rPr>
          <w:color w:val="auto"/>
          <w:highlight w:val="none"/>
        </w:rPr>
        <w:t>.2</w:t>
      </w:r>
      <w:r>
        <w:rPr>
          <w:rFonts w:hint="default" w:ascii="Times New Roman" w:hAnsi="Times New Roman" w:eastAsia="宋体" w:cs="Times New Roman"/>
          <w:b/>
          <w:bCs/>
          <w:color w:val="auto"/>
          <w:highlight w:val="none"/>
          <w:lang w:val="en-US" w:eastAsia="zh-CN"/>
        </w:rPr>
        <w:t>运营期环境影响预测与评价</w:t>
      </w:r>
      <w:bookmarkEnd w:id="42"/>
    </w:p>
    <w:p>
      <w:pPr>
        <w:pStyle w:val="4"/>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highlight w:val="none"/>
          <w:lang w:val="en-US" w:eastAsia="zh-CN"/>
        </w:rPr>
      </w:pPr>
      <w:r>
        <w:rPr>
          <w:rFonts w:hint="eastAsia"/>
          <w:color w:val="auto"/>
          <w:highlight w:val="none"/>
          <w:lang w:val="en-US" w:eastAsia="zh-CN"/>
        </w:rPr>
        <w:t>6.2.1</w:t>
      </w:r>
      <w:r>
        <w:rPr>
          <w:rFonts w:hint="default" w:ascii="Times New Roman" w:hAnsi="Times New Roman" w:eastAsia="宋体" w:cs="Times New Roman"/>
          <w:b/>
          <w:bCs/>
          <w:color w:val="auto"/>
          <w:highlight w:val="none"/>
          <w:lang w:val="en-US" w:eastAsia="zh-CN"/>
        </w:rPr>
        <w:t>大气环境影响预测与评价</w:t>
      </w:r>
    </w:p>
    <w:p>
      <w:pPr>
        <w:pStyle w:val="5"/>
        <w:keepLines w:val="0"/>
        <w:pageBreakBefore w:val="0"/>
        <w:kinsoku/>
        <w:wordWrap/>
        <w:topLinePunct w:val="0"/>
        <w:bidi w:val="0"/>
        <w:adjustRightInd w:val="0"/>
        <w:snapToGrid w:val="0"/>
        <w:ind w:left="0" w:leftChars="0" w:firstLine="0" w:firstLineChars="0"/>
        <w:textAlignment w:val="auto"/>
        <w:rPr>
          <w:color w:val="auto"/>
        </w:rPr>
      </w:pPr>
      <w:r>
        <w:rPr>
          <w:rFonts w:hint="eastAsia"/>
          <w:color w:val="auto"/>
          <w:lang w:val="en-US" w:eastAsia="zh-CN"/>
        </w:rPr>
        <w:t>6.2.1.1</w:t>
      </w:r>
      <w:r>
        <w:rPr>
          <w:rFonts w:hint="eastAsia"/>
          <w:color w:val="auto"/>
        </w:rPr>
        <w:t>预测</w:t>
      </w:r>
      <w:r>
        <w:rPr>
          <w:color w:val="auto"/>
        </w:rPr>
        <w:t>模式</w:t>
      </w:r>
    </w:p>
    <w:p>
      <w:pPr>
        <w:keepLines w:val="0"/>
        <w:pageBreakBefore w:val="0"/>
        <w:kinsoku/>
        <w:wordWrap/>
        <w:topLinePunct w:val="0"/>
        <w:bidi w:val="0"/>
        <w:adjustRightInd w:val="0"/>
        <w:snapToGrid w:val="0"/>
        <w:ind w:firstLine="480" w:firstLineChars="200"/>
        <w:textAlignment w:val="auto"/>
        <w:rPr>
          <w:color w:val="auto"/>
        </w:rPr>
      </w:pPr>
      <w:r>
        <w:rPr>
          <w:rFonts w:hint="eastAsia"/>
          <w:color w:val="auto"/>
        </w:rPr>
        <w:t>项目大气评价工作等级为一级，本次评价大气预测采用</w:t>
      </w:r>
      <w:r>
        <w:rPr>
          <w:color w:val="auto"/>
        </w:rPr>
        <w:t>HJ2.2-2018</w:t>
      </w:r>
      <w:r>
        <w:rPr>
          <w:rFonts w:hint="eastAsia"/>
          <w:color w:val="auto"/>
        </w:rPr>
        <w:t>导则推荐的</w:t>
      </w:r>
      <w:r>
        <w:rPr>
          <w:color w:val="auto"/>
        </w:rPr>
        <w:t>AERMOD</w:t>
      </w:r>
      <w:r>
        <w:rPr>
          <w:rFonts w:hint="eastAsia"/>
          <w:color w:val="auto"/>
        </w:rPr>
        <w:t>大气预测软件，模式系统包括</w:t>
      </w:r>
      <w:r>
        <w:rPr>
          <w:color w:val="auto"/>
        </w:rPr>
        <w:t>AERMOD</w:t>
      </w:r>
      <w:r>
        <w:rPr>
          <w:rFonts w:hint="eastAsia"/>
          <w:color w:val="auto"/>
        </w:rPr>
        <w:t>（大气扩散模型）、</w:t>
      </w:r>
      <w:r>
        <w:rPr>
          <w:color w:val="auto"/>
        </w:rPr>
        <w:t>AERMET</w:t>
      </w:r>
      <w:r>
        <w:rPr>
          <w:rFonts w:hint="eastAsia"/>
          <w:color w:val="auto"/>
        </w:rPr>
        <w:t>（气象数据预处理器）和</w:t>
      </w:r>
      <w:r>
        <w:rPr>
          <w:color w:val="auto"/>
        </w:rPr>
        <w:t>AERMAP</w:t>
      </w:r>
      <w:r>
        <w:rPr>
          <w:rFonts w:hint="eastAsia"/>
          <w:color w:val="auto"/>
        </w:rPr>
        <w:t>（地形数据预处理器）。预测包括本次项目工程废气在评价范围内和关心点的地面浓度的预测计算（包括地面小时浓度、日平均浓度和年平均浓度）。</w:t>
      </w:r>
    </w:p>
    <w:p>
      <w:pPr>
        <w:keepLines w:val="0"/>
        <w:pageBreakBefore w:val="0"/>
        <w:kinsoku/>
        <w:wordWrap/>
        <w:topLinePunct w:val="0"/>
        <w:bidi w:val="0"/>
        <w:adjustRightInd w:val="0"/>
        <w:snapToGrid w:val="0"/>
        <w:ind w:firstLine="480" w:firstLineChars="200"/>
        <w:textAlignment w:val="auto"/>
        <w:rPr>
          <w:color w:val="auto"/>
        </w:rPr>
      </w:pPr>
      <w:r>
        <w:rPr>
          <w:rFonts w:hint="eastAsia"/>
          <w:color w:val="auto"/>
        </w:rPr>
        <w:t>气象数据采用托里气象站</w:t>
      </w:r>
      <w:r>
        <w:rPr>
          <w:color w:val="auto"/>
        </w:rPr>
        <w:t>2024</w:t>
      </w:r>
      <w:r>
        <w:rPr>
          <w:rFonts w:hint="eastAsia"/>
          <w:color w:val="auto"/>
        </w:rPr>
        <w:t>年的资料，全年逐日的</w:t>
      </w:r>
      <w:r>
        <w:rPr>
          <w:color w:val="auto"/>
        </w:rPr>
        <w:t>24</w:t>
      </w:r>
      <w:r>
        <w:rPr>
          <w:rFonts w:hint="eastAsia"/>
          <w:color w:val="auto"/>
        </w:rPr>
        <w:t>次的风向、风速、气温资料，总云量、低云量通过观测资料内插得出一天</w:t>
      </w:r>
      <w:r>
        <w:rPr>
          <w:color w:val="auto"/>
        </w:rPr>
        <w:t>24</w:t>
      </w:r>
      <w:r>
        <w:rPr>
          <w:rFonts w:hint="eastAsia"/>
          <w:color w:val="auto"/>
        </w:rPr>
        <w:t>次的云量资料。地形数据来源于</w:t>
      </w:r>
      <w:r>
        <w:rPr>
          <w:color w:val="auto"/>
        </w:rPr>
        <w:t>USGS</w:t>
      </w:r>
      <w:r>
        <w:rPr>
          <w:rFonts w:hint="eastAsia"/>
          <w:color w:val="auto"/>
        </w:rPr>
        <w:t>，精度为</w:t>
      </w:r>
      <w:r>
        <w:rPr>
          <w:color w:val="auto"/>
        </w:rPr>
        <w:t>90*90m</w:t>
      </w:r>
      <w:r>
        <w:rPr>
          <w:rFonts w:hint="eastAsia"/>
          <w:color w:val="auto"/>
        </w:rPr>
        <w:t>。</w:t>
      </w:r>
    </w:p>
    <w:p>
      <w:pPr>
        <w:keepLines w:val="0"/>
        <w:pageBreakBefore w:val="0"/>
        <w:kinsoku/>
        <w:wordWrap/>
        <w:topLinePunct w:val="0"/>
        <w:bidi w:val="0"/>
        <w:adjustRightInd w:val="0"/>
        <w:snapToGrid w:val="0"/>
        <w:ind w:firstLine="480" w:firstLineChars="200"/>
        <w:textAlignment w:val="auto"/>
        <w:rPr>
          <w:rFonts w:hint="eastAsia"/>
          <w:color w:val="auto"/>
          <w:highlight w:val="none"/>
        </w:rPr>
      </w:pPr>
      <w:r>
        <w:rPr>
          <w:rFonts w:hint="eastAsia"/>
          <w:color w:val="auto"/>
        </w:rPr>
        <w:t>计算时布点为等间距矩形网格，网格间距为</w:t>
      </w:r>
      <w:r>
        <w:rPr>
          <w:color w:val="auto"/>
        </w:rPr>
        <w:t>50m</w:t>
      </w:r>
      <w:r>
        <w:rPr>
          <w:rFonts w:hint="eastAsia"/>
          <w:color w:val="auto"/>
        </w:rPr>
        <w:t>，布点面积为</w:t>
      </w:r>
      <w:r>
        <w:rPr>
          <w:color w:val="auto"/>
        </w:rPr>
        <w:t>5km</w:t>
      </w:r>
      <w:r>
        <w:rPr>
          <w:rFonts w:hint="eastAsia"/>
          <w:color w:val="auto"/>
        </w:rPr>
        <w:t>×</w:t>
      </w:r>
      <w:r>
        <w:rPr>
          <w:color w:val="auto"/>
        </w:rPr>
        <w:t>5km</w:t>
      </w:r>
      <w:r>
        <w:rPr>
          <w:rFonts w:hint="eastAsia"/>
          <w:color w:val="auto"/>
        </w:rPr>
        <w:t>以将评价区域覆盖于其中。通过各网格点浓度值比较，给出地面小时浓度、日均浓度和年均浓度在评价区域内的最大值。</w:t>
      </w:r>
      <w:r>
        <w:rPr>
          <w:rFonts w:hint="eastAsia"/>
          <w:color w:val="auto"/>
          <w:highlight w:val="none"/>
        </w:rPr>
        <w:t>估算模型参数表见表</w:t>
      </w:r>
      <w:r>
        <w:rPr>
          <w:rFonts w:hint="eastAsia"/>
          <w:color w:val="auto"/>
          <w:highlight w:val="none"/>
          <w:lang w:val="en-US" w:eastAsia="zh-CN"/>
        </w:rPr>
        <w:t>6.2.1-1</w:t>
      </w:r>
      <w:r>
        <w:rPr>
          <w:rFonts w:hint="eastAsia"/>
          <w:color w:val="auto"/>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表</w:t>
      </w:r>
      <w:r>
        <w:rPr>
          <w:rFonts w:hint="eastAsia"/>
          <w:b/>
          <w:bCs/>
          <w:color w:val="auto"/>
          <w:sz w:val="21"/>
          <w:szCs w:val="21"/>
          <w:highlight w:val="none"/>
          <w:lang w:val="en-US" w:eastAsia="zh-CN"/>
        </w:rPr>
        <w:t>6.2.1-1</w:t>
      </w:r>
      <w:r>
        <w:rPr>
          <w:rFonts w:hint="eastAsia"/>
          <w:b/>
          <w:bCs/>
          <w:color w:val="auto"/>
          <w:sz w:val="21"/>
          <w:szCs w:val="21"/>
          <w:highlight w:val="none"/>
        </w:rPr>
        <w:t xml:space="preserve"> </w:t>
      </w:r>
      <w:r>
        <w:rPr>
          <w:rFonts w:hint="eastAsia"/>
          <w:b/>
          <w:bCs/>
          <w:color w:val="auto"/>
          <w:sz w:val="21"/>
          <w:szCs w:val="21"/>
          <w:highlight w:val="none"/>
          <w:lang w:val="en-US" w:eastAsia="zh-CN"/>
        </w:rPr>
        <w:t xml:space="preserve"> </w:t>
      </w:r>
      <w:r>
        <w:rPr>
          <w:rFonts w:hint="eastAsia"/>
          <w:b/>
          <w:bCs/>
          <w:color w:val="auto"/>
          <w:sz w:val="21"/>
          <w:szCs w:val="21"/>
          <w:highlight w:val="none"/>
        </w:rPr>
        <w:t xml:space="preserve"> 估算模型参数表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8" w:type="dxa"/>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选项</w:t>
            </w:r>
          </w:p>
        </w:tc>
        <w:tc>
          <w:tcPr>
            <w:tcW w:w="275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4"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城市/农村选项</w:t>
            </w:r>
          </w:p>
        </w:tc>
        <w:tc>
          <w:tcPr>
            <w:tcW w:w="275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城市/农村</w:t>
            </w:r>
          </w:p>
        </w:tc>
        <w:tc>
          <w:tcPr>
            <w:tcW w:w="275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4"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275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人口数（城市选项时）</w:t>
            </w:r>
          </w:p>
        </w:tc>
        <w:tc>
          <w:tcPr>
            <w:tcW w:w="275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s="Times New Roman"/>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8" w:type="dxa"/>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最高环境温度/</w:t>
            </w:r>
            <w:r>
              <w:rPr>
                <w:rFonts w:hint="eastAsia"/>
                <w:color w:val="auto"/>
                <w:sz w:val="21"/>
                <w:szCs w:val="21"/>
                <w:highlight w:val="none"/>
              </w:rPr>
              <w:t>℃</w:t>
            </w:r>
          </w:p>
        </w:tc>
        <w:tc>
          <w:tcPr>
            <w:tcW w:w="275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38.9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8" w:type="dxa"/>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最低环境温度/</w:t>
            </w:r>
            <w:r>
              <w:rPr>
                <w:rFonts w:hint="eastAsia"/>
                <w:color w:val="auto"/>
                <w:sz w:val="21"/>
                <w:szCs w:val="21"/>
                <w:highlight w:val="none"/>
              </w:rPr>
              <w:t>℃</w:t>
            </w:r>
          </w:p>
        </w:tc>
        <w:tc>
          <w:tcPr>
            <w:tcW w:w="275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8" w:type="dxa"/>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土地利用类型</w:t>
            </w:r>
          </w:p>
        </w:tc>
        <w:tc>
          <w:tcPr>
            <w:tcW w:w="275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建设用地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8" w:type="dxa"/>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区域湿度条件</w:t>
            </w:r>
          </w:p>
        </w:tc>
        <w:tc>
          <w:tcPr>
            <w:tcW w:w="275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干燥气候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4"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是否考虑地形</w:t>
            </w:r>
          </w:p>
        </w:tc>
        <w:tc>
          <w:tcPr>
            <w:tcW w:w="275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考虑地形</w:t>
            </w:r>
          </w:p>
        </w:tc>
        <w:tc>
          <w:tcPr>
            <w:tcW w:w="275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☑是     □否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4"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275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地形数据分辨率/m</w:t>
            </w:r>
          </w:p>
        </w:tc>
        <w:tc>
          <w:tcPr>
            <w:tcW w:w="275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4"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是否考虑海岸线熏烟</w:t>
            </w:r>
          </w:p>
        </w:tc>
        <w:tc>
          <w:tcPr>
            <w:tcW w:w="275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考虑海岸线熏烟</w:t>
            </w:r>
          </w:p>
        </w:tc>
        <w:tc>
          <w:tcPr>
            <w:tcW w:w="275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是    ☑否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4"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275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岸线距离/km</w:t>
            </w:r>
          </w:p>
        </w:tc>
        <w:tc>
          <w:tcPr>
            <w:tcW w:w="275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4"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275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岸线方向/°</w:t>
            </w:r>
          </w:p>
        </w:tc>
        <w:tc>
          <w:tcPr>
            <w:tcW w:w="275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w:t>
            </w:r>
          </w:p>
        </w:tc>
      </w:tr>
    </w:tbl>
    <w:p>
      <w:pPr>
        <w:pStyle w:val="5"/>
        <w:keepLines w:val="0"/>
        <w:pageBreakBefore w:val="0"/>
        <w:kinsoku/>
        <w:wordWrap/>
        <w:topLinePunct w:val="0"/>
        <w:bidi w:val="0"/>
        <w:adjustRightInd w:val="0"/>
        <w:snapToGrid w:val="0"/>
        <w:ind w:left="0" w:leftChars="0" w:firstLine="0" w:firstLineChars="0"/>
        <w:textAlignment w:val="auto"/>
        <w:rPr>
          <w:color w:val="auto"/>
          <w:highlight w:val="none"/>
        </w:rPr>
      </w:pPr>
      <w:r>
        <w:rPr>
          <w:rFonts w:hint="eastAsia"/>
          <w:color w:val="auto"/>
          <w:highlight w:val="none"/>
          <w:lang w:val="en-US" w:eastAsia="zh-CN"/>
        </w:rPr>
        <w:t>6.2.1.2</w:t>
      </w:r>
      <w:r>
        <w:rPr>
          <w:rFonts w:hint="eastAsia"/>
          <w:color w:val="auto"/>
          <w:highlight w:val="none"/>
        </w:rPr>
        <w:t>预测气象特征</w:t>
      </w:r>
      <w:r>
        <w:rPr>
          <w:color w:val="auto"/>
          <w:highlight w:val="none"/>
        </w:rPr>
        <w:t>分析</w:t>
      </w:r>
    </w:p>
    <w:p>
      <w:pPr>
        <w:keepLines w:val="0"/>
        <w:pageBreakBefore w:val="0"/>
        <w:kinsoku/>
        <w:wordWrap/>
        <w:topLinePunct w:val="0"/>
        <w:bidi w:val="0"/>
        <w:adjustRightInd w:val="0"/>
        <w:snapToGrid w:val="0"/>
        <w:ind w:firstLine="480" w:firstLineChars="200"/>
        <w:textAlignment w:val="auto"/>
        <w:rPr>
          <w:color w:val="auto"/>
          <w:highlight w:val="none"/>
        </w:rPr>
      </w:pPr>
      <w:r>
        <w:rPr>
          <w:rFonts w:hint="eastAsia"/>
          <w:color w:val="auto"/>
        </w:rPr>
        <w:t>本次评价收集了托里气象站</w:t>
      </w:r>
      <w:r>
        <w:rPr>
          <w:color w:val="auto"/>
        </w:rPr>
        <w:t>2024</w:t>
      </w:r>
      <w:r>
        <w:rPr>
          <w:rFonts w:hint="eastAsia"/>
          <w:color w:val="auto"/>
        </w:rPr>
        <w:t>年连续</w:t>
      </w:r>
      <w:r>
        <w:rPr>
          <w:color w:val="auto"/>
        </w:rPr>
        <w:t>1</w:t>
      </w:r>
      <w:r>
        <w:rPr>
          <w:rFonts w:hint="eastAsia"/>
          <w:color w:val="auto"/>
        </w:rPr>
        <w:t>年逐日逐次（一天</w:t>
      </w:r>
      <w:r>
        <w:rPr>
          <w:color w:val="auto"/>
        </w:rPr>
        <w:t>24</w:t>
      </w:r>
      <w:r>
        <w:rPr>
          <w:rFonts w:hint="eastAsia"/>
          <w:color w:val="auto"/>
        </w:rPr>
        <w:t>次）地面常规气象观测资料，主要观测因子有干球温度、风向、风速、总云、低云。常规高空气象收集了</w:t>
      </w:r>
      <w:r>
        <w:rPr>
          <w:color w:val="auto"/>
        </w:rPr>
        <w:t>NOAA/ESRL</w:t>
      </w:r>
      <w:r>
        <w:rPr>
          <w:rFonts w:hint="eastAsia"/>
          <w:color w:val="auto"/>
        </w:rPr>
        <w:t>最近探空站资料，主要因子为气压、高度、干球温度。</w:t>
      </w:r>
      <w:r>
        <w:rPr>
          <w:color w:val="auto"/>
          <w:highlight w:val="none"/>
        </w:rPr>
        <w:t>常规气象资料分析内容见表</w:t>
      </w:r>
      <w:r>
        <w:rPr>
          <w:rFonts w:hint="eastAsia"/>
          <w:color w:val="auto"/>
          <w:highlight w:val="none"/>
          <w:lang w:val="en-US" w:eastAsia="zh-CN"/>
        </w:rPr>
        <w:t>6.2.1-2～</w:t>
      </w:r>
      <w:r>
        <w:rPr>
          <w:color w:val="auto"/>
          <w:highlight w:val="none"/>
        </w:rPr>
        <w:t>表</w:t>
      </w:r>
      <w:r>
        <w:rPr>
          <w:rFonts w:hint="eastAsia"/>
          <w:color w:val="auto"/>
          <w:highlight w:val="none"/>
          <w:lang w:val="en-US" w:eastAsia="zh-CN"/>
        </w:rPr>
        <w:t>5.2.1</w:t>
      </w:r>
      <w:r>
        <w:rPr>
          <w:color w:val="auto"/>
          <w:highlight w:val="none"/>
        </w:rPr>
        <w:t>-</w:t>
      </w:r>
      <w:r>
        <w:rPr>
          <w:rFonts w:hint="eastAsia"/>
          <w:color w:val="auto"/>
          <w:highlight w:val="none"/>
          <w:lang w:val="en-US" w:eastAsia="zh-CN"/>
        </w:rPr>
        <w:t>6</w:t>
      </w:r>
      <w:r>
        <w:rPr>
          <w:color w:val="auto"/>
          <w:highlight w:val="none"/>
        </w:rPr>
        <w:t>，图</w:t>
      </w:r>
      <w:r>
        <w:rPr>
          <w:rFonts w:hint="eastAsia"/>
          <w:color w:val="auto"/>
          <w:highlight w:val="none"/>
          <w:lang w:val="en-US" w:eastAsia="zh-CN"/>
        </w:rPr>
        <w:t>6.2.1</w:t>
      </w:r>
      <w:r>
        <w:rPr>
          <w:color w:val="auto"/>
          <w:highlight w:val="none"/>
        </w:rPr>
        <w:t>-1</w:t>
      </w:r>
      <w:r>
        <w:rPr>
          <w:rFonts w:hint="eastAsia"/>
          <w:color w:val="auto"/>
          <w:highlight w:val="none"/>
          <w:lang w:eastAsia="zh-CN"/>
        </w:rPr>
        <w:t>～</w:t>
      </w:r>
      <w:r>
        <w:rPr>
          <w:color w:val="auto"/>
          <w:highlight w:val="none"/>
        </w:rPr>
        <w:t>图</w:t>
      </w:r>
      <w:r>
        <w:rPr>
          <w:rFonts w:hint="eastAsia"/>
          <w:color w:val="auto"/>
          <w:highlight w:val="none"/>
          <w:lang w:val="en-US" w:eastAsia="zh-CN"/>
        </w:rPr>
        <w:t>6.2.1</w:t>
      </w:r>
      <w:r>
        <w:rPr>
          <w:color w:val="auto"/>
          <w:highlight w:val="none"/>
        </w:rPr>
        <w:t>-</w:t>
      </w:r>
      <w:r>
        <w:rPr>
          <w:rFonts w:hint="eastAsia"/>
          <w:color w:val="auto"/>
          <w:highlight w:val="none"/>
        </w:rPr>
        <w:t>4</w:t>
      </w:r>
      <w:r>
        <w:rPr>
          <w:color w:val="auto"/>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lang w:val="en-US" w:eastAsia="zh-CN"/>
        </w:rPr>
      </w:pPr>
      <w:r>
        <w:rPr>
          <w:rFonts w:hint="eastAsia"/>
          <w:b/>
          <w:bCs/>
          <w:color w:val="auto"/>
          <w:sz w:val="21"/>
          <w:szCs w:val="21"/>
          <w:highlight w:val="none"/>
          <w:lang w:val="en-US" w:eastAsia="zh-CN"/>
        </w:rPr>
        <w:t>表6.2.1-2   年平均温度月变化表</w:t>
      </w:r>
    </w:p>
    <w:tbl>
      <w:tblPr>
        <w:tblStyle w:val="33"/>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65"/>
        <w:gridCol w:w="604"/>
        <w:gridCol w:w="606"/>
        <w:gridCol w:w="604"/>
        <w:gridCol w:w="604"/>
        <w:gridCol w:w="604"/>
        <w:gridCol w:w="604"/>
        <w:gridCol w:w="604"/>
        <w:gridCol w:w="604"/>
        <w:gridCol w:w="605"/>
        <w:gridCol w:w="602"/>
        <w:gridCol w:w="605"/>
        <w:gridCol w:w="60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月份</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1月</w:t>
            </w:r>
          </w:p>
        </w:tc>
        <w:tc>
          <w:tcPr>
            <w:tcW w:w="6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2月</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3月</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4月</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5月</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6月</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7月</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8月</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9月</w:t>
            </w:r>
          </w:p>
        </w:tc>
        <w:tc>
          <w:tcPr>
            <w:tcW w:w="6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10月</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11月</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12月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温度</w:t>
            </w:r>
            <w:r>
              <w:rPr>
                <w:color w:val="auto"/>
                <w:sz w:val="21"/>
                <w:szCs w:val="21"/>
                <w:highlight w:val="none"/>
              </w:rPr>
              <w:t>(</w:t>
            </w:r>
            <w:r>
              <w:rPr>
                <w:rFonts w:hint="eastAsia"/>
                <w:color w:val="auto"/>
                <w:sz w:val="21"/>
                <w:szCs w:val="21"/>
                <w:highlight w:val="none"/>
              </w:rPr>
              <w:t>℃</w:t>
            </w:r>
            <w:r>
              <w:rPr>
                <w:color w:val="auto"/>
                <w:sz w:val="21"/>
                <w:szCs w:val="21"/>
                <w:highlight w:val="none"/>
              </w:rPr>
              <w:t>)</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-7.49</w:t>
            </w:r>
          </w:p>
        </w:tc>
        <w:tc>
          <w:tcPr>
            <w:tcW w:w="6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 xml:space="preserve">-10.43 </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0.51</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9.95</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16.85</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21.59</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22.37</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22.72</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12.45</w:t>
            </w:r>
          </w:p>
        </w:tc>
        <w:tc>
          <w:tcPr>
            <w:tcW w:w="6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7.78</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-1.15</w:t>
            </w:r>
          </w:p>
        </w:tc>
        <w:tc>
          <w:tcPr>
            <w:tcW w:w="6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-9.28</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rPr>
      </w:pPr>
      <w:r>
        <w:rPr>
          <w:color w:val="auto"/>
        </w:rPr>
        <w:drawing>
          <wp:inline distT="0" distB="0" distL="0" distR="0">
            <wp:extent cx="5274310" cy="2025015"/>
            <wp:effectExtent l="4445" t="4445" r="17145" b="8890"/>
            <wp:docPr id="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lang w:val="en-US" w:eastAsia="zh-CN"/>
        </w:rPr>
      </w:pPr>
      <w:r>
        <w:rPr>
          <w:rFonts w:hint="eastAsia"/>
          <w:b/>
          <w:bCs/>
          <w:color w:val="auto"/>
          <w:sz w:val="21"/>
          <w:szCs w:val="21"/>
          <w:highlight w:val="none"/>
          <w:lang w:val="en-US" w:eastAsia="zh-CN"/>
        </w:rPr>
        <w:t>图6.2.1-1   年平均温度月变化曲线</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lang w:val="en-US" w:eastAsia="zh-CN"/>
        </w:rPr>
      </w:pPr>
      <w:r>
        <w:rPr>
          <w:rFonts w:hint="eastAsia"/>
          <w:b/>
          <w:bCs/>
          <w:color w:val="auto"/>
          <w:sz w:val="21"/>
          <w:szCs w:val="21"/>
          <w:highlight w:val="none"/>
          <w:lang w:val="en-US" w:eastAsia="zh-CN"/>
        </w:rPr>
        <w:t>表6.2.1-3   年平均风速月变化表</w:t>
      </w:r>
    </w:p>
    <w:tbl>
      <w:tblPr>
        <w:tblStyle w:val="33"/>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43"/>
        <w:gridCol w:w="597"/>
        <w:gridCol w:w="598"/>
        <w:gridCol w:w="597"/>
        <w:gridCol w:w="600"/>
        <w:gridCol w:w="597"/>
        <w:gridCol w:w="597"/>
        <w:gridCol w:w="598"/>
        <w:gridCol w:w="600"/>
        <w:gridCol w:w="597"/>
        <w:gridCol w:w="597"/>
        <w:gridCol w:w="598"/>
        <w:gridCol w:w="59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月份</w:t>
            </w:r>
          </w:p>
        </w:tc>
        <w:tc>
          <w:tcPr>
            <w:tcW w:w="6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1月</w:t>
            </w:r>
          </w:p>
        </w:tc>
        <w:tc>
          <w:tcPr>
            <w:tcW w:w="6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2月</w:t>
            </w:r>
          </w:p>
        </w:tc>
        <w:tc>
          <w:tcPr>
            <w:tcW w:w="6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3月</w:t>
            </w:r>
          </w:p>
        </w:tc>
        <w:tc>
          <w:tcPr>
            <w:tcW w:w="62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4月</w:t>
            </w:r>
          </w:p>
        </w:tc>
        <w:tc>
          <w:tcPr>
            <w:tcW w:w="6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5月</w:t>
            </w:r>
          </w:p>
        </w:tc>
        <w:tc>
          <w:tcPr>
            <w:tcW w:w="6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6月</w:t>
            </w:r>
          </w:p>
        </w:tc>
        <w:tc>
          <w:tcPr>
            <w:tcW w:w="6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7月</w:t>
            </w:r>
          </w:p>
        </w:tc>
        <w:tc>
          <w:tcPr>
            <w:tcW w:w="62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8月</w:t>
            </w:r>
          </w:p>
        </w:tc>
        <w:tc>
          <w:tcPr>
            <w:tcW w:w="6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9月</w:t>
            </w:r>
          </w:p>
        </w:tc>
        <w:tc>
          <w:tcPr>
            <w:tcW w:w="6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10月</w:t>
            </w:r>
          </w:p>
        </w:tc>
        <w:tc>
          <w:tcPr>
            <w:tcW w:w="6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11月</w:t>
            </w:r>
          </w:p>
        </w:tc>
        <w:tc>
          <w:tcPr>
            <w:tcW w:w="6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12月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风速(m/s)</w:t>
            </w:r>
          </w:p>
        </w:tc>
        <w:tc>
          <w:tcPr>
            <w:tcW w:w="6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1.60</w:t>
            </w:r>
          </w:p>
        </w:tc>
        <w:tc>
          <w:tcPr>
            <w:tcW w:w="6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1.75</w:t>
            </w:r>
          </w:p>
        </w:tc>
        <w:tc>
          <w:tcPr>
            <w:tcW w:w="6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2.05</w:t>
            </w:r>
          </w:p>
        </w:tc>
        <w:tc>
          <w:tcPr>
            <w:tcW w:w="62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2.80</w:t>
            </w:r>
          </w:p>
        </w:tc>
        <w:tc>
          <w:tcPr>
            <w:tcW w:w="6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2.65</w:t>
            </w:r>
          </w:p>
        </w:tc>
        <w:tc>
          <w:tcPr>
            <w:tcW w:w="6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2.54</w:t>
            </w:r>
          </w:p>
        </w:tc>
        <w:tc>
          <w:tcPr>
            <w:tcW w:w="6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2.27</w:t>
            </w:r>
          </w:p>
        </w:tc>
        <w:tc>
          <w:tcPr>
            <w:tcW w:w="62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2.49</w:t>
            </w:r>
          </w:p>
        </w:tc>
        <w:tc>
          <w:tcPr>
            <w:tcW w:w="6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2.15</w:t>
            </w:r>
          </w:p>
        </w:tc>
        <w:tc>
          <w:tcPr>
            <w:tcW w:w="6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2.01</w:t>
            </w:r>
          </w:p>
        </w:tc>
        <w:tc>
          <w:tcPr>
            <w:tcW w:w="6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1.80</w:t>
            </w:r>
          </w:p>
        </w:tc>
        <w:tc>
          <w:tcPr>
            <w:tcW w:w="6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1.46</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rPr>
      </w:pPr>
      <w:r>
        <w:rPr>
          <w:color w:val="auto"/>
        </w:rPr>
        <w:drawing>
          <wp:inline distT="0" distB="0" distL="0" distR="0">
            <wp:extent cx="5274310" cy="2030095"/>
            <wp:effectExtent l="4445" t="4445" r="17145" b="22860"/>
            <wp:docPr id="5"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图</w:t>
      </w:r>
      <w:r>
        <w:rPr>
          <w:rFonts w:hint="eastAsia"/>
          <w:b/>
          <w:bCs/>
          <w:color w:val="auto"/>
          <w:sz w:val="21"/>
          <w:szCs w:val="21"/>
          <w:highlight w:val="none"/>
          <w:lang w:val="en-US" w:eastAsia="zh-CN"/>
        </w:rPr>
        <w:t>6.2.1</w:t>
      </w:r>
      <w:r>
        <w:rPr>
          <w:rFonts w:hint="eastAsia"/>
          <w:b/>
          <w:bCs/>
          <w:color w:val="auto"/>
          <w:sz w:val="21"/>
          <w:szCs w:val="21"/>
          <w:highlight w:val="none"/>
        </w:rPr>
        <w:t>-2   年平均风速月变化曲线</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表</w:t>
      </w:r>
      <w:r>
        <w:rPr>
          <w:rFonts w:hint="eastAsia"/>
          <w:b/>
          <w:bCs/>
          <w:color w:val="auto"/>
          <w:sz w:val="21"/>
          <w:szCs w:val="21"/>
          <w:highlight w:val="none"/>
          <w:lang w:val="en-US" w:eastAsia="zh-CN"/>
        </w:rPr>
        <w:t>6.2.1</w:t>
      </w:r>
      <w:r>
        <w:rPr>
          <w:rFonts w:hint="eastAsia"/>
          <w:b/>
          <w:bCs/>
          <w:color w:val="auto"/>
          <w:sz w:val="21"/>
          <w:szCs w:val="21"/>
          <w:highlight w:val="none"/>
        </w:rPr>
        <w:t>-</w:t>
      </w:r>
      <w:r>
        <w:rPr>
          <w:rFonts w:hint="eastAsia"/>
          <w:b/>
          <w:bCs/>
          <w:color w:val="auto"/>
          <w:sz w:val="21"/>
          <w:szCs w:val="21"/>
          <w:highlight w:val="none"/>
          <w:lang w:val="en-US" w:eastAsia="zh-CN"/>
        </w:rPr>
        <w:t>4</w:t>
      </w:r>
      <w:r>
        <w:rPr>
          <w:rFonts w:hint="eastAsia"/>
          <w:b/>
          <w:bCs/>
          <w:color w:val="auto"/>
          <w:sz w:val="21"/>
          <w:szCs w:val="21"/>
          <w:highlight w:val="none"/>
        </w:rPr>
        <w:t xml:space="preserve">  </w:t>
      </w:r>
      <w:r>
        <w:rPr>
          <w:rFonts w:hint="eastAsia"/>
          <w:b/>
          <w:bCs/>
          <w:color w:val="auto"/>
          <w:sz w:val="21"/>
          <w:szCs w:val="21"/>
          <w:highlight w:val="none"/>
          <w:lang w:val="en-US" w:eastAsia="zh-CN"/>
        </w:rPr>
        <w:t xml:space="preserve"> </w:t>
      </w:r>
      <w:r>
        <w:rPr>
          <w:rFonts w:hint="eastAsia"/>
          <w:b/>
          <w:bCs/>
          <w:color w:val="auto"/>
          <w:sz w:val="21"/>
          <w:szCs w:val="21"/>
          <w:highlight w:val="none"/>
        </w:rPr>
        <w:t>季小时平均风速的日变化表</w:t>
      </w:r>
    </w:p>
    <w:tbl>
      <w:tblPr>
        <w:tblStyle w:val="33"/>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14"/>
        <w:gridCol w:w="645"/>
        <w:gridCol w:w="613"/>
        <w:gridCol w:w="616"/>
        <w:gridCol w:w="613"/>
        <w:gridCol w:w="613"/>
        <w:gridCol w:w="616"/>
        <w:gridCol w:w="614"/>
        <w:gridCol w:w="613"/>
        <w:gridCol w:w="616"/>
        <w:gridCol w:w="613"/>
        <w:gridCol w:w="614"/>
        <w:gridCol w:w="61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风速(m/s)</w:t>
            </w:r>
          </w:p>
        </w:tc>
        <w:tc>
          <w:tcPr>
            <w:tcW w:w="6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1</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2</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3</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4</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5</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6</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7</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8</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9</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10</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11</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春季</w:t>
            </w:r>
          </w:p>
        </w:tc>
        <w:tc>
          <w:tcPr>
            <w:tcW w:w="6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1.94</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1.88</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2.10</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2.07</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2.10</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1.93</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2.03</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2.00</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1.91</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2.02</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2.26</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2.68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夏季</w:t>
            </w:r>
          </w:p>
        </w:tc>
        <w:tc>
          <w:tcPr>
            <w:tcW w:w="6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2.08</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2.11</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2.20</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2.13</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2.16</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2.16</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2.15</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2.03</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2.11</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2.18</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2.35</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秋季</w:t>
            </w:r>
          </w:p>
        </w:tc>
        <w:tc>
          <w:tcPr>
            <w:tcW w:w="6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1.85</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1.75</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1.83</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1.77</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1.74</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1.79</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1.70</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1.74</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1.72</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1.65</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1.93</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冬季</w:t>
            </w:r>
          </w:p>
        </w:tc>
        <w:tc>
          <w:tcPr>
            <w:tcW w:w="6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1.57</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1.51</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1.64</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1.68</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1.72</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1.62</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1.66</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1.54</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1.53</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1.66</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1.45</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1.46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风速(m/s)</w:t>
            </w:r>
          </w:p>
        </w:tc>
        <w:tc>
          <w:tcPr>
            <w:tcW w:w="6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13</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14</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15</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16</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18</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19</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20</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21</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22</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23</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春季</w:t>
            </w:r>
          </w:p>
        </w:tc>
        <w:tc>
          <w:tcPr>
            <w:tcW w:w="6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3.11</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3.17</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3.37</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3.53</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3.67</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3.53</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3.27</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3.07</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2.42</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2.00</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1.93</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夏季</w:t>
            </w:r>
          </w:p>
        </w:tc>
        <w:tc>
          <w:tcPr>
            <w:tcW w:w="6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2.83</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3.05</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3.21</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3.16</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3.08</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3.02</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2.93</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2.80</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2.47</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1.97</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1.73</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秋季</w:t>
            </w:r>
          </w:p>
        </w:tc>
        <w:tc>
          <w:tcPr>
            <w:tcW w:w="6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2.21</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2.56</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2.61</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2.73</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2.56</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2.50</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2.28</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1.94</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1.77</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1.72</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1.61</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冬季</w:t>
            </w:r>
          </w:p>
        </w:tc>
        <w:tc>
          <w:tcPr>
            <w:tcW w:w="6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1.62</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1.72</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1.80</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1.82</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1.80</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1.62</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1.57</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1.52</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1.49</w:t>
            </w:r>
          </w:p>
        </w:tc>
        <w:tc>
          <w:tcPr>
            <w:tcW w:w="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1.44</w:t>
            </w:r>
          </w:p>
        </w:tc>
        <w:tc>
          <w:tcPr>
            <w:tcW w:w="6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1.47</w:t>
            </w:r>
          </w:p>
        </w:tc>
        <w:tc>
          <w:tcPr>
            <w:tcW w:w="6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1.50</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rPr>
      </w:pPr>
      <w:r>
        <w:rPr>
          <w:color w:val="auto"/>
        </w:rPr>
        <w:drawing>
          <wp:inline distT="0" distB="0" distL="0" distR="0">
            <wp:extent cx="5274310" cy="2200910"/>
            <wp:effectExtent l="0" t="0" r="2540" b="8890"/>
            <wp:docPr id="6"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图</w:t>
      </w:r>
      <w:r>
        <w:rPr>
          <w:rFonts w:hint="eastAsia"/>
          <w:b/>
          <w:bCs/>
          <w:color w:val="auto"/>
          <w:sz w:val="21"/>
          <w:szCs w:val="21"/>
          <w:highlight w:val="none"/>
          <w:lang w:val="en-US" w:eastAsia="zh-CN"/>
        </w:rPr>
        <w:t>6.2.1</w:t>
      </w:r>
      <w:r>
        <w:rPr>
          <w:rFonts w:hint="eastAsia"/>
          <w:b/>
          <w:bCs/>
          <w:color w:val="auto"/>
          <w:sz w:val="21"/>
          <w:szCs w:val="21"/>
          <w:highlight w:val="none"/>
        </w:rPr>
        <w:t>-</w:t>
      </w:r>
      <w:r>
        <w:rPr>
          <w:rFonts w:hint="eastAsia"/>
          <w:b/>
          <w:bCs/>
          <w:color w:val="auto"/>
          <w:sz w:val="21"/>
          <w:szCs w:val="21"/>
          <w:highlight w:val="none"/>
          <w:lang w:val="en-US" w:eastAsia="zh-CN"/>
        </w:rPr>
        <w:t>3</w:t>
      </w:r>
      <w:r>
        <w:rPr>
          <w:rFonts w:hint="eastAsia"/>
          <w:b/>
          <w:bCs/>
          <w:color w:val="auto"/>
          <w:sz w:val="21"/>
          <w:szCs w:val="21"/>
          <w:highlight w:val="none"/>
        </w:rPr>
        <w:t xml:space="preserve">   季小时平均风速的日变化曲线</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rPr>
        <w:sectPr>
          <w:footerReference r:id="rId7" w:type="default"/>
          <w:pgSz w:w="11906" w:h="16838"/>
          <w:pgMar w:top="1440" w:right="1800" w:bottom="1440" w:left="1800" w:header="1077" w:footer="992" w:gutter="0"/>
          <w:pgBorders>
            <w:top w:val="none" w:sz="0" w:space="0"/>
            <w:left w:val="none" w:sz="0" w:space="0"/>
            <w:bottom w:val="none" w:sz="0" w:space="0"/>
            <w:right w:val="none" w:sz="0" w:space="0"/>
          </w:pgBorders>
          <w:pgNumType w:fmt="decimal" w:chapStyle="1"/>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表</w:t>
      </w:r>
      <w:r>
        <w:rPr>
          <w:rFonts w:hint="eastAsia"/>
          <w:b/>
          <w:bCs/>
          <w:color w:val="auto"/>
          <w:sz w:val="21"/>
          <w:szCs w:val="21"/>
          <w:highlight w:val="none"/>
          <w:lang w:val="en-US" w:eastAsia="zh-CN"/>
        </w:rPr>
        <w:t>6.2.1</w:t>
      </w:r>
      <w:r>
        <w:rPr>
          <w:rFonts w:hint="eastAsia"/>
          <w:b/>
          <w:bCs/>
          <w:color w:val="auto"/>
          <w:sz w:val="21"/>
          <w:szCs w:val="21"/>
          <w:highlight w:val="none"/>
        </w:rPr>
        <w:t>-</w:t>
      </w:r>
      <w:r>
        <w:rPr>
          <w:rFonts w:hint="eastAsia"/>
          <w:b/>
          <w:bCs/>
          <w:color w:val="auto"/>
          <w:sz w:val="21"/>
          <w:szCs w:val="21"/>
          <w:highlight w:val="none"/>
          <w:lang w:val="en-US" w:eastAsia="zh-CN"/>
        </w:rPr>
        <w:t>5</w:t>
      </w:r>
      <w:r>
        <w:rPr>
          <w:rFonts w:hint="eastAsia"/>
          <w:b/>
          <w:bCs/>
          <w:color w:val="auto"/>
          <w:sz w:val="21"/>
          <w:szCs w:val="21"/>
          <w:highlight w:val="none"/>
        </w:rPr>
        <w:t xml:space="preserve"> </w:t>
      </w:r>
      <w:r>
        <w:rPr>
          <w:rFonts w:hint="eastAsia"/>
          <w:b/>
          <w:bCs/>
          <w:color w:val="auto"/>
          <w:sz w:val="21"/>
          <w:szCs w:val="21"/>
          <w:highlight w:val="none"/>
          <w:lang w:val="en-US" w:eastAsia="zh-CN"/>
        </w:rPr>
        <w:t xml:space="preserve"> </w:t>
      </w:r>
      <w:r>
        <w:rPr>
          <w:rFonts w:hint="eastAsia"/>
          <w:b/>
          <w:bCs/>
          <w:color w:val="auto"/>
          <w:sz w:val="21"/>
          <w:szCs w:val="21"/>
          <w:highlight w:val="none"/>
        </w:rPr>
        <w:t xml:space="preserve"> 年均风频的月变化表</w:t>
      </w:r>
    </w:p>
    <w:tbl>
      <w:tblPr>
        <w:tblStyle w:val="33"/>
        <w:tblW w:w="5003"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68"/>
        <w:gridCol w:w="755"/>
        <w:gridCol w:w="754"/>
        <w:gridCol w:w="756"/>
        <w:gridCol w:w="754"/>
        <w:gridCol w:w="754"/>
        <w:gridCol w:w="754"/>
        <w:gridCol w:w="754"/>
        <w:gridCol w:w="754"/>
        <w:gridCol w:w="754"/>
        <w:gridCol w:w="756"/>
        <w:gridCol w:w="754"/>
        <w:gridCol w:w="754"/>
        <w:gridCol w:w="754"/>
        <w:gridCol w:w="754"/>
        <w:gridCol w:w="754"/>
        <w:gridCol w:w="754"/>
        <w:gridCol w:w="73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风向风频</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w:t>
            </w:r>
          </w:p>
        </w:tc>
        <w:tc>
          <w:tcPr>
            <w:tcW w:w="7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N</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NNE</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NE</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ENE</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E</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ESE</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SE</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SSE</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S</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SSW</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SW</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WSW</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W</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WNW</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NW</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NNW</w:t>
            </w:r>
          </w:p>
        </w:tc>
        <w:tc>
          <w:tcPr>
            <w:tcW w:w="7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一月</w:t>
            </w:r>
          </w:p>
        </w:tc>
        <w:tc>
          <w:tcPr>
            <w:tcW w:w="7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4.03</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1.61</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3.49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3.36</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5.24</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4.97</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12.90</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20.43</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16.80</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4.84</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3.63</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2.82</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4.70</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4.30</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3.49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3.23</w:t>
            </w:r>
          </w:p>
        </w:tc>
        <w:tc>
          <w:tcPr>
            <w:tcW w:w="7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0.13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二月</w:t>
            </w:r>
          </w:p>
        </w:tc>
        <w:tc>
          <w:tcPr>
            <w:tcW w:w="7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4.89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4.17</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3.45</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5.89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3.74</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2.59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8.48</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17.39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14.37</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5.03</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4.45</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3.74</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8.33</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5.17</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4.89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3.45</w:t>
            </w:r>
          </w:p>
        </w:tc>
        <w:tc>
          <w:tcPr>
            <w:tcW w:w="7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三月</w:t>
            </w:r>
          </w:p>
        </w:tc>
        <w:tc>
          <w:tcPr>
            <w:tcW w:w="7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12.90</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9.01</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6.85</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3.76</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3.23</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2.96</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6.85</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8.74</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12.23</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4.84</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2.69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1.88</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5.11</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2.96</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5.51</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10.35</w:t>
            </w:r>
          </w:p>
        </w:tc>
        <w:tc>
          <w:tcPr>
            <w:tcW w:w="7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0.13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四月</w:t>
            </w:r>
          </w:p>
        </w:tc>
        <w:tc>
          <w:tcPr>
            <w:tcW w:w="7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11.81</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7.64</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4.17</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2.78</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3.89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2.36</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5.28</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7.64</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16.81</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6.94</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3.47</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2.22</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4.44</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3.06</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5.28</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12.22</w:t>
            </w:r>
          </w:p>
        </w:tc>
        <w:tc>
          <w:tcPr>
            <w:tcW w:w="7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五月</w:t>
            </w:r>
          </w:p>
        </w:tc>
        <w:tc>
          <w:tcPr>
            <w:tcW w:w="7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10.62</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8.47</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8.20</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6.05</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3.49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2.42</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4.84</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6.59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13.31</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9.01</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4.03</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2.42</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2.42</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2.69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3.90</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11.56</w:t>
            </w:r>
          </w:p>
        </w:tc>
        <w:tc>
          <w:tcPr>
            <w:tcW w:w="7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六月</w:t>
            </w:r>
          </w:p>
        </w:tc>
        <w:tc>
          <w:tcPr>
            <w:tcW w:w="7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11.11</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9.31</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8.89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3.61</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4.17</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2.08</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2.78</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2.50</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13.89</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13.19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4.86</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1.94</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3.19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3.19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4.17</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11.11</w:t>
            </w:r>
          </w:p>
        </w:tc>
        <w:tc>
          <w:tcPr>
            <w:tcW w:w="7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七月</w:t>
            </w:r>
          </w:p>
        </w:tc>
        <w:tc>
          <w:tcPr>
            <w:tcW w:w="7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8.74</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7.12</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8.33</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4.44</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3.09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2.55</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3.63</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4.70</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17.47</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13.31</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6.59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2.82</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2.82</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1.61</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4.03</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8.74</w:t>
            </w:r>
          </w:p>
        </w:tc>
        <w:tc>
          <w:tcPr>
            <w:tcW w:w="7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八月</w:t>
            </w:r>
          </w:p>
        </w:tc>
        <w:tc>
          <w:tcPr>
            <w:tcW w:w="7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9.68</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9.14</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5.91</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3.36</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2.82</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2.02</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3.09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5.65</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19.89</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13.44</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8.06</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3.23</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2.69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1.21</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2.28</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7.53</w:t>
            </w:r>
          </w:p>
        </w:tc>
        <w:tc>
          <w:tcPr>
            <w:tcW w:w="7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九月</w:t>
            </w:r>
          </w:p>
        </w:tc>
        <w:tc>
          <w:tcPr>
            <w:tcW w:w="7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10.56</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7.64</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8.61</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7.50</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6.39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3.89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5.28</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7.36</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17.78</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5.28</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3.06</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1.81</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2.08</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2.22</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3.89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6.67</w:t>
            </w:r>
          </w:p>
        </w:tc>
        <w:tc>
          <w:tcPr>
            <w:tcW w:w="7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十月</w:t>
            </w:r>
          </w:p>
        </w:tc>
        <w:tc>
          <w:tcPr>
            <w:tcW w:w="7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10.48</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9.27</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13.04</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8.33</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6.72</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3.90</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5.51</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7.26</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10.48</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3.90</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3.76</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2.96</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4.30</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2.15</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2.42</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5.51</w:t>
            </w:r>
          </w:p>
        </w:tc>
        <w:tc>
          <w:tcPr>
            <w:tcW w:w="7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十一月</w:t>
            </w:r>
          </w:p>
        </w:tc>
        <w:tc>
          <w:tcPr>
            <w:tcW w:w="7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5.69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6.53</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8.61</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5.42</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4.72</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5.42</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5.83</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12.78</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18.33</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5.28</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4.44</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3.61</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3.47</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2.50</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3.61</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3.75</w:t>
            </w:r>
          </w:p>
        </w:tc>
        <w:tc>
          <w:tcPr>
            <w:tcW w:w="7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十二月</w:t>
            </w:r>
          </w:p>
        </w:tc>
        <w:tc>
          <w:tcPr>
            <w:tcW w:w="7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5.65</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4.30</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3.23</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6.05</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4.57</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5.91</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10.08</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16.40</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17.74</w:t>
            </w:r>
          </w:p>
        </w:tc>
        <w:tc>
          <w:tcPr>
            <w:tcW w:w="7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4.70</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2.96</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3.23</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4.44</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3.36</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3.09</w:t>
            </w:r>
          </w:p>
        </w:tc>
        <w:tc>
          <w:tcPr>
            <w:tcW w:w="7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2.02</w:t>
            </w:r>
          </w:p>
        </w:tc>
        <w:tc>
          <w:tcPr>
            <w:tcW w:w="7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2.28</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表</w:t>
      </w:r>
      <w:r>
        <w:rPr>
          <w:rFonts w:hint="eastAsia"/>
          <w:b/>
          <w:bCs/>
          <w:color w:val="auto"/>
          <w:sz w:val="21"/>
          <w:szCs w:val="21"/>
          <w:highlight w:val="none"/>
          <w:lang w:val="en-US" w:eastAsia="zh-CN"/>
        </w:rPr>
        <w:t>6.2.1</w:t>
      </w:r>
      <w:r>
        <w:rPr>
          <w:rFonts w:hint="eastAsia"/>
          <w:b/>
          <w:bCs/>
          <w:color w:val="auto"/>
          <w:sz w:val="21"/>
          <w:szCs w:val="21"/>
          <w:highlight w:val="none"/>
        </w:rPr>
        <w:t>-</w:t>
      </w:r>
      <w:r>
        <w:rPr>
          <w:rFonts w:hint="eastAsia"/>
          <w:b/>
          <w:bCs/>
          <w:color w:val="auto"/>
          <w:sz w:val="21"/>
          <w:szCs w:val="21"/>
          <w:highlight w:val="none"/>
          <w:lang w:val="en-US" w:eastAsia="zh-CN"/>
        </w:rPr>
        <w:t>6</w:t>
      </w:r>
      <w:r>
        <w:rPr>
          <w:rFonts w:hint="eastAsia"/>
          <w:b/>
          <w:bCs/>
          <w:color w:val="auto"/>
          <w:sz w:val="21"/>
          <w:szCs w:val="21"/>
          <w:highlight w:val="none"/>
        </w:rPr>
        <w:t xml:space="preserve">  </w:t>
      </w:r>
      <w:r>
        <w:rPr>
          <w:rFonts w:hint="eastAsia"/>
          <w:b/>
          <w:bCs/>
          <w:color w:val="auto"/>
          <w:sz w:val="21"/>
          <w:szCs w:val="21"/>
          <w:highlight w:val="none"/>
          <w:lang w:val="en-US" w:eastAsia="zh-CN"/>
        </w:rPr>
        <w:t xml:space="preserve"> </w:t>
      </w:r>
      <w:r>
        <w:rPr>
          <w:rFonts w:hint="eastAsia"/>
          <w:b/>
          <w:bCs/>
          <w:color w:val="auto"/>
          <w:sz w:val="21"/>
          <w:szCs w:val="21"/>
          <w:highlight w:val="none"/>
        </w:rPr>
        <w:t>年均风频的</w:t>
      </w:r>
      <w:r>
        <w:rPr>
          <w:rFonts w:hint="eastAsia"/>
          <w:b/>
          <w:bCs/>
          <w:color w:val="auto"/>
          <w:sz w:val="21"/>
          <w:szCs w:val="21"/>
          <w:highlight w:val="none"/>
          <w:lang w:eastAsia="zh-CN"/>
        </w:rPr>
        <w:t>季度</w:t>
      </w:r>
      <w:r>
        <w:rPr>
          <w:rFonts w:hint="eastAsia"/>
          <w:b/>
          <w:bCs/>
          <w:color w:val="auto"/>
          <w:sz w:val="21"/>
          <w:szCs w:val="21"/>
          <w:highlight w:val="none"/>
        </w:rPr>
        <w:t>变化及年均风频表</w:t>
      </w:r>
    </w:p>
    <w:tbl>
      <w:tblPr>
        <w:tblStyle w:val="33"/>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65"/>
        <w:gridCol w:w="755"/>
        <w:gridCol w:w="754"/>
        <w:gridCol w:w="756"/>
        <w:gridCol w:w="754"/>
        <w:gridCol w:w="754"/>
        <w:gridCol w:w="754"/>
        <w:gridCol w:w="754"/>
        <w:gridCol w:w="754"/>
        <w:gridCol w:w="754"/>
        <w:gridCol w:w="756"/>
        <w:gridCol w:w="754"/>
        <w:gridCol w:w="754"/>
        <w:gridCol w:w="754"/>
        <w:gridCol w:w="754"/>
        <w:gridCol w:w="754"/>
        <w:gridCol w:w="754"/>
        <w:gridCol w:w="73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风向风频</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w:t>
            </w:r>
          </w:p>
        </w:tc>
        <w:tc>
          <w:tcPr>
            <w:tcW w:w="7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N</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NNE</w:t>
            </w:r>
          </w:p>
        </w:tc>
        <w:tc>
          <w:tcPr>
            <w:tcW w:w="7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NE</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ENE</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E</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ESE</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SE</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SSE</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S</w:t>
            </w:r>
          </w:p>
        </w:tc>
        <w:tc>
          <w:tcPr>
            <w:tcW w:w="7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SSW</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SW</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WSW</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W</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WNW</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NW</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NNW</w:t>
            </w:r>
          </w:p>
        </w:tc>
        <w:tc>
          <w:tcPr>
            <w:tcW w:w="7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春季</w:t>
            </w:r>
          </w:p>
        </w:tc>
        <w:tc>
          <w:tcPr>
            <w:tcW w:w="7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11.78</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8.38</w:t>
            </w:r>
          </w:p>
        </w:tc>
        <w:tc>
          <w:tcPr>
            <w:tcW w:w="7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6.43</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4.21</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3.53</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2.58</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5.66</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7.65</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14.09</w:t>
            </w:r>
          </w:p>
        </w:tc>
        <w:tc>
          <w:tcPr>
            <w:tcW w:w="7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6.93</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3.40</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2.17</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3.99</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2.90</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4.89</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11.37</w:t>
            </w:r>
          </w:p>
        </w:tc>
        <w:tc>
          <w:tcPr>
            <w:tcW w:w="7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0.05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jc w:val="center"/>
        </w:trPr>
        <w:tc>
          <w:tcPr>
            <w:tcW w:w="11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夏季</w:t>
            </w:r>
          </w:p>
        </w:tc>
        <w:tc>
          <w:tcPr>
            <w:tcW w:w="7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9.83</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8.51</w:t>
            </w:r>
          </w:p>
        </w:tc>
        <w:tc>
          <w:tcPr>
            <w:tcW w:w="7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7.70</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3.80</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3.35</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2.22</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3.17</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4.30</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17.12</w:t>
            </w:r>
          </w:p>
        </w:tc>
        <w:tc>
          <w:tcPr>
            <w:tcW w:w="7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13.32</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6.52</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2.67</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2.90</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1.99</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3.49</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9.10</w:t>
            </w:r>
          </w:p>
        </w:tc>
        <w:tc>
          <w:tcPr>
            <w:tcW w:w="7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秋季</w:t>
            </w:r>
          </w:p>
        </w:tc>
        <w:tc>
          <w:tcPr>
            <w:tcW w:w="7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8.93</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7.83</w:t>
            </w:r>
          </w:p>
        </w:tc>
        <w:tc>
          <w:tcPr>
            <w:tcW w:w="7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10.12</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7.10</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5.95</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4.40</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5.54</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9.11</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15.48</w:t>
            </w:r>
          </w:p>
        </w:tc>
        <w:tc>
          <w:tcPr>
            <w:tcW w:w="7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4.81</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3.75</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2.79</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3.30</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2.29</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3.30</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5.31</w:t>
            </w:r>
          </w:p>
        </w:tc>
        <w:tc>
          <w:tcPr>
            <w:tcW w:w="7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冬季</w:t>
            </w:r>
          </w:p>
        </w:tc>
        <w:tc>
          <w:tcPr>
            <w:tcW w:w="7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4.85</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3.34</w:t>
            </w:r>
          </w:p>
        </w:tc>
        <w:tc>
          <w:tcPr>
            <w:tcW w:w="7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3.39</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5.08</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4.53</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4.53</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10.53</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18.09</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16.35</w:t>
            </w:r>
          </w:p>
        </w:tc>
        <w:tc>
          <w:tcPr>
            <w:tcW w:w="7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4.85</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3.66</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3.25</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5.77</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4.26</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3.80</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2.88</w:t>
            </w:r>
          </w:p>
        </w:tc>
        <w:tc>
          <w:tcPr>
            <w:tcW w:w="7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0.82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年平均</w:t>
            </w:r>
          </w:p>
        </w:tc>
        <w:tc>
          <w:tcPr>
            <w:tcW w:w="7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8.86</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7.02</w:t>
            </w:r>
          </w:p>
        </w:tc>
        <w:tc>
          <w:tcPr>
            <w:tcW w:w="7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6.91</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5.04</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4.34</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3.43</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6.22</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9.77</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15.76</w:t>
            </w:r>
          </w:p>
        </w:tc>
        <w:tc>
          <w:tcPr>
            <w:tcW w:w="7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7.49</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4.34</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2.72</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3.98</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2.86</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3.87</w:t>
            </w:r>
          </w:p>
        </w:tc>
        <w:tc>
          <w:tcPr>
            <w:tcW w:w="7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7.18</w:t>
            </w:r>
          </w:p>
        </w:tc>
        <w:tc>
          <w:tcPr>
            <w:tcW w:w="7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0.22</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rPr>
        <w:sectPr>
          <w:footerReference r:id="rId8" w:type="default"/>
          <w:pgSz w:w="16838" w:h="11906" w:orient="landscape"/>
          <w:pgMar w:top="1800" w:right="1440" w:bottom="1800" w:left="1440" w:header="1361" w:footer="992" w:gutter="0"/>
          <w:pgBorders>
            <w:top w:val="none" w:sz="0" w:space="0"/>
            <w:left w:val="none" w:sz="0" w:space="0"/>
            <w:bottom w:val="none" w:sz="0" w:space="0"/>
            <w:right w:val="none" w:sz="0" w:space="0"/>
          </w:pgBorders>
          <w:pgNumType w:fmt="decimal" w:chapStyle="1"/>
          <w:cols w:space="425" w:num="1"/>
          <w:docGrid w:type="lines" w:linePitch="326" w:charSpace="0"/>
        </w:sect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rPr>
      </w:pPr>
      <w:r>
        <w:rPr>
          <w:color w:val="auto"/>
        </w:rPr>
        <w:drawing>
          <wp:inline distT="0" distB="0" distL="0" distR="0">
            <wp:extent cx="5274310" cy="732472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4"/>
                    <a:srcRect l="622" t="2682"/>
                    <a:stretch>
                      <a:fillRect/>
                    </a:stretch>
                  </pic:blipFill>
                  <pic:spPr>
                    <a:xfrm>
                      <a:off x="0" y="0"/>
                      <a:ext cx="5274310" cy="73247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图</w:t>
      </w:r>
      <w:r>
        <w:rPr>
          <w:rFonts w:hint="eastAsia"/>
          <w:b/>
          <w:bCs/>
          <w:color w:val="auto"/>
          <w:sz w:val="21"/>
          <w:szCs w:val="21"/>
          <w:highlight w:val="none"/>
          <w:lang w:val="en-US" w:eastAsia="zh-CN"/>
        </w:rPr>
        <w:t>6.2.1</w:t>
      </w:r>
      <w:r>
        <w:rPr>
          <w:rFonts w:hint="eastAsia"/>
          <w:b/>
          <w:bCs/>
          <w:color w:val="auto"/>
          <w:sz w:val="21"/>
          <w:szCs w:val="21"/>
          <w:highlight w:val="none"/>
        </w:rPr>
        <w:t>-4   年均风频的季变化及年均风频玫瑰图</w:t>
      </w:r>
    </w:p>
    <w:p>
      <w:pPr>
        <w:pStyle w:val="5"/>
        <w:keepLines w:val="0"/>
        <w:pageBreakBefore w:val="0"/>
        <w:kinsoku/>
        <w:wordWrap/>
        <w:topLinePunct w:val="0"/>
        <w:bidi w:val="0"/>
        <w:adjustRightInd w:val="0"/>
        <w:snapToGrid w:val="0"/>
        <w:ind w:left="0" w:leftChars="0" w:firstLine="0" w:firstLineChars="0"/>
        <w:textAlignment w:val="auto"/>
        <w:rPr>
          <w:color w:val="auto"/>
        </w:rPr>
      </w:pPr>
      <w:r>
        <w:rPr>
          <w:rFonts w:hint="eastAsia"/>
          <w:color w:val="auto"/>
          <w:lang w:val="en-US" w:eastAsia="zh-CN"/>
        </w:rPr>
        <w:t>6.2.1.3</w:t>
      </w:r>
      <w:r>
        <w:rPr>
          <w:rFonts w:hint="eastAsia"/>
          <w:color w:val="auto"/>
        </w:rPr>
        <w:t>预测</w:t>
      </w:r>
      <w:r>
        <w:rPr>
          <w:color w:val="auto"/>
        </w:rPr>
        <w:t>因子</w:t>
      </w:r>
    </w:p>
    <w:p>
      <w:pPr>
        <w:keepLines w:val="0"/>
        <w:pageBreakBefore w:val="0"/>
        <w:kinsoku/>
        <w:wordWrap/>
        <w:topLinePunct w:val="0"/>
        <w:bidi w:val="0"/>
        <w:adjustRightInd w:val="0"/>
        <w:snapToGrid w:val="0"/>
        <w:ind w:firstLine="480" w:firstLineChars="200"/>
        <w:textAlignment w:val="auto"/>
        <w:rPr>
          <w:color w:val="auto"/>
          <w:highlight w:val="none"/>
        </w:rPr>
      </w:pPr>
      <w:r>
        <w:rPr>
          <w:rFonts w:hint="eastAsia"/>
          <w:color w:val="auto"/>
          <w:highlight w:val="none"/>
        </w:rPr>
        <w:t>选取《环境空气质量标准》（GB3095-2012）和《环境影响评价技术导则大气环境》</w:t>
      </w:r>
      <w:r>
        <w:rPr>
          <w:rFonts w:hint="eastAsia"/>
          <w:color w:val="auto"/>
          <w:highlight w:val="none"/>
          <w:lang w:eastAsia="zh-CN"/>
        </w:rPr>
        <w:t>（HJ 2.2-2018）</w:t>
      </w:r>
      <w:r>
        <w:rPr>
          <w:rFonts w:hint="eastAsia"/>
          <w:color w:val="auto"/>
          <w:highlight w:val="none"/>
        </w:rPr>
        <w:t>附录D中有环境质量标准的污染物作为本次评价的预测因子，则</w:t>
      </w:r>
      <w:r>
        <w:rPr>
          <w:rFonts w:hint="eastAsia"/>
          <w:color w:val="auto"/>
          <w:highlight w:val="none"/>
          <w:lang w:val="en-US" w:eastAsia="zh-CN"/>
        </w:rPr>
        <w:t>本</w:t>
      </w:r>
      <w:r>
        <w:rPr>
          <w:rFonts w:hint="eastAsia"/>
          <w:color w:val="auto"/>
          <w:highlight w:val="none"/>
        </w:rPr>
        <w:t>项目预测因子为</w:t>
      </w:r>
      <w:r>
        <w:rPr>
          <w:color w:val="auto"/>
        </w:rPr>
        <w:t>PM</w:t>
      </w:r>
      <w:r>
        <w:rPr>
          <w:color w:val="auto"/>
          <w:vertAlign w:val="subscript"/>
        </w:rPr>
        <w:t>10</w:t>
      </w:r>
      <w:r>
        <w:rPr>
          <w:color w:val="auto"/>
        </w:rPr>
        <w:t>、NOx</w:t>
      </w:r>
      <w:r>
        <w:rPr>
          <w:rFonts w:hint="eastAsia"/>
          <w:color w:val="auto"/>
        </w:rPr>
        <w:t>、</w:t>
      </w:r>
      <w:r>
        <w:rPr>
          <w:color w:val="auto"/>
        </w:rPr>
        <w:t>SO</w:t>
      </w:r>
      <w:r>
        <w:rPr>
          <w:color w:val="auto"/>
          <w:vertAlign w:val="subscript"/>
        </w:rPr>
        <w:t>2</w:t>
      </w:r>
      <w:r>
        <w:rPr>
          <w:rFonts w:hint="eastAsia"/>
          <w:color w:val="auto"/>
        </w:rPr>
        <w:t>、汞、T</w:t>
      </w:r>
      <w:r>
        <w:rPr>
          <w:color w:val="auto"/>
        </w:rPr>
        <w:t>SP</w:t>
      </w:r>
      <w:r>
        <w:rPr>
          <w:rFonts w:hint="eastAsia"/>
          <w:color w:val="auto"/>
        </w:rPr>
        <w:t>。</w:t>
      </w:r>
    </w:p>
    <w:p>
      <w:pPr>
        <w:pStyle w:val="5"/>
        <w:keepLines w:val="0"/>
        <w:pageBreakBefore w:val="0"/>
        <w:kinsoku/>
        <w:wordWrap/>
        <w:topLinePunct w:val="0"/>
        <w:bidi w:val="0"/>
        <w:adjustRightInd w:val="0"/>
        <w:snapToGrid w:val="0"/>
        <w:ind w:left="0" w:leftChars="0" w:firstLine="482" w:firstLineChars="200"/>
        <w:textAlignment w:val="auto"/>
        <w:rPr>
          <w:rFonts w:hint="eastAsia"/>
          <w:color w:val="auto"/>
          <w:lang w:val="en-US" w:eastAsia="zh-CN"/>
        </w:rPr>
        <w:sectPr>
          <w:headerReference r:id="rId9" w:type="default"/>
          <w:footerReference r:id="rId10" w:type="default"/>
          <w:pgSz w:w="11906" w:h="16839"/>
          <w:pgMar w:top="1440" w:right="1800" w:bottom="1440" w:left="1800" w:header="878" w:footer="1191" w:gutter="0"/>
          <w:pgBorders>
            <w:top w:val="none" w:sz="0" w:space="0"/>
            <w:left w:val="none" w:sz="0" w:space="0"/>
            <w:bottom w:val="none" w:sz="0" w:space="0"/>
            <w:right w:val="none" w:sz="0" w:space="0"/>
          </w:pgBorders>
          <w:pgNumType w:fmt="decimal"/>
          <w:cols w:space="720" w:num="1"/>
        </w:sectPr>
      </w:pPr>
    </w:p>
    <w:p>
      <w:pPr>
        <w:pStyle w:val="5"/>
        <w:keepLines w:val="0"/>
        <w:pageBreakBefore w:val="0"/>
        <w:kinsoku/>
        <w:wordWrap/>
        <w:topLinePunct w:val="0"/>
        <w:bidi w:val="0"/>
        <w:adjustRightInd w:val="0"/>
        <w:snapToGrid w:val="0"/>
        <w:ind w:left="0" w:leftChars="0" w:firstLine="0" w:firstLineChars="0"/>
        <w:textAlignment w:val="auto"/>
        <w:rPr>
          <w:color w:val="auto"/>
        </w:rPr>
      </w:pPr>
      <w:r>
        <w:rPr>
          <w:rFonts w:hint="eastAsia"/>
          <w:color w:val="auto"/>
          <w:lang w:val="en-US" w:eastAsia="zh-CN"/>
        </w:rPr>
        <w:t>6.2.1.4</w:t>
      </w:r>
      <w:r>
        <w:rPr>
          <w:rFonts w:hint="eastAsia"/>
          <w:color w:val="auto"/>
        </w:rPr>
        <w:t>预测</w:t>
      </w:r>
      <w:r>
        <w:rPr>
          <w:color w:val="auto"/>
        </w:rPr>
        <w:t>范围</w:t>
      </w:r>
      <w:r>
        <w:rPr>
          <w:rFonts w:hint="eastAsia"/>
          <w:color w:val="auto"/>
        </w:rPr>
        <w:t>及</w:t>
      </w:r>
      <w:r>
        <w:rPr>
          <w:color w:val="auto"/>
        </w:rPr>
        <w:t>预测周期</w:t>
      </w:r>
    </w:p>
    <w:p>
      <w:pPr>
        <w:keepLines w:val="0"/>
        <w:pageBreakBefore w:val="0"/>
        <w:kinsoku/>
        <w:wordWrap/>
        <w:topLinePunct w:val="0"/>
        <w:bidi w:val="0"/>
        <w:adjustRightInd w:val="0"/>
        <w:snapToGrid w:val="0"/>
        <w:ind w:firstLine="480" w:firstLineChars="200"/>
        <w:textAlignment w:val="auto"/>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color w:val="auto"/>
          <w:highlight w:val="none"/>
        </w:rPr>
        <w:t>预测范围</w:t>
      </w:r>
    </w:p>
    <w:p>
      <w:pPr>
        <w:keepLines w:val="0"/>
        <w:pageBreakBefore w:val="0"/>
        <w:kinsoku/>
        <w:wordWrap/>
        <w:topLinePunct w:val="0"/>
        <w:bidi w:val="0"/>
        <w:adjustRightInd w:val="0"/>
        <w:snapToGrid w:val="0"/>
        <w:ind w:firstLine="480" w:firstLineChars="200"/>
        <w:textAlignment w:val="auto"/>
        <w:rPr>
          <w:rFonts w:hint="eastAsia"/>
          <w:color w:val="auto"/>
          <w:highlight w:val="none"/>
        </w:rPr>
      </w:pPr>
      <w:r>
        <w:rPr>
          <w:rFonts w:hint="eastAsia"/>
          <w:color w:val="auto"/>
          <w:highlight w:val="none"/>
        </w:rPr>
        <w:t>根据导则要求，预测范围需覆盖评价范围，本次大气环境影响预测计算点主要为</w:t>
      </w:r>
      <w:r>
        <w:rPr>
          <w:rFonts w:hint="eastAsia"/>
          <w:color w:val="auto"/>
          <w:highlight w:val="none"/>
          <w:lang w:val="en-US" w:eastAsia="zh-CN"/>
        </w:rPr>
        <w:t>5</w:t>
      </w:r>
      <w:r>
        <w:rPr>
          <w:rFonts w:hint="eastAsia"/>
          <w:color w:val="auto"/>
          <w:highlight w:val="none"/>
        </w:rPr>
        <w:t>km×</w:t>
      </w:r>
      <w:r>
        <w:rPr>
          <w:rFonts w:hint="eastAsia"/>
          <w:color w:val="auto"/>
          <w:highlight w:val="none"/>
          <w:lang w:val="en-US" w:eastAsia="zh-CN"/>
        </w:rPr>
        <w:t>5</w:t>
      </w:r>
      <w:r>
        <w:rPr>
          <w:rFonts w:hint="eastAsia"/>
          <w:color w:val="auto"/>
          <w:highlight w:val="none"/>
        </w:rPr>
        <w:t>km的预测网格点、项目附近主要大气环境保护目标及区域最大地面浓度点。大气环境敏感目标计算点UTM坐标见表</w:t>
      </w:r>
      <w:r>
        <w:rPr>
          <w:rFonts w:hint="eastAsia"/>
          <w:color w:val="auto"/>
          <w:highlight w:val="none"/>
          <w:lang w:val="en-US" w:eastAsia="zh-CN"/>
        </w:rPr>
        <w:t>6.2.1-7</w:t>
      </w:r>
      <w:r>
        <w:rPr>
          <w:rFonts w:hint="eastAsia"/>
          <w:color w:val="auto"/>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表</w:t>
      </w:r>
      <w:r>
        <w:rPr>
          <w:rFonts w:hint="eastAsia"/>
          <w:b/>
          <w:bCs/>
          <w:color w:val="auto"/>
          <w:sz w:val="21"/>
          <w:szCs w:val="21"/>
          <w:highlight w:val="none"/>
          <w:lang w:val="en-US" w:eastAsia="zh-CN"/>
        </w:rPr>
        <w:t>6.2.1-7</w:t>
      </w:r>
      <w:r>
        <w:rPr>
          <w:rFonts w:hint="eastAsia"/>
          <w:b/>
          <w:bCs/>
          <w:color w:val="auto"/>
          <w:sz w:val="21"/>
          <w:szCs w:val="21"/>
          <w:highlight w:val="none"/>
        </w:rPr>
        <w:t xml:space="preserve">  </w:t>
      </w:r>
      <w:r>
        <w:rPr>
          <w:rFonts w:hint="eastAsia"/>
          <w:b/>
          <w:bCs/>
          <w:color w:val="auto"/>
          <w:sz w:val="21"/>
          <w:szCs w:val="21"/>
          <w:highlight w:val="none"/>
          <w:lang w:val="en-US" w:eastAsia="zh-CN"/>
        </w:rPr>
        <w:t xml:space="preserve"> </w:t>
      </w:r>
      <w:r>
        <w:rPr>
          <w:rFonts w:hint="eastAsia"/>
          <w:b/>
          <w:bCs/>
          <w:color w:val="auto"/>
          <w:sz w:val="21"/>
          <w:szCs w:val="21"/>
          <w:highlight w:val="none"/>
        </w:rPr>
        <w:t>项目</w:t>
      </w:r>
      <w:r>
        <w:rPr>
          <w:b/>
          <w:bCs/>
          <w:color w:val="auto"/>
          <w:sz w:val="21"/>
          <w:szCs w:val="21"/>
          <w:highlight w:val="none"/>
        </w:rPr>
        <w:t>预测点一览表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3687"/>
        <w:gridCol w:w="1993"/>
        <w:gridCol w:w="2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0" w:type="dxa"/>
            <w:vMerge w:val="restar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序号</w:t>
            </w:r>
          </w:p>
        </w:tc>
        <w:tc>
          <w:tcPr>
            <w:tcW w:w="3589" w:type="dxa"/>
            <w:vMerge w:val="restar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保护目标</w:t>
            </w:r>
          </w:p>
        </w:tc>
        <w:tc>
          <w:tcPr>
            <w:tcW w:w="3947" w:type="dxa"/>
            <w:gridSpan w:val="2"/>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0"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p>
        </w:tc>
        <w:tc>
          <w:tcPr>
            <w:tcW w:w="3589"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p>
        </w:tc>
        <w:tc>
          <w:tcPr>
            <w:tcW w:w="1940"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X</w:t>
            </w:r>
          </w:p>
        </w:tc>
        <w:tc>
          <w:tcPr>
            <w:tcW w:w="2007"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highlight w:val="none"/>
              </w:rPr>
            </w:pPr>
            <w:r>
              <w:rPr>
                <w:rFonts w:hint="eastAsia"/>
                <w:b/>
                <w:bCs/>
                <w:color w:val="auto"/>
                <w:sz w:val="21"/>
                <w:szCs w:val="21"/>
                <w:highlight w:val="none"/>
              </w:rPr>
              <w: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0"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w:t>
            </w:r>
          </w:p>
        </w:tc>
        <w:tc>
          <w:tcPr>
            <w:tcW w:w="3589"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lang w:val="en-US" w:eastAsia="zh-CN"/>
              </w:rPr>
            </w:pPr>
          </w:p>
        </w:tc>
        <w:tc>
          <w:tcPr>
            <w:tcW w:w="1940"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-342</w:t>
            </w:r>
          </w:p>
        </w:tc>
        <w:tc>
          <w:tcPr>
            <w:tcW w:w="2007"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0"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lang w:val="en-US" w:eastAsia="zh-CN"/>
              </w:rPr>
              <w:t>2</w:t>
            </w:r>
          </w:p>
        </w:tc>
        <w:tc>
          <w:tcPr>
            <w:tcW w:w="3589"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lang w:val="en-US" w:eastAsia="zh-CN"/>
              </w:rPr>
            </w:pPr>
          </w:p>
        </w:tc>
        <w:tc>
          <w:tcPr>
            <w:tcW w:w="1940"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752</w:t>
            </w:r>
          </w:p>
        </w:tc>
        <w:tc>
          <w:tcPr>
            <w:tcW w:w="2007"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0"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lang w:val="en-US" w:eastAsia="zh-CN"/>
              </w:rPr>
              <w:t>3</w:t>
            </w:r>
          </w:p>
        </w:tc>
        <w:tc>
          <w:tcPr>
            <w:tcW w:w="3589"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lang w:eastAsia="zh-CN"/>
              </w:rPr>
            </w:pPr>
          </w:p>
        </w:tc>
        <w:tc>
          <w:tcPr>
            <w:tcW w:w="1940"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-871</w:t>
            </w:r>
          </w:p>
        </w:tc>
        <w:tc>
          <w:tcPr>
            <w:tcW w:w="2007"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-1902</w:t>
            </w:r>
          </w:p>
        </w:tc>
      </w:tr>
    </w:tbl>
    <w:p>
      <w:pPr>
        <w:keepLines w:val="0"/>
        <w:pageBreakBefore w:val="0"/>
        <w:kinsoku/>
        <w:wordWrap/>
        <w:topLinePunct w:val="0"/>
        <w:bidi w:val="0"/>
        <w:adjustRightInd w:val="0"/>
        <w:snapToGrid w:val="0"/>
        <w:ind w:firstLine="480" w:firstLineChars="200"/>
        <w:textAlignment w:val="auto"/>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rFonts w:hint="eastAsia"/>
          <w:color w:val="auto"/>
          <w:highlight w:val="none"/>
        </w:rPr>
        <w:t>预测</w:t>
      </w:r>
      <w:r>
        <w:rPr>
          <w:color w:val="auto"/>
          <w:highlight w:val="none"/>
        </w:rPr>
        <w:t>周期</w:t>
      </w:r>
    </w:p>
    <w:p>
      <w:pPr>
        <w:keepLines w:val="0"/>
        <w:pageBreakBefore w:val="0"/>
        <w:kinsoku/>
        <w:wordWrap/>
        <w:topLinePunct w:val="0"/>
        <w:bidi w:val="0"/>
        <w:adjustRightInd w:val="0"/>
        <w:snapToGrid w:val="0"/>
        <w:ind w:firstLine="480" w:firstLineChars="200"/>
        <w:textAlignment w:val="auto"/>
        <w:rPr>
          <w:rFonts w:hint="eastAsia"/>
          <w:b/>
          <w:bCs/>
          <w:color w:val="auto"/>
          <w:highlight w:val="none"/>
          <w:lang w:val="en-US" w:eastAsia="zh-CN"/>
        </w:rPr>
      </w:pPr>
      <w:r>
        <w:rPr>
          <w:rFonts w:hint="eastAsia"/>
          <w:color w:val="auto"/>
          <w:highlight w:val="none"/>
        </w:rPr>
        <w:t>本次</w:t>
      </w:r>
      <w:r>
        <w:rPr>
          <w:color w:val="auto"/>
          <w:highlight w:val="none"/>
        </w:rPr>
        <w:t>选取202</w:t>
      </w:r>
      <w:r>
        <w:rPr>
          <w:rFonts w:hint="eastAsia"/>
          <w:color w:val="auto"/>
          <w:highlight w:val="none"/>
          <w:lang w:val="en-US" w:eastAsia="zh-CN"/>
        </w:rPr>
        <w:t>4</w:t>
      </w:r>
      <w:r>
        <w:rPr>
          <w:rFonts w:hint="eastAsia"/>
          <w:color w:val="auto"/>
          <w:highlight w:val="none"/>
        </w:rPr>
        <w:t>年</w:t>
      </w:r>
      <w:r>
        <w:rPr>
          <w:color w:val="auto"/>
          <w:highlight w:val="none"/>
        </w:rPr>
        <w:t>作为评价基准年，</w:t>
      </w:r>
      <w:r>
        <w:rPr>
          <w:rFonts w:hint="eastAsia"/>
          <w:color w:val="auto"/>
          <w:highlight w:val="none"/>
        </w:rPr>
        <w:t>选取</w:t>
      </w:r>
      <w:r>
        <w:rPr>
          <w:color w:val="auto"/>
          <w:highlight w:val="none"/>
        </w:rPr>
        <w:t>评价基准年作为预测周期，预测时段取连续</w:t>
      </w:r>
      <w:r>
        <w:rPr>
          <w:rFonts w:hint="eastAsia"/>
          <w:color w:val="auto"/>
          <w:highlight w:val="none"/>
        </w:rPr>
        <w:t>1年</w:t>
      </w:r>
      <w:r>
        <w:rPr>
          <w:color w:val="auto"/>
          <w:highlight w:val="none"/>
        </w:rPr>
        <w:t>。</w:t>
      </w:r>
    </w:p>
    <w:p>
      <w:pPr>
        <w:pStyle w:val="5"/>
        <w:keepLines w:val="0"/>
        <w:pageBreakBefore w:val="0"/>
        <w:kinsoku/>
        <w:wordWrap/>
        <w:topLinePunct w:val="0"/>
        <w:bidi w:val="0"/>
        <w:adjustRightInd w:val="0"/>
        <w:snapToGrid w:val="0"/>
        <w:ind w:left="0" w:leftChars="0" w:firstLine="0" w:firstLineChars="0"/>
        <w:textAlignment w:val="auto"/>
        <w:rPr>
          <w:color w:val="auto"/>
        </w:rPr>
      </w:pPr>
      <w:r>
        <w:rPr>
          <w:rFonts w:hint="eastAsia"/>
          <w:color w:val="auto"/>
          <w:lang w:val="en-US" w:eastAsia="zh-CN"/>
        </w:rPr>
        <w:t>6.2.1.5</w:t>
      </w:r>
      <w:r>
        <w:rPr>
          <w:rFonts w:hint="eastAsia"/>
          <w:color w:val="auto"/>
        </w:rPr>
        <w:t>污染源排放参数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正常工况废气污染源估算数值计算各污染物参数见表</w:t>
      </w:r>
      <w:r>
        <w:rPr>
          <w:rFonts w:hint="eastAsia" w:cs="Times New Roman"/>
          <w:color w:val="auto"/>
          <w:sz w:val="24"/>
          <w:szCs w:val="24"/>
          <w:highlight w:val="none"/>
          <w:lang w:val="en-US" w:eastAsia="zh-CN"/>
        </w:rPr>
        <w:t>6.2.1-8</w:t>
      </w:r>
      <w:r>
        <w:rPr>
          <w:rFonts w:hint="default" w:ascii="Times New Roman" w:hAnsi="Times New Roman" w:eastAsia="宋体" w:cs="Times New Roman"/>
          <w:color w:val="auto"/>
          <w:sz w:val="24"/>
          <w:szCs w:val="24"/>
          <w:highlight w:val="none"/>
          <w:lang w:val="en-US" w:eastAsia="zh-CN"/>
        </w:rPr>
        <w:t>与表</w:t>
      </w:r>
      <w:r>
        <w:rPr>
          <w:rFonts w:hint="eastAsia" w:cs="Times New Roman"/>
          <w:color w:val="auto"/>
          <w:sz w:val="24"/>
          <w:szCs w:val="24"/>
          <w:highlight w:val="none"/>
          <w:lang w:val="en-US" w:eastAsia="zh-CN"/>
        </w:rPr>
        <w:t>6.2.1-9</w:t>
      </w:r>
      <w:r>
        <w:rPr>
          <w:rFonts w:hint="default" w:ascii="Times New Roman" w:hAnsi="Times New Roman" w:eastAsia="宋体" w:cs="Times New Roman"/>
          <w:color w:val="auto"/>
          <w:sz w:val="24"/>
          <w:szCs w:val="24"/>
          <w:highlight w:val="none"/>
          <w:lang w:val="en-US" w:eastAsia="zh-CN"/>
        </w:rPr>
        <w:t>。</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表</w:t>
      </w:r>
      <w:r>
        <w:rPr>
          <w:rFonts w:hint="eastAsia" w:cs="Times New Roman"/>
          <w:b/>
          <w:bCs/>
          <w:color w:val="auto"/>
          <w:sz w:val="21"/>
          <w:szCs w:val="21"/>
          <w:highlight w:val="none"/>
          <w:lang w:val="en-US" w:eastAsia="zh-CN"/>
        </w:rPr>
        <w:t>6.2.1-8</w:t>
      </w:r>
      <w:r>
        <w:rPr>
          <w:rFonts w:hint="default" w:ascii="Times New Roman" w:hAnsi="Times New Roman" w:eastAsia="宋体" w:cs="Times New Roman"/>
          <w:b/>
          <w:bCs/>
          <w:color w:val="auto"/>
          <w:sz w:val="21"/>
          <w:szCs w:val="21"/>
          <w:highlight w:val="none"/>
        </w:rPr>
        <w:t xml:space="preserve">   </w:t>
      </w:r>
      <w:r>
        <w:rPr>
          <w:rFonts w:hint="eastAsia" w:cs="Times New Roman"/>
          <w:b/>
          <w:bCs/>
          <w:color w:val="auto"/>
          <w:sz w:val="21"/>
          <w:szCs w:val="21"/>
          <w:highlight w:val="none"/>
          <w:lang w:val="en-US" w:eastAsia="zh-CN"/>
        </w:rPr>
        <w:t>正常工况</w:t>
      </w:r>
      <w:r>
        <w:rPr>
          <w:rFonts w:hint="default" w:ascii="Times New Roman" w:hAnsi="Times New Roman" w:eastAsia="宋体" w:cs="Times New Roman"/>
          <w:b/>
          <w:bCs/>
          <w:color w:val="auto"/>
          <w:sz w:val="21"/>
          <w:szCs w:val="21"/>
          <w:highlight w:val="none"/>
        </w:rPr>
        <w:t>有组织大气污染源特征参数统计表</w:t>
      </w:r>
      <w:r>
        <w:rPr>
          <w:rFonts w:hint="eastAsia" w:cs="Times New Roman"/>
          <w:b/>
          <w:bCs/>
          <w:color w:val="auto"/>
          <w:sz w:val="21"/>
          <w:szCs w:val="21"/>
          <w:highlight w:val="none"/>
          <w:lang w:eastAsia="zh-CN"/>
        </w:rPr>
        <w:t>（</w:t>
      </w:r>
      <w:r>
        <w:rPr>
          <w:rFonts w:hint="eastAsia" w:cs="Times New Roman"/>
          <w:b/>
          <w:bCs/>
          <w:color w:val="auto"/>
          <w:sz w:val="21"/>
          <w:szCs w:val="21"/>
          <w:highlight w:val="none"/>
          <w:lang w:val="en-US" w:eastAsia="zh-CN"/>
        </w:rPr>
        <w:t>点源</w:t>
      </w:r>
      <w:r>
        <w:rPr>
          <w:rFonts w:hint="eastAsia" w:cs="Times New Roman"/>
          <w:b/>
          <w:bCs/>
          <w:color w:val="auto"/>
          <w:sz w:val="21"/>
          <w:szCs w:val="21"/>
          <w:highlight w:val="none"/>
          <w:lang w:eastAsia="zh-CN"/>
        </w:rPr>
        <w:t>）</w:t>
      </w:r>
    </w:p>
    <w:tbl>
      <w:tblPr>
        <w:tblStyle w:val="33"/>
        <w:tblW w:w="52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
        <w:gridCol w:w="532"/>
        <w:gridCol w:w="402"/>
        <w:gridCol w:w="402"/>
        <w:gridCol w:w="562"/>
        <w:gridCol w:w="460"/>
        <w:gridCol w:w="516"/>
        <w:gridCol w:w="494"/>
        <w:gridCol w:w="403"/>
        <w:gridCol w:w="653"/>
        <w:gridCol w:w="793"/>
        <w:gridCol w:w="775"/>
        <w:gridCol w:w="812"/>
        <w:gridCol w:w="824"/>
        <w:gridCol w:w="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dxa"/>
            <w:vMerge w:val="restart"/>
            <w:shd w:val="clear" w:color="auto" w:fill="auto"/>
            <w:vAlign w:val="center"/>
          </w:tcPr>
          <w:p>
            <w:pPr>
              <w:pStyle w:val="120"/>
              <w:rPr>
                <w:rFonts w:hint="default"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编号</w:t>
            </w:r>
          </w:p>
        </w:tc>
        <w:tc>
          <w:tcPr>
            <w:tcW w:w="529" w:type="dxa"/>
            <w:vMerge w:val="restart"/>
            <w:shd w:val="clear" w:color="auto" w:fill="auto"/>
            <w:vAlign w:val="center"/>
          </w:tcPr>
          <w:p>
            <w:pPr>
              <w:pStyle w:val="120"/>
              <w:rPr>
                <w:rFonts w:hint="default"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名称</w:t>
            </w:r>
          </w:p>
        </w:tc>
        <w:tc>
          <w:tcPr>
            <w:tcW w:w="798" w:type="dxa"/>
            <w:gridSpan w:val="2"/>
            <w:shd w:val="clear" w:color="auto" w:fill="auto"/>
            <w:vAlign w:val="center"/>
          </w:tcPr>
          <w:p>
            <w:pPr>
              <w:pStyle w:val="12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排气筒底部</w:t>
            </w:r>
          </w:p>
          <w:p>
            <w:pPr>
              <w:pStyle w:val="12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中心坐标/</w:t>
            </w:r>
            <w:r>
              <w:rPr>
                <w:rFonts w:hint="eastAsia" w:ascii="Times New Roman" w:hAnsi="Times New Roman" w:eastAsia="宋体" w:cs="Times New Roman"/>
                <w:b/>
                <w:bCs/>
                <w:color w:val="auto"/>
                <w:highlight w:val="none"/>
                <w:lang w:val="en-US" w:eastAsia="zh-CN"/>
              </w:rPr>
              <w:t>°</w:t>
            </w:r>
          </w:p>
        </w:tc>
        <w:tc>
          <w:tcPr>
            <w:tcW w:w="558" w:type="dxa"/>
            <w:vMerge w:val="restart"/>
            <w:shd w:val="clear" w:color="auto" w:fill="auto"/>
            <w:vAlign w:val="center"/>
          </w:tcPr>
          <w:p>
            <w:pPr>
              <w:pStyle w:val="120"/>
              <w:rPr>
                <w:rFonts w:hint="default"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排气筒</w:t>
            </w:r>
            <w:r>
              <w:rPr>
                <w:rFonts w:hint="default" w:ascii="Times New Roman" w:hAnsi="Times New Roman" w:eastAsia="宋体" w:cs="Times New Roman"/>
                <w:b/>
                <w:bCs/>
                <w:color w:val="auto"/>
                <w:highlight w:val="none"/>
              </w:rPr>
              <w:t>底部</w:t>
            </w:r>
            <w:r>
              <w:rPr>
                <w:rFonts w:hint="eastAsia" w:ascii="Times New Roman" w:hAnsi="Times New Roman" w:eastAsia="宋体" w:cs="Times New Roman"/>
                <w:b/>
                <w:bCs/>
                <w:color w:val="auto"/>
                <w:highlight w:val="none"/>
                <w:lang w:eastAsia="zh-CN"/>
              </w:rPr>
              <w:t>海拔</w:t>
            </w:r>
            <w:r>
              <w:rPr>
                <w:rFonts w:hint="eastAsia" w:ascii="Times New Roman" w:hAnsi="Times New Roman" w:eastAsia="宋体" w:cs="Times New Roman"/>
                <w:b/>
                <w:bCs/>
                <w:color w:val="auto"/>
                <w:highlight w:val="none"/>
              </w:rPr>
              <w:t>/</w:t>
            </w:r>
            <w:r>
              <w:rPr>
                <w:rFonts w:hint="default" w:ascii="Times New Roman" w:hAnsi="Times New Roman" w:eastAsia="宋体" w:cs="Times New Roman"/>
                <w:b/>
                <w:bCs/>
                <w:color w:val="auto"/>
                <w:highlight w:val="none"/>
              </w:rPr>
              <w:t>m</w:t>
            </w:r>
          </w:p>
        </w:tc>
        <w:tc>
          <w:tcPr>
            <w:tcW w:w="457" w:type="dxa"/>
            <w:vMerge w:val="restart"/>
            <w:shd w:val="clear" w:color="auto" w:fill="auto"/>
            <w:vAlign w:val="center"/>
          </w:tcPr>
          <w:p>
            <w:pPr>
              <w:pStyle w:val="120"/>
              <w:rPr>
                <w:rFonts w:hint="default"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排气筒</w:t>
            </w:r>
            <w:r>
              <w:rPr>
                <w:rFonts w:hint="default" w:ascii="Times New Roman" w:hAnsi="Times New Roman" w:eastAsia="宋体" w:cs="Times New Roman"/>
                <w:b/>
                <w:bCs/>
                <w:color w:val="auto"/>
                <w:highlight w:val="none"/>
              </w:rPr>
              <w:t>高度</w:t>
            </w:r>
            <w:r>
              <w:rPr>
                <w:rFonts w:hint="eastAsia" w:ascii="Times New Roman" w:hAnsi="Times New Roman" w:eastAsia="宋体" w:cs="Times New Roman"/>
                <w:b/>
                <w:bCs/>
                <w:color w:val="auto"/>
                <w:highlight w:val="none"/>
              </w:rPr>
              <w:t>/</w:t>
            </w:r>
            <w:r>
              <w:rPr>
                <w:rFonts w:hint="default" w:ascii="Times New Roman" w:hAnsi="Times New Roman" w:eastAsia="宋体" w:cs="Times New Roman"/>
                <w:b/>
                <w:bCs/>
                <w:color w:val="auto"/>
                <w:highlight w:val="none"/>
              </w:rPr>
              <w:t>m</w:t>
            </w:r>
          </w:p>
        </w:tc>
        <w:tc>
          <w:tcPr>
            <w:tcW w:w="513" w:type="dxa"/>
            <w:vMerge w:val="restart"/>
            <w:shd w:val="clear" w:color="auto" w:fill="auto"/>
            <w:vAlign w:val="center"/>
          </w:tcPr>
          <w:p>
            <w:pPr>
              <w:pStyle w:val="120"/>
              <w:rPr>
                <w:rFonts w:hint="default"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排气筒</w:t>
            </w:r>
            <w:r>
              <w:rPr>
                <w:rFonts w:hint="default" w:ascii="Times New Roman" w:hAnsi="Times New Roman" w:eastAsia="宋体" w:cs="Times New Roman"/>
                <w:b/>
                <w:bCs/>
                <w:color w:val="auto"/>
                <w:highlight w:val="none"/>
              </w:rPr>
              <w:t>出口内径</w:t>
            </w:r>
            <w:r>
              <w:rPr>
                <w:rFonts w:hint="eastAsia" w:ascii="Times New Roman" w:hAnsi="Times New Roman" w:eastAsia="宋体" w:cs="Times New Roman"/>
                <w:b/>
                <w:bCs/>
                <w:color w:val="auto"/>
                <w:highlight w:val="none"/>
              </w:rPr>
              <w:t>/</w:t>
            </w:r>
            <w:r>
              <w:rPr>
                <w:rFonts w:hint="default" w:ascii="Times New Roman" w:hAnsi="Times New Roman" w:eastAsia="宋体" w:cs="Times New Roman"/>
                <w:b/>
                <w:bCs/>
                <w:color w:val="auto"/>
                <w:highlight w:val="none"/>
              </w:rPr>
              <w:t>m</w:t>
            </w:r>
          </w:p>
        </w:tc>
        <w:tc>
          <w:tcPr>
            <w:tcW w:w="491" w:type="dxa"/>
            <w:vMerge w:val="restart"/>
            <w:shd w:val="clear" w:color="auto" w:fill="auto"/>
            <w:vAlign w:val="center"/>
          </w:tcPr>
          <w:p>
            <w:pPr>
              <w:pStyle w:val="120"/>
              <w:rPr>
                <w:rFonts w:hint="default"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烟气量/（</w:t>
            </w:r>
            <w:r>
              <w:rPr>
                <w:rFonts w:hint="default" w:ascii="Times New Roman" w:hAnsi="Times New Roman" w:eastAsia="宋体" w:cs="Times New Roman"/>
                <w:b/>
                <w:bCs/>
                <w:color w:val="auto"/>
                <w:highlight w:val="none"/>
              </w:rPr>
              <w:t>m</w:t>
            </w:r>
            <w:r>
              <w:rPr>
                <w:rFonts w:hint="eastAsia" w:cs="Times New Roman"/>
                <w:b/>
                <w:bCs/>
                <w:color w:val="auto"/>
                <w:highlight w:val="none"/>
                <w:vertAlign w:val="superscript"/>
                <w:lang w:val="en-US" w:eastAsia="zh-CN"/>
              </w:rPr>
              <w:t>3</w:t>
            </w:r>
            <w:r>
              <w:rPr>
                <w:rFonts w:hint="default" w:ascii="Times New Roman" w:hAnsi="Times New Roman" w:eastAsia="宋体" w:cs="Times New Roman"/>
                <w:b/>
                <w:bCs/>
                <w:color w:val="auto"/>
                <w:highlight w:val="none"/>
              </w:rPr>
              <w:t>/h</w:t>
            </w:r>
            <w:r>
              <w:rPr>
                <w:rFonts w:hint="eastAsia" w:ascii="Times New Roman" w:hAnsi="Times New Roman" w:eastAsia="宋体" w:cs="Times New Roman"/>
                <w:b/>
                <w:bCs/>
                <w:color w:val="auto"/>
                <w:highlight w:val="none"/>
              </w:rPr>
              <w:t>）</w:t>
            </w:r>
          </w:p>
        </w:tc>
        <w:tc>
          <w:tcPr>
            <w:tcW w:w="400" w:type="dxa"/>
            <w:vMerge w:val="restart"/>
            <w:shd w:val="clear" w:color="auto" w:fill="auto"/>
            <w:vAlign w:val="center"/>
          </w:tcPr>
          <w:p>
            <w:pPr>
              <w:pStyle w:val="120"/>
              <w:rPr>
                <w:rFonts w:hint="default"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烟气</w:t>
            </w:r>
            <w:r>
              <w:rPr>
                <w:rFonts w:hint="default" w:ascii="Times New Roman" w:hAnsi="Times New Roman" w:eastAsia="宋体" w:cs="Times New Roman"/>
                <w:b/>
                <w:bCs/>
                <w:color w:val="auto"/>
                <w:highlight w:val="none"/>
              </w:rPr>
              <w:t>温度</w:t>
            </w:r>
            <w:r>
              <w:rPr>
                <w:rFonts w:hint="eastAsia" w:ascii="Times New Roman" w:hAnsi="Times New Roman" w:eastAsia="宋体" w:cs="Times New Roman"/>
                <w:b/>
                <w:bCs/>
                <w:color w:val="auto"/>
                <w:highlight w:val="none"/>
              </w:rPr>
              <w:t>/℃</w:t>
            </w:r>
          </w:p>
        </w:tc>
        <w:tc>
          <w:tcPr>
            <w:tcW w:w="649" w:type="dxa"/>
            <w:vMerge w:val="restart"/>
            <w:shd w:val="clear" w:color="auto" w:fill="auto"/>
            <w:vAlign w:val="center"/>
          </w:tcPr>
          <w:p>
            <w:pPr>
              <w:pStyle w:val="120"/>
              <w:rPr>
                <w:rFonts w:hint="default"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年</w:t>
            </w:r>
            <w:r>
              <w:rPr>
                <w:rFonts w:hint="default" w:ascii="Times New Roman" w:hAnsi="Times New Roman" w:eastAsia="宋体" w:cs="Times New Roman"/>
                <w:b/>
                <w:bCs/>
                <w:color w:val="auto"/>
                <w:highlight w:val="none"/>
              </w:rPr>
              <w:t>排放小时数</w:t>
            </w:r>
            <w:r>
              <w:rPr>
                <w:rFonts w:hint="eastAsia" w:ascii="Times New Roman" w:hAnsi="Times New Roman" w:eastAsia="宋体" w:cs="Times New Roman"/>
                <w:b/>
                <w:bCs/>
                <w:color w:val="auto"/>
                <w:highlight w:val="none"/>
              </w:rPr>
              <w:t>/</w:t>
            </w:r>
            <w:r>
              <w:rPr>
                <w:rFonts w:hint="default" w:ascii="Times New Roman" w:hAnsi="Times New Roman" w:eastAsia="宋体" w:cs="Times New Roman"/>
                <w:b/>
                <w:bCs/>
                <w:color w:val="auto"/>
                <w:highlight w:val="none"/>
              </w:rPr>
              <w:t>h</w:t>
            </w:r>
          </w:p>
        </w:tc>
        <w:tc>
          <w:tcPr>
            <w:tcW w:w="4069" w:type="dxa"/>
            <w:gridSpan w:val="5"/>
            <w:shd w:val="clear" w:color="auto" w:fill="auto"/>
            <w:vAlign w:val="center"/>
          </w:tcPr>
          <w:p>
            <w:pPr>
              <w:pStyle w:val="120"/>
              <w:rPr>
                <w:rFonts w:hint="eastAsia"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污染物排放</w:t>
            </w:r>
            <w:r>
              <w:rPr>
                <w:rFonts w:hint="default" w:ascii="Times New Roman" w:hAnsi="Times New Roman" w:eastAsia="宋体" w:cs="Times New Roman"/>
                <w:b/>
                <w:bCs/>
                <w:color w:val="auto"/>
                <w:highlight w:val="none"/>
              </w:rPr>
              <w:t>速率</w:t>
            </w:r>
            <w:r>
              <w:rPr>
                <w:rFonts w:hint="eastAsia" w:ascii="Times New Roman" w:hAnsi="Times New Roman" w:eastAsia="宋体" w:cs="Times New Roman"/>
                <w:b/>
                <w:bCs/>
                <w:color w:val="auto"/>
                <w:highlight w:val="none"/>
              </w:rPr>
              <w:t>/（kg/h）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dxa"/>
            <w:vMerge w:val="continue"/>
            <w:shd w:val="clear" w:color="auto" w:fill="auto"/>
            <w:vAlign w:val="center"/>
          </w:tcPr>
          <w:p>
            <w:pPr>
              <w:pStyle w:val="120"/>
              <w:rPr>
                <w:rFonts w:hint="default" w:ascii="Times New Roman" w:hAnsi="Times New Roman" w:eastAsia="宋体" w:cs="Times New Roman"/>
                <w:b/>
                <w:bCs/>
                <w:color w:val="auto"/>
                <w:highlight w:val="none"/>
              </w:rPr>
            </w:pPr>
          </w:p>
        </w:tc>
        <w:tc>
          <w:tcPr>
            <w:tcW w:w="529" w:type="dxa"/>
            <w:vMerge w:val="continue"/>
            <w:shd w:val="clear" w:color="auto" w:fill="auto"/>
            <w:vAlign w:val="center"/>
          </w:tcPr>
          <w:p>
            <w:pPr>
              <w:pStyle w:val="120"/>
              <w:rPr>
                <w:rFonts w:hint="default" w:ascii="Times New Roman" w:hAnsi="Times New Roman" w:eastAsia="宋体" w:cs="Times New Roman"/>
                <w:b/>
                <w:bCs/>
                <w:color w:val="auto"/>
                <w:highlight w:val="none"/>
              </w:rPr>
            </w:pPr>
          </w:p>
        </w:tc>
        <w:tc>
          <w:tcPr>
            <w:tcW w:w="399" w:type="dxa"/>
            <w:shd w:val="clear" w:color="auto" w:fill="auto"/>
            <w:vAlign w:val="center"/>
          </w:tcPr>
          <w:p>
            <w:pPr>
              <w:pStyle w:val="12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经度</w:t>
            </w:r>
          </w:p>
        </w:tc>
        <w:tc>
          <w:tcPr>
            <w:tcW w:w="399" w:type="dxa"/>
            <w:shd w:val="clear" w:color="auto" w:fill="auto"/>
            <w:vAlign w:val="center"/>
          </w:tcPr>
          <w:p>
            <w:pPr>
              <w:pStyle w:val="12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纬度</w:t>
            </w:r>
          </w:p>
        </w:tc>
        <w:tc>
          <w:tcPr>
            <w:tcW w:w="558" w:type="dxa"/>
            <w:vMerge w:val="continue"/>
            <w:shd w:val="clear" w:color="auto" w:fill="auto"/>
            <w:vAlign w:val="center"/>
          </w:tcPr>
          <w:p>
            <w:pPr>
              <w:pStyle w:val="120"/>
              <w:rPr>
                <w:rFonts w:hint="default" w:ascii="Times New Roman" w:hAnsi="Times New Roman" w:eastAsia="宋体" w:cs="Times New Roman"/>
                <w:b/>
                <w:bCs/>
                <w:color w:val="auto"/>
                <w:highlight w:val="none"/>
              </w:rPr>
            </w:pPr>
          </w:p>
        </w:tc>
        <w:tc>
          <w:tcPr>
            <w:tcW w:w="457" w:type="dxa"/>
            <w:vMerge w:val="continue"/>
            <w:shd w:val="clear" w:color="auto" w:fill="auto"/>
            <w:vAlign w:val="center"/>
          </w:tcPr>
          <w:p>
            <w:pPr>
              <w:pStyle w:val="120"/>
              <w:rPr>
                <w:rFonts w:hint="default" w:ascii="Times New Roman" w:hAnsi="Times New Roman" w:eastAsia="宋体" w:cs="Times New Roman"/>
                <w:b/>
                <w:bCs/>
                <w:color w:val="auto"/>
                <w:highlight w:val="none"/>
              </w:rPr>
            </w:pPr>
          </w:p>
        </w:tc>
        <w:tc>
          <w:tcPr>
            <w:tcW w:w="513" w:type="dxa"/>
            <w:vMerge w:val="continue"/>
            <w:shd w:val="clear" w:color="auto" w:fill="auto"/>
            <w:vAlign w:val="center"/>
          </w:tcPr>
          <w:p>
            <w:pPr>
              <w:pStyle w:val="120"/>
              <w:rPr>
                <w:rFonts w:hint="default" w:ascii="Times New Roman" w:hAnsi="Times New Roman" w:eastAsia="宋体" w:cs="Times New Roman"/>
                <w:b/>
                <w:bCs/>
                <w:color w:val="auto"/>
                <w:highlight w:val="none"/>
              </w:rPr>
            </w:pPr>
          </w:p>
        </w:tc>
        <w:tc>
          <w:tcPr>
            <w:tcW w:w="491" w:type="dxa"/>
            <w:vMerge w:val="continue"/>
            <w:shd w:val="clear" w:color="auto" w:fill="auto"/>
            <w:vAlign w:val="center"/>
          </w:tcPr>
          <w:p>
            <w:pPr>
              <w:pStyle w:val="120"/>
              <w:rPr>
                <w:rFonts w:hint="default" w:ascii="Times New Roman" w:hAnsi="Times New Roman" w:eastAsia="宋体" w:cs="Times New Roman"/>
                <w:b/>
                <w:bCs/>
                <w:color w:val="auto"/>
                <w:highlight w:val="none"/>
              </w:rPr>
            </w:pPr>
          </w:p>
        </w:tc>
        <w:tc>
          <w:tcPr>
            <w:tcW w:w="400" w:type="dxa"/>
            <w:vMerge w:val="continue"/>
            <w:shd w:val="clear" w:color="auto" w:fill="auto"/>
            <w:vAlign w:val="center"/>
          </w:tcPr>
          <w:p>
            <w:pPr>
              <w:pStyle w:val="120"/>
              <w:rPr>
                <w:rFonts w:hint="default" w:ascii="Times New Roman" w:hAnsi="Times New Roman" w:eastAsia="宋体" w:cs="Times New Roman"/>
                <w:b/>
                <w:bCs/>
                <w:color w:val="auto"/>
                <w:highlight w:val="none"/>
              </w:rPr>
            </w:pPr>
          </w:p>
        </w:tc>
        <w:tc>
          <w:tcPr>
            <w:tcW w:w="649" w:type="dxa"/>
            <w:vMerge w:val="continue"/>
            <w:shd w:val="clear" w:color="auto" w:fill="auto"/>
            <w:vAlign w:val="center"/>
          </w:tcPr>
          <w:p>
            <w:pPr>
              <w:pStyle w:val="120"/>
              <w:rPr>
                <w:rFonts w:hint="default" w:ascii="Times New Roman" w:hAnsi="Times New Roman" w:eastAsia="宋体" w:cs="Times New Roman"/>
                <w:b/>
                <w:bCs/>
                <w:color w:val="auto"/>
                <w:highlight w:val="none"/>
              </w:rPr>
            </w:pPr>
          </w:p>
        </w:tc>
        <w:tc>
          <w:tcPr>
            <w:tcW w:w="788" w:type="dxa"/>
            <w:shd w:val="clear" w:color="auto" w:fill="auto"/>
            <w:vAlign w:val="center"/>
          </w:tcPr>
          <w:p>
            <w:pPr>
              <w:pStyle w:val="120"/>
              <w:rPr>
                <w:rFonts w:hint="default"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PM</w:t>
            </w:r>
            <w:r>
              <w:rPr>
                <w:rFonts w:hint="eastAsia" w:ascii="Times New Roman" w:hAnsi="Times New Roman" w:eastAsia="宋体" w:cs="Times New Roman"/>
                <w:b/>
                <w:bCs/>
                <w:color w:val="auto"/>
                <w:highlight w:val="none"/>
                <w:vertAlign w:val="subscript"/>
              </w:rPr>
              <w:t>10</w:t>
            </w:r>
          </w:p>
        </w:tc>
        <w:tc>
          <w:tcPr>
            <w:tcW w:w="770" w:type="dxa"/>
            <w:shd w:val="clear" w:color="auto" w:fill="auto"/>
            <w:vAlign w:val="center"/>
          </w:tcPr>
          <w:p>
            <w:pPr>
              <w:pStyle w:val="120"/>
              <w:rPr>
                <w:rFonts w:hint="eastAsia"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二氧</w:t>
            </w:r>
          </w:p>
          <w:p>
            <w:pPr>
              <w:pStyle w:val="120"/>
              <w:rPr>
                <w:rFonts w:hint="eastAsia"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rPr>
              <w:t>化硫</w:t>
            </w:r>
          </w:p>
        </w:tc>
        <w:tc>
          <w:tcPr>
            <w:tcW w:w="807" w:type="dxa"/>
            <w:shd w:val="clear" w:color="auto" w:fill="auto"/>
            <w:vAlign w:val="center"/>
          </w:tcPr>
          <w:p>
            <w:pPr>
              <w:pStyle w:val="120"/>
              <w:rPr>
                <w:rFonts w:hint="eastAsia"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氮氧</w:t>
            </w:r>
          </w:p>
          <w:p>
            <w:pPr>
              <w:pStyle w:val="120"/>
              <w:rPr>
                <w:rFonts w:hint="default"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化物</w:t>
            </w:r>
          </w:p>
        </w:tc>
        <w:tc>
          <w:tcPr>
            <w:tcW w:w="819" w:type="dxa"/>
            <w:shd w:val="clear" w:color="auto" w:fill="auto"/>
            <w:vAlign w:val="center"/>
          </w:tcPr>
          <w:p>
            <w:pPr>
              <w:pStyle w:val="120"/>
              <w:rPr>
                <w:rFonts w:hint="default"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汞</w:t>
            </w:r>
          </w:p>
        </w:tc>
        <w:tc>
          <w:tcPr>
            <w:tcW w:w="885" w:type="dxa"/>
            <w:shd w:val="clear" w:color="auto" w:fill="auto"/>
            <w:vAlign w:val="center"/>
          </w:tcPr>
          <w:p>
            <w:pPr>
              <w:pStyle w:val="120"/>
              <w:rPr>
                <w:rFonts w:hint="default"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PM</w:t>
            </w:r>
            <w:r>
              <w:rPr>
                <w:rFonts w:hint="eastAsia" w:ascii="Times New Roman" w:hAnsi="Times New Roman" w:eastAsia="宋体" w:cs="Times New Roman"/>
                <w:b/>
                <w:bCs/>
                <w:color w:val="auto"/>
                <w:highlight w:val="none"/>
                <w:vertAlign w:val="subscript"/>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color w:val="auto"/>
                <w:sz w:val="21"/>
                <w:szCs w:val="21"/>
                <w:highlight w:val="none"/>
              </w:rPr>
            </w:pPr>
            <w:r>
              <w:rPr>
                <w:rFonts w:hint="eastAsia"/>
                <w:b w:val="0"/>
                <w:bCs w:val="0"/>
                <w:color w:val="auto"/>
                <w:sz w:val="21"/>
                <w:szCs w:val="21"/>
                <w:highlight w:val="none"/>
              </w:rPr>
              <w:t>D</w:t>
            </w:r>
            <w:r>
              <w:rPr>
                <w:rFonts w:hint="default"/>
                <w:b w:val="0"/>
                <w:bCs w:val="0"/>
                <w:color w:val="auto"/>
                <w:sz w:val="21"/>
                <w:szCs w:val="21"/>
                <w:highlight w:val="none"/>
              </w:rPr>
              <w:t>A001</w:t>
            </w:r>
          </w:p>
        </w:tc>
        <w:tc>
          <w:tcPr>
            <w:tcW w:w="529"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color w:val="auto"/>
                <w:sz w:val="21"/>
                <w:szCs w:val="21"/>
                <w:highlight w:val="none"/>
              </w:rPr>
            </w:pPr>
            <w:r>
              <w:rPr>
                <w:rFonts w:hint="default"/>
                <w:b w:val="0"/>
                <w:bCs w:val="0"/>
                <w:color w:val="auto"/>
                <w:sz w:val="21"/>
                <w:szCs w:val="21"/>
                <w:highlight w:val="none"/>
              </w:rPr>
              <w:t>排气筒</w:t>
            </w:r>
          </w:p>
        </w:tc>
        <w:tc>
          <w:tcPr>
            <w:tcW w:w="399"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20</w:t>
            </w:r>
          </w:p>
        </w:tc>
        <w:tc>
          <w:tcPr>
            <w:tcW w:w="399"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34</w:t>
            </w:r>
          </w:p>
        </w:tc>
        <w:tc>
          <w:tcPr>
            <w:tcW w:w="558"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1083</w:t>
            </w:r>
          </w:p>
        </w:tc>
        <w:tc>
          <w:tcPr>
            <w:tcW w:w="45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60</w:t>
            </w:r>
          </w:p>
        </w:tc>
        <w:tc>
          <w:tcPr>
            <w:tcW w:w="51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3.6</w:t>
            </w:r>
          </w:p>
        </w:tc>
        <w:tc>
          <w:tcPr>
            <w:tcW w:w="491"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418150.0074</w:t>
            </w:r>
          </w:p>
        </w:tc>
        <w:tc>
          <w:tcPr>
            <w:tcW w:w="40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80</w:t>
            </w:r>
          </w:p>
        </w:tc>
        <w:tc>
          <w:tcPr>
            <w:tcW w:w="649"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3240</w:t>
            </w:r>
          </w:p>
        </w:tc>
        <w:tc>
          <w:tcPr>
            <w:tcW w:w="788"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3.065</w:t>
            </w:r>
          </w:p>
        </w:tc>
        <w:tc>
          <w:tcPr>
            <w:tcW w:w="77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13.016</w:t>
            </w:r>
          </w:p>
        </w:tc>
        <w:tc>
          <w:tcPr>
            <w:tcW w:w="80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18.818</w:t>
            </w:r>
          </w:p>
        </w:tc>
        <w:tc>
          <w:tcPr>
            <w:tcW w:w="819"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0.00071</w:t>
            </w:r>
          </w:p>
        </w:tc>
        <w:tc>
          <w:tcPr>
            <w:tcW w:w="88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3.065</w:t>
            </w:r>
          </w:p>
        </w:tc>
      </w:tr>
    </w:tbl>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eastAsia" w:cs="Times New Roman"/>
          <w:b/>
          <w:bCs/>
          <w:color w:val="auto"/>
          <w:sz w:val="21"/>
          <w:szCs w:val="21"/>
          <w:highlight w:val="none"/>
          <w:lang w:val="en-US" w:eastAsia="zh-CN"/>
        </w:rPr>
        <w:t>6.2.1-9</w:t>
      </w:r>
      <w:r>
        <w:rPr>
          <w:rFonts w:hint="default" w:ascii="Times New Roman" w:hAnsi="Times New Roman" w:eastAsia="宋体" w:cs="Times New Roman"/>
          <w:b/>
          <w:bCs/>
          <w:color w:val="auto"/>
          <w:sz w:val="21"/>
          <w:szCs w:val="21"/>
          <w:highlight w:val="none"/>
        </w:rPr>
        <w:t xml:space="preserve">  </w:t>
      </w:r>
      <w:r>
        <w:rPr>
          <w:rFonts w:hint="default" w:ascii="Times New Roman" w:hAnsi="Times New Roman" w:eastAsia="宋体" w:cs="Times New Roman"/>
          <w:b/>
          <w:bCs/>
          <w:color w:val="auto"/>
          <w:sz w:val="21"/>
          <w:szCs w:val="21"/>
          <w:highlight w:val="none"/>
          <w:lang w:val="en-US" w:eastAsia="zh-CN"/>
        </w:rPr>
        <w:t xml:space="preserve"> </w:t>
      </w:r>
      <w:r>
        <w:rPr>
          <w:rFonts w:hint="eastAsia" w:cs="Times New Roman"/>
          <w:b/>
          <w:bCs/>
          <w:color w:val="auto"/>
          <w:sz w:val="21"/>
          <w:szCs w:val="21"/>
          <w:highlight w:val="none"/>
          <w:lang w:val="en-US" w:eastAsia="zh-CN"/>
        </w:rPr>
        <w:t>正常工况</w:t>
      </w:r>
      <w:r>
        <w:rPr>
          <w:rFonts w:hint="default" w:ascii="Times New Roman" w:hAnsi="Times New Roman" w:eastAsia="宋体" w:cs="Times New Roman"/>
          <w:b/>
          <w:bCs/>
          <w:color w:val="auto"/>
          <w:sz w:val="21"/>
          <w:szCs w:val="21"/>
          <w:highlight w:val="none"/>
        </w:rPr>
        <w:t>无组织大气污染源特征参数统计表</w:t>
      </w:r>
      <w:r>
        <w:rPr>
          <w:rFonts w:hint="eastAsia" w:cs="Times New Roman"/>
          <w:b/>
          <w:bCs/>
          <w:color w:val="auto"/>
          <w:sz w:val="21"/>
          <w:szCs w:val="21"/>
          <w:highlight w:val="none"/>
          <w:lang w:eastAsia="zh-CN"/>
        </w:rPr>
        <w:t>（</w:t>
      </w:r>
      <w:r>
        <w:rPr>
          <w:rFonts w:hint="eastAsia" w:cs="Times New Roman"/>
          <w:b/>
          <w:bCs/>
          <w:color w:val="auto"/>
          <w:sz w:val="21"/>
          <w:szCs w:val="21"/>
          <w:highlight w:val="none"/>
          <w:lang w:val="en-US" w:eastAsia="zh-CN"/>
        </w:rPr>
        <w:t>面源</w:t>
      </w:r>
      <w:r>
        <w:rPr>
          <w:rFonts w:hint="eastAsia" w:cs="Times New Roman"/>
          <w:b/>
          <w:bCs/>
          <w:color w:val="auto"/>
          <w:sz w:val="21"/>
          <w:szCs w:val="21"/>
          <w:highlight w:val="none"/>
          <w:lang w:eastAsia="zh-CN"/>
        </w:rPr>
        <w:t>）</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3"/>
        <w:gridCol w:w="730"/>
        <w:gridCol w:w="694"/>
        <w:gridCol w:w="971"/>
        <w:gridCol w:w="952"/>
        <w:gridCol w:w="923"/>
        <w:gridCol w:w="951"/>
        <w:gridCol w:w="884"/>
        <w:gridCol w:w="12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before="0" w:beforeLines="0" w:after="0" w:afterLines="0" w:line="320" w:lineRule="exact"/>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污染源</w:t>
            </w:r>
          </w:p>
          <w:p>
            <w:pPr>
              <w:keepNext w:val="0"/>
              <w:keepLines w:val="0"/>
              <w:pageBreakBefore w:val="0"/>
              <w:widowControl w:val="0"/>
              <w:kinsoku/>
              <w:wordWrap/>
              <w:overflowPunct/>
              <w:topLinePunct w:val="0"/>
              <w:autoSpaceDE/>
              <w:autoSpaceDN/>
              <w:bidi w:val="0"/>
              <w:adjustRightInd/>
              <w:snapToGrid w:val="0"/>
              <w:spacing w:before="0" w:beforeLines="0" w:after="0" w:afterLines="0" w:line="320" w:lineRule="exact"/>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869"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before="0" w:beforeLines="0" w:after="0" w:afterLines="0" w:line="320" w:lineRule="exact"/>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highlight w:val="none"/>
              </w:rPr>
              <w:t>中心坐标/</w:t>
            </w:r>
            <w:r>
              <w:rPr>
                <w:rFonts w:hint="default" w:ascii="Times New Roman" w:hAnsi="Times New Roman" w:eastAsia="宋体" w:cs="Times New Roman"/>
                <w:b/>
                <w:bCs/>
                <w:color w:val="auto"/>
                <w:sz w:val="21"/>
                <w:szCs w:val="21"/>
                <w:highlight w:val="none"/>
                <w:lang w:val="en-US" w:eastAsia="zh-CN"/>
              </w:rPr>
              <w:t>°</w:t>
            </w:r>
          </w:p>
        </w:tc>
        <w:tc>
          <w:tcPr>
            <w:tcW w:w="5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before="0" w:beforeLines="0" w:after="0" w:afterLines="0" w:line="320" w:lineRule="exact"/>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highlight w:val="none"/>
              </w:rPr>
              <w:t>面源海拔高度</w:t>
            </w:r>
          </w:p>
        </w:tc>
        <w:tc>
          <w:tcPr>
            <w:tcW w:w="224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before="0" w:beforeLines="0" w:after="0" w:afterLines="0" w:line="320" w:lineRule="exact"/>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矩形面源</w:t>
            </w:r>
          </w:p>
        </w:tc>
        <w:tc>
          <w:tcPr>
            <w:tcW w:w="7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before="0" w:beforeLines="0" w:after="0" w:afterLines="0" w:line="320" w:lineRule="exact"/>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highlight w:val="none"/>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before="0" w:beforeLines="0" w:after="0" w:afterLines="0" w:line="320" w:lineRule="exact"/>
              <w:ind w:firstLine="0" w:firstLineChars="0"/>
              <w:jc w:val="center"/>
              <w:textAlignment w:val="auto"/>
              <w:rPr>
                <w:rFonts w:hint="default" w:ascii="Times New Roman" w:hAnsi="Times New Roman" w:eastAsia="宋体" w:cs="Times New Roman"/>
                <w:b/>
                <w:bCs/>
                <w:color w:val="auto"/>
                <w:sz w:val="21"/>
                <w:szCs w:val="21"/>
              </w:rPr>
            </w:pPr>
          </w:p>
        </w:tc>
        <w:tc>
          <w:tcPr>
            <w:tcW w:w="825" w:type="dxa"/>
            <w:tcBorders>
              <w:tl2br w:val="nil"/>
              <w:tr2bl w:val="nil"/>
            </w:tcBorders>
            <w:noWrap w:val="0"/>
            <w:vAlign w:val="center"/>
          </w:tcPr>
          <w:p>
            <w:pPr>
              <w:pStyle w:val="120"/>
              <w:ind w:firstLine="0" w:firstLineChars="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highlight w:val="none"/>
              </w:rPr>
              <w:t>经度</w:t>
            </w:r>
          </w:p>
        </w:tc>
        <w:tc>
          <w:tcPr>
            <w:tcW w:w="786" w:type="dxa"/>
            <w:tcBorders>
              <w:tl2br w:val="nil"/>
              <w:tr2bl w:val="nil"/>
            </w:tcBorders>
            <w:noWrap w:val="0"/>
            <w:vAlign w:val="center"/>
          </w:tcPr>
          <w:p>
            <w:pPr>
              <w:pStyle w:val="120"/>
              <w:ind w:firstLine="0" w:firstLineChars="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highlight w:val="none"/>
              </w:rPr>
              <w:t>纬度</w:t>
            </w:r>
          </w:p>
        </w:tc>
        <w:tc>
          <w:tcPr>
            <w:tcW w:w="5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before="0" w:beforeLines="0" w:after="0" w:afterLines="0" w:line="320" w:lineRule="exact"/>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lang w:val="en-US" w:eastAsia="zh-CN"/>
              </w:rPr>
              <w:t>m</w:t>
            </w:r>
            <w:r>
              <w:rPr>
                <w:rFonts w:hint="default" w:ascii="Times New Roman" w:hAnsi="Times New Roman" w:eastAsia="宋体" w:cs="Times New Roman"/>
                <w:b/>
                <w:bCs/>
                <w:color w:val="auto"/>
                <w:sz w:val="21"/>
                <w:szCs w:val="21"/>
                <w:lang w:eastAsia="zh-CN"/>
              </w:rPr>
              <w:t>）</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before="0" w:beforeLines="0" w:after="0" w:afterLines="0" w:line="320" w:lineRule="exact"/>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宽</w:t>
            </w:r>
            <w:r>
              <w:rPr>
                <w:rFonts w:hint="default" w:ascii="Times New Roman" w:hAnsi="Times New Roman" w:eastAsia="宋体" w:cs="Times New Roman"/>
                <w:b/>
                <w:bCs/>
                <w:color w:val="auto"/>
                <w:sz w:val="21"/>
                <w:szCs w:val="21"/>
              </w:rPr>
              <w:t>度</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lang w:val="en-US" w:eastAsia="zh-CN"/>
              </w:rPr>
              <w:t>m</w:t>
            </w:r>
            <w:r>
              <w:rPr>
                <w:rFonts w:hint="default" w:ascii="Times New Roman" w:hAnsi="Times New Roman" w:eastAsia="宋体" w:cs="Times New Roman"/>
                <w:b/>
                <w:bCs/>
                <w:color w:val="auto"/>
                <w:sz w:val="21"/>
                <w:szCs w:val="21"/>
                <w:lang w:eastAsia="zh-CN"/>
              </w:rPr>
              <w:t>）</w:t>
            </w:r>
          </w:p>
        </w:tc>
        <w:tc>
          <w:tcPr>
            <w:tcW w:w="55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before="0" w:beforeLines="0" w:after="0" w:afterLines="0" w:line="320" w:lineRule="exact"/>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长</w:t>
            </w:r>
            <w:r>
              <w:rPr>
                <w:rFonts w:hint="default" w:ascii="Times New Roman" w:hAnsi="Times New Roman" w:eastAsia="宋体" w:cs="Times New Roman"/>
                <w:b/>
                <w:bCs/>
                <w:color w:val="auto"/>
                <w:sz w:val="21"/>
                <w:szCs w:val="21"/>
              </w:rPr>
              <w:t>度</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lang w:val="en-US" w:eastAsia="zh-CN"/>
              </w:rPr>
              <w:t>m</w:t>
            </w:r>
            <w:r>
              <w:rPr>
                <w:rFonts w:hint="default" w:ascii="Times New Roman" w:hAnsi="Times New Roman" w:eastAsia="宋体" w:cs="Times New Roman"/>
                <w:b/>
                <w:bCs/>
                <w:color w:val="auto"/>
                <w:sz w:val="21"/>
                <w:szCs w:val="21"/>
                <w:lang w:eastAsia="zh-CN"/>
              </w:rPr>
              <w:t>）</w:t>
            </w:r>
          </w:p>
        </w:tc>
        <w:tc>
          <w:tcPr>
            <w:tcW w:w="5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before="0" w:beforeLines="0" w:after="0" w:afterLines="0" w:line="320" w:lineRule="exact"/>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highlight w:val="none"/>
              </w:rPr>
              <w:t>与正北向夹角°</w:t>
            </w:r>
          </w:p>
        </w:tc>
        <w:tc>
          <w:tcPr>
            <w:tcW w:w="53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before="0" w:beforeLines="0" w:after="0" w:afterLines="0" w:line="320" w:lineRule="exact"/>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有效高度</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lang w:val="en-US" w:eastAsia="zh-CN"/>
              </w:rPr>
              <w:t>m</w:t>
            </w:r>
            <w:r>
              <w:rPr>
                <w:rFonts w:hint="default" w:ascii="Times New Roman" w:hAnsi="Times New Roman" w:eastAsia="宋体" w:cs="Times New Roman"/>
                <w:b/>
                <w:bCs/>
                <w:color w:val="auto"/>
                <w:sz w:val="21"/>
                <w:szCs w:val="21"/>
                <w:highlight w:val="none"/>
                <w:lang w:eastAsia="zh-CN"/>
              </w:rPr>
              <w:t>）</w:t>
            </w:r>
          </w:p>
        </w:tc>
        <w:tc>
          <w:tcPr>
            <w:tcW w:w="7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before="0" w:beforeLines="0" w:after="0" w:afterLines="0" w:line="320" w:lineRule="exact"/>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320" w:lineRule="exact"/>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矩形</w:t>
            </w:r>
          </w:p>
          <w:p>
            <w:pPr>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320" w:lineRule="exact"/>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面源GM1</w:t>
            </w:r>
            <w:r>
              <w:rPr>
                <w:rFonts w:hint="eastAsia"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GM</w:t>
            </w:r>
            <w:r>
              <w:rPr>
                <w:rFonts w:hint="eastAsia" w:cs="Times New Roman"/>
                <w:color w:val="auto"/>
                <w:kern w:val="0"/>
                <w:sz w:val="21"/>
                <w:szCs w:val="21"/>
                <w:highlight w:val="none"/>
                <w:lang w:val="en-US" w:eastAsia="zh-CN" w:bidi="ar-SA"/>
              </w:rPr>
              <w:t>3</w:t>
            </w:r>
          </w:p>
        </w:tc>
        <w:tc>
          <w:tcPr>
            <w:tcW w:w="787" w:type="dxa"/>
            <w:tcBorders>
              <w:tl2br w:val="nil"/>
              <w:tr2bl w:val="nil"/>
            </w:tcBorders>
            <w:noWrap w:val="0"/>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20</w:t>
            </w:r>
          </w:p>
        </w:tc>
        <w:tc>
          <w:tcPr>
            <w:tcW w:w="750" w:type="dxa"/>
            <w:tcBorders>
              <w:tl2br w:val="nil"/>
              <w:tr2bl w:val="nil"/>
            </w:tcBorders>
            <w:noWrap w:val="0"/>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112</w:t>
            </w:r>
          </w:p>
        </w:tc>
        <w:tc>
          <w:tcPr>
            <w:tcW w:w="1036" w:type="dxa"/>
            <w:tcBorders>
              <w:tl2br w:val="nil"/>
              <w:tr2bl w:val="nil"/>
            </w:tcBorders>
            <w:noWrap w:val="0"/>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1081</w:t>
            </w:r>
          </w:p>
        </w:tc>
        <w:tc>
          <w:tcPr>
            <w:tcW w:w="10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124</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80</w:t>
            </w:r>
          </w:p>
        </w:tc>
        <w:tc>
          <w:tcPr>
            <w:tcW w:w="1015" w:type="dxa"/>
            <w:tcBorders>
              <w:tl2br w:val="nil"/>
              <w:tr2bl w:val="nil"/>
            </w:tcBorders>
            <w:noWrap w:val="0"/>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w:t>
            </w:r>
          </w:p>
        </w:tc>
        <w:tc>
          <w:tcPr>
            <w:tcW w:w="946" w:type="dxa"/>
            <w:tcBorders>
              <w:tl2br w:val="nil"/>
              <w:tr2bl w:val="nil"/>
            </w:tcBorders>
            <w:noWrap w:val="0"/>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15</w:t>
            </w:r>
          </w:p>
        </w:tc>
        <w:tc>
          <w:tcPr>
            <w:tcW w:w="1319" w:type="dxa"/>
            <w:tcBorders>
              <w:tl2br w:val="nil"/>
              <w:tr2bl w:val="nil"/>
            </w:tcBorders>
            <w:noWrap w:val="0"/>
            <w:vAlign w:val="center"/>
          </w:tcPr>
          <w:p>
            <w:pPr>
              <w:snapToGrid w:val="0"/>
              <w:spacing w:before="0" w:beforeLines="0" w:after="0" w:afterLines="0" w:line="320" w:lineRule="exact"/>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2.09</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非正常工况下废气排放情况见下表</w:t>
      </w:r>
      <w:r>
        <w:rPr>
          <w:rFonts w:hint="eastAsia" w:cs="Times New Roman"/>
          <w:color w:val="auto"/>
          <w:sz w:val="24"/>
          <w:szCs w:val="24"/>
          <w:highlight w:val="none"/>
          <w:lang w:val="en-US" w:eastAsia="zh-CN"/>
        </w:rPr>
        <w:t>6.2.1-10</w:t>
      </w:r>
      <w:r>
        <w:rPr>
          <w:rFonts w:hint="eastAsia" w:ascii="Times New Roman" w:hAnsi="Times New Roman" w:eastAsia="宋体" w:cs="Times New Roman"/>
          <w:color w:val="auto"/>
          <w:sz w:val="24"/>
          <w:szCs w:val="24"/>
          <w:highlight w:val="none"/>
          <w:lang w:val="en-US" w:eastAsia="zh-CN"/>
        </w:rPr>
        <w:t>。</w:t>
      </w:r>
    </w:p>
    <w:p>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表</w:t>
      </w:r>
      <w:r>
        <w:rPr>
          <w:rFonts w:hint="eastAsia" w:eastAsia="宋体" w:cs="Times New Roman"/>
          <w:b/>
          <w:bCs/>
          <w:color w:val="auto"/>
          <w:kern w:val="0"/>
          <w:sz w:val="21"/>
          <w:szCs w:val="21"/>
          <w:highlight w:val="none"/>
          <w:lang w:val="en-US" w:eastAsia="zh-CN" w:bidi="ar-SA"/>
        </w:rPr>
        <w:t>6.2.1-10</w:t>
      </w:r>
      <w:r>
        <w:rPr>
          <w:rFonts w:hint="eastAsia" w:ascii="Times New Roman" w:hAnsi="Times New Roman" w:eastAsia="宋体" w:cs="Times New Roman"/>
          <w:b/>
          <w:bCs/>
          <w:color w:val="auto"/>
          <w:kern w:val="0"/>
          <w:sz w:val="21"/>
          <w:szCs w:val="21"/>
          <w:highlight w:val="none"/>
          <w:lang w:val="en-US" w:eastAsia="zh-CN" w:bidi="ar-SA"/>
        </w:rPr>
        <w:t xml:space="preserve"> </w:t>
      </w:r>
      <w:r>
        <w:rPr>
          <w:rFonts w:hint="default" w:ascii="Times New Roman" w:hAnsi="Times New Roman" w:eastAsia="宋体" w:cs="Times New Roman"/>
          <w:b/>
          <w:bCs/>
          <w:color w:val="auto"/>
          <w:kern w:val="0"/>
          <w:sz w:val="21"/>
          <w:szCs w:val="21"/>
          <w:highlight w:val="none"/>
          <w:lang w:val="en-US" w:eastAsia="zh-CN" w:bidi="ar-SA"/>
        </w:rPr>
        <w:t xml:space="preserve">  </w:t>
      </w:r>
      <w:r>
        <w:rPr>
          <w:rFonts w:hint="eastAsia" w:ascii="Times New Roman" w:hAnsi="Times New Roman" w:eastAsia="宋体" w:cs="Times New Roman"/>
          <w:b/>
          <w:bCs/>
          <w:color w:val="auto"/>
          <w:kern w:val="0"/>
          <w:sz w:val="21"/>
          <w:szCs w:val="21"/>
          <w:highlight w:val="none"/>
          <w:lang w:val="en-US" w:eastAsia="zh-CN" w:bidi="ar-SA"/>
        </w:rPr>
        <w:t>非正常工况</w:t>
      </w:r>
      <w:r>
        <w:rPr>
          <w:rFonts w:hint="default" w:ascii="Times New Roman" w:hAnsi="Times New Roman" w:eastAsia="宋体" w:cs="Times New Roman"/>
          <w:b/>
          <w:bCs/>
          <w:color w:val="auto"/>
          <w:sz w:val="21"/>
          <w:szCs w:val="21"/>
          <w:highlight w:val="none"/>
        </w:rPr>
        <w:t>有组织大气污染源特征参数统计表</w:t>
      </w:r>
      <w:r>
        <w:rPr>
          <w:rFonts w:hint="eastAsia" w:cs="Times New Roman"/>
          <w:b/>
          <w:bCs/>
          <w:color w:val="auto"/>
          <w:sz w:val="21"/>
          <w:szCs w:val="21"/>
          <w:highlight w:val="none"/>
          <w:lang w:eastAsia="zh-CN"/>
        </w:rPr>
        <w:t>（</w:t>
      </w:r>
      <w:r>
        <w:rPr>
          <w:rFonts w:hint="eastAsia" w:cs="Times New Roman"/>
          <w:b/>
          <w:bCs/>
          <w:color w:val="auto"/>
          <w:sz w:val="21"/>
          <w:szCs w:val="21"/>
          <w:highlight w:val="none"/>
          <w:lang w:val="en-US" w:eastAsia="zh-CN"/>
        </w:rPr>
        <w:t>点源</w:t>
      </w:r>
      <w:r>
        <w:rPr>
          <w:rFonts w:hint="eastAsia" w:cs="Times New Roman"/>
          <w:b/>
          <w:bCs/>
          <w:color w:val="auto"/>
          <w:sz w:val="21"/>
          <w:szCs w:val="21"/>
          <w:highlight w:val="none"/>
          <w:lang w:eastAsia="zh-CN"/>
        </w:rPr>
        <w:t>）</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6"/>
        <w:gridCol w:w="2277"/>
        <w:gridCol w:w="1158"/>
        <w:gridCol w:w="1643"/>
        <w:gridCol w:w="1090"/>
        <w:gridCol w:w="9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before="0" w:beforeLines="0" w:after="0" w:afterLines="0" w:line="320" w:lineRule="exact"/>
              <w:ind w:firstLine="0" w:firstLineChars="0"/>
              <w:jc w:val="center"/>
              <w:textAlignment w:val="auto"/>
              <w:rPr>
                <w:rFonts w:hint="default" w:ascii="Times New Roman" w:hAnsi="Times New Roman" w:eastAsia="宋体" w:cs="Times New Roman"/>
                <w:b/>
                <w:bCs/>
                <w:color w:val="auto"/>
                <w:sz w:val="21"/>
                <w:szCs w:val="21"/>
                <w:lang w:val="zh-CN"/>
              </w:rPr>
            </w:pPr>
            <w:r>
              <w:rPr>
                <w:rFonts w:hint="eastAsia" w:ascii="Times New Roman" w:hAnsi="Times New Roman" w:eastAsia="宋体" w:cs="Times New Roman"/>
                <w:b/>
                <w:bCs/>
                <w:color w:val="auto"/>
                <w:sz w:val="21"/>
                <w:szCs w:val="21"/>
                <w:lang w:val="zh-CN"/>
              </w:rPr>
              <w:t>非正常排放源</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before="0" w:beforeLines="0" w:after="0" w:afterLines="0" w:line="320" w:lineRule="exact"/>
              <w:ind w:firstLine="0" w:firstLineChars="0"/>
              <w:jc w:val="center"/>
              <w:textAlignment w:val="auto"/>
              <w:rPr>
                <w:rFonts w:hint="default" w:ascii="Times New Roman" w:hAnsi="Times New Roman" w:eastAsia="宋体" w:cs="Times New Roman"/>
                <w:b/>
                <w:bCs/>
                <w:color w:val="auto"/>
                <w:sz w:val="21"/>
                <w:szCs w:val="21"/>
                <w:lang w:val="zh-CN"/>
              </w:rPr>
            </w:pPr>
            <w:r>
              <w:rPr>
                <w:rFonts w:hint="eastAsia" w:ascii="Times New Roman" w:hAnsi="Times New Roman" w:eastAsia="宋体" w:cs="Times New Roman"/>
                <w:b/>
                <w:bCs/>
                <w:color w:val="auto"/>
                <w:sz w:val="21"/>
                <w:szCs w:val="21"/>
                <w:lang w:val="zh-CN"/>
              </w:rPr>
              <w:t>非正常排放原因</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before="0" w:beforeLines="0" w:after="0" w:afterLines="0" w:line="320" w:lineRule="exact"/>
              <w:ind w:firstLine="0" w:firstLineChars="0"/>
              <w:jc w:val="center"/>
              <w:textAlignment w:val="auto"/>
              <w:rPr>
                <w:rFonts w:hint="default" w:ascii="Times New Roman" w:hAnsi="Times New Roman" w:eastAsia="宋体" w:cs="Times New Roman"/>
                <w:b/>
                <w:bCs/>
                <w:color w:val="auto"/>
                <w:sz w:val="21"/>
                <w:szCs w:val="21"/>
                <w:lang w:val="zh-CN"/>
              </w:rPr>
            </w:pPr>
            <w:r>
              <w:rPr>
                <w:rFonts w:hint="eastAsia" w:ascii="Times New Roman" w:hAnsi="Times New Roman" w:eastAsia="宋体" w:cs="Times New Roman"/>
                <w:b/>
                <w:bCs/>
                <w:color w:val="auto"/>
                <w:sz w:val="21"/>
                <w:szCs w:val="21"/>
                <w:lang w:val="zh-CN"/>
              </w:rPr>
              <w:t>污染物</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before="0" w:beforeLines="0" w:after="0" w:afterLines="0" w:line="320" w:lineRule="exact"/>
              <w:ind w:firstLine="0" w:firstLineChars="0"/>
              <w:jc w:val="center"/>
              <w:textAlignment w:val="auto"/>
              <w:rPr>
                <w:rFonts w:hint="default" w:ascii="Times New Roman" w:hAnsi="Times New Roman" w:eastAsia="宋体" w:cs="Times New Roman"/>
                <w:b/>
                <w:bCs/>
                <w:color w:val="auto"/>
                <w:sz w:val="21"/>
                <w:szCs w:val="21"/>
                <w:lang w:val="zh-CN"/>
              </w:rPr>
            </w:pPr>
            <w:r>
              <w:rPr>
                <w:rFonts w:hint="eastAsia" w:ascii="Times New Roman" w:hAnsi="Times New Roman" w:eastAsia="宋体" w:cs="Times New Roman"/>
                <w:b/>
                <w:bCs/>
                <w:color w:val="auto"/>
                <w:sz w:val="21"/>
                <w:szCs w:val="21"/>
                <w:lang w:val="zh-CN"/>
              </w:rPr>
              <w:t>非正常排放速率</w:t>
            </w:r>
            <w:r>
              <w:rPr>
                <w:rFonts w:hint="default" w:ascii="Times New Roman" w:hAnsi="Times New Roman" w:eastAsia="宋体" w:cs="Times New Roman"/>
                <w:b/>
                <w:bCs/>
                <w:color w:val="auto"/>
                <w:sz w:val="21"/>
                <w:szCs w:val="21"/>
                <w:lang w:val="zh-CN"/>
              </w:rPr>
              <w:t>kg/h</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before="0" w:beforeLines="0" w:after="0" w:afterLines="0" w:line="320" w:lineRule="exact"/>
              <w:ind w:firstLine="0" w:firstLineChars="0"/>
              <w:jc w:val="center"/>
              <w:textAlignment w:val="auto"/>
              <w:rPr>
                <w:rFonts w:hint="default" w:ascii="Times New Roman" w:hAnsi="Times New Roman" w:eastAsia="宋体" w:cs="Times New Roman"/>
                <w:b/>
                <w:bCs/>
                <w:color w:val="auto"/>
                <w:sz w:val="21"/>
                <w:szCs w:val="21"/>
                <w:lang w:val="zh-CN"/>
              </w:rPr>
            </w:pPr>
            <w:r>
              <w:rPr>
                <w:rFonts w:hint="eastAsia" w:ascii="Times New Roman" w:hAnsi="Times New Roman" w:eastAsia="宋体" w:cs="Times New Roman"/>
                <w:b/>
                <w:bCs/>
                <w:color w:val="auto"/>
                <w:sz w:val="21"/>
                <w:szCs w:val="21"/>
                <w:lang w:val="zh-CN"/>
              </w:rPr>
              <w:t>单次持续时间</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before="0" w:beforeLines="0" w:after="0" w:afterLines="0" w:line="320" w:lineRule="exact"/>
              <w:ind w:firstLine="0" w:firstLineChars="0"/>
              <w:jc w:val="center"/>
              <w:textAlignment w:val="auto"/>
              <w:rPr>
                <w:rFonts w:hint="default" w:ascii="Times New Roman" w:hAnsi="Times New Roman" w:eastAsia="宋体" w:cs="Times New Roman"/>
                <w:b/>
                <w:bCs/>
                <w:color w:val="auto"/>
                <w:sz w:val="21"/>
                <w:szCs w:val="21"/>
                <w:lang w:val="zh-CN"/>
              </w:rPr>
            </w:pPr>
            <w:r>
              <w:rPr>
                <w:rFonts w:hint="eastAsia" w:ascii="Times New Roman" w:hAnsi="Times New Roman" w:eastAsia="宋体" w:cs="Times New Roman"/>
                <w:b/>
                <w:bCs/>
                <w:color w:val="auto"/>
                <w:sz w:val="21"/>
                <w:szCs w:val="21"/>
                <w:lang w:val="zh-CN"/>
              </w:rPr>
              <w:t>年发生频次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zh-CN" w:eastAsia="zh-CN"/>
              </w:rPr>
            </w:pPr>
            <w:r>
              <w:rPr>
                <w:rFonts w:hint="eastAsia" w:ascii="Times New Roman" w:hAnsi="Times New Roman" w:eastAsia="宋体" w:cs="Times New Roman"/>
                <w:color w:val="auto"/>
                <w:kern w:val="0"/>
                <w:sz w:val="21"/>
                <w:szCs w:val="21"/>
                <w:highlight w:val="none"/>
                <w:lang w:val="en-US" w:eastAsia="zh-CN"/>
              </w:rPr>
              <w:t>锅炉烟囱</w:t>
            </w:r>
            <w:r>
              <w:rPr>
                <w:rFonts w:hint="default" w:ascii="Times New Roman" w:hAnsi="Times New Roman" w:eastAsia="宋体" w:cs="Times New Roman"/>
                <w:color w:val="auto"/>
                <w:kern w:val="0"/>
                <w:sz w:val="21"/>
                <w:szCs w:val="21"/>
                <w:highlight w:val="none"/>
                <w:lang w:val="en-US" w:eastAsia="zh-CN"/>
              </w:rPr>
              <w:t>DA001</w:t>
            </w:r>
          </w:p>
        </w:tc>
        <w:tc>
          <w:tcPr>
            <w:tcW w:w="0" w:type="auto"/>
            <w:vMerge w:val="restart"/>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zh-CN" w:eastAsia="zh-CN"/>
              </w:rPr>
            </w:pPr>
            <w:r>
              <w:rPr>
                <w:rFonts w:hint="eastAsia" w:ascii="Times New Roman" w:hAnsi="Times New Roman" w:eastAsia="宋体" w:cs="Times New Roman"/>
                <w:color w:val="auto"/>
                <w:kern w:val="0"/>
                <w:sz w:val="21"/>
                <w:szCs w:val="21"/>
                <w:highlight w:val="none"/>
                <w:lang w:val="zh-CN" w:eastAsia="zh-CN"/>
              </w:rPr>
              <w:t>锅炉烟气污染物处理设施发生故障</w:t>
            </w:r>
          </w:p>
        </w:tc>
        <w:tc>
          <w:tcPr>
            <w:tcW w:w="0" w:type="auto"/>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颗粒物</w:t>
            </w:r>
          </w:p>
        </w:tc>
        <w:tc>
          <w:tcPr>
            <w:tcW w:w="1642" w:type="dxa"/>
            <w:tcBorders>
              <w:tl2br w:val="nil"/>
              <w:tr2bl w:val="nil"/>
            </w:tcBorders>
            <w:vAlign w:val="center"/>
          </w:tcPr>
          <w:p>
            <w:pPr>
              <w:pStyle w:val="128"/>
              <w:widowControl/>
              <w:ind w:firstLine="0" w:firstLineChars="0"/>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1532.5</w:t>
            </w:r>
          </w:p>
        </w:tc>
        <w:tc>
          <w:tcPr>
            <w:tcW w:w="0" w:type="auto"/>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zh-CN" w:eastAsia="zh-CN"/>
              </w:rPr>
            </w:pPr>
            <w:r>
              <w:rPr>
                <w:rFonts w:hint="default" w:ascii="Times New Roman" w:hAnsi="Times New Roman" w:eastAsia="宋体" w:cs="Times New Roman"/>
                <w:color w:val="auto"/>
                <w:kern w:val="0"/>
                <w:sz w:val="21"/>
                <w:szCs w:val="21"/>
                <w:highlight w:val="none"/>
                <w:lang w:val="zh-CN" w:eastAsia="zh-CN"/>
              </w:rPr>
              <w:t>1</w:t>
            </w:r>
          </w:p>
        </w:tc>
        <w:tc>
          <w:tcPr>
            <w:tcW w:w="0" w:type="auto"/>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zh-CN" w:eastAsia="zh-CN"/>
              </w:rPr>
            </w:pPr>
            <w:r>
              <w:rPr>
                <w:rFonts w:hint="default" w:ascii="Times New Roman" w:hAnsi="Times New Roman" w:eastAsia="宋体" w:cs="Times New Roman"/>
                <w:color w:val="auto"/>
                <w:kern w:val="0"/>
                <w:sz w:val="21"/>
                <w:szCs w:val="21"/>
                <w:highlight w:val="none"/>
                <w:lang w:val="zh-CN"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zh-CN" w:eastAsia="zh-CN"/>
              </w:rPr>
            </w:pPr>
          </w:p>
        </w:tc>
        <w:tc>
          <w:tcPr>
            <w:tcW w:w="0" w:type="auto"/>
            <w:vMerge w:val="continue"/>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zh-CN" w:eastAsia="zh-CN"/>
              </w:rPr>
            </w:pPr>
          </w:p>
        </w:tc>
        <w:tc>
          <w:tcPr>
            <w:tcW w:w="0" w:type="auto"/>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SO</w:t>
            </w:r>
            <w:r>
              <w:rPr>
                <w:rFonts w:hint="default" w:ascii="Times New Roman" w:hAnsi="Times New Roman" w:eastAsia="宋体" w:cs="Times New Roman"/>
                <w:color w:val="auto"/>
                <w:kern w:val="0"/>
                <w:sz w:val="21"/>
                <w:szCs w:val="21"/>
                <w:highlight w:val="none"/>
                <w:vertAlign w:val="subscript"/>
                <w:lang w:val="en-US" w:eastAsia="zh-CN"/>
              </w:rPr>
              <w:t>2</w:t>
            </w:r>
          </w:p>
        </w:tc>
        <w:tc>
          <w:tcPr>
            <w:tcW w:w="1642" w:type="dxa"/>
            <w:tcBorders>
              <w:tl2br w:val="nil"/>
              <w:tr2bl w:val="nil"/>
            </w:tcBorders>
            <w:vAlign w:val="center"/>
          </w:tcPr>
          <w:p>
            <w:pPr>
              <w:pStyle w:val="128"/>
              <w:widowControl/>
              <w:ind w:firstLine="0" w:firstLineChars="0"/>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325.41</w:t>
            </w:r>
          </w:p>
        </w:tc>
        <w:tc>
          <w:tcPr>
            <w:tcW w:w="0" w:type="auto"/>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zh-CN" w:eastAsia="zh-CN"/>
              </w:rPr>
            </w:pPr>
            <w:r>
              <w:rPr>
                <w:rFonts w:hint="default" w:ascii="Times New Roman" w:hAnsi="Times New Roman" w:eastAsia="宋体" w:cs="Times New Roman"/>
                <w:color w:val="auto"/>
                <w:kern w:val="0"/>
                <w:sz w:val="21"/>
                <w:szCs w:val="21"/>
                <w:highlight w:val="none"/>
                <w:lang w:val="zh-CN" w:eastAsia="zh-CN"/>
              </w:rPr>
              <w:t>1</w:t>
            </w:r>
          </w:p>
        </w:tc>
        <w:tc>
          <w:tcPr>
            <w:tcW w:w="0" w:type="auto"/>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zh-CN" w:eastAsia="zh-CN"/>
              </w:rPr>
            </w:pPr>
            <w:r>
              <w:rPr>
                <w:rFonts w:hint="default" w:ascii="Times New Roman" w:hAnsi="Times New Roman" w:eastAsia="宋体" w:cs="Times New Roman"/>
                <w:color w:val="auto"/>
                <w:kern w:val="0"/>
                <w:sz w:val="21"/>
                <w:szCs w:val="21"/>
                <w:highlight w:val="none"/>
                <w:lang w:val="zh-CN"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zh-CN" w:eastAsia="zh-CN"/>
              </w:rPr>
            </w:pPr>
          </w:p>
        </w:tc>
        <w:tc>
          <w:tcPr>
            <w:tcW w:w="0" w:type="auto"/>
            <w:vMerge w:val="continue"/>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zh-CN" w:eastAsia="zh-CN"/>
              </w:rPr>
            </w:pPr>
          </w:p>
        </w:tc>
        <w:tc>
          <w:tcPr>
            <w:tcW w:w="0" w:type="auto"/>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NO</w:t>
            </w:r>
            <w:r>
              <w:rPr>
                <w:rFonts w:hint="default" w:ascii="Times New Roman" w:hAnsi="Times New Roman" w:eastAsia="宋体" w:cs="Times New Roman"/>
                <w:color w:val="auto"/>
                <w:kern w:val="0"/>
                <w:sz w:val="21"/>
                <w:szCs w:val="21"/>
                <w:highlight w:val="none"/>
                <w:vertAlign w:val="subscript"/>
                <w:lang w:val="en-US" w:eastAsia="zh-CN"/>
              </w:rPr>
              <w:t>X</w:t>
            </w:r>
          </w:p>
        </w:tc>
        <w:tc>
          <w:tcPr>
            <w:tcW w:w="1642" w:type="dxa"/>
            <w:tcBorders>
              <w:tl2br w:val="nil"/>
              <w:tr2bl w:val="nil"/>
            </w:tcBorders>
            <w:vAlign w:val="center"/>
          </w:tcPr>
          <w:p>
            <w:pPr>
              <w:pStyle w:val="128"/>
              <w:widowControl/>
              <w:ind w:firstLine="0" w:firstLineChars="0"/>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125.45</w:t>
            </w:r>
          </w:p>
        </w:tc>
        <w:tc>
          <w:tcPr>
            <w:tcW w:w="0" w:type="auto"/>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zh-CN" w:eastAsia="zh-CN"/>
              </w:rPr>
            </w:pPr>
            <w:r>
              <w:rPr>
                <w:rFonts w:hint="default" w:ascii="Times New Roman" w:hAnsi="Times New Roman" w:eastAsia="宋体" w:cs="Times New Roman"/>
                <w:color w:val="auto"/>
                <w:kern w:val="0"/>
                <w:sz w:val="21"/>
                <w:szCs w:val="21"/>
                <w:highlight w:val="none"/>
                <w:lang w:val="zh-CN" w:eastAsia="zh-CN"/>
              </w:rPr>
              <w:t>1</w:t>
            </w:r>
          </w:p>
        </w:tc>
        <w:tc>
          <w:tcPr>
            <w:tcW w:w="0" w:type="auto"/>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zh-CN" w:eastAsia="zh-CN"/>
              </w:rPr>
            </w:pPr>
            <w:r>
              <w:rPr>
                <w:rFonts w:hint="default" w:ascii="Times New Roman" w:hAnsi="Times New Roman" w:eastAsia="宋体" w:cs="Times New Roman"/>
                <w:color w:val="auto"/>
                <w:kern w:val="0"/>
                <w:sz w:val="21"/>
                <w:szCs w:val="21"/>
                <w:highlight w:val="none"/>
                <w:lang w:val="zh-CN"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zh-CN" w:eastAsia="zh-CN"/>
              </w:rPr>
            </w:pPr>
          </w:p>
        </w:tc>
        <w:tc>
          <w:tcPr>
            <w:tcW w:w="0" w:type="auto"/>
            <w:vMerge w:val="continue"/>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zh-CN" w:eastAsia="zh-CN"/>
              </w:rPr>
            </w:pPr>
          </w:p>
        </w:tc>
        <w:tc>
          <w:tcPr>
            <w:tcW w:w="0" w:type="auto"/>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汞及其化合物</w:t>
            </w:r>
          </w:p>
        </w:tc>
        <w:tc>
          <w:tcPr>
            <w:tcW w:w="0" w:type="auto"/>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0.0024</w:t>
            </w:r>
          </w:p>
        </w:tc>
        <w:tc>
          <w:tcPr>
            <w:tcW w:w="0" w:type="auto"/>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zh-CN" w:eastAsia="zh-CN"/>
              </w:rPr>
            </w:pPr>
            <w:r>
              <w:rPr>
                <w:rFonts w:hint="default" w:ascii="Times New Roman" w:hAnsi="Times New Roman" w:eastAsia="宋体" w:cs="Times New Roman"/>
                <w:color w:val="auto"/>
                <w:kern w:val="0"/>
                <w:sz w:val="21"/>
                <w:szCs w:val="21"/>
                <w:highlight w:val="none"/>
                <w:lang w:val="zh-CN" w:eastAsia="zh-CN"/>
              </w:rPr>
              <w:t>1</w:t>
            </w:r>
          </w:p>
        </w:tc>
        <w:tc>
          <w:tcPr>
            <w:tcW w:w="0" w:type="auto"/>
            <w:tcBorders>
              <w:tl2br w:val="nil"/>
              <w:tr2bl w:val="nil"/>
            </w:tcBorders>
            <w:vAlign w:val="center"/>
          </w:tcPr>
          <w:p>
            <w:pPr>
              <w:snapToGrid w:val="0"/>
              <w:spacing w:before="0" w:beforeLines="0" w:after="0" w:afterLines="0" w:line="320" w:lineRule="exact"/>
              <w:ind w:firstLine="0" w:firstLineChars="0"/>
              <w:jc w:val="center"/>
              <w:textAlignment w:val="center"/>
              <w:rPr>
                <w:rFonts w:hint="default" w:ascii="Times New Roman" w:hAnsi="Times New Roman" w:eastAsia="宋体" w:cs="Times New Roman"/>
                <w:color w:val="auto"/>
                <w:kern w:val="0"/>
                <w:sz w:val="21"/>
                <w:szCs w:val="21"/>
                <w:highlight w:val="none"/>
                <w:lang w:val="zh-CN" w:eastAsia="zh-CN"/>
              </w:rPr>
            </w:pPr>
            <w:r>
              <w:rPr>
                <w:rFonts w:hint="default" w:ascii="Times New Roman" w:hAnsi="Times New Roman" w:eastAsia="宋体" w:cs="Times New Roman"/>
                <w:color w:val="auto"/>
                <w:kern w:val="0"/>
                <w:sz w:val="21"/>
                <w:szCs w:val="21"/>
                <w:highlight w:val="none"/>
                <w:lang w:val="zh-CN" w:eastAsia="zh-CN"/>
              </w:rPr>
              <w:t>1</w:t>
            </w:r>
          </w:p>
        </w:tc>
      </w:tr>
    </w:tbl>
    <w:p>
      <w:pPr>
        <w:pStyle w:val="5"/>
        <w:keepLines w:val="0"/>
        <w:pageBreakBefore w:val="0"/>
        <w:kinsoku/>
        <w:wordWrap/>
        <w:topLinePunct w:val="0"/>
        <w:bidi w:val="0"/>
        <w:adjustRightInd w:val="0"/>
        <w:snapToGrid w:val="0"/>
        <w:ind w:left="0" w:leftChars="0" w:firstLine="0" w:firstLineChars="0"/>
        <w:textAlignment w:val="auto"/>
        <w:rPr>
          <w:rFonts w:hint="default"/>
          <w:color w:val="auto"/>
        </w:rPr>
      </w:pPr>
      <w:r>
        <w:rPr>
          <w:rFonts w:hint="eastAsia"/>
          <w:color w:val="auto"/>
          <w:lang w:val="en-US" w:eastAsia="zh-CN"/>
        </w:rPr>
        <w:t>6.2.1.6</w:t>
      </w:r>
      <w:r>
        <w:rPr>
          <w:rFonts w:hint="default"/>
          <w:color w:val="auto"/>
        </w:rPr>
        <w:t>评价等级</w:t>
      </w:r>
    </w:p>
    <w:p>
      <w:pPr>
        <w:keepLines w:val="0"/>
        <w:pageBreakBefore w:val="0"/>
        <w:kinsoku/>
        <w:wordWrap/>
        <w:topLinePunct w:val="0"/>
        <w:bidi w:val="0"/>
        <w:adjustRightInd w:val="0"/>
        <w:snapToGrid w:val="0"/>
        <w:textAlignment w:val="auto"/>
        <w:rPr>
          <w:rFonts w:hint="default"/>
          <w:color w:val="auto"/>
          <w:highlight w:val="none"/>
        </w:rPr>
      </w:pPr>
      <w:r>
        <w:rPr>
          <w:rFonts w:hint="default"/>
          <w:color w:val="auto"/>
          <w:highlight w:val="none"/>
        </w:rPr>
        <w:t>项目运营期废气主要为锅炉燃烧排放的烟气。根据《环境影响评价技术导则 大气环境》（HJ2.2-2018）中的规定，利用下式计算污染物的最大落地浓度占标率：</w:t>
      </w:r>
    </w:p>
    <w:p>
      <w:pPr>
        <w:bidi w:val="0"/>
        <w:jc w:val="center"/>
        <w:rPr>
          <w:rFonts w:hint="default"/>
          <w:color w:val="auto"/>
          <w:highlight w:val="none"/>
        </w:rPr>
      </w:pPr>
      <w:r>
        <w:rPr>
          <w:rFonts w:hint="default"/>
          <w:color w:val="auto"/>
          <w:highlight w:val="none"/>
        </w:rPr>
        <w:t>Pi=Ci/Coi×100%</w:t>
      </w:r>
    </w:p>
    <w:p>
      <w:pPr>
        <w:bidi w:val="0"/>
        <w:rPr>
          <w:rFonts w:hint="default"/>
          <w:color w:val="auto"/>
          <w:highlight w:val="none"/>
        </w:rPr>
      </w:pPr>
      <w:r>
        <w:rPr>
          <w:rFonts w:hint="default"/>
          <w:color w:val="auto"/>
          <w:highlight w:val="none"/>
        </w:rPr>
        <w:t>式中：Pi——第i个污染物的最大地面浓度占标率，%；</w:t>
      </w:r>
    </w:p>
    <w:p>
      <w:pPr>
        <w:bidi w:val="0"/>
        <w:ind w:firstLine="1200" w:firstLineChars="500"/>
        <w:rPr>
          <w:rFonts w:hint="default"/>
          <w:color w:val="auto"/>
          <w:highlight w:val="none"/>
        </w:rPr>
      </w:pPr>
      <w:r>
        <w:rPr>
          <w:rFonts w:hint="default"/>
          <w:color w:val="auto"/>
          <w:highlight w:val="none"/>
        </w:rPr>
        <w:t>Ci——采用估算模式计算出的第i个污染物的最大地面浓度，μg/</w:t>
      </w:r>
      <w:r>
        <w:rPr>
          <w:rFonts w:hint="eastAsia"/>
          <w:color w:val="auto"/>
          <w:highlight w:val="none"/>
          <w:lang w:eastAsia="zh-CN"/>
        </w:rPr>
        <w:t>m</w:t>
      </w:r>
      <w:r>
        <w:rPr>
          <w:rFonts w:hint="eastAsia"/>
          <w:color w:val="auto"/>
          <w:highlight w:val="none"/>
          <w:vertAlign w:val="superscript"/>
          <w:lang w:val="en-US" w:eastAsia="zh-CN"/>
        </w:rPr>
        <w:t>3</w:t>
      </w:r>
      <w:r>
        <w:rPr>
          <w:rFonts w:hint="default"/>
          <w:color w:val="auto"/>
          <w:highlight w:val="none"/>
        </w:rPr>
        <w:t>；</w:t>
      </w:r>
    </w:p>
    <w:p>
      <w:pPr>
        <w:bidi w:val="0"/>
        <w:ind w:firstLine="1200" w:firstLineChars="500"/>
        <w:rPr>
          <w:rFonts w:hint="default"/>
          <w:color w:val="auto"/>
          <w:highlight w:val="none"/>
        </w:rPr>
      </w:pPr>
      <w:r>
        <w:rPr>
          <w:rFonts w:hint="default"/>
          <w:color w:val="auto"/>
          <w:highlight w:val="none"/>
        </w:rPr>
        <w:t>Coi——第i个污染物的环境空气质量标准，μg/</w:t>
      </w:r>
      <w:r>
        <w:rPr>
          <w:rFonts w:hint="eastAsia"/>
          <w:color w:val="auto"/>
          <w:highlight w:val="none"/>
          <w:lang w:eastAsia="zh-CN"/>
        </w:rPr>
        <w:t>m</w:t>
      </w:r>
      <w:r>
        <w:rPr>
          <w:rFonts w:hint="eastAsia"/>
          <w:color w:val="auto"/>
          <w:highlight w:val="none"/>
          <w:vertAlign w:val="superscript"/>
          <w:lang w:val="en-US" w:eastAsia="zh-CN"/>
        </w:rPr>
        <w:t>3</w:t>
      </w:r>
      <w:r>
        <w:rPr>
          <w:rFonts w:hint="default"/>
          <w:color w:val="auto"/>
          <w:highlight w:val="none"/>
        </w:rPr>
        <w:t>。</w:t>
      </w:r>
    </w:p>
    <w:p>
      <w:pPr>
        <w:bidi w:val="0"/>
        <w:rPr>
          <w:rFonts w:hint="default"/>
          <w:color w:val="auto"/>
          <w:highlight w:val="none"/>
        </w:rPr>
      </w:pPr>
      <w:r>
        <w:rPr>
          <w:rFonts w:hint="default"/>
          <w:color w:val="auto"/>
          <w:highlight w:val="none"/>
        </w:rPr>
        <w:t>评价等级按照下表的分级判据进行划分。</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bCs/>
          <w:color w:val="auto"/>
          <w:sz w:val="21"/>
          <w:szCs w:val="21"/>
          <w:highlight w:val="none"/>
          <w:lang w:val="en-US" w:eastAsia="zh-CN"/>
        </w:rPr>
      </w:pPr>
      <w:r>
        <w:rPr>
          <w:rFonts w:hint="default" w:eastAsia="宋体"/>
          <w:b/>
          <w:bCs/>
          <w:color w:val="auto"/>
          <w:sz w:val="21"/>
          <w:szCs w:val="21"/>
          <w:highlight w:val="none"/>
          <w:lang w:val="en-US" w:eastAsia="zh-CN"/>
        </w:rPr>
        <w:t>表</w:t>
      </w:r>
      <w:r>
        <w:rPr>
          <w:rFonts w:hint="eastAsia"/>
          <w:b/>
          <w:bCs/>
          <w:color w:val="auto"/>
          <w:sz w:val="21"/>
          <w:szCs w:val="21"/>
          <w:highlight w:val="none"/>
          <w:lang w:val="en-US" w:eastAsia="zh-CN"/>
        </w:rPr>
        <w:t xml:space="preserve">6.2.1-11 </w:t>
      </w:r>
      <w:r>
        <w:rPr>
          <w:rFonts w:hint="default" w:eastAsia="宋体"/>
          <w:b/>
          <w:bCs/>
          <w:color w:val="auto"/>
          <w:sz w:val="21"/>
          <w:szCs w:val="21"/>
          <w:highlight w:val="none"/>
          <w:lang w:val="en-US" w:eastAsia="zh-CN"/>
        </w:rPr>
        <w:t xml:space="preserve">  评价工作等级判据</w:t>
      </w:r>
    </w:p>
    <w:tbl>
      <w:tblPr>
        <w:tblStyle w:val="33"/>
        <w:tblW w:w="816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605"/>
        <w:gridCol w:w="556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0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bCs/>
                <w:color w:val="auto"/>
                <w:sz w:val="21"/>
                <w:szCs w:val="21"/>
                <w:highlight w:val="none"/>
                <w:lang w:val="en-US" w:eastAsia="zh-CN"/>
              </w:rPr>
            </w:pPr>
            <w:r>
              <w:rPr>
                <w:rFonts w:hint="default" w:eastAsia="宋体"/>
                <w:b/>
                <w:bCs/>
                <w:color w:val="auto"/>
                <w:sz w:val="21"/>
                <w:szCs w:val="21"/>
                <w:highlight w:val="none"/>
                <w:lang w:val="en-US" w:eastAsia="zh-CN"/>
              </w:rPr>
              <w:t>评价工作等级</w:t>
            </w:r>
          </w:p>
        </w:tc>
        <w:tc>
          <w:tcPr>
            <w:tcW w:w="556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bCs/>
                <w:color w:val="auto"/>
                <w:sz w:val="21"/>
                <w:szCs w:val="21"/>
                <w:highlight w:val="none"/>
                <w:lang w:val="en-US" w:eastAsia="zh-CN"/>
              </w:rPr>
            </w:pPr>
            <w:r>
              <w:rPr>
                <w:rFonts w:hint="default" w:eastAsia="宋体"/>
                <w:b/>
                <w:bCs/>
                <w:color w:val="auto"/>
                <w:sz w:val="21"/>
                <w:szCs w:val="21"/>
                <w:highlight w:val="none"/>
                <w:lang w:val="en-US" w:eastAsia="zh-CN"/>
              </w:rPr>
              <w:t>评价工作分级判据</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0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val="0"/>
                <w:bCs w:val="0"/>
                <w:color w:val="auto"/>
                <w:sz w:val="21"/>
                <w:szCs w:val="21"/>
                <w:highlight w:val="none"/>
                <w:lang w:val="en-US" w:eastAsia="zh-CN"/>
              </w:rPr>
            </w:pPr>
            <w:r>
              <w:rPr>
                <w:rFonts w:hint="default" w:eastAsia="宋体"/>
                <w:b w:val="0"/>
                <w:bCs w:val="0"/>
                <w:color w:val="auto"/>
                <w:sz w:val="21"/>
                <w:szCs w:val="21"/>
                <w:highlight w:val="none"/>
                <w:lang w:val="en-US" w:eastAsia="zh-CN"/>
              </w:rPr>
              <w:t>一级</w:t>
            </w:r>
          </w:p>
        </w:tc>
        <w:tc>
          <w:tcPr>
            <w:tcW w:w="556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val="0"/>
                <w:bCs w:val="0"/>
                <w:color w:val="auto"/>
                <w:sz w:val="21"/>
                <w:szCs w:val="21"/>
                <w:highlight w:val="none"/>
                <w:lang w:val="en-US" w:eastAsia="zh-CN"/>
              </w:rPr>
            </w:pPr>
            <w:r>
              <w:rPr>
                <w:rFonts w:hint="default" w:eastAsia="宋体"/>
                <w:b w:val="0"/>
                <w:bCs w:val="0"/>
                <w:color w:val="auto"/>
                <w:sz w:val="21"/>
                <w:szCs w:val="21"/>
                <w:highlight w:val="none"/>
                <w:lang w:val="en-US" w:eastAsia="zh-CN"/>
              </w:rPr>
              <w:t>P</w:t>
            </w:r>
            <w:r>
              <w:rPr>
                <w:rFonts w:hint="default" w:eastAsia="宋体"/>
                <w:b w:val="0"/>
                <w:bCs w:val="0"/>
                <w:color w:val="auto"/>
                <w:sz w:val="21"/>
                <w:szCs w:val="21"/>
                <w:highlight w:val="none"/>
                <w:vertAlign w:val="subscript"/>
                <w:lang w:val="en-US" w:eastAsia="zh-CN"/>
              </w:rPr>
              <w:t>max</w:t>
            </w:r>
            <w:r>
              <w:rPr>
                <w:rFonts w:hint="default" w:eastAsia="宋体"/>
                <w:b w:val="0"/>
                <w:bCs w:val="0"/>
                <w:color w:val="auto"/>
                <w:sz w:val="21"/>
                <w:szCs w:val="21"/>
                <w:highlight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0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val="0"/>
                <w:bCs w:val="0"/>
                <w:color w:val="auto"/>
                <w:sz w:val="21"/>
                <w:szCs w:val="21"/>
                <w:highlight w:val="none"/>
                <w:lang w:val="en-US" w:eastAsia="zh-CN"/>
              </w:rPr>
            </w:pPr>
            <w:r>
              <w:rPr>
                <w:rFonts w:hint="default" w:eastAsia="宋体"/>
                <w:b w:val="0"/>
                <w:bCs w:val="0"/>
                <w:color w:val="auto"/>
                <w:sz w:val="21"/>
                <w:szCs w:val="21"/>
                <w:highlight w:val="none"/>
                <w:lang w:val="en-US" w:eastAsia="zh-CN"/>
              </w:rPr>
              <w:t>二级</w:t>
            </w:r>
          </w:p>
        </w:tc>
        <w:tc>
          <w:tcPr>
            <w:tcW w:w="556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val="0"/>
                <w:bCs w:val="0"/>
                <w:color w:val="auto"/>
                <w:sz w:val="21"/>
                <w:szCs w:val="21"/>
                <w:highlight w:val="none"/>
                <w:lang w:val="en-US" w:eastAsia="zh-CN"/>
              </w:rPr>
            </w:pPr>
            <w:r>
              <w:rPr>
                <w:rFonts w:hint="default" w:eastAsia="宋体"/>
                <w:b w:val="0"/>
                <w:bCs w:val="0"/>
                <w:color w:val="auto"/>
                <w:sz w:val="21"/>
                <w:szCs w:val="21"/>
                <w:highlight w:val="none"/>
                <w:lang w:val="en-US" w:eastAsia="zh-CN"/>
              </w:rPr>
              <w:t>1%≤P</w:t>
            </w:r>
            <w:r>
              <w:rPr>
                <w:rFonts w:hint="default" w:eastAsia="宋体"/>
                <w:b w:val="0"/>
                <w:bCs w:val="0"/>
                <w:color w:val="auto"/>
                <w:sz w:val="21"/>
                <w:szCs w:val="21"/>
                <w:highlight w:val="none"/>
                <w:vertAlign w:val="subscript"/>
                <w:lang w:val="en-US" w:eastAsia="zh-CN"/>
              </w:rPr>
              <w:t>max</w:t>
            </w:r>
            <w:r>
              <w:rPr>
                <w:rFonts w:hint="default" w:eastAsia="宋体"/>
                <w:b w:val="0"/>
                <w:bCs w:val="0"/>
                <w:color w:val="auto"/>
                <w:sz w:val="21"/>
                <w:szCs w:val="21"/>
                <w:highlight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0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val="0"/>
                <w:bCs w:val="0"/>
                <w:color w:val="auto"/>
                <w:sz w:val="21"/>
                <w:szCs w:val="21"/>
                <w:highlight w:val="none"/>
                <w:lang w:val="en-US" w:eastAsia="zh-CN"/>
              </w:rPr>
            </w:pPr>
            <w:r>
              <w:rPr>
                <w:rFonts w:hint="default" w:eastAsia="宋体"/>
                <w:b w:val="0"/>
                <w:bCs w:val="0"/>
                <w:color w:val="auto"/>
                <w:sz w:val="21"/>
                <w:szCs w:val="21"/>
                <w:highlight w:val="none"/>
                <w:lang w:val="en-US" w:eastAsia="zh-CN"/>
              </w:rPr>
              <w:t>三级</w:t>
            </w:r>
          </w:p>
        </w:tc>
        <w:tc>
          <w:tcPr>
            <w:tcW w:w="556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val="0"/>
                <w:bCs w:val="0"/>
                <w:color w:val="auto"/>
                <w:sz w:val="21"/>
                <w:szCs w:val="21"/>
                <w:highlight w:val="none"/>
                <w:lang w:val="en-US" w:eastAsia="zh-CN"/>
              </w:rPr>
            </w:pPr>
            <w:r>
              <w:rPr>
                <w:rFonts w:hint="default" w:eastAsia="宋体"/>
                <w:b w:val="0"/>
                <w:bCs w:val="0"/>
                <w:color w:val="auto"/>
                <w:sz w:val="21"/>
                <w:szCs w:val="21"/>
                <w:highlight w:val="none"/>
                <w:lang w:val="en-US" w:eastAsia="zh-CN"/>
              </w:rPr>
              <w:t>P</w:t>
            </w:r>
            <w:r>
              <w:rPr>
                <w:rFonts w:hint="default" w:eastAsia="宋体"/>
                <w:b w:val="0"/>
                <w:bCs w:val="0"/>
                <w:color w:val="auto"/>
                <w:sz w:val="21"/>
                <w:szCs w:val="21"/>
                <w:highlight w:val="none"/>
                <w:vertAlign w:val="subscript"/>
                <w:lang w:val="en-US" w:eastAsia="zh-CN"/>
              </w:rPr>
              <w:t>max</w:t>
            </w:r>
            <w:r>
              <w:rPr>
                <w:rFonts w:hint="default" w:eastAsia="宋体"/>
                <w:b w:val="0"/>
                <w:bCs w:val="0"/>
                <w:color w:val="auto"/>
                <w:sz w:val="21"/>
                <w:szCs w:val="21"/>
                <w:highlight w:val="none"/>
                <w:lang w:val="en-US" w:eastAsia="zh-CN"/>
              </w:rPr>
              <w:t>＜1%</w:t>
            </w:r>
          </w:p>
        </w:tc>
      </w:tr>
    </w:tbl>
    <w:p>
      <w:pPr>
        <w:pStyle w:val="5"/>
        <w:keepLines w:val="0"/>
        <w:pageBreakBefore w:val="0"/>
        <w:kinsoku/>
        <w:wordWrap/>
        <w:topLinePunct w:val="0"/>
        <w:bidi w:val="0"/>
        <w:adjustRightInd w:val="0"/>
        <w:snapToGrid w:val="0"/>
        <w:ind w:left="0" w:leftChars="0" w:firstLine="0" w:firstLineChars="0"/>
        <w:textAlignment w:val="auto"/>
        <w:rPr>
          <w:color w:val="auto"/>
        </w:rPr>
      </w:pPr>
      <w:r>
        <w:rPr>
          <w:rFonts w:hint="eastAsia"/>
          <w:color w:val="auto"/>
          <w:lang w:val="en-US" w:eastAsia="zh-CN"/>
        </w:rPr>
        <w:t>6.2.1.7</w:t>
      </w:r>
      <w:r>
        <w:rPr>
          <w:rFonts w:hint="eastAsia"/>
          <w:color w:val="auto"/>
        </w:rPr>
        <w:t>预测与</w:t>
      </w:r>
      <w:r>
        <w:rPr>
          <w:color w:val="auto"/>
        </w:rPr>
        <w:t>评价内容</w:t>
      </w:r>
    </w:p>
    <w:p>
      <w:pPr>
        <w:keepLines w:val="0"/>
        <w:pageBreakBefore w:val="0"/>
        <w:kinsoku/>
        <w:wordWrap/>
        <w:topLinePunct w:val="0"/>
        <w:bidi w:val="0"/>
        <w:adjustRightInd w:val="0"/>
        <w:snapToGrid w:val="0"/>
        <w:textAlignment w:val="auto"/>
        <w:rPr>
          <w:color w:val="auto"/>
          <w:highlight w:val="none"/>
        </w:rPr>
      </w:pPr>
      <w:r>
        <w:rPr>
          <w:rFonts w:hint="eastAsia"/>
          <w:color w:val="auto"/>
          <w:highlight w:val="none"/>
        </w:rPr>
        <w:t>项目</w:t>
      </w:r>
      <w:r>
        <w:rPr>
          <w:color w:val="auto"/>
          <w:highlight w:val="none"/>
        </w:rPr>
        <w:t>所在区域为达标区，</w:t>
      </w:r>
      <w:r>
        <w:rPr>
          <w:rFonts w:hint="eastAsia"/>
          <w:color w:val="auto"/>
          <w:highlight w:val="none"/>
        </w:rPr>
        <w:t>根据HJ2.2-2018需</w:t>
      </w:r>
      <w:r>
        <w:rPr>
          <w:color w:val="auto"/>
          <w:highlight w:val="none"/>
        </w:rPr>
        <w:t>预测以下内容</w:t>
      </w:r>
      <w:r>
        <w:rPr>
          <w:rFonts w:hint="eastAsia"/>
          <w:color w:val="auto"/>
          <w:highlight w:val="none"/>
        </w:rPr>
        <w:t>：①项目</w:t>
      </w:r>
      <w:r>
        <w:rPr>
          <w:color w:val="auto"/>
          <w:highlight w:val="none"/>
        </w:rPr>
        <w:t>正常排放条件下，预测环境空气保护目标和网格点主要污染物的短期浓度和长期浓度贡献值，评价其最大浓度占标率</w:t>
      </w:r>
      <w:r>
        <w:rPr>
          <w:rFonts w:hint="eastAsia"/>
          <w:color w:val="auto"/>
          <w:highlight w:val="none"/>
        </w:rPr>
        <w:t>；②项目</w:t>
      </w:r>
      <w:r>
        <w:rPr>
          <w:color w:val="auto"/>
          <w:highlight w:val="none"/>
        </w:rPr>
        <w:t>正常排放条件下，</w:t>
      </w:r>
      <w:r>
        <w:rPr>
          <w:rFonts w:hint="eastAsia"/>
          <w:color w:val="auto"/>
          <w:highlight w:val="none"/>
        </w:rPr>
        <w:t>预测评价叠加环境空气质量现状浓度后，环境空气保护目标和网格点主要污染物的保证率日平均质量浓度和年平均质量浓度的达标情况，对于项目排放的主要污染物仅有短期浓度限值的，评价其短期浓度叠加后的达标情况。如果是改建、扩建项目，还应同步减去“以新带老”污染源的环境影响。如果有区域削减项目，应同步减去削减源的环境影响。如果评价范围内还有其他排放同类污染物的在建、</w:t>
      </w:r>
      <w:r>
        <w:rPr>
          <w:rFonts w:hint="eastAsia"/>
          <w:color w:val="auto"/>
          <w:highlight w:val="none"/>
          <w:lang w:eastAsia="zh-CN"/>
        </w:rPr>
        <w:t>灰渣场</w:t>
      </w:r>
      <w:r>
        <w:rPr>
          <w:rFonts w:hint="eastAsia"/>
          <w:color w:val="auto"/>
          <w:highlight w:val="none"/>
        </w:rPr>
        <w:t>项目，还应叠加在建、</w:t>
      </w:r>
      <w:r>
        <w:rPr>
          <w:rFonts w:hint="eastAsia"/>
          <w:color w:val="auto"/>
          <w:highlight w:val="none"/>
          <w:lang w:eastAsia="zh-CN"/>
        </w:rPr>
        <w:t>灰渣场</w:t>
      </w:r>
      <w:r>
        <w:rPr>
          <w:rFonts w:hint="eastAsia"/>
          <w:color w:val="auto"/>
          <w:highlight w:val="none"/>
        </w:rPr>
        <w:t>项目的环境影响。③</w:t>
      </w:r>
      <w:r>
        <w:rPr>
          <w:color w:val="auto"/>
          <w:highlight w:val="none"/>
        </w:rPr>
        <w:t>项目非正常排放条件下，预测环境空气保护目标和网格点主要污染物的</w:t>
      </w:r>
      <w:r>
        <w:rPr>
          <w:rFonts w:hint="eastAsia"/>
          <w:color w:val="auto"/>
          <w:highlight w:val="none"/>
        </w:rPr>
        <w:t>1</w:t>
      </w:r>
      <w:r>
        <w:rPr>
          <w:color w:val="auto"/>
          <w:highlight w:val="none"/>
        </w:rPr>
        <w:t>h最大浓度贡献值，评价其最大浓度占标率。</w:t>
      </w:r>
    </w:p>
    <w:p>
      <w:pPr>
        <w:keepLines w:val="0"/>
        <w:pageBreakBefore w:val="0"/>
        <w:kinsoku/>
        <w:wordWrap/>
        <w:topLinePunct w:val="0"/>
        <w:bidi w:val="0"/>
        <w:adjustRightInd w:val="0"/>
        <w:snapToGrid w:val="0"/>
        <w:textAlignment w:val="auto"/>
        <w:rPr>
          <w:color w:val="auto"/>
          <w:highlight w:val="none"/>
        </w:rPr>
      </w:pPr>
      <w:r>
        <w:rPr>
          <w:color w:val="auto"/>
          <w:highlight w:val="none"/>
        </w:rPr>
        <w:t>本项目预测情景、预测内容及评价内容见表</w:t>
      </w:r>
      <w:r>
        <w:rPr>
          <w:rFonts w:hint="eastAsia"/>
          <w:color w:val="auto"/>
          <w:highlight w:val="none"/>
          <w:lang w:val="en-US" w:eastAsia="zh-CN"/>
        </w:rPr>
        <w:t>6.2.1-12</w:t>
      </w:r>
      <w:r>
        <w:rPr>
          <w:color w:val="auto"/>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6.2.1-12</w:t>
      </w:r>
      <w:r>
        <w:rPr>
          <w:b/>
          <w:bCs/>
          <w:color w:val="auto"/>
          <w:sz w:val="21"/>
          <w:szCs w:val="21"/>
          <w:highlight w:val="none"/>
        </w:rPr>
        <w:t xml:space="preserve">  </w:t>
      </w:r>
      <w:r>
        <w:rPr>
          <w:rFonts w:hint="eastAsia"/>
          <w:b/>
          <w:bCs/>
          <w:color w:val="auto"/>
          <w:sz w:val="21"/>
          <w:szCs w:val="21"/>
          <w:highlight w:val="none"/>
          <w:lang w:val="en-US" w:eastAsia="zh-CN"/>
        </w:rPr>
        <w:t xml:space="preserve"> </w:t>
      </w:r>
      <w:r>
        <w:rPr>
          <w:b/>
          <w:bCs/>
          <w:color w:val="auto"/>
          <w:sz w:val="21"/>
          <w:szCs w:val="21"/>
          <w:highlight w:val="none"/>
        </w:rPr>
        <w:t>本项目预测情景、预测内容及评价内容一览表</w:t>
      </w:r>
    </w:p>
    <w:tbl>
      <w:tblPr>
        <w:tblStyle w:val="33"/>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37"/>
        <w:gridCol w:w="2149"/>
        <w:gridCol w:w="930"/>
        <w:gridCol w:w="1360"/>
        <w:gridCol w:w="1361"/>
        <w:gridCol w:w="197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jc w:val="center"/>
        </w:trPr>
        <w:tc>
          <w:tcPr>
            <w:tcW w:w="5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序号</w:t>
            </w:r>
          </w:p>
        </w:tc>
        <w:tc>
          <w:tcPr>
            <w:tcW w:w="21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污染源</w:t>
            </w:r>
          </w:p>
        </w:tc>
        <w:tc>
          <w:tcPr>
            <w:tcW w:w="9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污染源排放方式</w:t>
            </w:r>
          </w:p>
        </w:tc>
        <w:tc>
          <w:tcPr>
            <w:tcW w:w="13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计算点</w:t>
            </w:r>
          </w:p>
        </w:tc>
        <w:tc>
          <w:tcPr>
            <w:tcW w:w="13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预测内容</w:t>
            </w:r>
          </w:p>
        </w:tc>
        <w:tc>
          <w:tcPr>
            <w:tcW w:w="20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评价内容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1</w:t>
            </w:r>
          </w:p>
        </w:tc>
        <w:tc>
          <w:tcPr>
            <w:tcW w:w="21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新增污染源</w:t>
            </w:r>
          </w:p>
        </w:tc>
        <w:tc>
          <w:tcPr>
            <w:tcW w:w="9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正常排放</w:t>
            </w:r>
          </w:p>
        </w:tc>
        <w:tc>
          <w:tcPr>
            <w:tcW w:w="13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网格点、环境空气保护目标</w:t>
            </w:r>
          </w:p>
        </w:tc>
        <w:tc>
          <w:tcPr>
            <w:tcW w:w="13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短期浓度</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长期浓度</w:t>
            </w:r>
          </w:p>
        </w:tc>
        <w:tc>
          <w:tcPr>
            <w:tcW w:w="20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最大浓度占标率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2</w:t>
            </w:r>
          </w:p>
        </w:tc>
        <w:tc>
          <w:tcPr>
            <w:tcW w:w="21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新增污染源</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lang w:eastAsia="zh-CN"/>
              </w:rPr>
              <w:t>“</w:t>
            </w:r>
            <w:r>
              <w:rPr>
                <w:color w:val="auto"/>
                <w:sz w:val="21"/>
                <w:szCs w:val="21"/>
                <w:highlight w:val="none"/>
              </w:rPr>
              <w:t>以新带老</w:t>
            </w:r>
            <w:r>
              <w:rPr>
                <w:rFonts w:hint="eastAsia"/>
                <w:color w:val="auto"/>
                <w:sz w:val="21"/>
                <w:szCs w:val="21"/>
                <w:highlight w:val="none"/>
                <w:lang w:eastAsia="zh-CN"/>
              </w:rPr>
              <w:t>”</w:t>
            </w:r>
            <w:r>
              <w:rPr>
                <w:color w:val="auto"/>
                <w:sz w:val="21"/>
                <w:szCs w:val="21"/>
                <w:highlight w:val="none"/>
              </w:rPr>
              <w:t>污染源</w:t>
            </w:r>
            <w:r>
              <w:rPr>
                <w:rFonts w:hint="eastAsia"/>
                <w:color w:val="auto"/>
                <w:sz w:val="21"/>
                <w:szCs w:val="21"/>
                <w:highlight w:val="none"/>
              </w:rPr>
              <w:t>（如有）</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区域削减污染源</w:t>
            </w:r>
            <w:r>
              <w:rPr>
                <w:rFonts w:hint="eastAsia"/>
                <w:color w:val="auto"/>
                <w:sz w:val="21"/>
                <w:szCs w:val="21"/>
                <w:highlight w:val="none"/>
              </w:rPr>
              <w:t>（如有）</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其他在建、</w:t>
            </w:r>
            <w:r>
              <w:rPr>
                <w:rFonts w:hint="eastAsia"/>
                <w:color w:val="auto"/>
                <w:sz w:val="21"/>
                <w:szCs w:val="21"/>
                <w:highlight w:val="none"/>
                <w:lang w:eastAsia="zh-CN"/>
              </w:rPr>
              <w:t>灰渣场</w:t>
            </w:r>
            <w:r>
              <w:rPr>
                <w:color w:val="auto"/>
                <w:sz w:val="21"/>
                <w:szCs w:val="21"/>
                <w:highlight w:val="none"/>
              </w:rPr>
              <w:t>污染源</w:t>
            </w:r>
            <w:r>
              <w:rPr>
                <w:rFonts w:hint="eastAsia"/>
                <w:color w:val="auto"/>
                <w:sz w:val="21"/>
                <w:szCs w:val="21"/>
                <w:highlight w:val="none"/>
              </w:rPr>
              <w:t>（如有）</w:t>
            </w:r>
          </w:p>
        </w:tc>
        <w:tc>
          <w:tcPr>
            <w:tcW w:w="9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正常排放</w:t>
            </w:r>
          </w:p>
        </w:tc>
        <w:tc>
          <w:tcPr>
            <w:tcW w:w="13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网格点、环境空气保护目标</w:t>
            </w:r>
          </w:p>
        </w:tc>
        <w:tc>
          <w:tcPr>
            <w:tcW w:w="13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短期浓度</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长期浓度</w:t>
            </w:r>
          </w:p>
        </w:tc>
        <w:tc>
          <w:tcPr>
            <w:tcW w:w="20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叠加环境质量现状浓度后的保证率日平均质量浓度和年平均质量浓度的占标率；</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或者短期浓度的达标情况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3</w:t>
            </w:r>
          </w:p>
        </w:tc>
        <w:tc>
          <w:tcPr>
            <w:tcW w:w="21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新增污染源</w:t>
            </w:r>
          </w:p>
        </w:tc>
        <w:tc>
          <w:tcPr>
            <w:tcW w:w="9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非正常排放</w:t>
            </w:r>
          </w:p>
        </w:tc>
        <w:tc>
          <w:tcPr>
            <w:tcW w:w="13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网格点、环境空气保护目标</w:t>
            </w:r>
          </w:p>
        </w:tc>
        <w:tc>
          <w:tcPr>
            <w:tcW w:w="13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1h平均质量浓度</w:t>
            </w:r>
          </w:p>
        </w:tc>
        <w:tc>
          <w:tcPr>
            <w:tcW w:w="20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最大浓度占标率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4</w:t>
            </w:r>
          </w:p>
        </w:tc>
        <w:tc>
          <w:tcPr>
            <w:tcW w:w="21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新增污染源</w:t>
            </w:r>
            <w:r>
              <w:rPr>
                <w:rFonts w:hint="eastAsia"/>
                <w:color w:val="auto"/>
                <w:sz w:val="21"/>
                <w:szCs w:val="21"/>
                <w:highlight w:val="none"/>
              </w:rPr>
              <w:t>-“以新带老”污染源</w:t>
            </w:r>
            <w:r>
              <w:rPr>
                <w:color w:val="auto"/>
                <w:sz w:val="21"/>
                <w:szCs w:val="21"/>
                <w:highlight w:val="none"/>
              </w:rPr>
              <w:t>（</w:t>
            </w:r>
            <w:r>
              <w:rPr>
                <w:rFonts w:hint="eastAsia"/>
                <w:color w:val="auto"/>
                <w:sz w:val="21"/>
                <w:szCs w:val="21"/>
                <w:highlight w:val="none"/>
              </w:rPr>
              <w:t>如有</w:t>
            </w:r>
            <w:r>
              <w:rPr>
                <w:color w:val="auto"/>
                <w:sz w:val="21"/>
                <w:szCs w:val="21"/>
                <w:highlight w:val="none"/>
              </w:rPr>
              <w:t>）</w:t>
            </w:r>
            <w:r>
              <w:rPr>
                <w:rFonts w:hint="eastAsia"/>
                <w:color w:val="auto"/>
                <w:sz w:val="21"/>
                <w:szCs w:val="21"/>
                <w:highlight w:val="none"/>
              </w:rPr>
              <w:t>+项目全厂现有污染源</w:t>
            </w:r>
          </w:p>
        </w:tc>
        <w:tc>
          <w:tcPr>
            <w:tcW w:w="9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正常排放</w:t>
            </w:r>
          </w:p>
        </w:tc>
        <w:tc>
          <w:tcPr>
            <w:tcW w:w="13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网格点</w:t>
            </w:r>
          </w:p>
        </w:tc>
        <w:tc>
          <w:tcPr>
            <w:tcW w:w="13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短期浓度</w:t>
            </w:r>
          </w:p>
        </w:tc>
        <w:tc>
          <w:tcPr>
            <w:tcW w:w="20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大气防护距离</w:t>
            </w:r>
          </w:p>
        </w:tc>
      </w:tr>
    </w:tbl>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b w:val="0"/>
          <w:bCs w:val="0"/>
          <w:color w:val="auto"/>
          <w:highlight w:val="none"/>
          <w:lang w:val="en-US" w:eastAsia="zh-CN"/>
        </w:rPr>
      </w:pPr>
      <w:r>
        <w:rPr>
          <w:rFonts w:hint="eastAsia"/>
          <w:b w:val="0"/>
          <w:bCs w:val="0"/>
          <w:color w:val="auto"/>
          <w:highlight w:val="none"/>
          <w:lang w:val="en-US" w:eastAsia="zh-CN"/>
        </w:rPr>
        <w:t>经现场调查，本项目大气评价范围内（5km）无已批复的与本项目排放大气污染物有关的拟建、在建项目。</w:t>
      </w:r>
    </w:p>
    <w:p>
      <w:pPr>
        <w:keepNext w:val="0"/>
        <w:keepLines w:val="0"/>
        <w:pageBreakBefore w:val="0"/>
        <w:widowControl w:val="0"/>
        <w:kinsoku/>
        <w:wordWrap/>
        <w:overflowPunct/>
        <w:topLinePunct w:val="0"/>
        <w:autoSpaceDE/>
        <w:autoSpaceDN/>
        <w:bidi w:val="0"/>
        <w:adjustRightInd w:val="0"/>
        <w:snapToGrid w:val="0"/>
        <w:ind w:firstLine="482"/>
        <w:textAlignment w:val="auto"/>
        <w:rPr>
          <w:b w:val="0"/>
          <w:bCs w:val="0"/>
          <w:color w:val="auto"/>
        </w:rPr>
      </w:pPr>
      <w:r>
        <w:rPr>
          <w:rFonts w:hint="eastAsia"/>
          <w:b w:val="0"/>
          <w:bCs w:val="0"/>
          <w:color w:val="auto"/>
          <w:highlight w:val="none"/>
          <w:lang w:eastAsia="zh-CN"/>
        </w:rPr>
        <w:t>（</w:t>
      </w:r>
      <w:r>
        <w:rPr>
          <w:rFonts w:hint="eastAsia"/>
          <w:b w:val="0"/>
          <w:bCs w:val="0"/>
          <w:color w:val="auto"/>
          <w:highlight w:val="none"/>
          <w:lang w:val="en-US" w:eastAsia="zh-CN"/>
        </w:rPr>
        <w:t>1</w:t>
      </w:r>
      <w:r>
        <w:rPr>
          <w:rFonts w:hint="eastAsia"/>
          <w:b w:val="0"/>
          <w:bCs w:val="0"/>
          <w:color w:val="auto"/>
          <w:highlight w:val="none"/>
          <w:lang w:eastAsia="zh-CN"/>
        </w:rPr>
        <w:t>）</w:t>
      </w:r>
      <w:r>
        <w:rPr>
          <w:rFonts w:hint="eastAsia"/>
          <w:b w:val="0"/>
          <w:bCs w:val="0"/>
          <w:color w:val="auto"/>
        </w:rPr>
        <w:t>正常工况新增污染源短期浓度及长期浓度贡献值预测结果</w:t>
      </w:r>
    </w:p>
    <w:p>
      <w:pPr>
        <w:keepNext w:val="0"/>
        <w:keepLines w:val="0"/>
        <w:pageBreakBefore w:val="0"/>
        <w:widowControl w:val="0"/>
        <w:kinsoku/>
        <w:wordWrap/>
        <w:overflowPunct/>
        <w:topLinePunct w:val="0"/>
        <w:autoSpaceDE/>
        <w:autoSpaceDN/>
        <w:bidi w:val="0"/>
        <w:adjustRightInd w:val="0"/>
        <w:snapToGrid w:val="0"/>
        <w:textAlignment w:val="auto"/>
        <w:rPr>
          <w:rFonts w:hint="eastAsia"/>
          <w:b w:val="0"/>
          <w:bCs w:val="0"/>
          <w:color w:val="auto"/>
          <w:highlight w:val="none"/>
          <w:lang w:eastAsia="zh-CN"/>
        </w:rPr>
      </w:pPr>
      <w:r>
        <w:rPr>
          <w:rFonts w:hint="eastAsia"/>
          <w:b w:val="0"/>
          <w:bCs w:val="0"/>
          <w:color w:val="auto"/>
        </w:rPr>
        <w:t>项目排放的各污染物对环境敏感点和网格点浓度贡献值如下。</w:t>
      </w:r>
    </w:p>
    <w:p>
      <w:pPr>
        <w:keepNext w:val="0"/>
        <w:keepLines w:val="0"/>
        <w:pageBreakBefore w:val="0"/>
        <w:widowControl w:val="0"/>
        <w:kinsoku/>
        <w:wordWrap/>
        <w:overflowPunct/>
        <w:topLinePunct w:val="0"/>
        <w:autoSpaceDE/>
        <w:autoSpaceDN/>
        <w:bidi w:val="0"/>
        <w:adjustRightInd w:val="0"/>
        <w:snapToGrid w:val="0"/>
        <w:textAlignment w:val="auto"/>
        <w:rPr>
          <w:color w:val="auto"/>
          <w:highlight w:val="none"/>
        </w:rPr>
      </w:pPr>
      <w:r>
        <w:rPr>
          <w:rFonts w:hint="eastAsia" w:ascii="宋体" w:hAnsi="宋体" w:eastAsia="宋体" w:cs="宋体"/>
          <w:color w:val="auto"/>
          <w:highlight w:val="none"/>
        </w:rPr>
        <w:t>①</w:t>
      </w:r>
      <w:r>
        <w:rPr>
          <w:rFonts w:hint="eastAsia"/>
          <w:color w:val="auto"/>
          <w:highlight w:val="none"/>
        </w:rPr>
        <w:t>PM</w:t>
      </w:r>
      <w:r>
        <w:rPr>
          <w:color w:val="auto"/>
          <w:highlight w:val="none"/>
          <w:vertAlign w:val="subscript"/>
        </w:rPr>
        <w:t>10</w:t>
      </w:r>
      <w:r>
        <w:rPr>
          <w:rFonts w:hint="eastAsia"/>
          <w:color w:val="auto"/>
          <w:highlight w:val="none"/>
        </w:rPr>
        <w:t>贡献值</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6.2.1-13</w:t>
      </w:r>
      <w:r>
        <w:rPr>
          <w:rFonts w:hint="eastAsia"/>
          <w:b/>
          <w:bCs/>
          <w:color w:val="auto"/>
          <w:sz w:val="21"/>
          <w:szCs w:val="21"/>
          <w:highlight w:val="none"/>
        </w:rPr>
        <w:t xml:space="preserve">（1） </w:t>
      </w:r>
      <w:r>
        <w:rPr>
          <w:b/>
          <w:bCs/>
          <w:color w:val="auto"/>
          <w:sz w:val="21"/>
          <w:szCs w:val="21"/>
          <w:highlight w:val="none"/>
        </w:rPr>
        <w:t xml:space="preserve"> </w:t>
      </w:r>
      <w:r>
        <w:rPr>
          <w:rFonts w:hint="eastAsia"/>
          <w:b/>
          <w:bCs/>
          <w:color w:val="auto"/>
          <w:sz w:val="21"/>
          <w:szCs w:val="21"/>
          <w:highlight w:val="none"/>
          <w:lang w:val="en-US" w:eastAsia="zh-CN"/>
        </w:rPr>
        <w:t xml:space="preserve"> </w:t>
      </w:r>
      <w:r>
        <w:rPr>
          <w:rFonts w:hint="eastAsia"/>
          <w:b/>
          <w:bCs/>
          <w:color w:val="auto"/>
          <w:sz w:val="21"/>
          <w:szCs w:val="21"/>
          <w:highlight w:val="none"/>
        </w:rPr>
        <w:t>正常工况下P</w:t>
      </w:r>
      <w:r>
        <w:rPr>
          <w:b/>
          <w:bCs/>
          <w:color w:val="auto"/>
          <w:sz w:val="21"/>
          <w:szCs w:val="21"/>
          <w:highlight w:val="none"/>
        </w:rPr>
        <w:t>M</w:t>
      </w:r>
      <w:r>
        <w:rPr>
          <w:b/>
          <w:bCs/>
          <w:color w:val="auto"/>
          <w:sz w:val="21"/>
          <w:szCs w:val="21"/>
          <w:highlight w:val="none"/>
          <w:vertAlign w:val="subscript"/>
        </w:rPr>
        <w:t>10</w:t>
      </w:r>
      <w:r>
        <w:rPr>
          <w:b/>
          <w:bCs/>
          <w:color w:val="auto"/>
          <w:sz w:val="21"/>
          <w:szCs w:val="21"/>
          <w:highlight w:val="none"/>
        </w:rPr>
        <w:t>贡献浓度预测结果表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2"/>
        <w:gridCol w:w="737"/>
        <w:gridCol w:w="942"/>
        <w:gridCol w:w="1039"/>
        <w:gridCol w:w="1189"/>
        <w:gridCol w:w="1359"/>
        <w:gridCol w:w="1528"/>
        <w:gridCol w:w="1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点名称</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浓度类型</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浓度增量</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出现时间</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YYMMDDHH</w:t>
            </w:r>
            <w:r>
              <w:rPr>
                <w:rFonts w:hint="default" w:ascii="Times New Roman" w:hAnsi="Times New Roman" w:cs="Times New Roman"/>
                <w:b/>
                <w:bCs/>
                <w:color w:val="auto"/>
                <w:sz w:val="21"/>
                <w:szCs w:val="21"/>
                <w:highlight w:val="none"/>
                <w:lang w:eastAsia="zh-CN"/>
              </w:rPr>
              <w:t>）</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评价标准</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占标率%</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叠加背景以后</w:t>
            </w:r>
            <w:r>
              <w:rPr>
                <w:rFonts w:hint="default" w:ascii="Times New Roman" w:hAnsi="Times New Roman" w:cs="Times New Roman"/>
                <w:b/>
                <w:bCs/>
                <w:color w:val="auto"/>
                <w:sz w:val="21"/>
                <w:szCs w:val="21"/>
                <w:highlight w:val="none"/>
                <w:lang w:eastAsia="zh-CN"/>
              </w:rPr>
              <w:t>）</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1.22×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24070909</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4.50×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0.27</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1.45×</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240701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2.92×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-5</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0.04</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1.49×</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24032711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0.33</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2.53×</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240327</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0.17</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7.99×</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-5</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0.11</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1.22×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24110911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0.27</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1.98×</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240417</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0.13</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3.72×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-5</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0.05</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网格点</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1.24×</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24072423</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2.75</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6.20×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241206</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0.41</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1.01×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0.14</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bl>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0"/>
                <w:highlight w:val="none"/>
              </w:rPr>
            </w:pPr>
            <w:r>
              <w:rPr>
                <w:color w:val="auto"/>
                <w:kern w:val="0"/>
                <w:szCs w:val="20"/>
              </w:rPr>
              <w:drawing>
                <wp:inline distT="0" distB="0" distL="0" distR="0">
                  <wp:extent cx="4319905" cy="2574290"/>
                  <wp:effectExtent l="0" t="0" r="4445" b="1651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25"/>
                          <a:stretch>
                            <a:fillRect/>
                          </a:stretch>
                        </pic:blipFill>
                        <pic:spPr>
                          <a:xfrm>
                            <a:off x="0" y="0"/>
                            <a:ext cx="4320000" cy="25743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color w:val="auto"/>
                <w:sz w:val="20"/>
                <w:highlight w:val="none"/>
              </w:rPr>
            </w:pPr>
            <w:r>
              <w:rPr>
                <w:rFonts w:hint="eastAsia"/>
                <w:color w:val="auto"/>
                <w:sz w:val="21"/>
                <w:szCs w:val="22"/>
                <w:highlight w:val="none"/>
              </w:rPr>
              <w:t>P</w:t>
            </w:r>
            <w:r>
              <w:rPr>
                <w:color w:val="auto"/>
                <w:sz w:val="21"/>
                <w:szCs w:val="22"/>
                <w:highlight w:val="none"/>
              </w:rPr>
              <w:t>M</w:t>
            </w:r>
            <w:r>
              <w:rPr>
                <w:color w:val="auto"/>
                <w:sz w:val="21"/>
                <w:szCs w:val="22"/>
                <w:highlight w:val="none"/>
                <w:vertAlign w:val="subscript"/>
              </w:rPr>
              <w:t>10</w:t>
            </w:r>
            <w:r>
              <w:rPr>
                <w:color w:val="auto"/>
                <w:sz w:val="21"/>
                <w:szCs w:val="22"/>
                <w:highlight w:val="none"/>
              </w:rPr>
              <w:t>小时浓度贡献值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0"/>
                <w:highlight w:val="none"/>
              </w:rPr>
            </w:pPr>
            <w:r>
              <w:rPr>
                <w:color w:val="auto"/>
                <w:kern w:val="0"/>
                <w:szCs w:val="20"/>
              </w:rPr>
              <w:drawing>
                <wp:inline distT="0" distB="0" distL="0" distR="0">
                  <wp:extent cx="4319905" cy="2552700"/>
                  <wp:effectExtent l="0" t="0" r="444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6"/>
                          <a:stretch>
                            <a:fillRect/>
                          </a:stretch>
                        </pic:blipFill>
                        <pic:spPr>
                          <a:xfrm>
                            <a:off x="0" y="0"/>
                            <a:ext cx="4320000" cy="25527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color w:val="auto"/>
                <w:sz w:val="20"/>
                <w:highlight w:val="none"/>
              </w:rPr>
            </w:pPr>
            <w:r>
              <w:rPr>
                <w:rFonts w:hint="eastAsia"/>
                <w:color w:val="auto"/>
                <w:kern w:val="0"/>
                <w:sz w:val="21"/>
                <w:szCs w:val="21"/>
              </w:rPr>
              <w:t>P</w:t>
            </w:r>
            <w:r>
              <w:rPr>
                <w:color w:val="auto"/>
                <w:kern w:val="0"/>
                <w:sz w:val="21"/>
                <w:szCs w:val="21"/>
              </w:rPr>
              <w:t>M</w:t>
            </w:r>
            <w:r>
              <w:rPr>
                <w:color w:val="auto"/>
                <w:kern w:val="0"/>
                <w:sz w:val="21"/>
                <w:szCs w:val="21"/>
                <w:vertAlign w:val="subscript"/>
              </w:rPr>
              <w:t>10</w:t>
            </w:r>
            <w:r>
              <w:rPr>
                <w:rFonts w:hint="eastAsia"/>
                <w:color w:val="auto"/>
                <w:kern w:val="0"/>
                <w:sz w:val="21"/>
                <w:szCs w:val="21"/>
              </w:rPr>
              <w:t>日均</w:t>
            </w:r>
            <w:r>
              <w:rPr>
                <w:color w:val="auto"/>
                <w:kern w:val="0"/>
                <w:sz w:val="21"/>
                <w:szCs w:val="21"/>
              </w:rPr>
              <w:t>浓度贡献值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color w:val="auto"/>
                <w:sz w:val="21"/>
                <w:szCs w:val="22"/>
                <w:highlight w:val="none"/>
              </w:rPr>
            </w:pPr>
            <w:r>
              <w:rPr>
                <w:color w:val="auto"/>
                <w:kern w:val="0"/>
                <w:szCs w:val="20"/>
              </w:rPr>
              <w:drawing>
                <wp:inline distT="0" distB="0" distL="0" distR="0">
                  <wp:extent cx="4319905" cy="2558415"/>
                  <wp:effectExtent l="0" t="0" r="4445" b="1333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27"/>
                          <a:stretch>
                            <a:fillRect/>
                          </a:stretch>
                        </pic:blipFill>
                        <pic:spPr>
                          <a:xfrm>
                            <a:off x="0" y="0"/>
                            <a:ext cx="4320000" cy="2558636"/>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rFonts w:hint="eastAsia"/>
                <w:color w:val="auto"/>
                <w:sz w:val="21"/>
                <w:szCs w:val="22"/>
                <w:highlight w:val="none"/>
              </w:rPr>
            </w:pPr>
            <w:r>
              <w:rPr>
                <w:rFonts w:hint="eastAsia"/>
                <w:color w:val="auto"/>
                <w:kern w:val="0"/>
                <w:sz w:val="21"/>
                <w:szCs w:val="16"/>
              </w:rPr>
              <w:t>P</w:t>
            </w:r>
            <w:r>
              <w:rPr>
                <w:color w:val="auto"/>
                <w:kern w:val="0"/>
                <w:sz w:val="21"/>
                <w:szCs w:val="16"/>
              </w:rPr>
              <w:t>M</w:t>
            </w:r>
            <w:r>
              <w:rPr>
                <w:color w:val="auto"/>
                <w:kern w:val="0"/>
                <w:sz w:val="21"/>
                <w:szCs w:val="16"/>
                <w:vertAlign w:val="subscript"/>
              </w:rPr>
              <w:t>10</w:t>
            </w:r>
            <w:r>
              <w:rPr>
                <w:rFonts w:hint="eastAsia"/>
                <w:color w:val="auto"/>
                <w:kern w:val="0"/>
                <w:sz w:val="21"/>
                <w:szCs w:val="16"/>
              </w:rPr>
              <w:t>年均</w:t>
            </w:r>
            <w:r>
              <w:rPr>
                <w:color w:val="auto"/>
                <w:kern w:val="0"/>
                <w:sz w:val="21"/>
                <w:szCs w:val="16"/>
              </w:rPr>
              <w:t>浓度贡献值</w:t>
            </w:r>
          </w:p>
        </w:tc>
      </w:tr>
    </w:tbl>
    <w:p>
      <w:pPr>
        <w:bidi w:val="0"/>
        <w:jc w:val="center"/>
        <w:rPr>
          <w:rFonts w:hint="eastAsia"/>
          <w:color w:val="auto"/>
          <w:highlight w:val="none"/>
          <w:lang w:eastAsia="zh-CN"/>
        </w:rPr>
      </w:pPr>
      <w:r>
        <w:rPr>
          <w:rFonts w:hint="eastAsia"/>
          <w:b/>
          <w:bCs/>
          <w:color w:val="auto"/>
          <w:sz w:val="21"/>
          <w:szCs w:val="21"/>
          <w:highlight w:val="none"/>
          <w:lang w:val="en-US" w:eastAsia="zh-CN"/>
        </w:rPr>
        <w:t>图6.2.1-5</w:t>
      </w:r>
      <w:r>
        <w:rPr>
          <w:rFonts w:hint="eastAsia"/>
          <w:b/>
          <w:bCs/>
          <w:color w:val="auto"/>
          <w:sz w:val="21"/>
          <w:szCs w:val="21"/>
          <w:highlight w:val="none"/>
        </w:rPr>
        <w:t>（</w:t>
      </w:r>
      <w:r>
        <w:rPr>
          <w:b/>
          <w:bCs/>
          <w:color w:val="auto"/>
          <w:sz w:val="21"/>
          <w:szCs w:val="21"/>
          <w:highlight w:val="none"/>
        </w:rPr>
        <w:t>1</w:t>
      </w:r>
      <w:r>
        <w:rPr>
          <w:rFonts w:hint="eastAsia"/>
          <w:b/>
          <w:bCs/>
          <w:color w:val="auto"/>
          <w:sz w:val="21"/>
          <w:szCs w:val="21"/>
          <w:highlight w:val="none"/>
        </w:rPr>
        <w:t xml:space="preserve">） </w:t>
      </w:r>
      <w:r>
        <w:rPr>
          <w:b/>
          <w:bCs/>
          <w:color w:val="auto"/>
          <w:sz w:val="21"/>
          <w:szCs w:val="21"/>
          <w:highlight w:val="none"/>
        </w:rPr>
        <w:t xml:space="preserve"> </w:t>
      </w:r>
      <w:r>
        <w:rPr>
          <w:rFonts w:hint="eastAsia"/>
          <w:b/>
          <w:bCs/>
          <w:color w:val="auto"/>
          <w:sz w:val="21"/>
          <w:szCs w:val="21"/>
          <w:highlight w:val="none"/>
          <w:lang w:val="en-US" w:eastAsia="zh-CN"/>
        </w:rPr>
        <w:t xml:space="preserve"> </w:t>
      </w:r>
      <w:r>
        <w:rPr>
          <w:rFonts w:hint="eastAsia"/>
          <w:b/>
          <w:bCs/>
          <w:color w:val="auto"/>
          <w:sz w:val="21"/>
          <w:szCs w:val="21"/>
          <w:highlight w:val="none"/>
        </w:rPr>
        <w:t>正常工况下P</w:t>
      </w:r>
      <w:r>
        <w:rPr>
          <w:b/>
          <w:bCs/>
          <w:color w:val="auto"/>
          <w:sz w:val="21"/>
          <w:szCs w:val="21"/>
          <w:highlight w:val="none"/>
        </w:rPr>
        <w:t>M</w:t>
      </w:r>
      <w:r>
        <w:rPr>
          <w:b/>
          <w:bCs/>
          <w:color w:val="auto"/>
          <w:sz w:val="21"/>
          <w:szCs w:val="21"/>
          <w:highlight w:val="none"/>
          <w:vertAlign w:val="subscript"/>
        </w:rPr>
        <w:t>10</w:t>
      </w:r>
      <w:r>
        <w:rPr>
          <w:b/>
          <w:bCs/>
          <w:color w:val="auto"/>
          <w:sz w:val="21"/>
          <w:szCs w:val="21"/>
          <w:highlight w:val="none"/>
        </w:rPr>
        <w:t>浓度</w:t>
      </w:r>
      <w:r>
        <w:rPr>
          <w:rFonts w:hint="eastAsia"/>
          <w:b/>
          <w:bCs/>
          <w:color w:val="auto"/>
          <w:sz w:val="21"/>
          <w:szCs w:val="21"/>
          <w:highlight w:val="none"/>
        </w:rPr>
        <w:t>分布图</w:t>
      </w:r>
    </w:p>
    <w:p>
      <w:pPr>
        <w:bidi w:val="0"/>
        <w:rPr>
          <w:color w:val="auto"/>
          <w:highlight w:val="none"/>
        </w:rPr>
      </w:pPr>
      <w:r>
        <w:rPr>
          <w:rFonts w:hint="eastAsia" w:ascii="宋体" w:hAnsi="宋体" w:eastAsia="宋体" w:cs="宋体"/>
          <w:color w:val="auto"/>
          <w:highlight w:val="none"/>
        </w:rPr>
        <w:t>②</w:t>
      </w:r>
      <w:r>
        <w:rPr>
          <w:rFonts w:hint="eastAsia"/>
          <w:color w:val="auto"/>
          <w:highlight w:val="none"/>
        </w:rPr>
        <w:t>二氧化硫贡献值</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6.2.1-14</w:t>
      </w:r>
      <w:r>
        <w:rPr>
          <w:rFonts w:hint="eastAsia"/>
          <w:b/>
          <w:bCs/>
          <w:color w:val="auto"/>
          <w:sz w:val="21"/>
          <w:szCs w:val="21"/>
          <w:highlight w:val="none"/>
        </w:rPr>
        <w:t>（</w:t>
      </w:r>
      <w:r>
        <w:rPr>
          <w:rFonts w:hint="eastAsia"/>
          <w:b/>
          <w:bCs/>
          <w:color w:val="auto"/>
          <w:sz w:val="21"/>
          <w:szCs w:val="21"/>
          <w:highlight w:val="none"/>
          <w:lang w:val="en-US" w:eastAsia="zh-CN"/>
        </w:rPr>
        <w:t>2</w:t>
      </w:r>
      <w:r>
        <w:rPr>
          <w:rFonts w:hint="eastAsia"/>
          <w:b/>
          <w:bCs/>
          <w:color w:val="auto"/>
          <w:sz w:val="21"/>
          <w:szCs w:val="21"/>
          <w:highlight w:val="none"/>
        </w:rPr>
        <w:t xml:space="preserve">） </w:t>
      </w:r>
      <w:r>
        <w:rPr>
          <w:b/>
          <w:bCs/>
          <w:color w:val="auto"/>
          <w:sz w:val="21"/>
          <w:szCs w:val="21"/>
          <w:highlight w:val="none"/>
        </w:rPr>
        <w:t xml:space="preserve"> </w:t>
      </w:r>
      <w:r>
        <w:rPr>
          <w:rFonts w:hint="eastAsia"/>
          <w:b/>
          <w:bCs/>
          <w:color w:val="auto"/>
          <w:sz w:val="21"/>
          <w:szCs w:val="21"/>
          <w:highlight w:val="none"/>
          <w:lang w:val="en-US" w:eastAsia="zh-CN"/>
        </w:rPr>
        <w:t xml:space="preserve"> </w:t>
      </w:r>
      <w:r>
        <w:rPr>
          <w:rFonts w:hint="eastAsia"/>
          <w:b/>
          <w:bCs/>
          <w:color w:val="auto"/>
          <w:sz w:val="21"/>
          <w:szCs w:val="21"/>
          <w:highlight w:val="none"/>
        </w:rPr>
        <w:t>正常工况下二氧化硫</w:t>
      </w:r>
      <w:r>
        <w:rPr>
          <w:b/>
          <w:bCs/>
          <w:color w:val="auto"/>
          <w:sz w:val="21"/>
          <w:szCs w:val="21"/>
          <w:highlight w:val="none"/>
        </w:rPr>
        <w:t>贡献浓度预测结果表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2"/>
        <w:gridCol w:w="737"/>
        <w:gridCol w:w="942"/>
        <w:gridCol w:w="1039"/>
        <w:gridCol w:w="1189"/>
        <w:gridCol w:w="1359"/>
        <w:gridCol w:w="1528"/>
        <w:gridCol w:w="1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点名称</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浓度类型</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浓度增量</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出现时间</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YYMMDDHH</w:t>
            </w:r>
            <w:r>
              <w:rPr>
                <w:rFonts w:hint="default" w:ascii="Times New Roman" w:hAnsi="Times New Roman" w:cs="Times New Roman"/>
                <w:b/>
                <w:bCs/>
                <w:color w:val="auto"/>
                <w:sz w:val="21"/>
                <w:szCs w:val="21"/>
                <w:highlight w:val="none"/>
                <w:lang w:eastAsia="zh-CN"/>
              </w:rPr>
              <w:t>）</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评价标准</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占标率%</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叠加背景以后</w:t>
            </w:r>
            <w:r>
              <w:rPr>
                <w:rFonts w:hint="default" w:ascii="Times New Roman" w:hAnsi="Times New Roman" w:cs="Times New Roman"/>
                <w:b/>
                <w:bCs/>
                <w:color w:val="auto"/>
                <w:sz w:val="21"/>
                <w:szCs w:val="21"/>
                <w:highlight w:val="none"/>
                <w:lang w:eastAsia="zh-CN"/>
              </w:rPr>
              <w:t>）</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5.20×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24070909</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1.04</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6.16×</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240701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0.41</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1.24×</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0.21</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6.33×</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24032711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1.27</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1.08×</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240327</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0.72</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3.40×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0.57</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5.21×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24110911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1.04</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8.41×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240417</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0.56</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1.58×</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0.26</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网格点</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5.26×</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24072423</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10.53</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2.64×</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241206</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1.76</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4.30×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0.72</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bl>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0"/>
                <w:highlight w:val="none"/>
              </w:rPr>
            </w:pPr>
            <w:r>
              <w:rPr>
                <w:color w:val="auto"/>
                <w:kern w:val="0"/>
                <w:szCs w:val="20"/>
              </w:rPr>
              <w:drawing>
                <wp:inline distT="0" distB="0" distL="0" distR="0">
                  <wp:extent cx="4319905" cy="2623185"/>
                  <wp:effectExtent l="0" t="0" r="4445" b="57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8"/>
                          <a:stretch>
                            <a:fillRect/>
                          </a:stretch>
                        </pic:blipFill>
                        <pic:spPr>
                          <a:xfrm>
                            <a:off x="0" y="0"/>
                            <a:ext cx="4320000" cy="2623331"/>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color w:val="auto"/>
                <w:sz w:val="20"/>
                <w:highlight w:val="none"/>
              </w:rPr>
            </w:pPr>
            <w:r>
              <w:rPr>
                <w:rFonts w:hint="eastAsia"/>
                <w:color w:val="auto"/>
                <w:sz w:val="21"/>
                <w:szCs w:val="22"/>
                <w:highlight w:val="none"/>
              </w:rPr>
              <w:t>二氧化硫</w:t>
            </w:r>
            <w:r>
              <w:rPr>
                <w:color w:val="auto"/>
                <w:sz w:val="21"/>
                <w:szCs w:val="22"/>
                <w:highlight w:val="none"/>
              </w:rPr>
              <w:t>小时浓度贡献值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0"/>
                <w:highlight w:val="none"/>
              </w:rPr>
            </w:pPr>
            <w:r>
              <w:rPr>
                <w:color w:val="auto"/>
                <w:kern w:val="0"/>
                <w:szCs w:val="20"/>
              </w:rPr>
              <w:drawing>
                <wp:inline distT="0" distB="0" distL="0" distR="0">
                  <wp:extent cx="4319905" cy="2585720"/>
                  <wp:effectExtent l="0" t="0" r="4445" b="508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9"/>
                          <a:stretch>
                            <a:fillRect/>
                          </a:stretch>
                        </pic:blipFill>
                        <pic:spPr>
                          <a:xfrm>
                            <a:off x="0" y="0"/>
                            <a:ext cx="4320000" cy="2585898"/>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color w:val="auto"/>
                <w:sz w:val="20"/>
                <w:highlight w:val="none"/>
              </w:rPr>
            </w:pPr>
            <w:r>
              <w:rPr>
                <w:rFonts w:hint="eastAsia"/>
                <w:color w:val="auto"/>
                <w:kern w:val="0"/>
                <w:sz w:val="21"/>
                <w:szCs w:val="21"/>
              </w:rPr>
              <w:t>二氧化硫日均</w:t>
            </w:r>
            <w:r>
              <w:rPr>
                <w:color w:val="auto"/>
                <w:kern w:val="0"/>
                <w:sz w:val="21"/>
                <w:szCs w:val="21"/>
              </w:rPr>
              <w:t>浓度贡献值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color w:val="auto"/>
                <w:sz w:val="21"/>
                <w:szCs w:val="22"/>
                <w:highlight w:val="none"/>
              </w:rPr>
            </w:pPr>
            <w:r>
              <w:rPr>
                <w:color w:val="auto"/>
                <w:kern w:val="0"/>
                <w:szCs w:val="20"/>
              </w:rPr>
              <w:drawing>
                <wp:inline distT="0" distB="0" distL="0" distR="0">
                  <wp:extent cx="4319905" cy="2564765"/>
                  <wp:effectExtent l="0" t="0" r="4445" b="698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0"/>
                          <a:stretch>
                            <a:fillRect/>
                          </a:stretch>
                        </pic:blipFill>
                        <pic:spPr>
                          <a:xfrm>
                            <a:off x="0" y="0"/>
                            <a:ext cx="4320000" cy="25651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rFonts w:hint="eastAsia"/>
                <w:color w:val="auto"/>
                <w:sz w:val="21"/>
                <w:szCs w:val="22"/>
                <w:highlight w:val="none"/>
              </w:rPr>
            </w:pPr>
            <w:r>
              <w:rPr>
                <w:rFonts w:hint="eastAsia"/>
                <w:color w:val="auto"/>
                <w:kern w:val="0"/>
                <w:sz w:val="21"/>
                <w:szCs w:val="16"/>
              </w:rPr>
              <w:t>二氧化硫年均</w:t>
            </w:r>
            <w:r>
              <w:rPr>
                <w:color w:val="auto"/>
                <w:kern w:val="0"/>
                <w:sz w:val="21"/>
                <w:szCs w:val="16"/>
              </w:rPr>
              <w:t>浓度贡献值</w:t>
            </w:r>
          </w:p>
        </w:tc>
      </w:tr>
    </w:tbl>
    <w:p>
      <w:pPr>
        <w:bidi w:val="0"/>
        <w:jc w:val="center"/>
        <w:rPr>
          <w:rFonts w:hint="eastAsia"/>
          <w:color w:val="auto"/>
          <w:highlight w:val="none"/>
          <w:lang w:eastAsia="zh-CN"/>
        </w:rPr>
      </w:pPr>
      <w:r>
        <w:rPr>
          <w:rFonts w:hint="eastAsia"/>
          <w:b/>
          <w:bCs/>
          <w:color w:val="auto"/>
          <w:sz w:val="21"/>
          <w:szCs w:val="21"/>
          <w:highlight w:val="none"/>
          <w:lang w:val="en-US" w:eastAsia="zh-CN"/>
        </w:rPr>
        <w:t>图6.2.1-6</w:t>
      </w:r>
      <w:r>
        <w:rPr>
          <w:rFonts w:hint="eastAsia"/>
          <w:b/>
          <w:bCs/>
          <w:color w:val="auto"/>
          <w:sz w:val="21"/>
          <w:szCs w:val="21"/>
          <w:highlight w:val="none"/>
        </w:rPr>
        <w:t>（</w:t>
      </w:r>
      <w:r>
        <w:rPr>
          <w:rFonts w:hint="eastAsia"/>
          <w:b/>
          <w:bCs/>
          <w:color w:val="auto"/>
          <w:sz w:val="21"/>
          <w:szCs w:val="21"/>
          <w:highlight w:val="none"/>
          <w:lang w:val="en-US" w:eastAsia="zh-CN"/>
        </w:rPr>
        <w:t>2</w:t>
      </w:r>
      <w:r>
        <w:rPr>
          <w:rFonts w:hint="eastAsia"/>
          <w:b/>
          <w:bCs/>
          <w:color w:val="auto"/>
          <w:sz w:val="21"/>
          <w:szCs w:val="21"/>
          <w:highlight w:val="none"/>
        </w:rPr>
        <w:t xml:space="preserve">） </w:t>
      </w:r>
      <w:r>
        <w:rPr>
          <w:b/>
          <w:bCs/>
          <w:color w:val="auto"/>
          <w:sz w:val="21"/>
          <w:szCs w:val="21"/>
          <w:highlight w:val="none"/>
        </w:rPr>
        <w:t xml:space="preserve"> </w:t>
      </w:r>
      <w:r>
        <w:rPr>
          <w:rFonts w:hint="eastAsia"/>
          <w:b/>
          <w:bCs/>
          <w:color w:val="auto"/>
          <w:sz w:val="21"/>
          <w:szCs w:val="21"/>
          <w:highlight w:val="none"/>
        </w:rPr>
        <w:t>正常工况下二氧化硫</w:t>
      </w:r>
      <w:r>
        <w:rPr>
          <w:b/>
          <w:bCs/>
          <w:color w:val="auto"/>
          <w:sz w:val="21"/>
          <w:szCs w:val="21"/>
          <w:highlight w:val="none"/>
        </w:rPr>
        <w:t>浓度</w:t>
      </w:r>
      <w:r>
        <w:rPr>
          <w:rFonts w:hint="eastAsia"/>
          <w:b/>
          <w:bCs/>
          <w:color w:val="auto"/>
          <w:sz w:val="21"/>
          <w:szCs w:val="21"/>
          <w:highlight w:val="none"/>
        </w:rPr>
        <w:t>分布图</w:t>
      </w:r>
    </w:p>
    <w:p>
      <w:pPr>
        <w:keepNext w:val="0"/>
        <w:keepLines w:val="0"/>
        <w:pageBreakBefore w:val="0"/>
        <w:widowControl w:val="0"/>
        <w:kinsoku/>
        <w:wordWrap/>
        <w:overflowPunct/>
        <w:topLinePunct w:val="0"/>
        <w:autoSpaceDE/>
        <w:autoSpaceDN/>
        <w:bidi w:val="0"/>
        <w:adjustRightInd w:val="0"/>
        <w:snapToGrid w:val="0"/>
        <w:textAlignment w:val="auto"/>
        <w:rPr>
          <w:color w:val="auto"/>
          <w:highlight w:val="none"/>
        </w:rPr>
      </w:pPr>
      <w:r>
        <w:rPr>
          <w:rFonts w:hint="eastAsia" w:ascii="宋体" w:hAnsi="宋体" w:eastAsia="宋体" w:cs="宋体"/>
          <w:color w:val="auto"/>
          <w:highlight w:val="none"/>
        </w:rPr>
        <w:t>③</w:t>
      </w:r>
      <w:r>
        <w:rPr>
          <w:rFonts w:hint="eastAsia"/>
          <w:color w:val="auto"/>
          <w:highlight w:val="none"/>
        </w:rPr>
        <w:t>氮氧化物贡献值</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6.2.1-15</w:t>
      </w:r>
      <w:r>
        <w:rPr>
          <w:rFonts w:hint="eastAsia"/>
          <w:b/>
          <w:bCs/>
          <w:color w:val="auto"/>
          <w:sz w:val="21"/>
          <w:szCs w:val="21"/>
          <w:highlight w:val="none"/>
        </w:rPr>
        <w:t>（</w:t>
      </w:r>
      <w:r>
        <w:rPr>
          <w:rFonts w:hint="eastAsia"/>
          <w:b/>
          <w:bCs/>
          <w:color w:val="auto"/>
          <w:sz w:val="21"/>
          <w:szCs w:val="21"/>
          <w:highlight w:val="none"/>
          <w:lang w:val="en-US" w:eastAsia="zh-CN"/>
        </w:rPr>
        <w:t>3</w:t>
      </w:r>
      <w:r>
        <w:rPr>
          <w:rFonts w:hint="eastAsia"/>
          <w:b/>
          <w:bCs/>
          <w:color w:val="auto"/>
          <w:sz w:val="21"/>
          <w:szCs w:val="21"/>
          <w:highlight w:val="none"/>
        </w:rPr>
        <w:t xml:space="preserve">） </w:t>
      </w:r>
      <w:r>
        <w:rPr>
          <w:b/>
          <w:bCs/>
          <w:color w:val="auto"/>
          <w:sz w:val="21"/>
          <w:szCs w:val="21"/>
          <w:highlight w:val="none"/>
        </w:rPr>
        <w:t xml:space="preserve"> </w:t>
      </w:r>
      <w:r>
        <w:rPr>
          <w:rFonts w:hint="eastAsia"/>
          <w:b/>
          <w:bCs/>
          <w:color w:val="auto"/>
          <w:sz w:val="21"/>
          <w:szCs w:val="21"/>
          <w:highlight w:val="none"/>
          <w:lang w:val="en-US" w:eastAsia="zh-CN"/>
        </w:rPr>
        <w:t xml:space="preserve"> </w:t>
      </w:r>
      <w:r>
        <w:rPr>
          <w:rFonts w:hint="eastAsia"/>
          <w:b/>
          <w:bCs/>
          <w:color w:val="auto"/>
          <w:sz w:val="21"/>
          <w:szCs w:val="21"/>
          <w:highlight w:val="none"/>
        </w:rPr>
        <w:t>正常工况下氮氧化物</w:t>
      </w:r>
      <w:r>
        <w:rPr>
          <w:b/>
          <w:bCs/>
          <w:color w:val="auto"/>
          <w:sz w:val="21"/>
          <w:szCs w:val="21"/>
          <w:highlight w:val="none"/>
        </w:rPr>
        <w:t>贡献浓度预测结果表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2"/>
        <w:gridCol w:w="737"/>
        <w:gridCol w:w="942"/>
        <w:gridCol w:w="1039"/>
        <w:gridCol w:w="1189"/>
        <w:gridCol w:w="1359"/>
        <w:gridCol w:w="1528"/>
        <w:gridCol w:w="1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点名称</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浓度类型</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浓度增量</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出现时间</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YYMMDDHH</w:t>
            </w:r>
            <w:r>
              <w:rPr>
                <w:rFonts w:hint="default" w:ascii="Times New Roman" w:hAnsi="Times New Roman" w:cs="Times New Roman"/>
                <w:b/>
                <w:bCs/>
                <w:color w:val="auto"/>
                <w:sz w:val="21"/>
                <w:szCs w:val="21"/>
                <w:highlight w:val="none"/>
                <w:lang w:eastAsia="zh-CN"/>
              </w:rPr>
              <w:t>）</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评价标准</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占标率%</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叠加背景以后</w:t>
            </w:r>
            <w:r>
              <w:rPr>
                <w:rFonts w:hint="default" w:ascii="Times New Roman" w:hAnsi="Times New Roman" w:cs="Times New Roman"/>
                <w:b/>
                <w:bCs/>
                <w:color w:val="auto"/>
                <w:sz w:val="21"/>
                <w:szCs w:val="21"/>
                <w:highlight w:val="none"/>
                <w:lang w:eastAsia="zh-CN"/>
              </w:rPr>
              <w:t>）</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7.52×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24070909</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3.01</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8.91×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240701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0.89</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1.79×</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0.36</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9.15×</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24032711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3.66</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1.56×</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240327</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1.56</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4.91×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0.98</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7.53×</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24110911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3.01</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1.22×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240417</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1.22</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2.29×</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0.46</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网格点</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7.61×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24072423</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30.43</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3.81×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241206</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3.81</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6.21×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1.24</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bl>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0"/>
                <w:highlight w:val="none"/>
              </w:rPr>
            </w:pPr>
            <w:r>
              <w:rPr>
                <w:color w:val="auto"/>
                <w:kern w:val="0"/>
                <w:szCs w:val="20"/>
              </w:rPr>
              <w:drawing>
                <wp:inline distT="0" distB="0" distL="0" distR="0">
                  <wp:extent cx="4319905" cy="2606675"/>
                  <wp:effectExtent l="0" t="0" r="4445" b="317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31"/>
                          <a:stretch>
                            <a:fillRect/>
                          </a:stretch>
                        </pic:blipFill>
                        <pic:spPr>
                          <a:xfrm>
                            <a:off x="0" y="0"/>
                            <a:ext cx="4320000" cy="26067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color w:val="auto"/>
                <w:kern w:val="0"/>
                <w:sz w:val="21"/>
                <w:szCs w:val="21"/>
              </w:rPr>
            </w:pPr>
            <w:r>
              <w:rPr>
                <w:rFonts w:hint="eastAsia"/>
                <w:color w:val="auto"/>
                <w:kern w:val="0"/>
                <w:sz w:val="21"/>
                <w:szCs w:val="21"/>
              </w:rPr>
              <w:t>氮氧化物</w:t>
            </w:r>
            <w:r>
              <w:rPr>
                <w:color w:val="auto"/>
                <w:kern w:val="0"/>
                <w:sz w:val="21"/>
                <w:szCs w:val="21"/>
              </w:rPr>
              <w:t>小时浓度贡献值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kern w:val="0"/>
                <w:sz w:val="21"/>
                <w:szCs w:val="21"/>
              </w:rPr>
            </w:pPr>
            <w:r>
              <w:rPr>
                <w:color w:val="auto"/>
                <w:kern w:val="0"/>
                <w:szCs w:val="20"/>
              </w:rPr>
              <w:drawing>
                <wp:inline distT="0" distB="0" distL="0" distR="0">
                  <wp:extent cx="4319905" cy="2589530"/>
                  <wp:effectExtent l="0" t="0" r="4445" b="127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32"/>
                          <a:stretch>
                            <a:fillRect/>
                          </a:stretch>
                        </pic:blipFill>
                        <pic:spPr>
                          <a:xfrm>
                            <a:off x="0" y="0"/>
                            <a:ext cx="4320000" cy="25896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color w:val="auto"/>
                <w:kern w:val="0"/>
                <w:sz w:val="21"/>
                <w:szCs w:val="21"/>
              </w:rPr>
            </w:pPr>
            <w:r>
              <w:rPr>
                <w:rFonts w:hint="eastAsia"/>
                <w:color w:val="auto"/>
                <w:kern w:val="0"/>
                <w:sz w:val="21"/>
                <w:szCs w:val="21"/>
              </w:rPr>
              <w:t>氮氧化物日均</w:t>
            </w:r>
            <w:r>
              <w:rPr>
                <w:color w:val="auto"/>
                <w:kern w:val="0"/>
                <w:sz w:val="21"/>
                <w:szCs w:val="21"/>
              </w:rPr>
              <w:t>浓度贡献值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auto"/>
                <w:kern w:val="0"/>
                <w:sz w:val="21"/>
                <w:szCs w:val="21"/>
              </w:rPr>
            </w:pPr>
            <w:r>
              <w:rPr>
                <w:color w:val="auto"/>
                <w:kern w:val="0"/>
                <w:szCs w:val="20"/>
              </w:rPr>
              <w:drawing>
                <wp:inline distT="0" distB="0" distL="0" distR="0">
                  <wp:extent cx="4319905" cy="2572385"/>
                  <wp:effectExtent l="0" t="0" r="4445" b="1841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3"/>
                          <a:stretch>
                            <a:fillRect/>
                          </a:stretch>
                        </pic:blipFill>
                        <pic:spPr>
                          <a:xfrm>
                            <a:off x="0" y="0"/>
                            <a:ext cx="4320000" cy="2572734"/>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rFonts w:hint="eastAsia"/>
                <w:color w:val="auto"/>
                <w:kern w:val="0"/>
                <w:sz w:val="21"/>
                <w:szCs w:val="21"/>
              </w:rPr>
            </w:pPr>
            <w:r>
              <w:rPr>
                <w:rFonts w:hint="eastAsia"/>
                <w:color w:val="auto"/>
                <w:kern w:val="0"/>
                <w:sz w:val="21"/>
                <w:szCs w:val="21"/>
              </w:rPr>
              <w:t>氮氧化物年均</w:t>
            </w:r>
            <w:r>
              <w:rPr>
                <w:color w:val="auto"/>
                <w:kern w:val="0"/>
                <w:sz w:val="21"/>
                <w:szCs w:val="21"/>
              </w:rPr>
              <w:t>浓度贡献值</w:t>
            </w:r>
          </w:p>
        </w:tc>
      </w:tr>
    </w:tbl>
    <w:p>
      <w:pPr>
        <w:bidi w:val="0"/>
        <w:jc w:val="center"/>
        <w:rPr>
          <w:rFonts w:hint="eastAsia"/>
          <w:color w:val="auto"/>
          <w:highlight w:val="none"/>
          <w:lang w:eastAsia="zh-CN"/>
        </w:rPr>
      </w:pPr>
      <w:r>
        <w:rPr>
          <w:rFonts w:hint="eastAsia"/>
          <w:b/>
          <w:bCs/>
          <w:color w:val="auto"/>
          <w:sz w:val="21"/>
          <w:szCs w:val="21"/>
          <w:highlight w:val="none"/>
          <w:lang w:val="en-US" w:eastAsia="zh-CN"/>
        </w:rPr>
        <w:t>图6.2.1-7</w:t>
      </w:r>
      <w:r>
        <w:rPr>
          <w:rFonts w:hint="eastAsia"/>
          <w:b/>
          <w:bCs/>
          <w:color w:val="auto"/>
          <w:sz w:val="21"/>
          <w:szCs w:val="21"/>
          <w:highlight w:val="none"/>
        </w:rPr>
        <w:t>（</w:t>
      </w:r>
      <w:r>
        <w:rPr>
          <w:rFonts w:hint="eastAsia"/>
          <w:b/>
          <w:bCs/>
          <w:color w:val="auto"/>
          <w:sz w:val="21"/>
          <w:szCs w:val="21"/>
          <w:highlight w:val="none"/>
          <w:lang w:val="en-US" w:eastAsia="zh-CN"/>
        </w:rPr>
        <w:t>3</w:t>
      </w:r>
      <w:r>
        <w:rPr>
          <w:rFonts w:hint="eastAsia"/>
          <w:b/>
          <w:bCs/>
          <w:color w:val="auto"/>
          <w:sz w:val="21"/>
          <w:szCs w:val="21"/>
          <w:highlight w:val="none"/>
        </w:rPr>
        <w:t xml:space="preserve">） </w:t>
      </w:r>
      <w:r>
        <w:rPr>
          <w:b/>
          <w:bCs/>
          <w:color w:val="auto"/>
          <w:sz w:val="21"/>
          <w:szCs w:val="21"/>
          <w:highlight w:val="none"/>
        </w:rPr>
        <w:t xml:space="preserve"> </w:t>
      </w:r>
      <w:r>
        <w:rPr>
          <w:rFonts w:hint="eastAsia"/>
          <w:b/>
          <w:bCs/>
          <w:color w:val="auto"/>
          <w:sz w:val="21"/>
          <w:szCs w:val="21"/>
          <w:highlight w:val="none"/>
          <w:lang w:val="en-US" w:eastAsia="zh-CN"/>
        </w:rPr>
        <w:t xml:space="preserve"> </w:t>
      </w:r>
      <w:r>
        <w:rPr>
          <w:rFonts w:hint="eastAsia"/>
          <w:b/>
          <w:bCs/>
          <w:color w:val="auto"/>
          <w:sz w:val="21"/>
          <w:szCs w:val="21"/>
          <w:highlight w:val="none"/>
        </w:rPr>
        <w:t>正常工况下氮氧化物</w:t>
      </w:r>
      <w:r>
        <w:rPr>
          <w:b/>
          <w:bCs/>
          <w:color w:val="auto"/>
          <w:sz w:val="21"/>
          <w:szCs w:val="21"/>
          <w:highlight w:val="none"/>
        </w:rPr>
        <w:t>浓度</w:t>
      </w:r>
      <w:r>
        <w:rPr>
          <w:rFonts w:hint="eastAsia"/>
          <w:b/>
          <w:bCs/>
          <w:color w:val="auto"/>
          <w:sz w:val="21"/>
          <w:szCs w:val="21"/>
          <w:highlight w:val="none"/>
        </w:rPr>
        <w:t>分布图</w:t>
      </w:r>
    </w:p>
    <w:p>
      <w:pPr>
        <w:keepNext w:val="0"/>
        <w:keepLines w:val="0"/>
        <w:pageBreakBefore w:val="0"/>
        <w:widowControl w:val="0"/>
        <w:kinsoku/>
        <w:wordWrap/>
        <w:overflowPunct/>
        <w:topLinePunct w:val="0"/>
        <w:autoSpaceDE/>
        <w:autoSpaceDN/>
        <w:bidi w:val="0"/>
        <w:adjustRightInd w:val="0"/>
        <w:snapToGrid w:val="0"/>
        <w:textAlignment w:val="auto"/>
        <w:rPr>
          <w:b w:val="0"/>
          <w:bCs w:val="0"/>
          <w:color w:val="auto"/>
          <w:sz w:val="24"/>
          <w:szCs w:val="24"/>
          <w:highlight w:val="none"/>
        </w:rPr>
      </w:pPr>
      <w:r>
        <w:rPr>
          <w:rFonts w:hint="eastAsia" w:ascii="宋体" w:hAnsi="宋体" w:eastAsia="宋体" w:cs="宋体"/>
          <w:b w:val="0"/>
          <w:bCs w:val="0"/>
          <w:color w:val="auto"/>
          <w:sz w:val="24"/>
          <w:szCs w:val="24"/>
          <w:highlight w:val="none"/>
        </w:rPr>
        <w:t>④</w:t>
      </w:r>
      <w:r>
        <w:rPr>
          <w:rFonts w:hint="eastAsia"/>
          <w:b w:val="0"/>
          <w:bCs w:val="0"/>
          <w:color w:val="auto"/>
          <w:sz w:val="24"/>
          <w:szCs w:val="24"/>
          <w:highlight w:val="none"/>
          <w:lang w:val="en-US" w:eastAsia="zh-CN"/>
        </w:rPr>
        <w:t>汞</w:t>
      </w:r>
      <w:r>
        <w:rPr>
          <w:rFonts w:hint="eastAsia"/>
          <w:b w:val="0"/>
          <w:bCs w:val="0"/>
          <w:color w:val="auto"/>
          <w:sz w:val="24"/>
          <w:szCs w:val="24"/>
          <w:highlight w:val="none"/>
        </w:rPr>
        <w:t>贡献值</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6.2.1-16</w:t>
      </w:r>
      <w:r>
        <w:rPr>
          <w:rFonts w:hint="eastAsia"/>
          <w:b/>
          <w:bCs/>
          <w:color w:val="auto"/>
          <w:sz w:val="21"/>
          <w:szCs w:val="21"/>
          <w:highlight w:val="none"/>
        </w:rPr>
        <w:t>（</w:t>
      </w:r>
      <w:r>
        <w:rPr>
          <w:rFonts w:hint="eastAsia"/>
          <w:b/>
          <w:bCs/>
          <w:color w:val="auto"/>
          <w:sz w:val="21"/>
          <w:szCs w:val="21"/>
          <w:highlight w:val="none"/>
          <w:lang w:val="en-US" w:eastAsia="zh-CN"/>
        </w:rPr>
        <w:t>4</w:t>
      </w:r>
      <w:r>
        <w:rPr>
          <w:rFonts w:hint="eastAsia"/>
          <w:b/>
          <w:bCs/>
          <w:color w:val="auto"/>
          <w:sz w:val="21"/>
          <w:szCs w:val="21"/>
          <w:highlight w:val="none"/>
        </w:rPr>
        <w:t xml:space="preserve">） </w:t>
      </w:r>
      <w:r>
        <w:rPr>
          <w:b/>
          <w:bCs/>
          <w:color w:val="auto"/>
          <w:sz w:val="21"/>
          <w:szCs w:val="21"/>
          <w:highlight w:val="none"/>
        </w:rPr>
        <w:t xml:space="preserve"> </w:t>
      </w:r>
      <w:r>
        <w:rPr>
          <w:rFonts w:hint="eastAsia"/>
          <w:b/>
          <w:bCs/>
          <w:color w:val="auto"/>
          <w:sz w:val="21"/>
          <w:szCs w:val="21"/>
          <w:highlight w:val="none"/>
          <w:lang w:val="en-US" w:eastAsia="zh-CN"/>
        </w:rPr>
        <w:t xml:space="preserve"> </w:t>
      </w:r>
      <w:r>
        <w:rPr>
          <w:rFonts w:hint="eastAsia"/>
          <w:b/>
          <w:bCs/>
          <w:color w:val="auto"/>
          <w:sz w:val="21"/>
          <w:szCs w:val="21"/>
          <w:highlight w:val="none"/>
        </w:rPr>
        <w:t>正常工况下</w:t>
      </w:r>
      <w:r>
        <w:rPr>
          <w:rFonts w:hint="eastAsia"/>
          <w:b/>
          <w:bCs/>
          <w:color w:val="auto"/>
          <w:sz w:val="21"/>
          <w:szCs w:val="21"/>
          <w:highlight w:val="none"/>
          <w:lang w:val="en-US" w:eastAsia="zh-CN"/>
        </w:rPr>
        <w:t>汞</w:t>
      </w:r>
      <w:r>
        <w:rPr>
          <w:b/>
          <w:bCs/>
          <w:color w:val="auto"/>
          <w:sz w:val="21"/>
          <w:szCs w:val="21"/>
          <w:highlight w:val="none"/>
        </w:rPr>
        <w:t>贡献浓度预测结果表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2"/>
        <w:gridCol w:w="737"/>
        <w:gridCol w:w="942"/>
        <w:gridCol w:w="1039"/>
        <w:gridCol w:w="1189"/>
        <w:gridCol w:w="1359"/>
        <w:gridCol w:w="1528"/>
        <w:gridCol w:w="1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点名称</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浓度类型</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浓度增量</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出现时间</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YYMMDDHH</w:t>
            </w:r>
            <w:r>
              <w:rPr>
                <w:rFonts w:hint="default" w:ascii="Times New Roman" w:hAnsi="Times New Roman" w:cs="Times New Roman"/>
                <w:b/>
                <w:bCs/>
                <w:color w:val="auto"/>
                <w:sz w:val="21"/>
                <w:szCs w:val="21"/>
                <w:highlight w:val="none"/>
                <w:lang w:eastAsia="zh-CN"/>
              </w:rPr>
              <w:t>）</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评价标准</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占标率%</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叠加背景以后</w:t>
            </w:r>
            <w:r>
              <w:rPr>
                <w:rFonts w:hint="default" w:ascii="Times New Roman" w:hAnsi="Times New Roman" w:cs="Times New Roman"/>
                <w:b/>
                <w:bCs/>
                <w:color w:val="auto"/>
                <w:sz w:val="21"/>
                <w:szCs w:val="21"/>
                <w:highlight w:val="none"/>
                <w:lang w:eastAsia="zh-CN"/>
              </w:rPr>
              <w:t>）</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2.80×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-7</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24070909</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0.09</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240701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无标准</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-5</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0.02</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-7</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24032711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0.12</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240327</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无标准</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-5</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0.04</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2.80×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-7</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24110911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0.09</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240417</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无标准</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-5</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0.02</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网格点</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2.87×</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-6</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24072423</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0.96</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1.40×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-7</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241026</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无标准</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未知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-5</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0.04</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bl>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0"/>
                <w:highlight w:val="none"/>
              </w:rPr>
            </w:pPr>
            <w:r>
              <w:rPr>
                <w:color w:val="auto"/>
                <w:kern w:val="0"/>
                <w:szCs w:val="20"/>
              </w:rPr>
              <w:drawing>
                <wp:inline distT="0" distB="0" distL="0" distR="0">
                  <wp:extent cx="4319905" cy="2517775"/>
                  <wp:effectExtent l="0" t="0" r="4445" b="1587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34"/>
                          <a:stretch>
                            <a:fillRect/>
                          </a:stretch>
                        </pic:blipFill>
                        <pic:spPr>
                          <a:xfrm>
                            <a:off x="0" y="0"/>
                            <a:ext cx="4320000" cy="2517782"/>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color w:val="auto"/>
                <w:kern w:val="0"/>
                <w:sz w:val="21"/>
                <w:szCs w:val="21"/>
              </w:rPr>
            </w:pPr>
            <w:r>
              <w:rPr>
                <w:rFonts w:hint="eastAsia"/>
                <w:b w:val="0"/>
                <w:bCs w:val="0"/>
                <w:color w:val="auto"/>
                <w:sz w:val="21"/>
                <w:szCs w:val="21"/>
                <w:highlight w:val="none"/>
                <w:lang w:val="en-US" w:eastAsia="zh-CN"/>
              </w:rPr>
              <w:t>汞</w:t>
            </w:r>
            <w:r>
              <w:rPr>
                <w:b w:val="0"/>
                <w:bCs w:val="0"/>
                <w:color w:val="auto"/>
                <w:kern w:val="0"/>
                <w:sz w:val="21"/>
                <w:szCs w:val="21"/>
              </w:rPr>
              <w:t>小时浓度贡献值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kern w:val="0"/>
                <w:sz w:val="21"/>
                <w:szCs w:val="21"/>
              </w:rPr>
            </w:pPr>
            <w:r>
              <w:rPr>
                <w:color w:val="auto"/>
                <w:kern w:val="0"/>
                <w:szCs w:val="20"/>
              </w:rPr>
              <w:drawing>
                <wp:inline distT="0" distB="0" distL="0" distR="0">
                  <wp:extent cx="4319905" cy="2694940"/>
                  <wp:effectExtent l="0" t="0" r="4445" b="1016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35"/>
                          <a:stretch>
                            <a:fillRect/>
                          </a:stretch>
                        </pic:blipFill>
                        <pic:spPr>
                          <a:xfrm>
                            <a:off x="0" y="0"/>
                            <a:ext cx="4320000" cy="2695457"/>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color w:val="auto"/>
                <w:kern w:val="0"/>
                <w:sz w:val="21"/>
                <w:szCs w:val="21"/>
              </w:rPr>
            </w:pPr>
            <w:r>
              <w:rPr>
                <w:rFonts w:hint="eastAsia"/>
                <w:b w:val="0"/>
                <w:bCs w:val="0"/>
                <w:color w:val="auto"/>
                <w:sz w:val="21"/>
                <w:szCs w:val="21"/>
                <w:highlight w:val="none"/>
                <w:lang w:val="en-US" w:eastAsia="zh-CN"/>
              </w:rPr>
              <w:t>汞</w:t>
            </w:r>
            <w:r>
              <w:rPr>
                <w:rFonts w:hint="eastAsia"/>
                <w:b w:val="0"/>
                <w:bCs w:val="0"/>
                <w:color w:val="auto"/>
                <w:kern w:val="0"/>
                <w:sz w:val="21"/>
                <w:szCs w:val="21"/>
              </w:rPr>
              <w:t>日均</w:t>
            </w:r>
            <w:r>
              <w:rPr>
                <w:b w:val="0"/>
                <w:bCs w:val="0"/>
                <w:color w:val="auto"/>
                <w:kern w:val="0"/>
                <w:sz w:val="21"/>
                <w:szCs w:val="21"/>
              </w:rPr>
              <w:t>浓度贡献值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auto"/>
                <w:kern w:val="0"/>
                <w:sz w:val="21"/>
                <w:szCs w:val="21"/>
              </w:rPr>
            </w:pPr>
            <w:r>
              <w:rPr>
                <w:color w:val="auto"/>
                <w:kern w:val="0"/>
                <w:szCs w:val="20"/>
              </w:rPr>
              <w:drawing>
                <wp:inline distT="0" distB="0" distL="0" distR="0">
                  <wp:extent cx="4319905" cy="2692400"/>
                  <wp:effectExtent l="0" t="0" r="4445" b="1270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36"/>
                          <a:stretch>
                            <a:fillRect/>
                          </a:stretch>
                        </pic:blipFill>
                        <pic:spPr>
                          <a:xfrm>
                            <a:off x="0" y="0"/>
                            <a:ext cx="4320000" cy="2692423"/>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rFonts w:hint="eastAsia"/>
                <w:color w:val="auto"/>
                <w:kern w:val="0"/>
                <w:sz w:val="21"/>
                <w:szCs w:val="21"/>
              </w:rPr>
            </w:pPr>
            <w:r>
              <w:rPr>
                <w:rFonts w:hint="eastAsia"/>
                <w:b w:val="0"/>
                <w:bCs w:val="0"/>
                <w:color w:val="auto"/>
                <w:sz w:val="21"/>
                <w:szCs w:val="21"/>
                <w:highlight w:val="none"/>
                <w:lang w:val="en-US" w:eastAsia="zh-CN"/>
              </w:rPr>
              <w:t>汞</w:t>
            </w:r>
            <w:r>
              <w:rPr>
                <w:rFonts w:hint="eastAsia"/>
                <w:b w:val="0"/>
                <w:bCs w:val="0"/>
                <w:color w:val="auto"/>
                <w:kern w:val="0"/>
                <w:sz w:val="21"/>
                <w:szCs w:val="21"/>
              </w:rPr>
              <w:t>年均</w:t>
            </w:r>
            <w:r>
              <w:rPr>
                <w:b w:val="0"/>
                <w:bCs w:val="0"/>
                <w:color w:val="auto"/>
                <w:kern w:val="0"/>
                <w:sz w:val="21"/>
                <w:szCs w:val="21"/>
              </w:rPr>
              <w:t>浓度贡献值</w:t>
            </w:r>
          </w:p>
        </w:tc>
      </w:tr>
    </w:tbl>
    <w:p>
      <w:pPr>
        <w:bidi w:val="0"/>
        <w:jc w:val="center"/>
        <w:rPr>
          <w:rFonts w:hint="eastAsia"/>
          <w:color w:val="auto"/>
          <w:highlight w:val="none"/>
          <w:lang w:eastAsia="zh-CN"/>
        </w:rPr>
      </w:pPr>
      <w:r>
        <w:rPr>
          <w:rFonts w:hint="eastAsia"/>
          <w:b/>
          <w:bCs/>
          <w:color w:val="auto"/>
          <w:sz w:val="21"/>
          <w:szCs w:val="21"/>
          <w:highlight w:val="none"/>
          <w:lang w:val="en-US" w:eastAsia="zh-CN"/>
        </w:rPr>
        <w:t>图6.2.1-7</w:t>
      </w:r>
      <w:r>
        <w:rPr>
          <w:rFonts w:hint="eastAsia"/>
          <w:b/>
          <w:bCs/>
          <w:color w:val="auto"/>
          <w:sz w:val="21"/>
          <w:szCs w:val="21"/>
          <w:highlight w:val="none"/>
        </w:rPr>
        <w:t>（</w:t>
      </w:r>
      <w:r>
        <w:rPr>
          <w:rFonts w:hint="eastAsia"/>
          <w:b/>
          <w:bCs/>
          <w:color w:val="auto"/>
          <w:sz w:val="21"/>
          <w:szCs w:val="21"/>
          <w:highlight w:val="none"/>
          <w:lang w:val="en-US" w:eastAsia="zh-CN"/>
        </w:rPr>
        <w:t>4</w:t>
      </w:r>
      <w:r>
        <w:rPr>
          <w:rFonts w:hint="eastAsia"/>
          <w:b/>
          <w:bCs/>
          <w:color w:val="auto"/>
          <w:sz w:val="21"/>
          <w:szCs w:val="21"/>
          <w:highlight w:val="none"/>
        </w:rPr>
        <w:t xml:space="preserve">） </w:t>
      </w:r>
      <w:r>
        <w:rPr>
          <w:b/>
          <w:bCs/>
          <w:color w:val="auto"/>
          <w:sz w:val="21"/>
          <w:szCs w:val="21"/>
          <w:highlight w:val="none"/>
        </w:rPr>
        <w:t xml:space="preserve"> </w:t>
      </w:r>
      <w:r>
        <w:rPr>
          <w:rFonts w:hint="eastAsia"/>
          <w:b/>
          <w:bCs/>
          <w:color w:val="auto"/>
          <w:sz w:val="21"/>
          <w:szCs w:val="21"/>
          <w:highlight w:val="none"/>
          <w:lang w:val="en-US" w:eastAsia="zh-CN"/>
        </w:rPr>
        <w:t xml:space="preserve"> </w:t>
      </w:r>
      <w:r>
        <w:rPr>
          <w:rFonts w:hint="eastAsia"/>
          <w:b/>
          <w:bCs/>
          <w:color w:val="auto"/>
          <w:sz w:val="21"/>
          <w:szCs w:val="21"/>
          <w:highlight w:val="none"/>
        </w:rPr>
        <w:t>正常工况下</w:t>
      </w:r>
      <w:r>
        <w:rPr>
          <w:rFonts w:hint="eastAsia"/>
          <w:b/>
          <w:bCs/>
          <w:color w:val="auto"/>
          <w:sz w:val="21"/>
          <w:szCs w:val="21"/>
          <w:highlight w:val="none"/>
          <w:lang w:val="en-US" w:eastAsia="zh-CN"/>
        </w:rPr>
        <w:t>汞</w:t>
      </w:r>
      <w:r>
        <w:rPr>
          <w:b/>
          <w:bCs/>
          <w:color w:val="auto"/>
          <w:sz w:val="21"/>
          <w:szCs w:val="21"/>
          <w:highlight w:val="none"/>
        </w:rPr>
        <w:t>浓度</w:t>
      </w:r>
      <w:r>
        <w:rPr>
          <w:rFonts w:hint="eastAsia"/>
          <w:b/>
          <w:bCs/>
          <w:color w:val="auto"/>
          <w:sz w:val="21"/>
          <w:szCs w:val="21"/>
          <w:highlight w:val="none"/>
        </w:rPr>
        <w:t>分布图</w:t>
      </w:r>
    </w:p>
    <w:p>
      <w:pPr>
        <w:bidi w:val="0"/>
        <w:rPr>
          <w:color w:val="auto"/>
          <w:highlight w:val="none"/>
        </w:rPr>
      </w:pPr>
      <w:r>
        <w:rPr>
          <w:rFonts w:hint="eastAsia" w:ascii="宋体" w:hAnsi="宋体" w:eastAsia="宋体" w:cs="宋体"/>
          <w:color w:val="auto"/>
          <w:highlight w:val="none"/>
        </w:rPr>
        <w:t>⑤</w:t>
      </w:r>
      <w:r>
        <w:rPr>
          <w:rFonts w:hint="eastAsia" w:eastAsia="宋体"/>
          <w:color w:val="auto"/>
          <w:highlight w:val="none"/>
          <w:lang w:val="en-US" w:eastAsia="zh-CN"/>
        </w:rPr>
        <w:t>TSP</w:t>
      </w:r>
      <w:r>
        <w:rPr>
          <w:rFonts w:hint="eastAsia"/>
          <w:color w:val="auto"/>
          <w:highlight w:val="none"/>
        </w:rPr>
        <w:t>贡献值</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6.2.1-17</w:t>
      </w:r>
      <w:r>
        <w:rPr>
          <w:rFonts w:hint="eastAsia"/>
          <w:b/>
          <w:bCs/>
          <w:color w:val="auto"/>
          <w:sz w:val="21"/>
          <w:szCs w:val="21"/>
          <w:highlight w:val="none"/>
        </w:rPr>
        <w:t>（</w:t>
      </w:r>
      <w:r>
        <w:rPr>
          <w:rFonts w:hint="eastAsia"/>
          <w:b/>
          <w:bCs/>
          <w:color w:val="auto"/>
          <w:sz w:val="21"/>
          <w:szCs w:val="21"/>
          <w:highlight w:val="none"/>
          <w:lang w:val="en-US" w:eastAsia="zh-CN"/>
        </w:rPr>
        <w:t>5</w:t>
      </w:r>
      <w:r>
        <w:rPr>
          <w:rFonts w:hint="eastAsia"/>
          <w:b/>
          <w:bCs/>
          <w:color w:val="auto"/>
          <w:sz w:val="21"/>
          <w:szCs w:val="21"/>
          <w:highlight w:val="none"/>
        </w:rPr>
        <w:t xml:space="preserve">） </w:t>
      </w:r>
      <w:r>
        <w:rPr>
          <w:b/>
          <w:bCs/>
          <w:color w:val="auto"/>
          <w:sz w:val="21"/>
          <w:szCs w:val="21"/>
          <w:highlight w:val="none"/>
        </w:rPr>
        <w:t xml:space="preserve"> </w:t>
      </w:r>
      <w:r>
        <w:rPr>
          <w:rFonts w:hint="eastAsia"/>
          <w:b/>
          <w:bCs/>
          <w:color w:val="auto"/>
          <w:sz w:val="21"/>
          <w:szCs w:val="21"/>
          <w:highlight w:val="none"/>
          <w:lang w:val="en-US" w:eastAsia="zh-CN"/>
        </w:rPr>
        <w:t xml:space="preserve"> </w:t>
      </w:r>
      <w:r>
        <w:rPr>
          <w:rFonts w:hint="eastAsia"/>
          <w:b/>
          <w:bCs/>
          <w:color w:val="auto"/>
          <w:sz w:val="21"/>
          <w:szCs w:val="21"/>
          <w:highlight w:val="none"/>
        </w:rPr>
        <w:t>正</w:t>
      </w:r>
      <w:r>
        <w:rPr>
          <w:rFonts w:hint="eastAsia" w:ascii="Times New Roman" w:hAnsi="Times New Roman" w:eastAsia="宋体" w:cs="Times New Roman"/>
          <w:b/>
          <w:bCs/>
          <w:color w:val="auto"/>
          <w:sz w:val="21"/>
          <w:szCs w:val="21"/>
          <w:highlight w:val="none"/>
        </w:rPr>
        <w:t>常工况下</w:t>
      </w:r>
      <w:r>
        <w:rPr>
          <w:rFonts w:hint="eastAsia" w:ascii="Times New Roman" w:hAnsi="Times New Roman" w:eastAsia="宋体" w:cs="Times New Roman"/>
          <w:b/>
          <w:bCs/>
          <w:color w:val="auto"/>
          <w:sz w:val="21"/>
          <w:szCs w:val="21"/>
          <w:highlight w:val="none"/>
          <w:lang w:val="en-US" w:eastAsia="zh-CN"/>
        </w:rPr>
        <w:t>TSP</w:t>
      </w:r>
      <w:r>
        <w:rPr>
          <w:rFonts w:ascii="Times New Roman" w:hAnsi="Times New Roman" w:eastAsia="宋体" w:cs="Times New Roman"/>
          <w:b/>
          <w:bCs/>
          <w:color w:val="auto"/>
          <w:sz w:val="21"/>
          <w:szCs w:val="21"/>
          <w:highlight w:val="none"/>
        </w:rPr>
        <w:t>贡献浓</w:t>
      </w:r>
      <w:r>
        <w:rPr>
          <w:b/>
          <w:bCs/>
          <w:color w:val="auto"/>
          <w:sz w:val="21"/>
          <w:szCs w:val="21"/>
          <w:highlight w:val="none"/>
        </w:rPr>
        <w:t>度预测结果表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2"/>
        <w:gridCol w:w="737"/>
        <w:gridCol w:w="942"/>
        <w:gridCol w:w="1039"/>
        <w:gridCol w:w="1189"/>
        <w:gridCol w:w="1359"/>
        <w:gridCol w:w="1528"/>
        <w:gridCol w:w="1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点名称</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浓度类型</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浓度增量</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出现时间</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YYMMDDHH</w:t>
            </w:r>
            <w:r>
              <w:rPr>
                <w:rFonts w:hint="default" w:ascii="Times New Roman" w:hAnsi="Times New Roman" w:cs="Times New Roman"/>
                <w:b/>
                <w:bCs/>
                <w:color w:val="auto"/>
                <w:sz w:val="21"/>
                <w:szCs w:val="21"/>
                <w:highlight w:val="none"/>
                <w:lang w:eastAsia="zh-CN"/>
              </w:rPr>
              <w:t>）</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评价标准</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占标率%</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叠加背景以后</w:t>
            </w:r>
            <w:r>
              <w:rPr>
                <w:rFonts w:hint="default" w:ascii="Times New Roman" w:hAnsi="Times New Roman" w:cs="Times New Roman"/>
                <w:b/>
                <w:bCs/>
                <w:color w:val="auto"/>
                <w:sz w:val="21"/>
                <w:szCs w:val="21"/>
                <w:highlight w:val="none"/>
                <w:lang w:eastAsia="zh-CN"/>
              </w:rPr>
              <w:t>）</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1.99×</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24111209</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22.16</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2.48×</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241126</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8.27</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3.75</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24102020</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12.21</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1.12×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240229</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3.74</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1.89×</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0.95</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1.05×</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24120202</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11.68</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1.64×</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241201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5.45</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2.16×</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1.08</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网格点</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4.10×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24011701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45.57</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4.68×</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241017</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15.61</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1.14×</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5.69</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bl>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0"/>
                <w:highlight w:val="none"/>
              </w:rPr>
            </w:pPr>
            <w:r>
              <w:rPr>
                <w:color w:val="auto"/>
                <w:kern w:val="0"/>
                <w:szCs w:val="20"/>
              </w:rPr>
              <w:drawing>
                <wp:inline distT="0" distB="0" distL="0" distR="0">
                  <wp:extent cx="4319905" cy="2712085"/>
                  <wp:effectExtent l="0" t="0" r="4445" b="1206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37"/>
                          <a:stretch>
                            <a:fillRect/>
                          </a:stretch>
                        </pic:blipFill>
                        <pic:spPr>
                          <a:xfrm>
                            <a:off x="0" y="0"/>
                            <a:ext cx="4320000" cy="2712368"/>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color w:val="auto"/>
                <w:kern w:val="0"/>
                <w:sz w:val="21"/>
                <w:szCs w:val="21"/>
              </w:rPr>
            </w:pPr>
            <w:r>
              <w:rPr>
                <w:rFonts w:hint="eastAsia" w:eastAsia="宋体"/>
                <w:color w:val="auto"/>
                <w:sz w:val="21"/>
                <w:szCs w:val="21"/>
                <w:highlight w:val="none"/>
                <w:lang w:val="en-US" w:eastAsia="zh-CN"/>
              </w:rPr>
              <w:t>TSP</w:t>
            </w:r>
            <w:r>
              <w:rPr>
                <w:color w:val="auto"/>
                <w:kern w:val="0"/>
                <w:sz w:val="21"/>
                <w:szCs w:val="21"/>
              </w:rPr>
              <w:t>小时浓度贡献值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kern w:val="0"/>
                <w:sz w:val="21"/>
                <w:szCs w:val="21"/>
              </w:rPr>
            </w:pPr>
            <w:r>
              <w:rPr>
                <w:color w:val="auto"/>
                <w:kern w:val="0"/>
                <w:szCs w:val="20"/>
              </w:rPr>
              <w:drawing>
                <wp:inline distT="0" distB="0" distL="0" distR="0">
                  <wp:extent cx="4319905" cy="2635885"/>
                  <wp:effectExtent l="0" t="0" r="4445" b="1206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38"/>
                          <a:stretch>
                            <a:fillRect/>
                          </a:stretch>
                        </pic:blipFill>
                        <pic:spPr>
                          <a:xfrm>
                            <a:off x="0" y="0"/>
                            <a:ext cx="4320000" cy="2636244"/>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color w:val="auto"/>
                <w:kern w:val="0"/>
                <w:sz w:val="21"/>
                <w:szCs w:val="21"/>
              </w:rPr>
            </w:pPr>
            <w:r>
              <w:rPr>
                <w:rFonts w:hint="eastAsia" w:eastAsia="宋体"/>
                <w:b w:val="0"/>
                <w:bCs w:val="0"/>
                <w:color w:val="auto"/>
                <w:sz w:val="21"/>
                <w:szCs w:val="21"/>
                <w:highlight w:val="none"/>
                <w:lang w:val="en-US" w:eastAsia="zh-CN"/>
              </w:rPr>
              <w:t>TSP</w:t>
            </w:r>
            <w:r>
              <w:rPr>
                <w:rFonts w:hint="eastAsia"/>
                <w:b w:val="0"/>
                <w:bCs w:val="0"/>
                <w:color w:val="auto"/>
                <w:kern w:val="0"/>
                <w:sz w:val="21"/>
                <w:szCs w:val="21"/>
              </w:rPr>
              <w:t>日均</w:t>
            </w:r>
            <w:r>
              <w:rPr>
                <w:b w:val="0"/>
                <w:bCs w:val="0"/>
                <w:color w:val="auto"/>
                <w:kern w:val="0"/>
                <w:sz w:val="21"/>
                <w:szCs w:val="21"/>
              </w:rPr>
              <w:t>浓度贡献值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auto"/>
                <w:kern w:val="0"/>
                <w:sz w:val="21"/>
                <w:szCs w:val="21"/>
              </w:rPr>
            </w:pPr>
            <w:r>
              <w:rPr>
                <w:color w:val="auto"/>
                <w:kern w:val="0"/>
                <w:szCs w:val="20"/>
              </w:rPr>
              <w:drawing>
                <wp:inline distT="0" distB="0" distL="0" distR="0">
                  <wp:extent cx="4319905" cy="2633345"/>
                  <wp:effectExtent l="0" t="0" r="4445" b="1460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39"/>
                          <a:stretch>
                            <a:fillRect/>
                          </a:stretch>
                        </pic:blipFill>
                        <pic:spPr>
                          <a:xfrm>
                            <a:off x="0" y="0"/>
                            <a:ext cx="4320000" cy="2633729"/>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rFonts w:hint="eastAsia"/>
                <w:color w:val="auto"/>
                <w:kern w:val="0"/>
                <w:sz w:val="21"/>
                <w:szCs w:val="21"/>
              </w:rPr>
            </w:pPr>
            <w:r>
              <w:rPr>
                <w:rFonts w:hint="eastAsia" w:eastAsia="宋体"/>
                <w:b w:val="0"/>
                <w:bCs w:val="0"/>
                <w:color w:val="auto"/>
                <w:sz w:val="21"/>
                <w:szCs w:val="21"/>
                <w:highlight w:val="none"/>
                <w:lang w:val="en-US" w:eastAsia="zh-CN"/>
              </w:rPr>
              <w:t>TSP</w:t>
            </w:r>
            <w:r>
              <w:rPr>
                <w:rFonts w:hint="eastAsia"/>
                <w:b w:val="0"/>
                <w:bCs w:val="0"/>
                <w:color w:val="auto"/>
                <w:kern w:val="0"/>
                <w:sz w:val="21"/>
                <w:szCs w:val="21"/>
              </w:rPr>
              <w:t>年均</w:t>
            </w:r>
            <w:r>
              <w:rPr>
                <w:b w:val="0"/>
                <w:bCs w:val="0"/>
                <w:color w:val="auto"/>
                <w:kern w:val="0"/>
                <w:sz w:val="21"/>
                <w:szCs w:val="21"/>
              </w:rPr>
              <w:t>浓度贡献值</w:t>
            </w:r>
          </w:p>
        </w:tc>
      </w:tr>
    </w:tbl>
    <w:p>
      <w:pPr>
        <w:bidi w:val="0"/>
        <w:jc w:val="center"/>
        <w:rPr>
          <w:rFonts w:hint="eastAsia"/>
          <w:b/>
          <w:bCs/>
          <w:color w:val="auto"/>
          <w:sz w:val="21"/>
          <w:szCs w:val="21"/>
          <w:highlight w:val="none"/>
        </w:rPr>
      </w:pPr>
      <w:r>
        <w:rPr>
          <w:rFonts w:hint="eastAsia"/>
          <w:b/>
          <w:bCs/>
          <w:color w:val="auto"/>
          <w:sz w:val="21"/>
          <w:szCs w:val="21"/>
          <w:highlight w:val="none"/>
          <w:lang w:val="en-US" w:eastAsia="zh-CN"/>
        </w:rPr>
        <w:t>图6.2.1-8</w:t>
      </w:r>
      <w:r>
        <w:rPr>
          <w:rFonts w:hint="eastAsia"/>
          <w:b/>
          <w:bCs/>
          <w:color w:val="auto"/>
          <w:sz w:val="21"/>
          <w:szCs w:val="21"/>
          <w:highlight w:val="none"/>
        </w:rPr>
        <w:t>（</w:t>
      </w:r>
      <w:r>
        <w:rPr>
          <w:rFonts w:hint="eastAsia"/>
          <w:b/>
          <w:bCs/>
          <w:color w:val="auto"/>
          <w:sz w:val="21"/>
          <w:szCs w:val="21"/>
          <w:highlight w:val="none"/>
          <w:lang w:val="en-US" w:eastAsia="zh-CN"/>
        </w:rPr>
        <w:t>5</w:t>
      </w:r>
      <w:r>
        <w:rPr>
          <w:rFonts w:hint="eastAsia"/>
          <w:b/>
          <w:bCs/>
          <w:color w:val="auto"/>
          <w:sz w:val="21"/>
          <w:szCs w:val="21"/>
          <w:highlight w:val="none"/>
        </w:rPr>
        <w:t>）</w:t>
      </w:r>
      <w:r>
        <w:rPr>
          <w:rFonts w:hint="eastAsia"/>
          <w:b/>
          <w:bCs/>
          <w:color w:val="auto"/>
          <w:sz w:val="21"/>
          <w:szCs w:val="21"/>
          <w:highlight w:val="none"/>
          <w:lang w:val="en-US" w:eastAsia="zh-CN"/>
        </w:rPr>
        <w:t xml:space="preserve"> </w:t>
      </w:r>
      <w:r>
        <w:rPr>
          <w:rFonts w:hint="eastAsia"/>
          <w:b/>
          <w:bCs/>
          <w:color w:val="auto"/>
          <w:sz w:val="21"/>
          <w:szCs w:val="21"/>
          <w:highlight w:val="none"/>
        </w:rPr>
        <w:t xml:space="preserve"> </w:t>
      </w:r>
      <w:r>
        <w:rPr>
          <w:b/>
          <w:bCs/>
          <w:color w:val="auto"/>
          <w:sz w:val="21"/>
          <w:szCs w:val="21"/>
          <w:highlight w:val="none"/>
        </w:rPr>
        <w:t xml:space="preserve"> </w:t>
      </w:r>
      <w:r>
        <w:rPr>
          <w:rFonts w:hint="eastAsia"/>
          <w:b/>
          <w:bCs/>
          <w:color w:val="auto"/>
          <w:sz w:val="21"/>
          <w:szCs w:val="21"/>
          <w:highlight w:val="none"/>
        </w:rPr>
        <w:t>正常工况下</w:t>
      </w:r>
      <w:r>
        <w:rPr>
          <w:rFonts w:hint="eastAsia" w:eastAsia="宋体"/>
          <w:color w:val="auto"/>
          <w:highlight w:val="none"/>
          <w:lang w:val="en-US" w:eastAsia="zh-CN"/>
        </w:rPr>
        <w:t>TSP</w:t>
      </w:r>
      <w:r>
        <w:rPr>
          <w:b/>
          <w:bCs/>
          <w:color w:val="auto"/>
          <w:sz w:val="21"/>
          <w:szCs w:val="21"/>
          <w:highlight w:val="none"/>
        </w:rPr>
        <w:t>浓度</w:t>
      </w:r>
      <w:r>
        <w:rPr>
          <w:rFonts w:hint="eastAsia"/>
          <w:b/>
          <w:bCs/>
          <w:color w:val="auto"/>
          <w:sz w:val="21"/>
          <w:szCs w:val="21"/>
          <w:highlight w:val="none"/>
        </w:rPr>
        <w:t>分布图</w:t>
      </w:r>
    </w:p>
    <w:p>
      <w:pPr>
        <w:keepNext w:val="0"/>
        <w:keepLines w:val="0"/>
        <w:pageBreakBefore w:val="0"/>
        <w:widowControl w:val="0"/>
        <w:kinsoku/>
        <w:wordWrap/>
        <w:overflowPunct/>
        <w:topLinePunct w:val="0"/>
        <w:autoSpaceDE/>
        <w:autoSpaceDN/>
        <w:bidi w:val="0"/>
        <w:adjustRightInd w:val="0"/>
        <w:snapToGrid w:val="0"/>
        <w:ind w:firstLine="480"/>
        <w:textAlignment w:val="auto"/>
        <w:rPr>
          <w:color w:val="auto"/>
        </w:rPr>
      </w:pPr>
      <w:r>
        <w:rPr>
          <w:rFonts w:hint="eastAsia"/>
          <w:color w:val="auto"/>
        </w:rPr>
        <w:t>根据预测结果新增污染源正常排放下污染物短时浓度贡献值的最大浓度占标率≤100%；新增污染源正常排放下污染物年均浓度贡献值的最大浓度占标率≤30%。</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eastAsia"/>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rPr>
        <w:t>正常工况新增污染源短期浓度及长期浓度叠加值预测结果</w:t>
      </w:r>
    </w:p>
    <w:p>
      <w:pPr>
        <w:keepNext w:val="0"/>
        <w:keepLines w:val="0"/>
        <w:pageBreakBefore w:val="0"/>
        <w:widowControl w:val="0"/>
        <w:kinsoku/>
        <w:wordWrap/>
        <w:overflowPunct/>
        <w:topLinePunct w:val="0"/>
        <w:autoSpaceDE/>
        <w:autoSpaceDN/>
        <w:bidi w:val="0"/>
        <w:adjustRightInd w:val="0"/>
        <w:snapToGrid w:val="0"/>
        <w:ind w:firstLine="480"/>
        <w:textAlignment w:val="auto"/>
        <w:rPr>
          <w:color w:val="auto"/>
        </w:rPr>
      </w:pPr>
      <w:r>
        <w:rPr>
          <w:rFonts w:hint="eastAsia"/>
          <w:color w:val="auto"/>
        </w:rPr>
        <w:t>项目排放的各污染物对环境敏感点和网格点浓度贡献值如下。</w:t>
      </w:r>
    </w:p>
    <w:p>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highlight w:val="none"/>
        </w:rPr>
      </w:pPr>
      <w:r>
        <w:rPr>
          <w:rFonts w:hint="eastAsia" w:ascii="宋体" w:hAnsi="宋体" w:eastAsia="宋体" w:cs="宋体"/>
          <w:color w:val="auto"/>
          <w:highlight w:val="none"/>
        </w:rPr>
        <w:t>①</w:t>
      </w:r>
      <w:r>
        <w:rPr>
          <w:rFonts w:hint="eastAsia"/>
          <w:color w:val="auto"/>
          <w:highlight w:val="none"/>
        </w:rPr>
        <w:t>PM</w:t>
      </w:r>
      <w:r>
        <w:rPr>
          <w:color w:val="auto"/>
          <w:highlight w:val="none"/>
          <w:vertAlign w:val="subscript"/>
        </w:rPr>
        <w:t>10</w:t>
      </w:r>
      <w:r>
        <w:rPr>
          <w:rFonts w:hint="eastAsia"/>
          <w:color w:val="auto"/>
          <w:highlight w:val="none"/>
        </w:rPr>
        <w:t>贡献值</w:t>
      </w:r>
    </w:p>
    <w:p>
      <w:pPr>
        <w:bidi w:val="0"/>
        <w:rPr>
          <w:rFonts w:hint="eastAsia"/>
          <w:color w:val="auto"/>
          <w:highlight w:val="none"/>
        </w:rPr>
      </w:pPr>
    </w:p>
    <w:p>
      <w:pPr>
        <w:bidi w:val="0"/>
        <w:rPr>
          <w:rFonts w:hint="eastAsia"/>
          <w:color w:val="auto"/>
          <w:highlight w:val="none"/>
        </w:rPr>
      </w:pPr>
    </w:p>
    <w:p>
      <w:pPr>
        <w:bidi w:val="0"/>
        <w:rPr>
          <w:rFonts w:hint="eastAsia"/>
          <w:color w:val="auto"/>
          <w:highlight w:val="none"/>
        </w:rPr>
      </w:pPr>
    </w:p>
    <w:p>
      <w:pPr>
        <w:bidi w:val="0"/>
        <w:rPr>
          <w:rFonts w:hint="eastAsia"/>
          <w:color w:val="auto"/>
          <w:highlight w:val="none"/>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6.2.1-18</w:t>
      </w:r>
      <w:r>
        <w:rPr>
          <w:rFonts w:hint="eastAsia"/>
          <w:b/>
          <w:bCs/>
          <w:color w:val="auto"/>
          <w:sz w:val="21"/>
          <w:szCs w:val="21"/>
          <w:highlight w:val="none"/>
        </w:rPr>
        <w:t xml:space="preserve">（1） </w:t>
      </w:r>
      <w:r>
        <w:rPr>
          <w:b/>
          <w:bCs/>
          <w:color w:val="auto"/>
          <w:sz w:val="21"/>
          <w:szCs w:val="21"/>
          <w:highlight w:val="none"/>
        </w:rPr>
        <w:t xml:space="preserve"> </w:t>
      </w:r>
      <w:r>
        <w:rPr>
          <w:rFonts w:hint="eastAsia"/>
          <w:b/>
          <w:bCs/>
          <w:color w:val="auto"/>
          <w:sz w:val="21"/>
          <w:szCs w:val="21"/>
          <w:highlight w:val="none"/>
        </w:rPr>
        <w:t>正常工况下P</w:t>
      </w:r>
      <w:r>
        <w:rPr>
          <w:b/>
          <w:bCs/>
          <w:color w:val="auto"/>
          <w:sz w:val="21"/>
          <w:szCs w:val="21"/>
          <w:highlight w:val="none"/>
        </w:rPr>
        <w:t>M</w:t>
      </w:r>
      <w:r>
        <w:rPr>
          <w:b/>
          <w:bCs/>
          <w:color w:val="auto"/>
          <w:sz w:val="21"/>
          <w:szCs w:val="21"/>
          <w:highlight w:val="none"/>
          <w:vertAlign w:val="subscript"/>
        </w:rPr>
        <w:t>10</w:t>
      </w:r>
      <w:r>
        <w:rPr>
          <w:b/>
          <w:bCs/>
          <w:color w:val="auto"/>
          <w:sz w:val="21"/>
          <w:szCs w:val="21"/>
          <w:highlight w:val="none"/>
        </w:rPr>
        <w:t>贡献浓度预测结果表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31"/>
        <w:gridCol w:w="647"/>
        <w:gridCol w:w="827"/>
        <w:gridCol w:w="913"/>
        <w:gridCol w:w="1044"/>
        <w:gridCol w:w="1193"/>
        <w:gridCol w:w="1343"/>
        <w:gridCol w:w="915"/>
        <w:gridCol w:w="1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64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点名称</w:t>
            </w: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浓度类型</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浓度增量</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出现时间</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YYMMDDHH</w:t>
            </w:r>
            <w:r>
              <w:rPr>
                <w:rFonts w:hint="default" w:ascii="Times New Roman" w:hAnsi="Times New Roman" w:cs="Times New Roman"/>
                <w:b/>
                <w:bCs/>
                <w:color w:val="auto"/>
                <w:sz w:val="21"/>
                <w:szCs w:val="21"/>
                <w:highlight w:val="none"/>
                <w:lang w:eastAsia="zh-CN"/>
              </w:rPr>
              <w:t>）</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背景浓度</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叠加背景后的浓度</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评价标准</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占标率%</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叠加背景以后</w:t>
            </w:r>
            <w:r>
              <w:rPr>
                <w:rFonts w:hint="default" w:ascii="Times New Roman" w:hAnsi="Times New Roman" w:cs="Times New Roman"/>
                <w:b/>
                <w:bCs/>
                <w:color w:val="auto"/>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647"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1.22×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24070909</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1.22×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47"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1.45×</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240701</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47"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2.92×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-5</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647"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1.49×</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24032711</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1.49×</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47"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2.53×</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240327</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3.03×</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47"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7.99×</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-5</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42.97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647"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1.22×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24110911</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1.22×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47"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1.98×</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240417</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47"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3.72×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-5</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42.91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647"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网格点</w:t>
            </w: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1.24×</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24072423</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1.24×</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47"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6.20×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241206</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3.06×</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47"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1.01×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43</w:t>
            </w:r>
          </w:p>
        </w:tc>
      </w:tr>
    </w:tbl>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0"/>
                <w:highlight w:val="none"/>
              </w:rPr>
            </w:pPr>
            <w:r>
              <w:rPr>
                <w:color w:val="auto"/>
                <w:kern w:val="0"/>
                <w:szCs w:val="20"/>
              </w:rPr>
              <w:drawing>
                <wp:inline distT="0" distB="0" distL="0" distR="0">
                  <wp:extent cx="4319905" cy="2572385"/>
                  <wp:effectExtent l="0" t="0" r="4445" b="1841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40"/>
                          <a:stretch>
                            <a:fillRect/>
                          </a:stretch>
                        </pic:blipFill>
                        <pic:spPr>
                          <a:xfrm>
                            <a:off x="0" y="0"/>
                            <a:ext cx="4320000" cy="2572918"/>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color w:val="auto"/>
                <w:sz w:val="20"/>
                <w:highlight w:val="none"/>
              </w:rPr>
            </w:pPr>
            <w:r>
              <w:rPr>
                <w:rFonts w:hint="eastAsia"/>
                <w:color w:val="auto"/>
                <w:sz w:val="21"/>
                <w:szCs w:val="22"/>
                <w:highlight w:val="none"/>
              </w:rPr>
              <w:t>P</w:t>
            </w:r>
            <w:r>
              <w:rPr>
                <w:color w:val="auto"/>
                <w:sz w:val="21"/>
                <w:szCs w:val="22"/>
                <w:highlight w:val="none"/>
              </w:rPr>
              <w:t>M</w:t>
            </w:r>
            <w:r>
              <w:rPr>
                <w:color w:val="auto"/>
                <w:sz w:val="21"/>
                <w:szCs w:val="22"/>
                <w:highlight w:val="none"/>
                <w:vertAlign w:val="subscript"/>
              </w:rPr>
              <w:t>10</w:t>
            </w:r>
            <w:r>
              <w:rPr>
                <w:color w:val="auto"/>
                <w:sz w:val="21"/>
                <w:szCs w:val="22"/>
                <w:highlight w:val="none"/>
              </w:rPr>
              <w:t>24</w:t>
            </w:r>
            <w:r>
              <w:rPr>
                <w:rFonts w:hint="eastAsia"/>
                <w:color w:val="auto"/>
                <w:sz w:val="21"/>
                <w:szCs w:val="22"/>
                <w:highlight w:val="none"/>
              </w:rPr>
              <w:t>小时</w:t>
            </w:r>
            <w:r>
              <w:rPr>
                <w:color w:val="auto"/>
                <w:sz w:val="21"/>
                <w:szCs w:val="22"/>
                <w:highlight w:val="none"/>
              </w:rPr>
              <w:t>浓度</w:t>
            </w:r>
            <w:r>
              <w:rPr>
                <w:rFonts w:hint="eastAsia"/>
                <w:color w:val="auto"/>
                <w:sz w:val="21"/>
                <w:szCs w:val="22"/>
                <w:highlight w:val="none"/>
              </w:rPr>
              <w:t>分布图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0"/>
                <w:highlight w:val="none"/>
              </w:rPr>
            </w:pPr>
            <w:r>
              <w:rPr>
                <w:color w:val="auto"/>
                <w:kern w:val="0"/>
                <w:szCs w:val="20"/>
              </w:rPr>
              <w:drawing>
                <wp:inline distT="0" distB="0" distL="0" distR="0">
                  <wp:extent cx="4319905" cy="2565400"/>
                  <wp:effectExtent l="0" t="0" r="4445" b="635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41"/>
                          <a:stretch>
                            <a:fillRect/>
                          </a:stretch>
                        </pic:blipFill>
                        <pic:spPr>
                          <a:xfrm>
                            <a:off x="0" y="0"/>
                            <a:ext cx="4320000" cy="25654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color w:val="auto"/>
                <w:sz w:val="20"/>
                <w:highlight w:val="none"/>
              </w:rPr>
            </w:pPr>
            <w:r>
              <w:rPr>
                <w:rFonts w:hint="eastAsia"/>
                <w:color w:val="auto"/>
                <w:sz w:val="21"/>
                <w:szCs w:val="22"/>
                <w:highlight w:val="none"/>
              </w:rPr>
              <w:t>P</w:t>
            </w:r>
            <w:r>
              <w:rPr>
                <w:color w:val="auto"/>
                <w:sz w:val="21"/>
                <w:szCs w:val="22"/>
                <w:highlight w:val="none"/>
              </w:rPr>
              <w:t>M</w:t>
            </w:r>
            <w:r>
              <w:rPr>
                <w:color w:val="auto"/>
                <w:sz w:val="21"/>
                <w:szCs w:val="22"/>
                <w:highlight w:val="none"/>
                <w:vertAlign w:val="subscript"/>
              </w:rPr>
              <w:t>10</w:t>
            </w:r>
            <w:r>
              <w:rPr>
                <w:rFonts w:hint="eastAsia"/>
                <w:color w:val="auto"/>
                <w:sz w:val="21"/>
                <w:szCs w:val="22"/>
                <w:highlight w:val="none"/>
              </w:rPr>
              <w:t>年平均</w:t>
            </w:r>
            <w:r>
              <w:rPr>
                <w:color w:val="auto"/>
                <w:sz w:val="21"/>
                <w:szCs w:val="22"/>
                <w:highlight w:val="none"/>
              </w:rPr>
              <w:t>浓度</w:t>
            </w:r>
            <w:r>
              <w:rPr>
                <w:rFonts w:hint="eastAsia"/>
                <w:color w:val="auto"/>
                <w:sz w:val="21"/>
                <w:szCs w:val="22"/>
                <w:highlight w:val="none"/>
              </w:rPr>
              <w:t>分布图</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lang w:val="en-US" w:eastAsia="zh-CN"/>
        </w:rPr>
        <w:t>图6.2.1-9</w:t>
      </w:r>
      <w:r>
        <w:rPr>
          <w:rFonts w:hint="eastAsia"/>
          <w:b/>
          <w:bCs/>
          <w:color w:val="auto"/>
          <w:sz w:val="21"/>
          <w:szCs w:val="21"/>
          <w:highlight w:val="none"/>
        </w:rPr>
        <w:t>（</w:t>
      </w:r>
      <w:r>
        <w:rPr>
          <w:b/>
          <w:bCs/>
          <w:color w:val="auto"/>
          <w:sz w:val="21"/>
          <w:szCs w:val="21"/>
          <w:highlight w:val="none"/>
        </w:rPr>
        <w:t>1</w:t>
      </w:r>
      <w:r>
        <w:rPr>
          <w:rFonts w:hint="eastAsia"/>
          <w:b/>
          <w:bCs/>
          <w:color w:val="auto"/>
          <w:sz w:val="21"/>
          <w:szCs w:val="21"/>
          <w:highlight w:val="none"/>
        </w:rPr>
        <w:t xml:space="preserve">） </w:t>
      </w:r>
      <w:r>
        <w:rPr>
          <w:b/>
          <w:bCs/>
          <w:color w:val="auto"/>
          <w:sz w:val="21"/>
          <w:szCs w:val="21"/>
          <w:highlight w:val="none"/>
        </w:rPr>
        <w:t xml:space="preserve"> </w:t>
      </w:r>
      <w:r>
        <w:rPr>
          <w:rFonts w:hint="eastAsia"/>
          <w:b/>
          <w:bCs/>
          <w:color w:val="auto"/>
          <w:sz w:val="21"/>
          <w:szCs w:val="21"/>
          <w:highlight w:val="none"/>
          <w:lang w:val="en-US" w:eastAsia="zh-CN"/>
        </w:rPr>
        <w:t xml:space="preserve"> </w:t>
      </w:r>
      <w:r>
        <w:rPr>
          <w:rFonts w:hint="eastAsia"/>
          <w:b/>
          <w:bCs/>
          <w:color w:val="auto"/>
          <w:sz w:val="21"/>
          <w:szCs w:val="21"/>
          <w:highlight w:val="none"/>
        </w:rPr>
        <w:t>正常工况下P</w:t>
      </w:r>
      <w:r>
        <w:rPr>
          <w:b/>
          <w:bCs/>
          <w:color w:val="auto"/>
          <w:sz w:val="21"/>
          <w:szCs w:val="21"/>
          <w:highlight w:val="none"/>
        </w:rPr>
        <w:t>M</w:t>
      </w:r>
      <w:r>
        <w:rPr>
          <w:b/>
          <w:bCs/>
          <w:color w:val="auto"/>
          <w:sz w:val="21"/>
          <w:szCs w:val="21"/>
          <w:highlight w:val="none"/>
          <w:vertAlign w:val="subscript"/>
        </w:rPr>
        <w:t>10</w:t>
      </w:r>
      <w:r>
        <w:rPr>
          <w:b/>
          <w:bCs/>
          <w:color w:val="auto"/>
          <w:sz w:val="21"/>
          <w:szCs w:val="21"/>
          <w:highlight w:val="none"/>
        </w:rPr>
        <w:t>浓度</w:t>
      </w:r>
      <w:r>
        <w:rPr>
          <w:rFonts w:hint="eastAsia"/>
          <w:b/>
          <w:bCs/>
          <w:color w:val="auto"/>
          <w:sz w:val="21"/>
          <w:szCs w:val="21"/>
          <w:highlight w:val="none"/>
        </w:rPr>
        <w:t>分布图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color w:val="auto"/>
          <w:highlight w:val="none"/>
        </w:rPr>
      </w:pPr>
      <w:r>
        <w:rPr>
          <w:rFonts w:hint="eastAsia" w:ascii="宋体" w:hAnsi="宋体" w:eastAsia="宋体" w:cs="宋体"/>
          <w:color w:val="auto"/>
          <w:highlight w:val="none"/>
        </w:rPr>
        <w:t>②</w:t>
      </w:r>
      <w:r>
        <w:rPr>
          <w:rFonts w:hint="eastAsia"/>
          <w:color w:val="auto"/>
          <w:highlight w:val="none"/>
        </w:rPr>
        <w:t>二氧化硫贡献值</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6.2.1-19</w:t>
      </w:r>
      <w:r>
        <w:rPr>
          <w:rFonts w:hint="eastAsia"/>
          <w:b/>
          <w:bCs/>
          <w:color w:val="auto"/>
          <w:sz w:val="21"/>
          <w:szCs w:val="21"/>
          <w:highlight w:val="none"/>
        </w:rPr>
        <w:t>（</w:t>
      </w:r>
      <w:r>
        <w:rPr>
          <w:rFonts w:hint="eastAsia"/>
          <w:b/>
          <w:bCs/>
          <w:color w:val="auto"/>
          <w:sz w:val="21"/>
          <w:szCs w:val="21"/>
          <w:highlight w:val="none"/>
          <w:lang w:val="en-US" w:eastAsia="zh-CN"/>
        </w:rPr>
        <w:t>2</w:t>
      </w:r>
      <w:r>
        <w:rPr>
          <w:rFonts w:hint="eastAsia"/>
          <w:b/>
          <w:bCs/>
          <w:color w:val="auto"/>
          <w:sz w:val="21"/>
          <w:szCs w:val="21"/>
          <w:highlight w:val="none"/>
        </w:rPr>
        <w:t xml:space="preserve">） </w:t>
      </w:r>
      <w:r>
        <w:rPr>
          <w:b/>
          <w:bCs/>
          <w:color w:val="auto"/>
          <w:sz w:val="21"/>
          <w:szCs w:val="21"/>
          <w:highlight w:val="none"/>
        </w:rPr>
        <w:t xml:space="preserve"> </w:t>
      </w:r>
      <w:r>
        <w:rPr>
          <w:rFonts w:hint="eastAsia"/>
          <w:b/>
          <w:bCs/>
          <w:color w:val="auto"/>
          <w:sz w:val="21"/>
          <w:szCs w:val="21"/>
          <w:highlight w:val="none"/>
        </w:rPr>
        <w:t>正常工况下二氧化硫</w:t>
      </w:r>
      <w:r>
        <w:rPr>
          <w:b/>
          <w:bCs/>
          <w:color w:val="auto"/>
          <w:sz w:val="21"/>
          <w:szCs w:val="21"/>
          <w:highlight w:val="none"/>
        </w:rPr>
        <w:t>贡献浓度预测结果表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31"/>
        <w:gridCol w:w="647"/>
        <w:gridCol w:w="827"/>
        <w:gridCol w:w="913"/>
        <w:gridCol w:w="1044"/>
        <w:gridCol w:w="1193"/>
        <w:gridCol w:w="1343"/>
        <w:gridCol w:w="915"/>
        <w:gridCol w:w="1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点名称</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浓度类型</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浓度增量</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出现时间</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YYMMDDHH</w:t>
            </w:r>
            <w:r>
              <w:rPr>
                <w:rFonts w:hint="default" w:ascii="Times New Roman" w:hAnsi="Times New Roman" w:cs="Times New Roman"/>
                <w:b/>
                <w:bCs/>
                <w:color w:val="auto"/>
                <w:sz w:val="21"/>
                <w:szCs w:val="21"/>
                <w:highlight w:val="none"/>
                <w:lang w:eastAsia="zh-CN"/>
              </w:rPr>
              <w:t>）</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背景浓度</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叠加背景后的浓度</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评价标准</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占标率%</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叠加背景以后</w:t>
            </w:r>
            <w:r>
              <w:rPr>
                <w:rFonts w:hint="default" w:ascii="Times New Roman" w:hAnsi="Times New Roman" w:cs="Times New Roman"/>
                <w:b/>
                <w:bCs/>
                <w:color w:val="auto"/>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5.20×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24070909</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5.20×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6.16×</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240701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5.62×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1.24×</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5.12×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6.33×</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24032711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6.33×</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1.08×</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240327</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6.08×</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3.40×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5.34×</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5.21×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24110911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5.21×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8.41×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240417</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5.84×</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1.58×</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5.16×</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网格点</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5.26×</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24072423</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5.26×</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2.64×</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241206</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7.64×</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4.30×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5.43×</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9.05</w:t>
            </w:r>
          </w:p>
        </w:tc>
      </w:tr>
    </w:tbl>
    <w:tbl>
      <w:tblPr>
        <w:tblStyle w:val="34"/>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0"/>
                <w:highlight w:val="none"/>
              </w:rPr>
            </w:pPr>
            <w:r>
              <w:rPr>
                <w:color w:val="auto"/>
                <w:kern w:val="0"/>
                <w:szCs w:val="20"/>
              </w:rPr>
              <w:drawing>
                <wp:inline distT="0" distB="0" distL="0" distR="0">
                  <wp:extent cx="4319905" cy="2613660"/>
                  <wp:effectExtent l="0" t="0" r="4445" b="1524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42"/>
                          <a:stretch>
                            <a:fillRect/>
                          </a:stretch>
                        </pic:blipFill>
                        <pic:spPr>
                          <a:xfrm>
                            <a:off x="0" y="0"/>
                            <a:ext cx="4320000" cy="2613776"/>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color w:val="auto"/>
                <w:sz w:val="20"/>
                <w:highlight w:val="none"/>
              </w:rPr>
            </w:pPr>
            <w:r>
              <w:rPr>
                <w:rFonts w:hint="eastAsia"/>
                <w:color w:val="auto"/>
                <w:sz w:val="21"/>
                <w:szCs w:val="22"/>
                <w:highlight w:val="none"/>
              </w:rPr>
              <w:t>二氧化硫</w:t>
            </w:r>
            <w:r>
              <w:rPr>
                <w:color w:val="auto"/>
                <w:sz w:val="21"/>
                <w:szCs w:val="22"/>
                <w:highlight w:val="none"/>
              </w:rPr>
              <w:t>24</w:t>
            </w:r>
            <w:r>
              <w:rPr>
                <w:rFonts w:hint="eastAsia"/>
                <w:color w:val="auto"/>
                <w:sz w:val="21"/>
                <w:szCs w:val="22"/>
                <w:highlight w:val="none"/>
              </w:rPr>
              <w:t>小时</w:t>
            </w:r>
            <w:r>
              <w:rPr>
                <w:color w:val="auto"/>
                <w:sz w:val="21"/>
                <w:szCs w:val="22"/>
                <w:highlight w:val="none"/>
              </w:rPr>
              <w:t>浓度</w:t>
            </w:r>
            <w:r>
              <w:rPr>
                <w:rFonts w:hint="eastAsia"/>
                <w:color w:val="auto"/>
                <w:sz w:val="21"/>
                <w:szCs w:val="22"/>
                <w:highlight w:val="none"/>
              </w:rPr>
              <w:t>分布图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0"/>
                <w:highlight w:val="none"/>
              </w:rPr>
            </w:pPr>
            <w:r>
              <w:rPr>
                <w:color w:val="auto"/>
                <w:kern w:val="0"/>
                <w:szCs w:val="20"/>
              </w:rPr>
              <w:drawing>
                <wp:inline distT="0" distB="0" distL="0" distR="0">
                  <wp:extent cx="4319905" cy="2551430"/>
                  <wp:effectExtent l="0" t="0" r="4445" b="127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43"/>
                          <a:stretch>
                            <a:fillRect/>
                          </a:stretch>
                        </pic:blipFill>
                        <pic:spPr>
                          <a:xfrm>
                            <a:off x="0" y="0"/>
                            <a:ext cx="4320000" cy="2551827"/>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color w:val="auto"/>
                <w:sz w:val="20"/>
                <w:highlight w:val="none"/>
              </w:rPr>
            </w:pPr>
            <w:r>
              <w:rPr>
                <w:rFonts w:hint="eastAsia"/>
                <w:color w:val="auto"/>
                <w:sz w:val="21"/>
                <w:szCs w:val="22"/>
                <w:highlight w:val="none"/>
              </w:rPr>
              <w:t>二氧化硫年平均</w:t>
            </w:r>
            <w:r>
              <w:rPr>
                <w:color w:val="auto"/>
                <w:sz w:val="21"/>
                <w:szCs w:val="22"/>
                <w:highlight w:val="none"/>
              </w:rPr>
              <w:t>浓度</w:t>
            </w:r>
            <w:r>
              <w:rPr>
                <w:rFonts w:hint="eastAsia"/>
                <w:color w:val="auto"/>
                <w:sz w:val="21"/>
                <w:szCs w:val="22"/>
                <w:highlight w:val="none"/>
              </w:rPr>
              <w:t>分布图</w:t>
            </w: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bCs/>
          <w:color w:val="auto"/>
          <w:sz w:val="21"/>
          <w:szCs w:val="21"/>
          <w:highlight w:val="none"/>
        </w:rPr>
      </w:pPr>
      <w:r>
        <w:rPr>
          <w:rFonts w:hint="eastAsia"/>
          <w:b/>
          <w:bCs/>
          <w:color w:val="auto"/>
          <w:sz w:val="21"/>
          <w:szCs w:val="21"/>
          <w:highlight w:val="none"/>
        </w:rPr>
        <w:t>图</w:t>
      </w:r>
      <w:r>
        <w:rPr>
          <w:rFonts w:hint="eastAsia"/>
          <w:b/>
          <w:bCs/>
          <w:color w:val="auto"/>
          <w:sz w:val="21"/>
          <w:szCs w:val="21"/>
          <w:highlight w:val="none"/>
          <w:lang w:val="en-US" w:eastAsia="zh-CN"/>
        </w:rPr>
        <w:t>6.2.1-10</w:t>
      </w:r>
      <w:r>
        <w:rPr>
          <w:rFonts w:hint="eastAsia"/>
          <w:b/>
          <w:bCs/>
          <w:color w:val="auto"/>
          <w:sz w:val="21"/>
          <w:szCs w:val="21"/>
          <w:highlight w:val="none"/>
        </w:rPr>
        <w:t>（</w:t>
      </w:r>
      <w:r>
        <w:rPr>
          <w:rFonts w:hint="eastAsia"/>
          <w:b/>
          <w:bCs/>
          <w:color w:val="auto"/>
          <w:sz w:val="21"/>
          <w:szCs w:val="21"/>
          <w:highlight w:val="none"/>
          <w:lang w:val="en-US" w:eastAsia="zh-CN"/>
        </w:rPr>
        <w:t>2</w:t>
      </w:r>
      <w:r>
        <w:rPr>
          <w:rFonts w:hint="eastAsia"/>
          <w:b/>
          <w:bCs/>
          <w:color w:val="auto"/>
          <w:sz w:val="21"/>
          <w:szCs w:val="21"/>
          <w:highlight w:val="none"/>
        </w:rPr>
        <w:t xml:space="preserve">） </w:t>
      </w:r>
      <w:r>
        <w:rPr>
          <w:rFonts w:hint="eastAsia"/>
          <w:b/>
          <w:bCs/>
          <w:color w:val="auto"/>
          <w:sz w:val="21"/>
          <w:szCs w:val="21"/>
          <w:highlight w:val="none"/>
          <w:lang w:val="en-US" w:eastAsia="zh-CN"/>
        </w:rPr>
        <w:t xml:space="preserve"> </w:t>
      </w:r>
      <w:r>
        <w:rPr>
          <w:b/>
          <w:bCs/>
          <w:color w:val="auto"/>
          <w:sz w:val="21"/>
          <w:szCs w:val="21"/>
          <w:highlight w:val="none"/>
        </w:rPr>
        <w:t xml:space="preserve"> </w:t>
      </w:r>
      <w:r>
        <w:rPr>
          <w:rFonts w:hint="eastAsia"/>
          <w:b/>
          <w:bCs/>
          <w:color w:val="auto"/>
          <w:sz w:val="21"/>
          <w:szCs w:val="21"/>
          <w:highlight w:val="none"/>
        </w:rPr>
        <w:t>正常工况下二氧化硫</w:t>
      </w:r>
      <w:r>
        <w:rPr>
          <w:b/>
          <w:bCs/>
          <w:color w:val="auto"/>
          <w:sz w:val="21"/>
          <w:szCs w:val="21"/>
          <w:highlight w:val="none"/>
        </w:rPr>
        <w:t>浓度</w:t>
      </w:r>
      <w:r>
        <w:rPr>
          <w:rFonts w:hint="eastAsia"/>
          <w:b/>
          <w:bCs/>
          <w:color w:val="auto"/>
          <w:sz w:val="21"/>
          <w:szCs w:val="21"/>
          <w:highlight w:val="none"/>
        </w:rPr>
        <w:t>分布图</w:t>
      </w:r>
    </w:p>
    <w:p>
      <w:pPr>
        <w:bidi w:val="0"/>
        <w:rPr>
          <w:color w:val="auto"/>
          <w:highlight w:val="none"/>
        </w:rPr>
      </w:pPr>
      <w:r>
        <w:rPr>
          <w:rFonts w:hint="eastAsia" w:ascii="宋体" w:hAnsi="宋体" w:eastAsia="宋体" w:cs="宋体"/>
          <w:color w:val="auto"/>
          <w:highlight w:val="none"/>
        </w:rPr>
        <w:t>③</w:t>
      </w:r>
      <w:r>
        <w:rPr>
          <w:rFonts w:hint="eastAsia"/>
          <w:color w:val="auto"/>
          <w:highlight w:val="none"/>
        </w:rPr>
        <w:t>氮氧化物贡献值</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6.2.1-20</w:t>
      </w:r>
      <w:r>
        <w:rPr>
          <w:rFonts w:hint="eastAsia"/>
          <w:b/>
          <w:bCs/>
          <w:color w:val="auto"/>
          <w:sz w:val="21"/>
          <w:szCs w:val="21"/>
          <w:highlight w:val="none"/>
        </w:rPr>
        <w:t>（</w:t>
      </w:r>
      <w:r>
        <w:rPr>
          <w:rFonts w:hint="eastAsia"/>
          <w:b/>
          <w:bCs/>
          <w:color w:val="auto"/>
          <w:sz w:val="21"/>
          <w:szCs w:val="21"/>
          <w:highlight w:val="none"/>
          <w:lang w:val="en-US" w:eastAsia="zh-CN"/>
        </w:rPr>
        <w:t>3</w:t>
      </w:r>
      <w:r>
        <w:rPr>
          <w:rFonts w:hint="eastAsia"/>
          <w:b/>
          <w:bCs/>
          <w:color w:val="auto"/>
          <w:sz w:val="21"/>
          <w:szCs w:val="21"/>
          <w:highlight w:val="none"/>
        </w:rPr>
        <w:t xml:space="preserve">） </w:t>
      </w:r>
      <w:r>
        <w:rPr>
          <w:rFonts w:hint="eastAsia"/>
          <w:b/>
          <w:bCs/>
          <w:color w:val="auto"/>
          <w:sz w:val="21"/>
          <w:szCs w:val="21"/>
          <w:highlight w:val="none"/>
          <w:lang w:val="en-US" w:eastAsia="zh-CN"/>
        </w:rPr>
        <w:t xml:space="preserve"> </w:t>
      </w:r>
      <w:r>
        <w:rPr>
          <w:b/>
          <w:bCs/>
          <w:color w:val="auto"/>
          <w:sz w:val="21"/>
          <w:szCs w:val="21"/>
          <w:highlight w:val="none"/>
        </w:rPr>
        <w:t xml:space="preserve"> </w:t>
      </w:r>
      <w:r>
        <w:rPr>
          <w:rFonts w:hint="eastAsia"/>
          <w:b/>
          <w:bCs/>
          <w:color w:val="auto"/>
          <w:sz w:val="21"/>
          <w:szCs w:val="21"/>
          <w:highlight w:val="none"/>
        </w:rPr>
        <w:t>正常工况下氮氧化物</w:t>
      </w:r>
      <w:r>
        <w:rPr>
          <w:b/>
          <w:bCs/>
          <w:color w:val="auto"/>
          <w:sz w:val="21"/>
          <w:szCs w:val="21"/>
          <w:highlight w:val="none"/>
        </w:rPr>
        <w:t>贡献浓度预测结果表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31"/>
        <w:gridCol w:w="647"/>
        <w:gridCol w:w="827"/>
        <w:gridCol w:w="913"/>
        <w:gridCol w:w="1044"/>
        <w:gridCol w:w="1193"/>
        <w:gridCol w:w="1343"/>
        <w:gridCol w:w="915"/>
        <w:gridCol w:w="1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64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点名称</w:t>
            </w: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浓度类型</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浓度增量</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出现时间</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YYMMDDHH</w:t>
            </w:r>
            <w:r>
              <w:rPr>
                <w:rFonts w:hint="default" w:ascii="Times New Roman" w:hAnsi="Times New Roman" w:cs="Times New Roman"/>
                <w:b/>
                <w:bCs/>
                <w:color w:val="auto"/>
                <w:sz w:val="21"/>
                <w:szCs w:val="21"/>
                <w:highlight w:val="none"/>
                <w:lang w:eastAsia="zh-CN"/>
              </w:rPr>
              <w:t>）</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背景浓度</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叠加背景后的浓度</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评价标准</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占标率%</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叠加背景以后</w:t>
            </w:r>
            <w:r>
              <w:rPr>
                <w:rFonts w:hint="default" w:ascii="Times New Roman" w:hAnsi="Times New Roman" w:cs="Times New Roman"/>
                <w:b/>
                <w:bCs/>
                <w:color w:val="auto"/>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647"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7.52×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24070909</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7.52×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47"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8.91×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240701</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2.30×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2.39×</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23.89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47"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1.79×</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2.30×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2.32×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46.36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647"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9.15×</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24032711</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9.15×</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47"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1.56×</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240327</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2.30×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2.46×</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47"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4.91×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2.30×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2.35×</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46.98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647"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7.53×</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24110911</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7.53×</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47"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1.22×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240417</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2.30×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2.42×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47"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2.29×</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2.30×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2.32×</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46.46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647"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网格点</w:t>
            </w: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7.61×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24072423</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7.61×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47"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3.81×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-3</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241206</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2.30×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2.68×</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-1</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26.81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47"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91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6.21×</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104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2.30×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2.36×</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9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p>
        </w:tc>
        <w:tc>
          <w:tcPr>
            <w:tcW w:w="102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47.24</w:t>
            </w:r>
          </w:p>
        </w:tc>
      </w:tr>
    </w:tbl>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617"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0"/>
                <w:highlight w:val="none"/>
              </w:rPr>
            </w:pPr>
            <w:r>
              <w:rPr>
                <w:color w:val="auto"/>
                <w:kern w:val="0"/>
                <w:szCs w:val="20"/>
              </w:rPr>
              <w:drawing>
                <wp:inline distT="0" distB="0" distL="0" distR="0">
                  <wp:extent cx="4319905" cy="2603500"/>
                  <wp:effectExtent l="0" t="0" r="4445" b="635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44"/>
                          <a:stretch>
                            <a:fillRect/>
                          </a:stretch>
                        </pic:blipFill>
                        <pic:spPr>
                          <a:xfrm>
                            <a:off x="0" y="0"/>
                            <a:ext cx="4320000" cy="26035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17" w:type="dxa"/>
            <w:vAlign w:val="center"/>
          </w:tcPr>
          <w:p>
            <w:pPr>
              <w:pStyle w:val="99"/>
              <w:rPr>
                <w:color w:val="auto"/>
                <w:sz w:val="20"/>
                <w:highlight w:val="none"/>
              </w:rPr>
            </w:pPr>
            <w:r>
              <w:rPr>
                <w:rFonts w:hint="eastAsia"/>
                <w:color w:val="auto"/>
                <w:sz w:val="21"/>
                <w:szCs w:val="22"/>
                <w:highlight w:val="none"/>
              </w:rPr>
              <w:t>氮氧化物</w:t>
            </w:r>
            <w:r>
              <w:rPr>
                <w:color w:val="auto"/>
                <w:sz w:val="21"/>
                <w:szCs w:val="22"/>
                <w:highlight w:val="none"/>
              </w:rPr>
              <w:t>24</w:t>
            </w:r>
            <w:r>
              <w:rPr>
                <w:rFonts w:hint="eastAsia"/>
                <w:color w:val="auto"/>
                <w:sz w:val="21"/>
                <w:szCs w:val="22"/>
                <w:highlight w:val="none"/>
              </w:rPr>
              <w:t>小时</w:t>
            </w:r>
            <w:r>
              <w:rPr>
                <w:color w:val="auto"/>
                <w:sz w:val="21"/>
                <w:szCs w:val="22"/>
                <w:highlight w:val="none"/>
              </w:rPr>
              <w:t>浓度</w:t>
            </w:r>
            <w:r>
              <w:rPr>
                <w:rFonts w:hint="eastAsia"/>
                <w:color w:val="auto"/>
                <w:sz w:val="21"/>
                <w:szCs w:val="22"/>
                <w:highlight w:val="none"/>
              </w:rPr>
              <w:t>分布图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17"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0"/>
                <w:highlight w:val="none"/>
              </w:rPr>
            </w:pPr>
            <w:r>
              <w:rPr>
                <w:color w:val="auto"/>
                <w:kern w:val="0"/>
                <w:szCs w:val="20"/>
              </w:rPr>
              <w:drawing>
                <wp:inline distT="0" distB="0" distL="0" distR="0">
                  <wp:extent cx="4319905" cy="2568575"/>
                  <wp:effectExtent l="0" t="0" r="4445" b="317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45"/>
                          <a:stretch>
                            <a:fillRect/>
                          </a:stretch>
                        </pic:blipFill>
                        <pic:spPr>
                          <a:xfrm>
                            <a:off x="0" y="0"/>
                            <a:ext cx="4320000" cy="2568849"/>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17" w:type="dxa"/>
            <w:vAlign w:val="center"/>
          </w:tcPr>
          <w:p>
            <w:pPr>
              <w:pStyle w:val="99"/>
              <w:rPr>
                <w:color w:val="auto"/>
                <w:sz w:val="20"/>
                <w:highlight w:val="none"/>
              </w:rPr>
            </w:pPr>
            <w:r>
              <w:rPr>
                <w:rFonts w:hint="eastAsia"/>
                <w:color w:val="auto"/>
                <w:sz w:val="21"/>
                <w:szCs w:val="22"/>
                <w:highlight w:val="none"/>
              </w:rPr>
              <w:t>氮氧化物年平均</w:t>
            </w:r>
            <w:r>
              <w:rPr>
                <w:color w:val="auto"/>
                <w:sz w:val="21"/>
                <w:szCs w:val="22"/>
                <w:highlight w:val="none"/>
              </w:rPr>
              <w:t>浓度</w:t>
            </w:r>
            <w:r>
              <w:rPr>
                <w:rFonts w:hint="eastAsia"/>
                <w:color w:val="auto"/>
                <w:sz w:val="21"/>
                <w:szCs w:val="22"/>
                <w:highlight w:val="none"/>
              </w:rPr>
              <w:t>分布图</w:t>
            </w: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bCs/>
          <w:color w:val="auto"/>
          <w:sz w:val="21"/>
          <w:szCs w:val="21"/>
          <w:highlight w:val="none"/>
        </w:rPr>
      </w:pPr>
      <w:r>
        <w:rPr>
          <w:rFonts w:hint="eastAsia"/>
          <w:b/>
          <w:bCs/>
          <w:color w:val="auto"/>
          <w:sz w:val="21"/>
          <w:szCs w:val="21"/>
          <w:highlight w:val="none"/>
          <w:lang w:val="en-US" w:eastAsia="zh-CN"/>
        </w:rPr>
        <w:t>图6.2.1-11</w:t>
      </w:r>
      <w:r>
        <w:rPr>
          <w:rFonts w:hint="eastAsia"/>
          <w:b/>
          <w:bCs/>
          <w:color w:val="auto"/>
          <w:sz w:val="21"/>
          <w:szCs w:val="21"/>
          <w:highlight w:val="none"/>
        </w:rPr>
        <w:t>（</w:t>
      </w:r>
      <w:r>
        <w:rPr>
          <w:rFonts w:hint="eastAsia"/>
          <w:b/>
          <w:bCs/>
          <w:color w:val="auto"/>
          <w:sz w:val="21"/>
          <w:szCs w:val="21"/>
          <w:highlight w:val="none"/>
          <w:lang w:val="en-US" w:eastAsia="zh-CN"/>
        </w:rPr>
        <w:t>3</w:t>
      </w:r>
      <w:r>
        <w:rPr>
          <w:rFonts w:hint="eastAsia"/>
          <w:b/>
          <w:bCs/>
          <w:color w:val="auto"/>
          <w:sz w:val="21"/>
          <w:szCs w:val="21"/>
          <w:highlight w:val="none"/>
        </w:rPr>
        <w:t xml:space="preserve">） </w:t>
      </w:r>
      <w:r>
        <w:rPr>
          <w:b/>
          <w:bCs/>
          <w:color w:val="auto"/>
          <w:sz w:val="21"/>
          <w:szCs w:val="21"/>
          <w:highlight w:val="none"/>
        </w:rPr>
        <w:t xml:space="preserve"> </w:t>
      </w:r>
      <w:r>
        <w:rPr>
          <w:rFonts w:hint="eastAsia"/>
          <w:b/>
          <w:bCs/>
          <w:color w:val="auto"/>
          <w:sz w:val="21"/>
          <w:szCs w:val="21"/>
          <w:highlight w:val="none"/>
        </w:rPr>
        <w:t>正常工况下氮氧化物</w:t>
      </w:r>
      <w:r>
        <w:rPr>
          <w:b/>
          <w:bCs/>
          <w:color w:val="auto"/>
          <w:sz w:val="21"/>
          <w:szCs w:val="21"/>
          <w:highlight w:val="none"/>
        </w:rPr>
        <w:t>浓度</w:t>
      </w:r>
      <w:r>
        <w:rPr>
          <w:rFonts w:hint="eastAsia"/>
          <w:b/>
          <w:bCs/>
          <w:color w:val="auto"/>
          <w:sz w:val="21"/>
          <w:szCs w:val="21"/>
          <w:highlight w:val="none"/>
        </w:rPr>
        <w:t>分布图</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jc w:val="both"/>
        <w:textAlignment w:val="auto"/>
        <w:rPr>
          <w:color w:val="auto"/>
          <w:highlight w:val="none"/>
        </w:rPr>
      </w:pPr>
      <w:r>
        <w:rPr>
          <w:rFonts w:hint="eastAsia" w:ascii="宋体" w:hAnsi="宋体" w:eastAsia="宋体" w:cs="宋体"/>
          <w:color w:val="auto"/>
          <w:highlight w:val="none"/>
        </w:rPr>
        <w:t>④</w:t>
      </w:r>
      <w:r>
        <w:rPr>
          <w:rFonts w:hint="eastAsia"/>
          <w:color w:val="auto"/>
          <w:highlight w:val="none"/>
        </w:rPr>
        <w:t>汞贡献值预测</w:t>
      </w:r>
      <w:r>
        <w:rPr>
          <w:color w:val="auto"/>
          <w:highlight w:val="none"/>
        </w:rPr>
        <w:t>结果</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jc w:val="center"/>
        <w:textAlignment w:val="auto"/>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6.2.1-21</w:t>
      </w:r>
      <w:r>
        <w:rPr>
          <w:rFonts w:hint="eastAsia"/>
          <w:b/>
          <w:bCs/>
          <w:color w:val="auto"/>
          <w:sz w:val="21"/>
          <w:szCs w:val="21"/>
          <w:highlight w:val="none"/>
        </w:rPr>
        <w:t>（</w:t>
      </w:r>
      <w:r>
        <w:rPr>
          <w:rFonts w:hint="eastAsia"/>
          <w:b/>
          <w:bCs/>
          <w:color w:val="auto"/>
          <w:sz w:val="21"/>
          <w:szCs w:val="21"/>
          <w:highlight w:val="none"/>
          <w:lang w:val="en-US" w:eastAsia="zh-CN"/>
        </w:rPr>
        <w:t>4</w:t>
      </w:r>
      <w:r>
        <w:rPr>
          <w:rFonts w:hint="eastAsia"/>
          <w:b/>
          <w:bCs/>
          <w:color w:val="auto"/>
          <w:sz w:val="21"/>
          <w:szCs w:val="21"/>
          <w:highlight w:val="none"/>
        </w:rPr>
        <w:t xml:space="preserve">） </w:t>
      </w:r>
      <w:r>
        <w:rPr>
          <w:rFonts w:hint="eastAsia"/>
          <w:b/>
          <w:bCs/>
          <w:color w:val="auto"/>
          <w:sz w:val="21"/>
          <w:szCs w:val="21"/>
          <w:highlight w:val="none"/>
          <w:lang w:val="en-US" w:eastAsia="zh-CN"/>
        </w:rPr>
        <w:t xml:space="preserve"> </w:t>
      </w:r>
      <w:r>
        <w:rPr>
          <w:b/>
          <w:bCs/>
          <w:color w:val="auto"/>
          <w:sz w:val="21"/>
          <w:szCs w:val="21"/>
          <w:highlight w:val="none"/>
        </w:rPr>
        <w:t xml:space="preserve"> </w:t>
      </w:r>
      <w:r>
        <w:rPr>
          <w:rFonts w:hint="eastAsia"/>
          <w:b/>
          <w:bCs/>
          <w:color w:val="auto"/>
          <w:sz w:val="21"/>
          <w:szCs w:val="21"/>
          <w:highlight w:val="none"/>
        </w:rPr>
        <w:t>正常工况下汞</w:t>
      </w:r>
      <w:r>
        <w:rPr>
          <w:b/>
          <w:bCs/>
          <w:color w:val="auto"/>
          <w:sz w:val="21"/>
          <w:szCs w:val="21"/>
          <w:highlight w:val="none"/>
        </w:rPr>
        <w:t>贡献浓度预测结果表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31"/>
        <w:gridCol w:w="647"/>
        <w:gridCol w:w="827"/>
        <w:gridCol w:w="913"/>
        <w:gridCol w:w="1044"/>
        <w:gridCol w:w="1193"/>
        <w:gridCol w:w="1343"/>
        <w:gridCol w:w="915"/>
        <w:gridCol w:w="1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点名称</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浓度类型</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浓度增量</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出现时间</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YYMMDDHH</w:t>
            </w:r>
            <w:r>
              <w:rPr>
                <w:rFonts w:hint="default" w:ascii="Times New Roman" w:hAnsi="Times New Roman" w:cs="Times New Roman"/>
                <w:b/>
                <w:bCs/>
                <w:color w:val="auto"/>
                <w:sz w:val="21"/>
                <w:szCs w:val="21"/>
                <w:highlight w:val="none"/>
                <w:lang w:eastAsia="zh-CN"/>
              </w:rPr>
              <w:t>）</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背景浓度</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叠加背景后的浓度</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评价标准</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占标率%</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叠加背景以后</w:t>
            </w:r>
            <w:r>
              <w:rPr>
                <w:rFonts w:hint="default" w:ascii="Times New Roman" w:hAnsi="Times New Roman" w:cs="Times New Roman"/>
                <w:b/>
                <w:bCs/>
                <w:color w:val="auto"/>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2.80×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-7</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24070909</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-7</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5.80×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-7</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240701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-5</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-7</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24032711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-7</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6.50×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-7</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240327</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6.00×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-5</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2.80×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-7</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24110911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-7</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5.80×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-7</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240417</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-5</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网格点</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2.87×</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-6</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24072423</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-7</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3.17×</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-6</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3.00×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-4</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1.40×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-7</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241026</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1.40×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-7</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-8</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5.00×</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-5</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0.04</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jc w:val="center"/>
        <w:textAlignment w:val="auto"/>
        <w:rPr>
          <w:b/>
          <w:bCs/>
          <w:color w:val="auto"/>
          <w:sz w:val="21"/>
          <w:szCs w:val="21"/>
          <w:highlight w:val="none"/>
        </w:rPr>
      </w:pP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0"/>
                <w:highlight w:val="none"/>
              </w:rPr>
            </w:pPr>
            <w:r>
              <w:rPr>
                <w:color w:val="auto"/>
                <w:kern w:val="0"/>
                <w:szCs w:val="20"/>
              </w:rPr>
              <w:drawing>
                <wp:inline distT="0" distB="0" distL="0" distR="0">
                  <wp:extent cx="4319905" cy="2514600"/>
                  <wp:effectExtent l="0" t="0" r="4445"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46"/>
                          <a:stretch>
                            <a:fillRect/>
                          </a:stretch>
                        </pic:blipFill>
                        <pic:spPr>
                          <a:xfrm>
                            <a:off x="0" y="0"/>
                            <a:ext cx="4320000" cy="2514996"/>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color w:val="auto"/>
                <w:sz w:val="20"/>
                <w:highlight w:val="none"/>
              </w:rPr>
            </w:pPr>
            <w:r>
              <w:rPr>
                <w:rFonts w:hint="eastAsia"/>
                <w:color w:val="auto"/>
                <w:kern w:val="0"/>
                <w:sz w:val="21"/>
                <w:szCs w:val="16"/>
              </w:rPr>
              <w:t>汞</w:t>
            </w:r>
            <w:r>
              <w:rPr>
                <w:color w:val="auto"/>
                <w:kern w:val="0"/>
                <w:sz w:val="21"/>
                <w:szCs w:val="16"/>
              </w:rPr>
              <w:t>小时浓度</w:t>
            </w:r>
            <w:r>
              <w:rPr>
                <w:rFonts w:hint="eastAsia"/>
                <w:color w:val="auto"/>
                <w:kern w:val="0"/>
                <w:sz w:val="21"/>
                <w:szCs w:val="16"/>
              </w:rPr>
              <w:t>叠加</w:t>
            </w:r>
            <w:r>
              <w:rPr>
                <w:color w:val="auto"/>
                <w:kern w:val="0"/>
                <w:sz w:val="21"/>
                <w:szCs w:val="16"/>
              </w:rPr>
              <w:t>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1" w:hRule="atLeast"/>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0"/>
                <w:highlight w:val="none"/>
              </w:rPr>
            </w:pPr>
            <w:r>
              <w:rPr>
                <w:color w:val="auto"/>
                <w:kern w:val="0"/>
                <w:szCs w:val="20"/>
              </w:rPr>
              <w:drawing>
                <wp:inline distT="0" distB="0" distL="0" distR="0">
                  <wp:extent cx="4319905" cy="2679065"/>
                  <wp:effectExtent l="0" t="0" r="4445" b="698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47"/>
                          <a:stretch>
                            <a:fillRect/>
                          </a:stretch>
                        </pic:blipFill>
                        <pic:spPr>
                          <a:xfrm>
                            <a:off x="0" y="0"/>
                            <a:ext cx="4320000" cy="26795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0"/>
                <w:highlight w:val="none"/>
              </w:rPr>
            </w:pPr>
            <w:r>
              <w:rPr>
                <w:rFonts w:hint="eastAsia"/>
                <w:color w:val="auto"/>
                <w:sz w:val="21"/>
                <w:szCs w:val="22"/>
                <w:highlight w:val="none"/>
              </w:rPr>
              <w:t>汞年均</w:t>
            </w:r>
            <w:r>
              <w:rPr>
                <w:color w:val="auto"/>
                <w:sz w:val="21"/>
                <w:szCs w:val="22"/>
                <w:highlight w:val="none"/>
              </w:rPr>
              <w:t>浓度</w:t>
            </w:r>
            <w:r>
              <w:rPr>
                <w:rFonts w:hint="eastAsia"/>
                <w:color w:val="auto"/>
                <w:sz w:val="21"/>
                <w:szCs w:val="22"/>
                <w:highlight w:val="none"/>
              </w:rPr>
              <w:t>分布图</w:t>
            </w: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bCs/>
          <w:color w:val="auto"/>
          <w:sz w:val="21"/>
          <w:szCs w:val="21"/>
          <w:highlight w:val="none"/>
        </w:rPr>
      </w:pPr>
      <w:r>
        <w:rPr>
          <w:rFonts w:hint="eastAsia"/>
          <w:b/>
          <w:bCs/>
          <w:color w:val="auto"/>
          <w:sz w:val="21"/>
          <w:szCs w:val="21"/>
          <w:highlight w:val="none"/>
          <w:lang w:val="en-US" w:eastAsia="zh-CN"/>
        </w:rPr>
        <w:t>图6.2.1-12</w:t>
      </w:r>
      <w:r>
        <w:rPr>
          <w:rFonts w:hint="eastAsia"/>
          <w:b/>
          <w:bCs/>
          <w:color w:val="auto"/>
          <w:sz w:val="21"/>
          <w:szCs w:val="21"/>
          <w:highlight w:val="none"/>
        </w:rPr>
        <w:t>（</w:t>
      </w:r>
      <w:r>
        <w:rPr>
          <w:rFonts w:hint="eastAsia"/>
          <w:b/>
          <w:bCs/>
          <w:color w:val="auto"/>
          <w:sz w:val="21"/>
          <w:szCs w:val="21"/>
          <w:highlight w:val="none"/>
          <w:lang w:val="en-US" w:eastAsia="zh-CN"/>
        </w:rPr>
        <w:t>4</w:t>
      </w:r>
      <w:r>
        <w:rPr>
          <w:rFonts w:hint="eastAsia"/>
          <w:b/>
          <w:bCs/>
          <w:color w:val="auto"/>
          <w:sz w:val="21"/>
          <w:szCs w:val="21"/>
          <w:highlight w:val="none"/>
        </w:rPr>
        <w:t xml:space="preserve">） </w:t>
      </w:r>
      <w:r>
        <w:rPr>
          <w:rFonts w:hint="eastAsia"/>
          <w:b/>
          <w:bCs/>
          <w:color w:val="auto"/>
          <w:sz w:val="21"/>
          <w:szCs w:val="21"/>
          <w:highlight w:val="none"/>
          <w:lang w:val="en-US" w:eastAsia="zh-CN"/>
        </w:rPr>
        <w:t xml:space="preserve"> </w:t>
      </w:r>
      <w:r>
        <w:rPr>
          <w:b/>
          <w:bCs/>
          <w:color w:val="auto"/>
          <w:sz w:val="21"/>
          <w:szCs w:val="21"/>
          <w:highlight w:val="none"/>
        </w:rPr>
        <w:t xml:space="preserve"> </w:t>
      </w:r>
      <w:r>
        <w:rPr>
          <w:rFonts w:hint="eastAsia"/>
          <w:b/>
          <w:bCs/>
          <w:color w:val="auto"/>
          <w:sz w:val="21"/>
          <w:szCs w:val="21"/>
          <w:highlight w:val="none"/>
        </w:rPr>
        <w:t>正常工况下汞</w:t>
      </w:r>
      <w:r>
        <w:rPr>
          <w:b/>
          <w:bCs/>
          <w:color w:val="auto"/>
          <w:sz w:val="21"/>
          <w:szCs w:val="21"/>
          <w:highlight w:val="none"/>
        </w:rPr>
        <w:t>浓度</w:t>
      </w:r>
      <w:r>
        <w:rPr>
          <w:rFonts w:hint="eastAsia"/>
          <w:b/>
          <w:bCs/>
          <w:color w:val="auto"/>
          <w:sz w:val="21"/>
          <w:szCs w:val="21"/>
          <w:highlight w:val="none"/>
        </w:rPr>
        <w:t>分布图</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jc w:val="both"/>
        <w:textAlignment w:val="auto"/>
        <w:rPr>
          <w:color w:val="auto"/>
          <w:highlight w:val="none"/>
        </w:rPr>
      </w:pPr>
      <w:r>
        <w:rPr>
          <w:rFonts w:hint="eastAsia" w:ascii="宋体" w:hAnsi="宋体" w:eastAsia="宋体" w:cs="宋体"/>
          <w:color w:val="auto"/>
          <w:highlight w:val="none"/>
        </w:rPr>
        <w:t>④</w:t>
      </w:r>
      <w:r>
        <w:rPr>
          <w:rFonts w:hint="eastAsia"/>
          <w:b w:val="0"/>
          <w:bCs w:val="0"/>
          <w:color w:val="auto"/>
          <w:sz w:val="21"/>
          <w:szCs w:val="21"/>
          <w:highlight w:val="none"/>
          <w:lang w:val="en-US" w:eastAsia="zh-CN"/>
        </w:rPr>
        <w:t>TSP</w:t>
      </w:r>
      <w:r>
        <w:rPr>
          <w:rFonts w:hint="eastAsia"/>
          <w:b w:val="0"/>
          <w:bCs w:val="0"/>
          <w:color w:val="auto"/>
          <w:highlight w:val="none"/>
        </w:rPr>
        <w:t>贡</w:t>
      </w:r>
      <w:r>
        <w:rPr>
          <w:rFonts w:hint="eastAsia"/>
          <w:color w:val="auto"/>
          <w:highlight w:val="none"/>
        </w:rPr>
        <w:t>献值预测</w:t>
      </w:r>
      <w:r>
        <w:rPr>
          <w:color w:val="auto"/>
          <w:highlight w:val="none"/>
        </w:rPr>
        <w:t>结果</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jc w:val="center"/>
        <w:textAlignment w:val="auto"/>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6.2.1-22</w:t>
      </w:r>
      <w:r>
        <w:rPr>
          <w:rFonts w:hint="eastAsia"/>
          <w:b/>
          <w:bCs/>
          <w:color w:val="auto"/>
          <w:sz w:val="21"/>
          <w:szCs w:val="21"/>
          <w:highlight w:val="none"/>
        </w:rPr>
        <w:t>（</w:t>
      </w:r>
      <w:r>
        <w:rPr>
          <w:rFonts w:hint="eastAsia"/>
          <w:b/>
          <w:bCs/>
          <w:color w:val="auto"/>
          <w:sz w:val="21"/>
          <w:szCs w:val="21"/>
          <w:highlight w:val="none"/>
          <w:lang w:val="en-US" w:eastAsia="zh-CN"/>
        </w:rPr>
        <w:t>4</w:t>
      </w:r>
      <w:r>
        <w:rPr>
          <w:rFonts w:hint="eastAsia"/>
          <w:b/>
          <w:bCs/>
          <w:color w:val="auto"/>
          <w:sz w:val="21"/>
          <w:szCs w:val="21"/>
          <w:highlight w:val="none"/>
        </w:rPr>
        <w:t xml:space="preserve">） </w:t>
      </w:r>
      <w:r>
        <w:rPr>
          <w:b/>
          <w:bCs/>
          <w:color w:val="auto"/>
          <w:sz w:val="21"/>
          <w:szCs w:val="21"/>
          <w:highlight w:val="none"/>
        </w:rPr>
        <w:t xml:space="preserve"> </w:t>
      </w:r>
      <w:r>
        <w:rPr>
          <w:rFonts w:hint="eastAsia"/>
          <w:b/>
          <w:bCs/>
          <w:color w:val="auto"/>
          <w:sz w:val="21"/>
          <w:szCs w:val="21"/>
          <w:highlight w:val="none"/>
          <w:lang w:val="en-US" w:eastAsia="zh-CN"/>
        </w:rPr>
        <w:t xml:space="preserve"> </w:t>
      </w:r>
      <w:r>
        <w:rPr>
          <w:rFonts w:hint="eastAsia"/>
          <w:b/>
          <w:bCs/>
          <w:color w:val="auto"/>
          <w:sz w:val="21"/>
          <w:szCs w:val="21"/>
          <w:highlight w:val="none"/>
        </w:rPr>
        <w:t>正常工况下</w:t>
      </w:r>
      <w:r>
        <w:rPr>
          <w:rFonts w:hint="eastAsia"/>
          <w:b/>
          <w:bCs/>
          <w:color w:val="auto"/>
          <w:sz w:val="21"/>
          <w:szCs w:val="21"/>
          <w:highlight w:val="none"/>
          <w:lang w:val="en-US" w:eastAsia="zh-CN"/>
        </w:rPr>
        <w:t>TSP</w:t>
      </w:r>
      <w:r>
        <w:rPr>
          <w:b/>
          <w:bCs/>
          <w:color w:val="auto"/>
          <w:sz w:val="21"/>
          <w:szCs w:val="21"/>
          <w:highlight w:val="none"/>
        </w:rPr>
        <w:t>贡献浓度预测结果表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31"/>
        <w:gridCol w:w="647"/>
        <w:gridCol w:w="827"/>
        <w:gridCol w:w="913"/>
        <w:gridCol w:w="1044"/>
        <w:gridCol w:w="1193"/>
        <w:gridCol w:w="1343"/>
        <w:gridCol w:w="915"/>
        <w:gridCol w:w="1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点名称</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浓度类型</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浓度增量</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mg/m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lang w:eastAsia="zh-CN"/>
              </w:rPr>
              <w:t>）</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出现时间</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YYMMDDHH</w:t>
            </w:r>
            <w:r>
              <w:rPr>
                <w:rFonts w:hint="default" w:ascii="Times New Roman" w:hAnsi="Times New Roman" w:eastAsia="宋体" w:cs="Times New Roman"/>
                <w:b/>
                <w:bCs/>
                <w:color w:val="auto"/>
                <w:sz w:val="21"/>
                <w:szCs w:val="21"/>
                <w:highlight w:val="none"/>
                <w:lang w:eastAsia="zh-CN"/>
              </w:rPr>
              <w:t>）</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背景浓度</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mg/m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lang w:eastAsia="zh-CN"/>
              </w:rPr>
              <w:t>）</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叠加背景后的浓度</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mg/m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lang w:eastAsia="zh-CN"/>
              </w:rPr>
              <w:t>）</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评价标准</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mg/m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lang w:eastAsia="zh-CN"/>
              </w:rPr>
              <w:t>）</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占标率%</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叠加背景以后</w:t>
            </w:r>
            <w:r>
              <w:rPr>
                <w:rFonts w:hint="default" w:ascii="Times New Roman" w:hAnsi="Times New Roman" w:eastAsia="宋体" w:cs="Times New Roman"/>
                <w:b/>
                <w:bCs/>
                <w:color w:val="auto"/>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2.80×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-7</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24070909</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3.00×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-7</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5.80×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-7</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3.00×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-4</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3.00×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240701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3.00×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-8</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1.00×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1.00×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-8</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5.00×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-5</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3.50×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-7</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24032711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3.00×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-7</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6.50×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-7</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3.00×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-4</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6.00×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240327</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6.00×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-8</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2.00×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2.00×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-8</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5.00×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-5</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2.80×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-7</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24110911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3.00×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-7</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5.80×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-7</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3.00×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-4</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5.00×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240417</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5.00×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-8</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1.00×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1.00×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-8</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5.00×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-5</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615" w:type="dxa"/>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网格点</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2.87×</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-6</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24072423</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3.00×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-7</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3.17×</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-6</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3.00×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-4</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1.40×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-7</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241026</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1.40×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-7</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15" w:type="dxa"/>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全时段</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2.00×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-8</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平均值</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2.00×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-8</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5.00×</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-5</w:t>
            </w:r>
          </w:p>
        </w:tc>
        <w:tc>
          <w:tcPr>
            <w:tcW w:w="973"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0.04</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jc w:val="center"/>
        <w:textAlignment w:val="auto"/>
        <w:rPr>
          <w:b/>
          <w:bCs/>
          <w:color w:val="auto"/>
          <w:sz w:val="21"/>
          <w:szCs w:val="21"/>
          <w:highlight w:val="none"/>
        </w:rPr>
      </w:pPr>
    </w:p>
    <w:tbl>
      <w:tblPr>
        <w:tblStyle w:val="34"/>
        <w:tblW w:w="505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0"/>
                <w:highlight w:val="none"/>
              </w:rPr>
            </w:pPr>
            <w:r>
              <w:rPr>
                <w:color w:val="auto"/>
                <w:kern w:val="0"/>
                <w:szCs w:val="20"/>
              </w:rPr>
              <w:drawing>
                <wp:inline distT="0" distB="0" distL="0" distR="0">
                  <wp:extent cx="4319905" cy="2640965"/>
                  <wp:effectExtent l="0" t="0" r="4445" b="698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48"/>
                          <a:stretch>
                            <a:fillRect/>
                          </a:stretch>
                        </pic:blipFill>
                        <pic:spPr>
                          <a:xfrm>
                            <a:off x="0" y="0"/>
                            <a:ext cx="4320000" cy="2641484"/>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rPr>
                <w:color w:val="auto"/>
                <w:sz w:val="20"/>
                <w:highlight w:val="none"/>
              </w:rPr>
            </w:pPr>
            <w:r>
              <w:rPr>
                <w:color w:val="auto"/>
                <w:kern w:val="0"/>
                <w:sz w:val="21"/>
                <w:szCs w:val="16"/>
              </w:rPr>
              <w:t>TSP日均浓度叠加值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1" w:hRule="atLeast"/>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0"/>
                <w:highlight w:val="none"/>
              </w:rPr>
            </w:pPr>
            <w:r>
              <w:rPr>
                <w:color w:val="auto"/>
                <w:kern w:val="0"/>
                <w:szCs w:val="20"/>
              </w:rPr>
              <w:drawing>
                <wp:inline distT="0" distB="0" distL="0" distR="0">
                  <wp:extent cx="4319905" cy="2648585"/>
                  <wp:effectExtent l="0" t="0" r="4445" b="1841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49"/>
                          <a:stretch>
                            <a:fillRect/>
                          </a:stretch>
                        </pic:blipFill>
                        <pic:spPr>
                          <a:xfrm>
                            <a:off x="0" y="0"/>
                            <a:ext cx="4320000" cy="2648699"/>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pPr>
              <w:pStyle w:val="9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0"/>
                <w:highlight w:val="none"/>
              </w:rPr>
            </w:pPr>
            <w:r>
              <w:rPr>
                <w:rFonts w:hint="eastAsia"/>
                <w:color w:val="auto"/>
                <w:kern w:val="0"/>
                <w:sz w:val="21"/>
                <w:szCs w:val="16"/>
              </w:rPr>
              <w:t>T</w:t>
            </w:r>
            <w:r>
              <w:rPr>
                <w:color w:val="auto"/>
                <w:kern w:val="0"/>
                <w:sz w:val="21"/>
                <w:szCs w:val="16"/>
              </w:rPr>
              <w:t>SP</w:t>
            </w:r>
            <w:r>
              <w:rPr>
                <w:rFonts w:hint="eastAsia"/>
                <w:color w:val="auto"/>
                <w:kern w:val="0"/>
                <w:sz w:val="21"/>
                <w:szCs w:val="16"/>
              </w:rPr>
              <w:t>年均</w:t>
            </w:r>
            <w:r>
              <w:rPr>
                <w:color w:val="auto"/>
                <w:kern w:val="0"/>
                <w:sz w:val="21"/>
                <w:szCs w:val="16"/>
              </w:rPr>
              <w:t>浓度</w:t>
            </w:r>
            <w:r>
              <w:rPr>
                <w:rFonts w:hint="eastAsia"/>
                <w:color w:val="auto"/>
                <w:kern w:val="0"/>
                <w:sz w:val="21"/>
                <w:szCs w:val="16"/>
              </w:rPr>
              <w:t>叠加</w:t>
            </w:r>
            <w:r>
              <w:rPr>
                <w:color w:val="auto"/>
                <w:kern w:val="0"/>
                <w:sz w:val="21"/>
                <w:szCs w:val="16"/>
              </w:rPr>
              <w:t>值</w:t>
            </w:r>
          </w:p>
        </w:tc>
      </w:tr>
    </w:tbl>
    <w:p>
      <w:pPr>
        <w:bidi w:val="0"/>
        <w:jc w:val="center"/>
        <w:rPr>
          <w:rFonts w:hint="eastAsia"/>
          <w:color w:val="auto"/>
          <w:highlight w:val="none"/>
        </w:rPr>
      </w:pPr>
      <w:r>
        <w:rPr>
          <w:rFonts w:hint="eastAsia"/>
          <w:b/>
          <w:bCs/>
          <w:color w:val="auto"/>
          <w:sz w:val="21"/>
          <w:szCs w:val="21"/>
          <w:highlight w:val="none"/>
          <w:lang w:val="en-US" w:eastAsia="zh-CN"/>
        </w:rPr>
        <w:t>图6.2.1-13</w:t>
      </w:r>
      <w:r>
        <w:rPr>
          <w:rFonts w:hint="eastAsia"/>
          <w:b/>
          <w:bCs/>
          <w:color w:val="auto"/>
          <w:sz w:val="21"/>
          <w:szCs w:val="21"/>
          <w:highlight w:val="none"/>
        </w:rPr>
        <w:t>（</w:t>
      </w:r>
      <w:r>
        <w:rPr>
          <w:rFonts w:hint="eastAsia"/>
          <w:b/>
          <w:bCs/>
          <w:color w:val="auto"/>
          <w:sz w:val="21"/>
          <w:szCs w:val="21"/>
          <w:highlight w:val="none"/>
          <w:lang w:val="en-US" w:eastAsia="zh-CN"/>
        </w:rPr>
        <w:t>5</w:t>
      </w:r>
      <w:r>
        <w:rPr>
          <w:rFonts w:hint="eastAsia"/>
          <w:b/>
          <w:bCs/>
          <w:color w:val="auto"/>
          <w:sz w:val="21"/>
          <w:szCs w:val="21"/>
          <w:highlight w:val="none"/>
        </w:rPr>
        <w:t xml:space="preserve">） </w:t>
      </w:r>
      <w:r>
        <w:rPr>
          <w:b/>
          <w:bCs/>
          <w:color w:val="auto"/>
          <w:sz w:val="21"/>
          <w:szCs w:val="21"/>
          <w:highlight w:val="none"/>
        </w:rPr>
        <w:t xml:space="preserve"> </w:t>
      </w:r>
      <w:r>
        <w:rPr>
          <w:rFonts w:hint="eastAsia"/>
          <w:b/>
          <w:bCs/>
          <w:color w:val="auto"/>
          <w:sz w:val="21"/>
          <w:szCs w:val="21"/>
          <w:highlight w:val="none"/>
          <w:lang w:val="en-US" w:eastAsia="zh-CN"/>
        </w:rPr>
        <w:t xml:space="preserve"> </w:t>
      </w:r>
      <w:r>
        <w:rPr>
          <w:rFonts w:hint="eastAsia"/>
          <w:b/>
          <w:bCs/>
          <w:color w:val="auto"/>
          <w:sz w:val="21"/>
          <w:szCs w:val="21"/>
          <w:highlight w:val="none"/>
        </w:rPr>
        <w:t>正常工况下</w:t>
      </w:r>
      <w:r>
        <w:rPr>
          <w:rFonts w:hint="eastAsia"/>
          <w:b/>
          <w:bCs/>
          <w:color w:val="auto"/>
          <w:sz w:val="21"/>
          <w:szCs w:val="21"/>
          <w:highlight w:val="none"/>
          <w:lang w:val="en-US" w:eastAsia="zh-CN"/>
        </w:rPr>
        <w:t>TSP</w:t>
      </w:r>
      <w:r>
        <w:rPr>
          <w:b/>
          <w:bCs/>
          <w:color w:val="auto"/>
          <w:sz w:val="21"/>
          <w:szCs w:val="21"/>
          <w:highlight w:val="none"/>
        </w:rPr>
        <w:t>浓度</w:t>
      </w:r>
      <w:r>
        <w:rPr>
          <w:rFonts w:hint="eastAsia"/>
          <w:b/>
          <w:bCs/>
          <w:color w:val="auto"/>
          <w:sz w:val="21"/>
          <w:szCs w:val="21"/>
          <w:highlight w:val="none"/>
        </w:rPr>
        <w:t>分布图</w:t>
      </w:r>
    </w:p>
    <w:p>
      <w:pPr>
        <w:keepNext w:val="0"/>
        <w:keepLines w:val="0"/>
        <w:pageBreakBefore w:val="0"/>
        <w:widowControl w:val="0"/>
        <w:kinsoku/>
        <w:wordWrap/>
        <w:overflowPunct/>
        <w:topLinePunct w:val="0"/>
        <w:autoSpaceDE/>
        <w:autoSpaceDN/>
        <w:bidi w:val="0"/>
        <w:adjustRightInd w:val="0"/>
        <w:snapToGrid w:val="0"/>
        <w:ind w:firstLine="480"/>
        <w:textAlignment w:val="auto"/>
        <w:rPr>
          <w:color w:val="auto"/>
        </w:rPr>
      </w:pPr>
      <w:r>
        <w:rPr>
          <w:rFonts w:hint="eastAsia"/>
          <w:color w:val="auto"/>
        </w:rPr>
        <w:t>由上表及图可知，项目厂区周围环境敏感点和网格点处的各主要污染物浓度贡献值均能达到《环境影响评价技术导则－大气环境》</w:t>
      </w:r>
      <w:r>
        <w:rPr>
          <w:rFonts w:hint="eastAsia"/>
          <w:color w:val="auto"/>
          <w:lang w:eastAsia="zh-CN"/>
        </w:rPr>
        <w:t>（</w:t>
      </w:r>
      <w:r>
        <w:rPr>
          <w:color w:val="auto"/>
        </w:rPr>
        <w:t>HJ2.2-2018</w:t>
      </w:r>
      <w:r>
        <w:rPr>
          <w:rFonts w:hint="eastAsia"/>
          <w:color w:val="auto"/>
          <w:lang w:eastAsia="zh-CN"/>
        </w:rPr>
        <w:t>）</w:t>
      </w:r>
      <w:r>
        <w:rPr>
          <w:rFonts w:hint="eastAsia"/>
          <w:color w:val="auto"/>
        </w:rPr>
        <w:t>附录</w:t>
      </w:r>
      <w:r>
        <w:rPr>
          <w:color w:val="auto"/>
        </w:rPr>
        <w:t>D</w:t>
      </w:r>
      <w:r>
        <w:rPr>
          <w:rFonts w:hint="eastAsia"/>
          <w:color w:val="auto"/>
        </w:rPr>
        <w:t>其他污染物空气质量浓度参考限值和《环境空气质量标准》（</w:t>
      </w:r>
      <w:r>
        <w:rPr>
          <w:color w:val="auto"/>
        </w:rPr>
        <w:t>GB3095-2012</w:t>
      </w:r>
      <w:r>
        <w:rPr>
          <w:rFonts w:hint="eastAsia"/>
          <w:color w:val="auto"/>
        </w:rPr>
        <w:t>）二级标准要求，短时浓度贡献值的最大浓度占标率均≤100%；新增污染源正常排放下污染物</w:t>
      </w:r>
      <w:r>
        <w:rPr>
          <w:color w:val="auto"/>
        </w:rPr>
        <w:t>NOx</w:t>
      </w:r>
      <w:r>
        <w:rPr>
          <w:rFonts w:hint="eastAsia"/>
          <w:color w:val="auto"/>
        </w:rPr>
        <w:t>、</w:t>
      </w:r>
      <w:r>
        <w:rPr>
          <w:color w:val="auto"/>
        </w:rPr>
        <w:t>PM</w:t>
      </w:r>
      <w:r>
        <w:rPr>
          <w:color w:val="auto"/>
          <w:vertAlign w:val="subscript"/>
        </w:rPr>
        <w:t>10</w:t>
      </w:r>
      <w:r>
        <w:rPr>
          <w:rFonts w:hint="eastAsia"/>
          <w:color w:val="auto"/>
        </w:rPr>
        <w:t>年均浓度贡献值的最大浓度占标率均≤30%。</w:t>
      </w:r>
    </w:p>
    <w:p>
      <w:pPr>
        <w:keepNext w:val="0"/>
        <w:keepLines w:val="0"/>
        <w:pageBreakBefore w:val="0"/>
        <w:widowControl w:val="0"/>
        <w:kinsoku/>
        <w:wordWrap/>
        <w:overflowPunct/>
        <w:topLinePunct w:val="0"/>
        <w:autoSpaceDE/>
        <w:autoSpaceDN/>
        <w:bidi w:val="0"/>
        <w:adjustRightInd w:val="0"/>
        <w:snapToGrid w:val="0"/>
        <w:textAlignment w:val="auto"/>
        <w:rPr>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非正常工况下各污染物贡献浓度预测结果</w:t>
      </w:r>
    </w:p>
    <w:p>
      <w:pPr>
        <w:keepNext w:val="0"/>
        <w:keepLines w:val="0"/>
        <w:pageBreakBefore w:val="0"/>
        <w:widowControl w:val="0"/>
        <w:kinsoku/>
        <w:wordWrap/>
        <w:overflowPunct/>
        <w:topLinePunct w:val="0"/>
        <w:autoSpaceDE/>
        <w:autoSpaceDN/>
        <w:bidi w:val="0"/>
        <w:adjustRightInd w:val="0"/>
        <w:snapToGrid w:val="0"/>
        <w:textAlignment w:val="auto"/>
        <w:rPr>
          <w:color w:val="auto"/>
          <w:highlight w:val="none"/>
        </w:rPr>
      </w:pPr>
      <w:r>
        <w:rPr>
          <w:rFonts w:hint="eastAsia"/>
          <w:color w:val="auto"/>
          <w:highlight w:val="none"/>
        </w:rPr>
        <w:t>非正常</w:t>
      </w:r>
      <w:r>
        <w:rPr>
          <w:color w:val="auto"/>
          <w:highlight w:val="none"/>
        </w:rPr>
        <w:t>工况下</w:t>
      </w:r>
      <w:r>
        <w:rPr>
          <w:rFonts w:hint="eastAsia"/>
          <w:color w:val="auto"/>
          <w:highlight w:val="none"/>
        </w:rPr>
        <w:t>各</w:t>
      </w:r>
      <w:r>
        <w:rPr>
          <w:color w:val="auto"/>
          <w:highlight w:val="none"/>
        </w:rPr>
        <w:t>污染物</w:t>
      </w:r>
      <w:r>
        <w:rPr>
          <w:rFonts w:hint="eastAsia"/>
          <w:color w:val="auto"/>
          <w:highlight w:val="none"/>
        </w:rPr>
        <w:t>1小时</w:t>
      </w:r>
      <w:r>
        <w:rPr>
          <w:color w:val="auto"/>
          <w:highlight w:val="none"/>
        </w:rPr>
        <w:t>浓度</w:t>
      </w:r>
      <w:r>
        <w:rPr>
          <w:rFonts w:hint="eastAsia"/>
          <w:color w:val="auto"/>
          <w:highlight w:val="none"/>
        </w:rPr>
        <w:t>贡献值</w:t>
      </w:r>
      <w:r>
        <w:rPr>
          <w:color w:val="auto"/>
          <w:highlight w:val="none"/>
        </w:rPr>
        <w:t>如下：</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6.2.1-23</w:t>
      </w:r>
      <w:r>
        <w:rPr>
          <w:rFonts w:hint="eastAsia"/>
          <w:b/>
          <w:bCs/>
          <w:color w:val="auto"/>
          <w:sz w:val="21"/>
          <w:szCs w:val="21"/>
          <w:highlight w:val="none"/>
        </w:rPr>
        <w:t>（</w:t>
      </w:r>
      <w:r>
        <w:rPr>
          <w:rFonts w:hint="eastAsia"/>
          <w:b/>
          <w:bCs/>
          <w:color w:val="auto"/>
          <w:sz w:val="21"/>
          <w:szCs w:val="21"/>
          <w:highlight w:val="none"/>
          <w:lang w:val="en-US" w:eastAsia="zh-CN"/>
        </w:rPr>
        <w:t>1</w:t>
      </w:r>
      <w:r>
        <w:rPr>
          <w:rFonts w:hint="eastAsia"/>
          <w:b/>
          <w:bCs/>
          <w:color w:val="auto"/>
          <w:sz w:val="21"/>
          <w:szCs w:val="21"/>
          <w:highlight w:val="none"/>
        </w:rPr>
        <w:t>）</w:t>
      </w:r>
      <w:r>
        <w:rPr>
          <w:b/>
          <w:bCs/>
          <w:color w:val="auto"/>
          <w:sz w:val="21"/>
          <w:szCs w:val="21"/>
          <w:highlight w:val="none"/>
        </w:rPr>
        <w:t xml:space="preserve">  </w:t>
      </w:r>
      <w:r>
        <w:rPr>
          <w:rFonts w:hint="eastAsia"/>
          <w:b/>
          <w:bCs/>
          <w:color w:val="auto"/>
          <w:sz w:val="21"/>
          <w:szCs w:val="21"/>
          <w:highlight w:val="none"/>
          <w:lang w:val="en-US" w:eastAsia="zh-CN"/>
        </w:rPr>
        <w:t xml:space="preserve"> </w:t>
      </w:r>
      <w:r>
        <w:rPr>
          <w:rFonts w:hint="eastAsia"/>
          <w:b/>
          <w:bCs/>
          <w:color w:val="auto"/>
          <w:sz w:val="21"/>
          <w:szCs w:val="21"/>
          <w:highlight w:val="none"/>
        </w:rPr>
        <w:t>非</w:t>
      </w:r>
      <w:r>
        <w:rPr>
          <w:b/>
          <w:bCs/>
          <w:color w:val="auto"/>
          <w:sz w:val="21"/>
          <w:szCs w:val="21"/>
          <w:highlight w:val="none"/>
        </w:rPr>
        <w:t>正常工况下PM</w:t>
      </w:r>
      <w:r>
        <w:rPr>
          <w:b/>
          <w:bCs/>
          <w:color w:val="auto"/>
          <w:sz w:val="21"/>
          <w:szCs w:val="21"/>
          <w:highlight w:val="none"/>
          <w:vertAlign w:val="subscript"/>
        </w:rPr>
        <w:t>10</w:t>
      </w:r>
      <w:r>
        <w:rPr>
          <w:rFonts w:hint="eastAsia"/>
          <w:b/>
          <w:bCs/>
          <w:color w:val="auto"/>
          <w:sz w:val="21"/>
          <w:szCs w:val="21"/>
          <w:highlight w:val="none"/>
        </w:rPr>
        <w:t>贡献浓度预测结果表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2"/>
        <w:gridCol w:w="737"/>
        <w:gridCol w:w="942"/>
        <w:gridCol w:w="1039"/>
        <w:gridCol w:w="1189"/>
        <w:gridCol w:w="1359"/>
        <w:gridCol w:w="1528"/>
        <w:gridCol w:w="1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点名称</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浓度类型</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浓度增量</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出现时间（YYMMDDHH）</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评价标准</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占标率%（叠加背景以后）</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6.12</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-1</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24070909</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4.50</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135.89</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7.44</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-1</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24032711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4.50</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165.3</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6.12</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-1</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24110911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4.50</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136.04</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网格点</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6.19</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24072423</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4.50</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1374.54</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超标</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6.2.1-24</w:t>
      </w:r>
      <w:r>
        <w:rPr>
          <w:rFonts w:hint="eastAsia"/>
          <w:b/>
          <w:bCs/>
          <w:color w:val="auto"/>
          <w:sz w:val="21"/>
          <w:szCs w:val="21"/>
          <w:highlight w:val="none"/>
        </w:rPr>
        <w:t>（</w:t>
      </w:r>
      <w:r>
        <w:rPr>
          <w:b/>
          <w:bCs/>
          <w:color w:val="auto"/>
          <w:sz w:val="21"/>
          <w:szCs w:val="21"/>
          <w:highlight w:val="none"/>
        </w:rPr>
        <w:t>2</w:t>
      </w:r>
      <w:r>
        <w:rPr>
          <w:rFonts w:hint="eastAsia"/>
          <w:b/>
          <w:bCs/>
          <w:color w:val="auto"/>
          <w:sz w:val="21"/>
          <w:szCs w:val="21"/>
          <w:highlight w:val="none"/>
        </w:rPr>
        <w:t>）</w:t>
      </w:r>
      <w:r>
        <w:rPr>
          <w:b/>
          <w:bCs/>
          <w:color w:val="auto"/>
          <w:sz w:val="21"/>
          <w:szCs w:val="21"/>
          <w:highlight w:val="none"/>
        </w:rPr>
        <w:t xml:space="preserve"> </w:t>
      </w:r>
      <w:r>
        <w:rPr>
          <w:rFonts w:hint="eastAsia"/>
          <w:b/>
          <w:bCs/>
          <w:color w:val="auto"/>
          <w:sz w:val="21"/>
          <w:szCs w:val="21"/>
          <w:highlight w:val="none"/>
          <w:lang w:val="en-US" w:eastAsia="zh-CN"/>
        </w:rPr>
        <w:t xml:space="preserve"> </w:t>
      </w:r>
      <w:r>
        <w:rPr>
          <w:b/>
          <w:bCs/>
          <w:color w:val="auto"/>
          <w:sz w:val="21"/>
          <w:szCs w:val="21"/>
          <w:highlight w:val="none"/>
        </w:rPr>
        <w:t xml:space="preserve"> </w:t>
      </w:r>
      <w:r>
        <w:rPr>
          <w:rFonts w:hint="eastAsia"/>
          <w:b/>
          <w:bCs/>
          <w:color w:val="auto"/>
          <w:sz w:val="21"/>
          <w:szCs w:val="21"/>
          <w:highlight w:val="none"/>
        </w:rPr>
        <w:t>非</w:t>
      </w:r>
      <w:r>
        <w:rPr>
          <w:b/>
          <w:bCs/>
          <w:color w:val="auto"/>
          <w:sz w:val="21"/>
          <w:szCs w:val="21"/>
          <w:highlight w:val="none"/>
        </w:rPr>
        <w:t>正常工况下</w:t>
      </w:r>
      <w:r>
        <w:rPr>
          <w:rFonts w:hint="eastAsia"/>
          <w:b/>
          <w:bCs/>
          <w:color w:val="auto"/>
          <w:sz w:val="21"/>
          <w:szCs w:val="21"/>
          <w:highlight w:val="none"/>
        </w:rPr>
        <w:t>二氧化硫贡献浓度预测结果表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2"/>
        <w:gridCol w:w="737"/>
        <w:gridCol w:w="942"/>
        <w:gridCol w:w="1039"/>
        <w:gridCol w:w="1189"/>
        <w:gridCol w:w="1359"/>
        <w:gridCol w:w="1528"/>
        <w:gridCol w:w="1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点名称</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浓度类型</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浓度增量</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出现时间（YYMMDDHH）</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评价标准</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占标率%（叠加背景以后）</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1.30</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-1</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24070909</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26.02</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1.58</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-1</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24032711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31.65</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1.30</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-1</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24110911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26.05</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网格点</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1.32</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24072423</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263.18</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超标</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6.2.1-25</w:t>
      </w:r>
      <w:r>
        <w:rPr>
          <w:rFonts w:hint="eastAsia"/>
          <w:b/>
          <w:bCs/>
          <w:color w:val="auto"/>
          <w:sz w:val="21"/>
          <w:szCs w:val="21"/>
          <w:highlight w:val="none"/>
        </w:rPr>
        <w:t>（</w:t>
      </w:r>
      <w:r>
        <w:rPr>
          <w:b/>
          <w:bCs/>
          <w:color w:val="auto"/>
          <w:sz w:val="21"/>
          <w:szCs w:val="21"/>
          <w:highlight w:val="none"/>
        </w:rPr>
        <w:t>3</w:t>
      </w:r>
      <w:r>
        <w:rPr>
          <w:rFonts w:hint="eastAsia"/>
          <w:b/>
          <w:bCs/>
          <w:color w:val="auto"/>
          <w:sz w:val="21"/>
          <w:szCs w:val="21"/>
          <w:highlight w:val="none"/>
        </w:rPr>
        <w:t>）</w:t>
      </w:r>
      <w:r>
        <w:rPr>
          <w:b/>
          <w:bCs/>
          <w:color w:val="auto"/>
          <w:sz w:val="21"/>
          <w:szCs w:val="21"/>
          <w:highlight w:val="none"/>
        </w:rPr>
        <w:t xml:space="preserve">  </w:t>
      </w:r>
      <w:r>
        <w:rPr>
          <w:rFonts w:hint="eastAsia"/>
          <w:b/>
          <w:bCs/>
          <w:color w:val="auto"/>
          <w:sz w:val="21"/>
          <w:szCs w:val="21"/>
          <w:highlight w:val="none"/>
        </w:rPr>
        <w:t>非</w:t>
      </w:r>
      <w:r>
        <w:rPr>
          <w:b/>
          <w:bCs/>
          <w:color w:val="auto"/>
          <w:sz w:val="21"/>
          <w:szCs w:val="21"/>
          <w:highlight w:val="none"/>
        </w:rPr>
        <w:t>正常工况下</w:t>
      </w:r>
      <w:r>
        <w:rPr>
          <w:rFonts w:hint="eastAsia"/>
          <w:b/>
          <w:bCs/>
          <w:color w:val="auto"/>
          <w:sz w:val="21"/>
          <w:szCs w:val="21"/>
          <w:highlight w:val="none"/>
        </w:rPr>
        <w:t>氮氧化物贡献浓度预测结果表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2"/>
        <w:gridCol w:w="737"/>
        <w:gridCol w:w="942"/>
        <w:gridCol w:w="1039"/>
        <w:gridCol w:w="1189"/>
        <w:gridCol w:w="1359"/>
        <w:gridCol w:w="1528"/>
        <w:gridCol w:w="1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点名称</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浓度类型</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浓度增量</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出现时间（YYMMDDHH）</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评价标准</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lang w:eastAsia="zh-CN"/>
              </w:rPr>
              <w:t>）</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占标率%（叠加背景以后）</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7.52</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24070909</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2.50</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3.01</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9.15</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24032711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3.66</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7.53</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-3</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24110911</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3.01</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1"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615"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网格点</w:t>
            </w:r>
          </w:p>
        </w:tc>
        <w:tc>
          <w:tcPr>
            <w:tcW w:w="786"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1小时</w:t>
            </w:r>
          </w:p>
        </w:tc>
        <w:tc>
          <w:tcPr>
            <w:tcW w:w="867"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7.61</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-2</w:t>
            </w:r>
          </w:p>
        </w:tc>
        <w:tc>
          <w:tcPr>
            <w:tcW w:w="992" w:type="dxa"/>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24072423</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r>
              <w:rPr>
                <w:rFonts w:hint="default" w:ascii="Times New Roman" w:hAnsi="Times New Roman" w:cs="Times New Roman"/>
                <w:i w:val="0"/>
                <w:color w:val="auto"/>
                <w:kern w:val="0"/>
                <w:sz w:val="21"/>
                <w:szCs w:val="21"/>
                <w:highlight w:val="none"/>
                <w:u w:val="none"/>
                <w:lang w:val="en-US" w:eastAsia="zh-CN" w:bidi="ar"/>
              </w:rPr>
              <w:t>×10</w:t>
            </w:r>
            <w:r>
              <w:rPr>
                <w:rFonts w:hint="default" w:ascii="Times New Roman" w:hAnsi="Times New Roman" w:cs="Times New Roman"/>
                <w:i w:val="0"/>
                <w:color w:val="auto"/>
                <w:kern w:val="0"/>
                <w:sz w:val="21"/>
                <w:szCs w:val="21"/>
                <w:highlight w:val="none"/>
                <w:u w:val="none"/>
                <w:vertAlign w:val="superscript"/>
                <w:lang w:val="en-US" w:eastAsia="zh-CN" w:bidi="ar"/>
              </w:rPr>
              <w:t>-1</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30.43</w:t>
            </w:r>
          </w:p>
        </w:tc>
        <w:tc>
          <w:tcPr>
            <w:tcW w:w="8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bl>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auto"/>
        </w:rPr>
      </w:pPr>
      <w:r>
        <w:rPr>
          <w:rFonts w:hint="eastAsia"/>
          <w:color w:val="auto"/>
        </w:rPr>
        <w:t>根据非正常工况情况下污染物排放预测，项目二氧化硫、P</w:t>
      </w:r>
      <w:r>
        <w:rPr>
          <w:color w:val="auto"/>
        </w:rPr>
        <w:t>M</w:t>
      </w:r>
      <w:r>
        <w:rPr>
          <w:color w:val="auto"/>
          <w:vertAlign w:val="subscript"/>
        </w:rPr>
        <w:t>10</w:t>
      </w:r>
      <w:r>
        <w:rPr>
          <w:color w:val="auto"/>
        </w:rPr>
        <w:t>污染物出现超标，项目在运行过程中应加强管理，避免或减少非正常工况的产生。</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auto"/>
          <w:highlight w:val="none"/>
          <w:lang w:eastAsia="zh-CN"/>
        </w:rPr>
      </w:pPr>
      <w:r>
        <w:rPr>
          <w:rFonts w:hint="eastAsia"/>
          <w:color w:val="auto"/>
          <w:highlight w:val="none"/>
          <w:lang w:eastAsia="zh-CN"/>
        </w:rPr>
        <w:t>为了防范非正常工况对环境造成不良影响，建设单位应加强防范措施，高度重视大气污染治理设施的运行与维护工作。同时，设置废气超标排放自动报警系统与装置紧急停车系统，以减少非正常排放的概率和减轻非正常排放后果。</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auto"/>
          <w:highlight w:val="none"/>
          <w:lang w:eastAsia="zh-CN"/>
        </w:rPr>
      </w:pPr>
      <w:r>
        <w:rPr>
          <w:rFonts w:hint="eastAsia"/>
          <w:color w:val="auto"/>
          <w:highlight w:val="none"/>
          <w:lang w:eastAsia="zh-CN"/>
        </w:rPr>
        <w:t>一旦出现事故情况，应立即停产检修。待检修完毕并经过检查符合要求后，方可恢复生产。这样可以确保生产过程符合环保要求，并最大限度地减少对环境的影响。</w:t>
      </w:r>
    </w:p>
    <w:p>
      <w:pPr>
        <w:pStyle w:val="5"/>
        <w:keepLines w:val="0"/>
        <w:pageBreakBefore w:val="0"/>
        <w:kinsoku/>
        <w:wordWrap/>
        <w:topLinePunct w:val="0"/>
        <w:bidi w:val="0"/>
        <w:adjustRightInd w:val="0"/>
        <w:snapToGrid w:val="0"/>
        <w:ind w:left="0" w:leftChars="0" w:firstLine="0" w:firstLineChars="0"/>
        <w:textAlignment w:val="auto"/>
        <w:rPr>
          <w:rFonts w:hint="eastAsia"/>
          <w:color w:val="auto"/>
          <w:lang w:val="en-US" w:eastAsia="zh-CN"/>
        </w:rPr>
      </w:pPr>
      <w:r>
        <w:rPr>
          <w:rFonts w:hint="eastAsia"/>
          <w:color w:val="auto"/>
          <w:lang w:val="en-US" w:eastAsia="zh-CN"/>
        </w:rPr>
        <w:t>6.2.1.8大气防护距离</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auto"/>
        </w:rPr>
      </w:pPr>
      <w:r>
        <w:rPr>
          <w:rFonts w:hint="eastAsia"/>
          <w:color w:val="auto"/>
        </w:rPr>
        <w:t>根据《环境影响评价技术导则</w:t>
      </w:r>
      <w:r>
        <w:rPr>
          <w:color w:val="auto"/>
        </w:rPr>
        <w:t xml:space="preserve"> </w:t>
      </w:r>
      <w:r>
        <w:rPr>
          <w:rFonts w:hint="eastAsia"/>
          <w:color w:val="auto"/>
        </w:rPr>
        <w:t>大气环境》（</w:t>
      </w:r>
      <w:r>
        <w:rPr>
          <w:color w:val="auto"/>
        </w:rPr>
        <w:t>HJ2.2-2018</w:t>
      </w:r>
      <w:r>
        <w:rPr>
          <w:rFonts w:hint="eastAsia"/>
          <w:color w:val="auto"/>
        </w:rPr>
        <w:t>）</w:t>
      </w:r>
      <w:r>
        <w:rPr>
          <w:color w:val="auto"/>
        </w:rPr>
        <w:t>8.7.5</w:t>
      </w:r>
      <w:r>
        <w:rPr>
          <w:rFonts w:hint="eastAsia"/>
          <w:color w:val="auto"/>
        </w:rPr>
        <w:t>，对于项目厂界浓度满足大气污染物厂界浓度限值，但厂界外大气环境污染物短期浓度贡献值超过质量浓度限值的，可自厂界向外设置一定范围的大气环境防护区域，以确保大气环防护区域外的污染物贡献值满足环境质量标准。</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auto"/>
        </w:rPr>
      </w:pPr>
      <w:r>
        <w:rPr>
          <w:rFonts w:hint="eastAsia"/>
          <w:color w:val="auto"/>
        </w:rPr>
        <w:t>采用《环境影响评价技术导则</w:t>
      </w:r>
      <w:r>
        <w:rPr>
          <w:color w:val="auto"/>
        </w:rPr>
        <w:t xml:space="preserve"> </w:t>
      </w:r>
      <w:r>
        <w:rPr>
          <w:rFonts w:hint="eastAsia"/>
          <w:color w:val="auto"/>
        </w:rPr>
        <w:t>大气环境》（</w:t>
      </w:r>
      <w:r>
        <w:rPr>
          <w:color w:val="auto"/>
        </w:rPr>
        <w:t>HJ2.2-2018</w:t>
      </w:r>
      <w:r>
        <w:rPr>
          <w:rFonts w:hint="eastAsia"/>
          <w:color w:val="auto"/>
        </w:rPr>
        <w:t>）中</w:t>
      </w:r>
      <w:r>
        <w:rPr>
          <w:color w:val="auto"/>
        </w:rPr>
        <w:t>AERSCREEN</w:t>
      </w:r>
      <w:r>
        <w:rPr>
          <w:rFonts w:hint="eastAsia"/>
          <w:color w:val="auto"/>
        </w:rPr>
        <w:t>模型计算各个污染源排放污染物的下风向轴线浓度，并计算相应浓度占标率，本项目为一级评价，项目排放的各污染物在厂界外浓度无超标点，不需设置大气环境防护距离。</w:t>
      </w:r>
    </w:p>
    <w:p>
      <w:pPr>
        <w:pStyle w:val="5"/>
        <w:keepLines w:val="0"/>
        <w:pageBreakBefore w:val="0"/>
        <w:kinsoku/>
        <w:wordWrap/>
        <w:topLinePunct w:val="0"/>
        <w:bidi w:val="0"/>
        <w:adjustRightInd w:val="0"/>
        <w:snapToGrid w:val="0"/>
        <w:ind w:left="0" w:leftChars="0" w:firstLine="0" w:firstLineChars="0"/>
        <w:textAlignment w:val="auto"/>
        <w:rPr>
          <w:rFonts w:hint="default"/>
          <w:color w:val="auto"/>
          <w:lang w:val="en-US" w:eastAsia="zh-CN"/>
        </w:rPr>
      </w:pPr>
      <w:r>
        <w:rPr>
          <w:rFonts w:hint="eastAsia"/>
          <w:color w:val="auto"/>
          <w:lang w:val="en-US" w:eastAsia="zh-CN"/>
        </w:rPr>
        <w:t>6.2.1.9等级判定结果</w:t>
      </w:r>
    </w:p>
    <w:p>
      <w:pPr>
        <w:keepNext w:val="0"/>
        <w:keepLines w:val="0"/>
        <w:pageBreakBefore w:val="0"/>
        <w:widowControl w:val="0"/>
        <w:kinsoku/>
        <w:wordWrap/>
        <w:overflowPunct/>
        <w:topLinePunct w:val="0"/>
        <w:autoSpaceDE/>
        <w:autoSpaceDN/>
        <w:bidi w:val="0"/>
        <w:adjustRightInd w:val="0"/>
        <w:snapToGrid w:val="0"/>
        <w:ind w:firstLine="480" w:firstLineChars="200"/>
        <w:jc w:val="center"/>
        <w:textAlignment w:val="auto"/>
        <w:rPr>
          <w:color w:val="auto"/>
          <w:highlight w:val="none"/>
        </w:rPr>
      </w:pPr>
      <w:r>
        <w:rPr>
          <w:color w:val="auto"/>
          <w:highlight w:val="none"/>
        </w:rPr>
        <w:t>本项目所有污染源的正常排放的污染物的P</w:t>
      </w:r>
      <w:r>
        <w:rPr>
          <w:color w:val="auto"/>
          <w:highlight w:val="none"/>
          <w:vertAlign w:val="subscript"/>
        </w:rPr>
        <w:t>max</w:t>
      </w:r>
      <w:r>
        <w:rPr>
          <w:color w:val="auto"/>
          <w:highlight w:val="none"/>
        </w:rPr>
        <w:t>和D</w:t>
      </w:r>
      <w:r>
        <w:rPr>
          <w:color w:val="auto"/>
          <w:highlight w:val="none"/>
          <w:vertAlign w:val="subscript"/>
        </w:rPr>
        <w:t>10%</w:t>
      </w:r>
      <w:r>
        <w:rPr>
          <w:color w:val="auto"/>
          <w:highlight w:val="none"/>
        </w:rPr>
        <w:t>预测结果如下：</w:t>
      </w:r>
    </w:p>
    <w:p>
      <w:pPr>
        <w:spacing w:line="240" w:lineRule="auto"/>
        <w:jc w:val="center"/>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 xml:space="preserve">6.2.1-26 </w:t>
      </w:r>
      <w:r>
        <w:rPr>
          <w:b/>
          <w:bCs/>
          <w:color w:val="auto"/>
          <w:sz w:val="21"/>
          <w:szCs w:val="21"/>
          <w:highlight w:val="none"/>
        </w:rPr>
        <w:t xml:space="preserve">  估算模式预测结果一览表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84"/>
        <w:gridCol w:w="1262"/>
        <w:gridCol w:w="1687"/>
        <w:gridCol w:w="1294"/>
        <w:gridCol w:w="13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污染源名称</w:t>
            </w:r>
          </w:p>
        </w:tc>
        <w:tc>
          <w:tcPr>
            <w:tcW w:w="7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评价</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因子</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C</w:t>
            </w:r>
            <w:r>
              <w:rPr>
                <w:rFonts w:hint="default" w:ascii="Times New Roman" w:hAnsi="Times New Roman" w:eastAsia="宋体" w:cs="Times New Roman"/>
                <w:b/>
                <w:bCs/>
                <w:color w:val="auto"/>
                <w:sz w:val="21"/>
                <w:szCs w:val="21"/>
                <w:highlight w:val="none"/>
                <w:vertAlign w:val="subscript"/>
              </w:rPr>
              <w:t>max</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μg/m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lang w:eastAsia="zh-CN"/>
              </w:rPr>
              <w:t>）</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P</w:t>
            </w:r>
            <w:r>
              <w:rPr>
                <w:rFonts w:hint="default" w:ascii="Times New Roman" w:hAnsi="Times New Roman" w:eastAsia="宋体" w:cs="Times New Roman"/>
                <w:b/>
                <w:bCs/>
                <w:color w:val="auto"/>
                <w:sz w:val="21"/>
                <w:szCs w:val="21"/>
                <w:highlight w:val="none"/>
                <w:vertAlign w:val="subscript"/>
              </w:rPr>
              <w:t>max</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w:t>
            </w:r>
            <w:r>
              <w:rPr>
                <w:rFonts w:hint="default" w:ascii="Times New Roman" w:hAnsi="Times New Roman" w:eastAsia="宋体" w:cs="Times New Roman"/>
                <w:b/>
                <w:bCs/>
                <w:color w:val="auto"/>
                <w:sz w:val="21"/>
                <w:szCs w:val="21"/>
                <w:highlight w:val="none"/>
                <w:lang w:eastAsia="zh-CN"/>
              </w:rPr>
              <w:t>）</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D</w:t>
            </w:r>
            <w:r>
              <w:rPr>
                <w:rFonts w:hint="default" w:ascii="Times New Roman" w:hAnsi="Times New Roman" w:eastAsia="宋体" w:cs="Times New Roman"/>
                <w:b/>
                <w:bCs/>
                <w:color w:val="auto"/>
                <w:sz w:val="21"/>
                <w:szCs w:val="21"/>
                <w:highlight w:val="none"/>
                <w:vertAlign w:val="subscript"/>
              </w:rPr>
              <w:t>10%</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m</w:t>
            </w:r>
            <w:r>
              <w:rPr>
                <w:rFonts w:hint="default" w:ascii="Times New Roman" w:hAnsi="Times New Roman" w:eastAsia="宋体" w:cs="Times New Roman"/>
                <w:b/>
                <w:bCs/>
                <w:color w:val="auto"/>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锅炉烟囱DA001</w:t>
            </w:r>
          </w:p>
        </w:tc>
        <w:tc>
          <w:tcPr>
            <w:tcW w:w="7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PM</w:t>
            </w:r>
            <w:r>
              <w:rPr>
                <w:rFonts w:hint="default" w:ascii="Times New Roman" w:hAnsi="Times New Roman" w:eastAsia="宋体" w:cs="Times New Roman"/>
                <w:color w:val="auto"/>
                <w:sz w:val="21"/>
                <w:szCs w:val="21"/>
                <w:vertAlign w:val="subscript"/>
                <w:lang w:val="en-US" w:eastAsia="zh-CN"/>
              </w:rPr>
              <w:t>10</w:t>
            </w:r>
          </w:p>
        </w:tc>
        <w:tc>
          <w:tcPr>
            <w:tcW w:w="98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2.14×10</w:t>
            </w:r>
            <w:r>
              <w:rPr>
                <w:rFonts w:hint="default" w:ascii="Times New Roman" w:hAnsi="Times New Roman" w:eastAsia="宋体" w:cs="Times New Roman"/>
                <w:i w:val="0"/>
                <w:color w:val="auto"/>
                <w:kern w:val="0"/>
                <w:sz w:val="21"/>
                <w:szCs w:val="21"/>
                <w:highlight w:val="none"/>
                <w:u w:val="none"/>
                <w:vertAlign w:val="superscript"/>
                <w:lang w:val="en-US" w:eastAsia="zh-CN" w:bidi="ar"/>
              </w:rPr>
              <w:t>-3</w:t>
            </w:r>
          </w:p>
        </w:tc>
        <w:tc>
          <w:tcPr>
            <w:tcW w:w="7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0.48</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color w:val="auto"/>
                <w:sz w:val="21"/>
                <w:szCs w:val="21"/>
                <w:highlight w:val="none"/>
              </w:rPr>
            </w:pPr>
            <w:r>
              <w:rPr>
                <w:rFonts w:hint="eastAsia"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eastAsia="宋体" w:cs="Times New Roman"/>
                <w:b w:val="0"/>
                <w:color w:val="auto"/>
                <w:sz w:val="21"/>
                <w:szCs w:val="21"/>
                <w:highlight w:val="none"/>
                <w:lang w:val="en-US" w:eastAsia="zh-CN"/>
              </w:rPr>
              <w:t>二氧化硫</w:t>
            </w:r>
          </w:p>
        </w:tc>
        <w:tc>
          <w:tcPr>
            <w:tcW w:w="98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9.11</w:t>
            </w:r>
            <w:r>
              <w:rPr>
                <w:rFonts w:hint="default" w:ascii="Arial" w:hAnsi="Arial" w:cs="Arial"/>
                <w:i w:val="0"/>
                <w:color w:val="auto"/>
                <w:kern w:val="0"/>
                <w:sz w:val="21"/>
                <w:szCs w:val="21"/>
                <w:highlight w:val="none"/>
                <w:u w:val="none"/>
                <w:lang w:val="en-US" w:eastAsia="zh-CN" w:bidi="ar"/>
              </w:rPr>
              <w:t>×</w:t>
            </w:r>
            <w:r>
              <w:rPr>
                <w:rFonts w:hint="eastAsia" w:cs="Times New Roman"/>
                <w:i w:val="0"/>
                <w:color w:val="auto"/>
                <w:kern w:val="0"/>
                <w:sz w:val="21"/>
                <w:szCs w:val="21"/>
                <w:highlight w:val="none"/>
                <w:u w:val="none"/>
                <w:lang w:val="en-US" w:eastAsia="zh-CN" w:bidi="ar"/>
              </w:rPr>
              <w:t>10</w:t>
            </w:r>
            <w:r>
              <w:rPr>
                <w:rFonts w:hint="eastAsia" w:cs="Times New Roman"/>
                <w:i w:val="0"/>
                <w:color w:val="auto"/>
                <w:kern w:val="0"/>
                <w:sz w:val="21"/>
                <w:szCs w:val="21"/>
                <w:highlight w:val="none"/>
                <w:u w:val="none"/>
                <w:vertAlign w:val="superscript"/>
                <w:lang w:val="en-US" w:eastAsia="zh-CN" w:bidi="ar"/>
              </w:rPr>
              <w:t>-3</w:t>
            </w:r>
          </w:p>
        </w:tc>
        <w:tc>
          <w:tcPr>
            <w:tcW w:w="7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1.82</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eastAsia="宋体" w:cs="Times New Roman"/>
                <w:b w:val="0"/>
                <w:color w:val="auto"/>
                <w:sz w:val="21"/>
                <w:szCs w:val="21"/>
                <w:highlight w:val="none"/>
                <w:lang w:val="en-US" w:eastAsia="zh-CN"/>
              </w:rPr>
              <w:t>氮氧化物</w:t>
            </w:r>
          </w:p>
        </w:tc>
        <w:tc>
          <w:tcPr>
            <w:tcW w:w="98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1.32</w:t>
            </w:r>
            <w:r>
              <w:rPr>
                <w:rFonts w:hint="default" w:ascii="Arial" w:hAnsi="Arial" w:cs="Arial"/>
                <w:i w:val="0"/>
                <w:color w:val="auto"/>
                <w:kern w:val="0"/>
                <w:sz w:val="21"/>
                <w:szCs w:val="21"/>
                <w:highlight w:val="none"/>
                <w:u w:val="none"/>
                <w:lang w:val="en-US" w:eastAsia="zh-CN" w:bidi="ar"/>
              </w:rPr>
              <w:t>×</w:t>
            </w:r>
            <w:r>
              <w:rPr>
                <w:rFonts w:hint="eastAsia" w:cs="Times New Roman"/>
                <w:i w:val="0"/>
                <w:color w:val="auto"/>
                <w:kern w:val="0"/>
                <w:sz w:val="21"/>
                <w:szCs w:val="21"/>
                <w:highlight w:val="none"/>
                <w:u w:val="none"/>
                <w:lang w:val="en-US" w:eastAsia="zh-CN" w:bidi="ar"/>
              </w:rPr>
              <w:t>10</w:t>
            </w:r>
            <w:r>
              <w:rPr>
                <w:rFonts w:hint="eastAsia" w:cs="Times New Roman"/>
                <w:i w:val="0"/>
                <w:color w:val="auto"/>
                <w:kern w:val="0"/>
                <w:sz w:val="21"/>
                <w:szCs w:val="21"/>
                <w:highlight w:val="none"/>
                <w:u w:val="none"/>
                <w:vertAlign w:val="superscript"/>
                <w:lang w:val="en-US" w:eastAsia="zh-CN" w:bidi="ar"/>
              </w:rPr>
              <w:t>-2</w:t>
            </w:r>
          </w:p>
        </w:tc>
        <w:tc>
          <w:tcPr>
            <w:tcW w:w="7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5.27</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color w:val="auto"/>
                <w:sz w:val="21"/>
                <w:szCs w:val="21"/>
                <w:highlight w:val="none"/>
              </w:rPr>
            </w:pPr>
            <w:r>
              <w:rPr>
                <w:rFonts w:hint="eastAsia"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eastAsia="宋体" w:cs="Times New Roman"/>
                <w:b w:val="0"/>
                <w:color w:val="auto"/>
                <w:sz w:val="21"/>
                <w:szCs w:val="21"/>
                <w:highlight w:val="none"/>
                <w:lang w:val="en-US" w:eastAsia="zh-CN"/>
              </w:rPr>
              <w:t>汞</w:t>
            </w:r>
          </w:p>
        </w:tc>
        <w:tc>
          <w:tcPr>
            <w:tcW w:w="98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4.96</w:t>
            </w:r>
            <w:r>
              <w:rPr>
                <w:rFonts w:hint="default" w:cs="Times New Roman"/>
                <w:i w:val="0"/>
                <w:color w:val="auto"/>
                <w:kern w:val="0"/>
                <w:sz w:val="21"/>
                <w:szCs w:val="21"/>
                <w:highlight w:val="none"/>
                <w:u w:val="none"/>
                <w:lang w:val="en-US" w:eastAsia="zh-CN" w:bidi="ar"/>
              </w:rPr>
              <w:t>×</w:t>
            </w:r>
            <w:r>
              <w:rPr>
                <w:rFonts w:hint="eastAsia" w:cs="Times New Roman"/>
                <w:i w:val="0"/>
                <w:color w:val="auto"/>
                <w:kern w:val="0"/>
                <w:sz w:val="21"/>
                <w:szCs w:val="21"/>
                <w:highlight w:val="none"/>
                <w:u w:val="none"/>
                <w:lang w:val="en-US" w:eastAsia="zh-CN" w:bidi="ar"/>
              </w:rPr>
              <w:t>10</w:t>
            </w:r>
            <w:r>
              <w:rPr>
                <w:rFonts w:hint="eastAsia" w:cs="Times New Roman"/>
                <w:i w:val="0"/>
                <w:color w:val="auto"/>
                <w:kern w:val="0"/>
                <w:sz w:val="21"/>
                <w:szCs w:val="21"/>
                <w:highlight w:val="none"/>
                <w:u w:val="none"/>
                <w:vertAlign w:val="superscript"/>
                <w:lang w:val="en-US" w:eastAsia="zh-CN" w:bidi="ar"/>
              </w:rPr>
              <w:t>-7</w:t>
            </w:r>
          </w:p>
        </w:tc>
        <w:tc>
          <w:tcPr>
            <w:tcW w:w="7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0.17</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color w:val="auto"/>
                <w:sz w:val="21"/>
                <w:szCs w:val="21"/>
                <w:highlight w:val="none"/>
              </w:rPr>
            </w:pPr>
            <w:r>
              <w:rPr>
                <w:rFonts w:hint="eastAsia"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lang w:val="en-US" w:eastAsia="zh-CN"/>
              </w:rPr>
              <w:t>无组织</w:t>
            </w:r>
          </w:p>
        </w:tc>
        <w:tc>
          <w:tcPr>
            <w:tcW w:w="7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eastAsia="宋体" w:cs="Times New Roman"/>
                <w:b w:val="0"/>
                <w:color w:val="auto"/>
                <w:sz w:val="21"/>
                <w:szCs w:val="21"/>
                <w:highlight w:val="none"/>
                <w:lang w:val="en-US" w:eastAsia="zh-CN"/>
              </w:rPr>
              <w:t>颗粒物</w:t>
            </w:r>
          </w:p>
        </w:tc>
        <w:tc>
          <w:tcPr>
            <w:tcW w:w="98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2.60</w:t>
            </w:r>
            <w:r>
              <w:rPr>
                <w:rFonts w:hint="default" w:cs="Times New Roman"/>
                <w:i w:val="0"/>
                <w:color w:val="auto"/>
                <w:kern w:val="0"/>
                <w:sz w:val="21"/>
                <w:szCs w:val="21"/>
                <w:highlight w:val="none"/>
                <w:u w:val="none"/>
                <w:lang w:val="en-US" w:eastAsia="zh-CN" w:bidi="ar"/>
              </w:rPr>
              <w:t>×</w:t>
            </w:r>
            <w:r>
              <w:rPr>
                <w:rFonts w:hint="eastAsia" w:cs="Times New Roman"/>
                <w:i w:val="0"/>
                <w:color w:val="auto"/>
                <w:kern w:val="0"/>
                <w:sz w:val="21"/>
                <w:szCs w:val="21"/>
                <w:highlight w:val="none"/>
                <w:u w:val="none"/>
                <w:lang w:val="en-US" w:eastAsia="zh-CN" w:bidi="ar"/>
              </w:rPr>
              <w:t>10</w:t>
            </w:r>
            <w:r>
              <w:rPr>
                <w:rFonts w:hint="eastAsia" w:cs="Times New Roman"/>
                <w:i w:val="0"/>
                <w:color w:val="auto"/>
                <w:kern w:val="0"/>
                <w:sz w:val="21"/>
                <w:szCs w:val="21"/>
                <w:highlight w:val="none"/>
                <w:u w:val="none"/>
                <w:vertAlign w:val="superscript"/>
                <w:lang w:val="en-US" w:eastAsia="zh-CN" w:bidi="ar"/>
              </w:rPr>
              <w:t>-1</w:t>
            </w:r>
          </w:p>
        </w:tc>
        <w:tc>
          <w:tcPr>
            <w:tcW w:w="7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28.85</w:t>
            </w:r>
          </w:p>
        </w:tc>
        <w:tc>
          <w:tcPr>
            <w:tcW w:w="8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400</w:t>
            </w:r>
          </w:p>
        </w:tc>
      </w:tr>
    </w:tbl>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b w:val="0"/>
          <w:bCs/>
          <w:color w:val="auto"/>
          <w:kern w:val="0"/>
          <w:sz w:val="24"/>
          <w:szCs w:val="24"/>
          <w:highlight w:val="none"/>
          <w:lang w:val="en-US" w:eastAsia="zh-CN" w:bidi="ar-SA"/>
        </w:rPr>
      </w:pPr>
      <w:r>
        <w:rPr>
          <w:rFonts w:hint="eastAsia" w:ascii="Times New Roman" w:hAnsi="Times New Roman" w:eastAsia="宋体" w:cs="Times New Roman"/>
          <w:b w:val="0"/>
          <w:bCs/>
          <w:color w:val="auto"/>
          <w:kern w:val="0"/>
          <w:sz w:val="24"/>
          <w:szCs w:val="24"/>
          <w:highlight w:val="none"/>
          <w:lang w:val="en-US" w:eastAsia="zh-CN" w:bidi="ar-SA"/>
        </w:rPr>
        <w:t>本项目无组织排放颗粒物占标率最大，最大占标率为</w:t>
      </w:r>
      <w:r>
        <w:rPr>
          <w:rFonts w:hint="eastAsia" w:cs="Times New Roman"/>
          <w:b w:val="0"/>
          <w:bCs/>
          <w:color w:val="auto"/>
          <w:kern w:val="0"/>
          <w:sz w:val="24"/>
          <w:szCs w:val="24"/>
          <w:highlight w:val="none"/>
          <w:lang w:val="en-US" w:eastAsia="zh-CN" w:bidi="ar-SA"/>
        </w:rPr>
        <w:t>28.85</w:t>
      </w:r>
      <w:r>
        <w:rPr>
          <w:rFonts w:hint="default" w:ascii="Times New Roman" w:hAnsi="Times New Roman" w:eastAsia="宋体" w:cs="Times New Roman"/>
          <w:b w:val="0"/>
          <w:bCs/>
          <w:color w:val="auto"/>
          <w:kern w:val="0"/>
          <w:sz w:val="24"/>
          <w:szCs w:val="24"/>
          <w:highlight w:val="none"/>
          <w:lang w:val="en-US" w:eastAsia="zh-CN" w:bidi="ar-SA"/>
        </w:rPr>
        <w:t>%</w:t>
      </w:r>
      <w:r>
        <w:rPr>
          <w:rFonts w:hint="eastAsia" w:ascii="Times New Roman" w:hAnsi="Times New Roman" w:eastAsia="宋体" w:cs="Times New Roman"/>
          <w:b w:val="0"/>
          <w:bCs/>
          <w:color w:val="auto"/>
          <w:kern w:val="0"/>
          <w:sz w:val="24"/>
          <w:szCs w:val="24"/>
          <w:highlight w:val="none"/>
          <w:lang w:val="en-US" w:eastAsia="zh-CN" w:bidi="ar-SA"/>
        </w:rPr>
        <w:t>，</w:t>
      </w:r>
      <w:r>
        <w:rPr>
          <w:rFonts w:hint="default" w:ascii="Times New Roman" w:hAnsi="Times New Roman" w:eastAsia="宋体" w:cs="Times New Roman"/>
          <w:b w:val="0"/>
          <w:bCs/>
          <w:color w:val="auto"/>
          <w:kern w:val="0"/>
          <w:sz w:val="24"/>
          <w:szCs w:val="24"/>
          <w:highlight w:val="none"/>
          <w:lang w:val="en-US" w:eastAsia="zh-CN" w:bidi="ar-SA"/>
        </w:rPr>
        <w:t>P</w:t>
      </w:r>
      <w:r>
        <w:rPr>
          <w:rFonts w:hint="default" w:ascii="Times New Roman" w:hAnsi="Times New Roman" w:eastAsia="宋体" w:cs="Times New Roman"/>
          <w:b w:val="0"/>
          <w:bCs/>
          <w:color w:val="auto"/>
          <w:kern w:val="0"/>
          <w:sz w:val="24"/>
          <w:szCs w:val="24"/>
          <w:highlight w:val="none"/>
          <w:vertAlign w:val="subscript"/>
          <w:lang w:val="en-US" w:eastAsia="zh-CN" w:bidi="ar-SA"/>
        </w:rPr>
        <w:t>max</w:t>
      </w:r>
      <w:r>
        <w:rPr>
          <w:rFonts w:hint="eastAsia" w:ascii="Times New Roman" w:hAnsi="Times New Roman" w:eastAsia="宋体" w:cs="Times New Roman"/>
          <w:b w:val="0"/>
          <w:bCs/>
          <w:color w:val="auto"/>
          <w:kern w:val="0"/>
          <w:sz w:val="24"/>
          <w:szCs w:val="24"/>
          <w:highlight w:val="none"/>
          <w:lang w:val="en-US" w:eastAsia="zh-CN" w:bidi="ar-SA"/>
        </w:rPr>
        <w:t>＞</w:t>
      </w:r>
      <w:r>
        <w:rPr>
          <w:rFonts w:hint="default" w:ascii="Times New Roman" w:hAnsi="Times New Roman" w:eastAsia="宋体" w:cs="Times New Roman"/>
          <w:b w:val="0"/>
          <w:bCs/>
          <w:color w:val="auto"/>
          <w:kern w:val="0"/>
          <w:sz w:val="24"/>
          <w:szCs w:val="24"/>
          <w:highlight w:val="none"/>
          <w:lang w:val="en-US" w:eastAsia="zh-CN" w:bidi="ar-SA"/>
        </w:rPr>
        <w:t>10%</w:t>
      </w:r>
      <w:r>
        <w:rPr>
          <w:rFonts w:hint="eastAsia" w:ascii="Times New Roman" w:hAnsi="Times New Roman" w:eastAsia="宋体" w:cs="Times New Roman"/>
          <w:b w:val="0"/>
          <w:bCs/>
          <w:color w:val="auto"/>
          <w:kern w:val="0"/>
          <w:sz w:val="24"/>
          <w:szCs w:val="24"/>
          <w:highlight w:val="none"/>
          <w:lang w:val="en-US" w:eastAsia="zh-CN" w:bidi="ar-SA"/>
        </w:rPr>
        <w:t>，本次评价等级为一级。</w:t>
      </w:r>
    </w:p>
    <w:p>
      <w:pPr>
        <w:pStyle w:val="5"/>
        <w:keepLines w:val="0"/>
        <w:pageBreakBefore w:val="0"/>
        <w:kinsoku/>
        <w:wordWrap/>
        <w:topLinePunct w:val="0"/>
        <w:bidi w:val="0"/>
        <w:adjustRightInd w:val="0"/>
        <w:snapToGrid w:val="0"/>
        <w:ind w:left="0" w:leftChars="0" w:firstLine="0" w:firstLineChars="0"/>
        <w:textAlignment w:val="auto"/>
        <w:rPr>
          <w:rFonts w:hint="eastAsia"/>
          <w:color w:val="auto"/>
          <w:lang w:val="en-US" w:eastAsia="zh-CN"/>
        </w:rPr>
      </w:pPr>
      <w:r>
        <w:rPr>
          <w:rFonts w:hint="eastAsia"/>
          <w:color w:val="auto"/>
          <w:lang w:val="en-US" w:eastAsia="zh-CN"/>
        </w:rPr>
        <w:t>6.2.1.10污染物排放核算</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auto"/>
          <w:highlight w:val="none"/>
        </w:rPr>
      </w:pPr>
      <w:r>
        <w:rPr>
          <w:rFonts w:hint="eastAsia"/>
          <w:color w:val="auto"/>
          <w:highlight w:val="none"/>
        </w:rPr>
        <w:t>本项目大气污染物有组织排放量核算见表</w:t>
      </w:r>
      <w:r>
        <w:rPr>
          <w:rFonts w:hint="eastAsia"/>
          <w:color w:val="auto"/>
          <w:highlight w:val="none"/>
          <w:lang w:val="en-US" w:eastAsia="zh-CN"/>
        </w:rPr>
        <w:t>6.2-27</w:t>
      </w:r>
      <w:r>
        <w:rPr>
          <w:rFonts w:hint="eastAsia"/>
          <w:color w:val="auto"/>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表</w:t>
      </w:r>
      <w:r>
        <w:rPr>
          <w:rFonts w:hint="eastAsia"/>
          <w:b/>
          <w:bCs/>
          <w:color w:val="auto"/>
          <w:sz w:val="21"/>
          <w:szCs w:val="21"/>
          <w:highlight w:val="none"/>
          <w:lang w:val="en-US" w:eastAsia="zh-CN"/>
        </w:rPr>
        <w:t xml:space="preserve">6.2.1-27 </w:t>
      </w:r>
      <w:r>
        <w:rPr>
          <w:rFonts w:hint="eastAsia"/>
          <w:b/>
          <w:bCs/>
          <w:color w:val="auto"/>
          <w:sz w:val="21"/>
          <w:szCs w:val="21"/>
          <w:highlight w:val="none"/>
        </w:rPr>
        <w:t xml:space="preserve">  大气</w:t>
      </w:r>
      <w:r>
        <w:rPr>
          <w:b/>
          <w:bCs/>
          <w:color w:val="auto"/>
          <w:sz w:val="21"/>
          <w:szCs w:val="21"/>
          <w:highlight w:val="none"/>
        </w:rPr>
        <w:t>污染物有组织排放量核算表</w:t>
      </w:r>
    </w:p>
    <w:tbl>
      <w:tblPr>
        <w:tblStyle w:val="33"/>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276"/>
        <w:gridCol w:w="1134"/>
        <w:gridCol w:w="2452"/>
        <w:gridCol w:w="1422"/>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81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序号</w:t>
            </w:r>
          </w:p>
        </w:tc>
        <w:tc>
          <w:tcPr>
            <w:tcW w:w="1276"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排放口</w:t>
            </w:r>
            <w:r>
              <w:rPr>
                <w:b/>
                <w:bCs/>
                <w:color w:val="auto"/>
                <w:sz w:val="21"/>
                <w:szCs w:val="21"/>
                <w:highlight w:val="none"/>
              </w:rPr>
              <w:t>编号</w:t>
            </w:r>
          </w:p>
        </w:tc>
        <w:tc>
          <w:tcPr>
            <w:tcW w:w="113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污染物</w:t>
            </w:r>
          </w:p>
        </w:tc>
        <w:tc>
          <w:tcPr>
            <w:tcW w:w="2452"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核算</w:t>
            </w:r>
            <w:r>
              <w:rPr>
                <w:b/>
                <w:bCs/>
                <w:color w:val="auto"/>
                <w:sz w:val="21"/>
                <w:szCs w:val="21"/>
                <w:highlight w:val="none"/>
              </w:rPr>
              <w:t>排放浓度</w:t>
            </w:r>
            <w:r>
              <w:rPr>
                <w:rFonts w:hint="eastAsia"/>
                <w:b/>
                <w:bCs/>
                <w:color w:val="auto"/>
                <w:sz w:val="21"/>
                <w:szCs w:val="21"/>
                <w:highlight w:val="none"/>
              </w:rPr>
              <w:t>（</w:t>
            </w:r>
            <w:r>
              <w:rPr>
                <w:rFonts w:hint="eastAsia"/>
                <w:b/>
                <w:bCs/>
                <w:color w:val="auto"/>
                <w:sz w:val="21"/>
                <w:szCs w:val="21"/>
                <w:highlight w:val="none"/>
                <w:lang w:val="en-US" w:eastAsia="zh-CN"/>
              </w:rPr>
              <w:t>m</w:t>
            </w:r>
            <w:r>
              <w:rPr>
                <w:rFonts w:hint="eastAsia"/>
                <w:b/>
                <w:bCs/>
                <w:color w:val="auto"/>
                <w:sz w:val="21"/>
                <w:szCs w:val="21"/>
                <w:highlight w:val="none"/>
              </w:rPr>
              <w:t>g</w:t>
            </w:r>
            <w:r>
              <w:rPr>
                <w:b/>
                <w:bCs/>
                <w:color w:val="auto"/>
                <w:sz w:val="21"/>
                <w:szCs w:val="21"/>
                <w:highlight w:val="none"/>
              </w:rPr>
              <w:t>/m</w:t>
            </w:r>
            <w:r>
              <w:rPr>
                <w:rFonts w:hint="eastAsia"/>
                <w:b/>
                <w:bCs/>
                <w:color w:val="auto"/>
                <w:sz w:val="21"/>
                <w:szCs w:val="21"/>
                <w:highlight w:val="none"/>
                <w:vertAlign w:val="superscript"/>
                <w:lang w:val="en-US" w:eastAsia="zh-CN"/>
              </w:rPr>
              <w:t>3</w:t>
            </w:r>
            <w:r>
              <w:rPr>
                <w:rFonts w:hint="eastAsia"/>
                <w:b/>
                <w:bCs/>
                <w:color w:val="auto"/>
                <w:sz w:val="21"/>
                <w:szCs w:val="21"/>
                <w:highlight w:val="none"/>
              </w:rPr>
              <w:t>）</w:t>
            </w:r>
          </w:p>
        </w:tc>
        <w:tc>
          <w:tcPr>
            <w:tcW w:w="1422"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核算</w:t>
            </w:r>
            <w:r>
              <w:rPr>
                <w:b/>
                <w:bCs/>
                <w:color w:val="auto"/>
                <w:sz w:val="21"/>
                <w:szCs w:val="21"/>
                <w:highlight w:val="none"/>
              </w:rPr>
              <w:t>排放速率</w:t>
            </w:r>
            <w:r>
              <w:rPr>
                <w:rFonts w:hint="eastAsia"/>
                <w:b/>
                <w:bCs/>
                <w:color w:val="auto"/>
                <w:sz w:val="21"/>
                <w:szCs w:val="21"/>
                <w:highlight w:val="none"/>
              </w:rPr>
              <w:t>（kg/h）</w:t>
            </w:r>
          </w:p>
        </w:tc>
        <w:tc>
          <w:tcPr>
            <w:tcW w:w="142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核算</w:t>
            </w:r>
            <w:r>
              <w:rPr>
                <w:b/>
                <w:bCs/>
                <w:color w:val="auto"/>
                <w:sz w:val="21"/>
                <w:szCs w:val="21"/>
                <w:highlight w:val="none"/>
              </w:rPr>
              <w:t>年排放量</w:t>
            </w:r>
            <w:r>
              <w:rPr>
                <w:rFonts w:hint="eastAsia"/>
                <w:b/>
                <w:bCs/>
                <w:color w:val="auto"/>
                <w:sz w:val="21"/>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817"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1</w:t>
            </w:r>
          </w:p>
        </w:tc>
        <w:tc>
          <w:tcPr>
            <w:tcW w:w="1276"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DA00</w:t>
            </w:r>
            <w:r>
              <w:rPr>
                <w:rFonts w:hint="eastAsia"/>
                <w:color w:val="auto"/>
                <w:sz w:val="21"/>
                <w:szCs w:val="21"/>
                <w:highlight w:val="none"/>
              </w:rPr>
              <w:t>1</w:t>
            </w:r>
          </w:p>
        </w:tc>
        <w:tc>
          <w:tcPr>
            <w:tcW w:w="1134"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eastAsia" w:ascii="Times New Roman" w:hAnsi="Times New Roman" w:eastAsia="宋体" w:cs="Times New Roman"/>
                <w:color w:val="auto"/>
                <w:kern w:val="2"/>
                <w:sz w:val="21"/>
                <w:szCs w:val="21"/>
                <w:highlight w:val="none"/>
                <w:lang w:val="en-US" w:eastAsia="zh-CN" w:bidi="ar-SA"/>
              </w:rPr>
              <w:t>颗粒物</w:t>
            </w:r>
          </w:p>
        </w:tc>
        <w:tc>
          <w:tcPr>
            <w:tcW w:w="2452"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eastAsia" w:ascii="Times New Roman" w:hAnsi="Times New Roman" w:cs="Times New Roman"/>
                <w:color w:val="auto"/>
                <w:sz w:val="21"/>
                <w:szCs w:val="21"/>
                <w:lang w:val="en-US" w:eastAsia="zh-CN"/>
              </w:rPr>
              <w:t>7.33</w:t>
            </w:r>
          </w:p>
        </w:tc>
        <w:tc>
          <w:tcPr>
            <w:tcW w:w="1422"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eastAsia" w:ascii="Times New Roman" w:hAnsi="Times New Roman" w:cs="Times New Roman"/>
                <w:color w:val="auto"/>
                <w:sz w:val="21"/>
                <w:szCs w:val="21"/>
                <w:lang w:val="en-US" w:eastAsia="zh-CN"/>
              </w:rPr>
              <w:t>3.065</w:t>
            </w:r>
          </w:p>
        </w:tc>
        <w:tc>
          <w:tcPr>
            <w:tcW w:w="1421"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default" w:ascii="Times New Roman" w:hAnsi="Times New Roman" w:eastAsia="宋体" w:cs="Times New Roman"/>
                <w:color w:val="auto"/>
                <w:sz w:val="21"/>
                <w:szCs w:val="21"/>
                <w:lang w:val="en-US" w:eastAsia="zh-CN"/>
              </w:rPr>
              <w:t>9.9306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81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276"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134"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default" w:ascii="Times New Roman" w:hAnsi="Times New Roman" w:eastAsia="宋体" w:cs="Times New Roman"/>
                <w:color w:val="auto"/>
                <w:sz w:val="21"/>
                <w:szCs w:val="21"/>
                <w:lang w:val="en-US" w:eastAsia="zh-CN"/>
              </w:rPr>
              <w:t>SO</w:t>
            </w:r>
            <w:r>
              <w:rPr>
                <w:rFonts w:hint="default" w:ascii="Times New Roman" w:hAnsi="Times New Roman" w:eastAsia="宋体" w:cs="Times New Roman"/>
                <w:color w:val="auto"/>
                <w:sz w:val="21"/>
                <w:szCs w:val="21"/>
                <w:vertAlign w:val="subscript"/>
                <w:lang w:val="en-US" w:eastAsia="zh-CN"/>
              </w:rPr>
              <w:t>2</w:t>
            </w:r>
          </w:p>
        </w:tc>
        <w:tc>
          <w:tcPr>
            <w:tcW w:w="2452"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eastAsia" w:ascii="Times New Roman" w:hAnsi="Times New Roman" w:cs="Times New Roman"/>
                <w:color w:val="auto"/>
                <w:sz w:val="21"/>
                <w:szCs w:val="21"/>
                <w:lang w:val="en-US" w:eastAsia="zh-CN"/>
              </w:rPr>
              <w:t>31.13</w:t>
            </w:r>
          </w:p>
        </w:tc>
        <w:tc>
          <w:tcPr>
            <w:tcW w:w="1422"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eastAsia" w:ascii="Times New Roman" w:hAnsi="Times New Roman" w:cs="Times New Roman"/>
                <w:color w:val="auto"/>
                <w:sz w:val="21"/>
                <w:szCs w:val="21"/>
                <w:lang w:val="en-US" w:eastAsia="zh-CN"/>
              </w:rPr>
              <w:t>13.016</w:t>
            </w:r>
          </w:p>
        </w:tc>
        <w:tc>
          <w:tcPr>
            <w:tcW w:w="1421"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default" w:ascii="Times New Roman" w:hAnsi="Times New Roman" w:eastAsia="宋体" w:cs="Times New Roman"/>
                <w:color w:val="auto"/>
                <w:sz w:val="21"/>
                <w:szCs w:val="21"/>
                <w:lang w:val="en-US" w:eastAsia="zh-CN"/>
              </w:rPr>
              <w:t>42.1732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81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276"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134"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default" w:ascii="Times New Roman" w:hAnsi="Times New Roman" w:eastAsia="宋体" w:cs="Times New Roman"/>
                <w:color w:val="auto"/>
                <w:sz w:val="21"/>
                <w:szCs w:val="21"/>
                <w:lang w:val="en-US" w:eastAsia="zh-CN"/>
              </w:rPr>
              <w:t>NO</w:t>
            </w:r>
            <w:r>
              <w:rPr>
                <w:rFonts w:hint="default" w:ascii="Times New Roman" w:hAnsi="Times New Roman" w:eastAsia="宋体" w:cs="Times New Roman"/>
                <w:color w:val="auto"/>
                <w:sz w:val="21"/>
                <w:szCs w:val="21"/>
                <w:vertAlign w:val="subscript"/>
                <w:lang w:val="en-US" w:eastAsia="zh-CN"/>
              </w:rPr>
              <w:t>X</w:t>
            </w:r>
          </w:p>
        </w:tc>
        <w:tc>
          <w:tcPr>
            <w:tcW w:w="2452"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eastAsia" w:ascii="Times New Roman" w:hAnsi="Times New Roman" w:cs="Times New Roman"/>
                <w:color w:val="auto"/>
                <w:sz w:val="21"/>
                <w:szCs w:val="21"/>
                <w:lang w:val="en-US" w:eastAsia="zh-CN"/>
              </w:rPr>
              <w:t>45.00</w:t>
            </w:r>
          </w:p>
        </w:tc>
        <w:tc>
          <w:tcPr>
            <w:tcW w:w="1422"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eastAsia" w:ascii="Times New Roman" w:hAnsi="Times New Roman" w:cs="Times New Roman"/>
                <w:color w:val="auto"/>
                <w:sz w:val="21"/>
                <w:szCs w:val="21"/>
                <w:lang w:val="en-US" w:eastAsia="zh-CN"/>
              </w:rPr>
              <w:t>18.818</w:t>
            </w:r>
          </w:p>
        </w:tc>
        <w:tc>
          <w:tcPr>
            <w:tcW w:w="1421"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default" w:ascii="Times New Roman" w:hAnsi="Times New Roman" w:eastAsia="宋体" w:cs="Times New Roman"/>
                <w:color w:val="auto"/>
                <w:sz w:val="21"/>
                <w:szCs w:val="21"/>
                <w:lang w:val="en-US" w:eastAsia="zh-CN"/>
              </w:rPr>
              <w:t>60.9697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81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276"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134"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default" w:ascii="Times New Roman" w:hAnsi="Times New Roman" w:eastAsia="宋体" w:cs="Times New Roman"/>
                <w:color w:val="auto"/>
                <w:sz w:val="21"/>
                <w:szCs w:val="21"/>
                <w:lang w:val="en-US" w:eastAsia="zh-CN"/>
              </w:rPr>
              <w:t>汞</w:t>
            </w:r>
          </w:p>
        </w:tc>
        <w:tc>
          <w:tcPr>
            <w:tcW w:w="2452"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eastAsia" w:ascii="Times New Roman" w:hAnsi="Times New Roman" w:eastAsia="宋体" w:cs="Times New Roman"/>
                <w:color w:val="auto"/>
                <w:sz w:val="21"/>
                <w:szCs w:val="21"/>
                <w:lang w:val="en-US" w:eastAsia="zh-CN"/>
              </w:rPr>
              <w:t>0.0017</w:t>
            </w:r>
          </w:p>
        </w:tc>
        <w:tc>
          <w:tcPr>
            <w:tcW w:w="1422"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eastAsia" w:ascii="Times New Roman" w:hAnsi="Times New Roman" w:cs="Times New Roman"/>
                <w:color w:val="auto"/>
                <w:sz w:val="21"/>
                <w:szCs w:val="21"/>
                <w:lang w:val="en-US" w:eastAsia="zh-CN"/>
              </w:rPr>
              <w:t>0.00071</w:t>
            </w:r>
          </w:p>
        </w:tc>
        <w:tc>
          <w:tcPr>
            <w:tcW w:w="1421"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eastAsia" w:ascii="Times New Roman" w:hAnsi="Times New Roman" w:eastAsia="宋体" w:cs="Times New Roman"/>
                <w:color w:val="auto"/>
                <w:sz w:val="21"/>
                <w:szCs w:val="21"/>
                <w:lang w:val="en-US" w:eastAsia="zh-CN"/>
              </w:rPr>
              <w:t>0.0023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093" w:type="dxa"/>
            <w:gridSpan w:val="2"/>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有组织</w:t>
            </w:r>
            <w:r>
              <w:rPr>
                <w:color w:val="auto"/>
                <w:sz w:val="21"/>
                <w:szCs w:val="21"/>
                <w:highlight w:val="none"/>
              </w:rPr>
              <w:t>排放总计</w:t>
            </w:r>
          </w:p>
        </w:tc>
        <w:tc>
          <w:tcPr>
            <w:tcW w:w="5008" w:type="dxa"/>
            <w:gridSpan w:val="3"/>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eastAsia" w:ascii="Times New Roman" w:hAnsi="Times New Roman" w:eastAsia="宋体" w:cs="Times New Roman"/>
                <w:color w:val="auto"/>
                <w:kern w:val="2"/>
                <w:sz w:val="21"/>
                <w:szCs w:val="21"/>
                <w:highlight w:val="none"/>
                <w:lang w:val="en-US" w:eastAsia="zh-CN" w:bidi="ar-SA"/>
              </w:rPr>
              <w:t>颗粒物</w:t>
            </w:r>
          </w:p>
        </w:tc>
        <w:tc>
          <w:tcPr>
            <w:tcW w:w="1421"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default" w:ascii="Times New Roman" w:hAnsi="Times New Roman" w:eastAsia="宋体" w:cs="Times New Roman"/>
                <w:color w:val="auto"/>
                <w:sz w:val="21"/>
                <w:szCs w:val="21"/>
                <w:lang w:val="en-US" w:eastAsia="zh-CN"/>
              </w:rPr>
              <w:t>9.9306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2093" w:type="dxa"/>
            <w:gridSpan w:val="2"/>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5008" w:type="dxa"/>
            <w:gridSpan w:val="3"/>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default" w:ascii="Times New Roman" w:hAnsi="Times New Roman" w:eastAsia="宋体" w:cs="Times New Roman"/>
                <w:color w:val="auto"/>
                <w:sz w:val="21"/>
                <w:szCs w:val="21"/>
                <w:lang w:val="en-US" w:eastAsia="zh-CN"/>
              </w:rPr>
              <w:t>SO</w:t>
            </w:r>
            <w:r>
              <w:rPr>
                <w:rFonts w:hint="default" w:ascii="Times New Roman" w:hAnsi="Times New Roman" w:eastAsia="宋体" w:cs="Times New Roman"/>
                <w:color w:val="auto"/>
                <w:sz w:val="21"/>
                <w:szCs w:val="21"/>
                <w:vertAlign w:val="subscript"/>
                <w:lang w:val="en-US" w:eastAsia="zh-CN"/>
              </w:rPr>
              <w:t>2</w:t>
            </w:r>
          </w:p>
        </w:tc>
        <w:tc>
          <w:tcPr>
            <w:tcW w:w="1421"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default" w:ascii="Times New Roman" w:hAnsi="Times New Roman" w:eastAsia="宋体" w:cs="Times New Roman"/>
                <w:color w:val="auto"/>
                <w:sz w:val="21"/>
                <w:szCs w:val="21"/>
                <w:lang w:val="en-US" w:eastAsia="zh-CN"/>
              </w:rPr>
              <w:t>42.1732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2093" w:type="dxa"/>
            <w:gridSpan w:val="2"/>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5008" w:type="dxa"/>
            <w:gridSpan w:val="3"/>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default" w:ascii="Times New Roman" w:hAnsi="Times New Roman" w:eastAsia="宋体" w:cs="Times New Roman"/>
                <w:color w:val="auto"/>
                <w:sz w:val="21"/>
                <w:szCs w:val="21"/>
                <w:lang w:val="en-US" w:eastAsia="zh-CN"/>
              </w:rPr>
              <w:t>NO</w:t>
            </w:r>
            <w:r>
              <w:rPr>
                <w:rFonts w:hint="default" w:ascii="Times New Roman" w:hAnsi="Times New Roman" w:eastAsia="宋体" w:cs="Times New Roman"/>
                <w:color w:val="auto"/>
                <w:sz w:val="21"/>
                <w:szCs w:val="21"/>
                <w:vertAlign w:val="subscript"/>
                <w:lang w:val="en-US" w:eastAsia="zh-CN"/>
              </w:rPr>
              <w:t>X</w:t>
            </w:r>
          </w:p>
        </w:tc>
        <w:tc>
          <w:tcPr>
            <w:tcW w:w="1421"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default" w:ascii="Times New Roman" w:hAnsi="Times New Roman" w:eastAsia="宋体" w:cs="Times New Roman"/>
                <w:color w:val="auto"/>
                <w:sz w:val="21"/>
                <w:szCs w:val="21"/>
                <w:lang w:val="en-US" w:eastAsia="zh-CN"/>
              </w:rPr>
              <w:t>60.9697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2093" w:type="dxa"/>
            <w:gridSpan w:val="2"/>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5008" w:type="dxa"/>
            <w:gridSpan w:val="3"/>
            <w:tcBorders>
              <w:tl2br w:val="nil"/>
              <w:tr2bl w:val="nil"/>
            </w:tcBorders>
            <w:shd w:val="clear" w:color="auto" w:fill="auto"/>
            <w:vAlign w:val="center"/>
          </w:tcPr>
          <w:p>
            <w:pPr>
              <w:pStyle w:val="128"/>
              <w:widowControl/>
              <w:ind w:firstLine="0" w:firstLineChars="0"/>
              <w:rPr>
                <w:rFonts w:hint="eastAsia"/>
                <w:color w:val="auto"/>
                <w:sz w:val="21"/>
                <w:szCs w:val="21"/>
                <w:highlight w:val="none"/>
              </w:rPr>
            </w:pPr>
            <w:r>
              <w:rPr>
                <w:rFonts w:hint="default" w:ascii="Times New Roman" w:hAnsi="Times New Roman" w:eastAsia="宋体" w:cs="Times New Roman"/>
                <w:color w:val="auto"/>
                <w:sz w:val="21"/>
                <w:szCs w:val="21"/>
                <w:lang w:val="en-US" w:eastAsia="zh-CN"/>
              </w:rPr>
              <w:t>汞</w:t>
            </w:r>
          </w:p>
        </w:tc>
        <w:tc>
          <w:tcPr>
            <w:tcW w:w="1421" w:type="dxa"/>
            <w:tcBorders>
              <w:tl2br w:val="nil"/>
              <w:tr2bl w:val="nil"/>
            </w:tcBorders>
            <w:shd w:val="clear" w:color="auto" w:fill="auto"/>
            <w:vAlign w:val="center"/>
          </w:tcPr>
          <w:p>
            <w:pPr>
              <w:pStyle w:val="128"/>
              <w:widowControl/>
              <w:ind w:firstLine="0" w:firstLineChars="0"/>
              <w:rPr>
                <w:color w:val="auto"/>
                <w:sz w:val="21"/>
                <w:szCs w:val="21"/>
                <w:highlight w:val="none"/>
              </w:rPr>
            </w:pPr>
            <w:r>
              <w:rPr>
                <w:rFonts w:hint="eastAsia" w:ascii="Times New Roman" w:hAnsi="Times New Roman" w:eastAsia="宋体" w:cs="Times New Roman"/>
                <w:color w:val="auto"/>
                <w:sz w:val="21"/>
                <w:szCs w:val="21"/>
                <w:lang w:val="en-US" w:eastAsia="zh-CN"/>
              </w:rPr>
              <w:t>0.0023</w:t>
            </w:r>
          </w:p>
        </w:tc>
      </w:tr>
    </w:tbl>
    <w:p>
      <w:pPr>
        <w:pStyle w:val="5"/>
        <w:keepLines w:val="0"/>
        <w:pageBreakBefore w:val="0"/>
        <w:kinsoku/>
        <w:wordWrap/>
        <w:topLinePunct w:val="0"/>
        <w:bidi w:val="0"/>
        <w:adjustRightInd w:val="0"/>
        <w:snapToGrid w:val="0"/>
        <w:ind w:left="0" w:leftChars="0" w:firstLine="0" w:firstLineChars="0"/>
        <w:textAlignment w:val="auto"/>
        <w:rPr>
          <w:rFonts w:hint="default"/>
          <w:color w:val="auto"/>
          <w:lang w:val="en-US" w:eastAsia="zh-CN"/>
        </w:rPr>
      </w:pPr>
      <w:r>
        <w:rPr>
          <w:rFonts w:hint="eastAsia"/>
          <w:color w:val="auto"/>
          <w:lang w:val="en-US" w:eastAsia="zh-CN"/>
        </w:rPr>
        <w:t>6.2.1.11小结</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color w:val="auto"/>
          <w:highlight w:val="none"/>
        </w:rPr>
      </w:pPr>
      <w:r>
        <w:rPr>
          <w:rFonts w:hint="eastAsia" w:ascii="Times New Roman" w:hAnsi="Times New Roman" w:cs="Times New Roman"/>
          <w:color w:val="auto"/>
          <w:highlight w:val="none"/>
        </w:rPr>
        <w:t>导则要求：达标区域的建设项目环境影响评价，当同时满足以下条件时，则认为环境影响可以接受。</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auto"/>
        </w:rPr>
      </w:pPr>
      <w:r>
        <w:rPr>
          <w:rFonts w:hint="eastAsia"/>
          <w:color w:val="auto"/>
        </w:rPr>
        <w:t>（</w:t>
      </w:r>
      <w:r>
        <w:rPr>
          <w:color w:val="auto"/>
        </w:rPr>
        <w:t>1</w:t>
      </w:r>
      <w:r>
        <w:rPr>
          <w:rFonts w:hint="eastAsia"/>
          <w:color w:val="auto"/>
        </w:rPr>
        <w:t>）本次收集了环境空气质量报告，项目所在地均能满足《环境空气质量标准》（</w:t>
      </w:r>
      <w:r>
        <w:rPr>
          <w:color w:val="auto"/>
        </w:rPr>
        <w:t>GB3095-2012</w:t>
      </w:r>
      <w:r>
        <w:rPr>
          <w:rFonts w:hint="eastAsia"/>
          <w:color w:val="auto"/>
        </w:rPr>
        <w:t>）标准，项目所在区域为达标区。</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auto"/>
        </w:rPr>
      </w:pPr>
      <w:r>
        <w:rPr>
          <w:rFonts w:hint="eastAsia"/>
          <w:color w:val="auto"/>
        </w:rPr>
        <w:t>本次在周边敏感点环境空气监测点位，监测期间项目所设监测点位监测结果均能满足《环境影响评价技术导则</w:t>
      </w:r>
      <w:r>
        <w:rPr>
          <w:color w:val="auto"/>
        </w:rPr>
        <w:t>-</w:t>
      </w:r>
      <w:r>
        <w:rPr>
          <w:rFonts w:hint="eastAsia"/>
          <w:color w:val="auto"/>
        </w:rPr>
        <w:t>大气环境》（</w:t>
      </w:r>
      <w:r>
        <w:rPr>
          <w:color w:val="auto"/>
        </w:rPr>
        <w:t>HJ2.2-2018</w:t>
      </w:r>
      <w:r>
        <w:rPr>
          <w:rFonts w:hint="eastAsia"/>
          <w:color w:val="auto"/>
        </w:rPr>
        <w:t>）附录</w:t>
      </w:r>
      <w:r>
        <w:rPr>
          <w:color w:val="auto"/>
        </w:rPr>
        <w:t>D</w:t>
      </w:r>
      <w:r>
        <w:rPr>
          <w:rFonts w:hint="eastAsia"/>
          <w:color w:val="auto"/>
        </w:rPr>
        <w:t>要求；</w:t>
      </w:r>
      <w:r>
        <w:rPr>
          <w:color w:val="auto"/>
        </w:rPr>
        <w:t>TSP</w:t>
      </w:r>
      <w:r>
        <w:rPr>
          <w:rFonts w:hint="eastAsia"/>
          <w:color w:val="auto"/>
        </w:rPr>
        <w:t>小时平均浓度可以满足《环境空气质量标准》</w:t>
      </w:r>
      <w:r>
        <w:rPr>
          <w:rFonts w:hint="eastAsia"/>
          <w:color w:val="auto"/>
          <w:lang w:eastAsia="zh-CN"/>
        </w:rPr>
        <w:t>（</w:t>
      </w:r>
      <w:r>
        <w:rPr>
          <w:color w:val="auto"/>
        </w:rPr>
        <w:t>GB3095-2012</w:t>
      </w:r>
      <w:r>
        <w:rPr>
          <w:rFonts w:hint="eastAsia"/>
          <w:color w:val="auto"/>
          <w:lang w:eastAsia="zh-CN"/>
        </w:rPr>
        <w:t>）</w:t>
      </w:r>
      <w:r>
        <w:rPr>
          <w:rFonts w:hint="eastAsia"/>
          <w:color w:val="auto"/>
        </w:rPr>
        <w:t>要求。</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auto"/>
        </w:rPr>
      </w:pPr>
      <w:r>
        <w:rPr>
          <w:rFonts w:hint="eastAsia"/>
          <w:color w:val="auto"/>
        </w:rPr>
        <w:t>（</w:t>
      </w:r>
      <w:r>
        <w:rPr>
          <w:color w:val="auto"/>
        </w:rPr>
        <w:t>2</w:t>
      </w:r>
      <w:r>
        <w:rPr>
          <w:rFonts w:hint="eastAsia"/>
          <w:color w:val="auto"/>
        </w:rPr>
        <w:t>）采用《环境影响评价技术导则</w:t>
      </w:r>
      <w:r>
        <w:rPr>
          <w:color w:val="auto"/>
        </w:rPr>
        <w:t xml:space="preserve"> </w:t>
      </w:r>
      <w:r>
        <w:rPr>
          <w:rFonts w:hint="eastAsia"/>
          <w:color w:val="auto"/>
        </w:rPr>
        <w:t>大气环境》（</w:t>
      </w:r>
      <w:r>
        <w:rPr>
          <w:color w:val="auto"/>
        </w:rPr>
        <w:t>HJ2.2-2018</w:t>
      </w:r>
      <w:r>
        <w:rPr>
          <w:rFonts w:hint="eastAsia"/>
          <w:color w:val="auto"/>
        </w:rPr>
        <w:t>），本项目的评价等级为一级，本次评价范围为</w:t>
      </w:r>
      <w:r>
        <w:rPr>
          <w:rFonts w:hint="eastAsia" w:ascii="宋体" w:hAnsi="宋体" w:eastAsia="宋体" w:cs="宋体"/>
          <w:color w:val="auto"/>
          <w:highlight w:val="none"/>
          <w:lang w:val="en-US" w:eastAsia="zh-CN"/>
        </w:rPr>
        <w:t>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w:t>
      </w:r>
      <w:r>
        <w:rPr>
          <w:rFonts w:hint="eastAsia"/>
          <w:bCs/>
          <w:color w:val="auto"/>
        </w:rPr>
        <w:t>为中心，边长</w:t>
      </w:r>
      <w:r>
        <w:rPr>
          <w:bCs/>
          <w:color w:val="auto"/>
        </w:rPr>
        <w:t>5km</w:t>
      </w:r>
      <w:r>
        <w:rPr>
          <w:rFonts w:hint="eastAsia"/>
          <w:bCs/>
          <w:color w:val="auto"/>
        </w:rPr>
        <w:t>矩形范围</w:t>
      </w:r>
      <w:r>
        <w:rPr>
          <w:rFonts w:hint="eastAsia"/>
          <w:color w:val="auto"/>
        </w:rPr>
        <w:t>。</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auto"/>
        </w:rPr>
      </w:pPr>
      <w:r>
        <w:rPr>
          <w:rFonts w:hint="eastAsia"/>
          <w:color w:val="auto"/>
        </w:rPr>
        <w:t>（</w:t>
      </w:r>
      <w:r>
        <w:rPr>
          <w:color w:val="auto"/>
        </w:rPr>
        <w:t>3</w:t>
      </w:r>
      <w:r>
        <w:rPr>
          <w:rFonts w:hint="eastAsia"/>
          <w:color w:val="auto"/>
        </w:rPr>
        <w:t>）环境影响预测结果：</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auto"/>
        </w:rPr>
      </w:pPr>
      <w:r>
        <w:rPr>
          <w:rFonts w:hint="eastAsia" w:ascii="宋体" w:hAnsi="宋体" w:eastAsia="宋体" w:cs="宋体"/>
          <w:color w:val="auto"/>
        </w:rPr>
        <w:t>①</w:t>
      </w:r>
      <w:r>
        <w:rPr>
          <w:rFonts w:hint="eastAsia"/>
          <w:color w:val="auto"/>
        </w:rPr>
        <w:t>新增污染源正常排放下污染物短时浓度贡献值的最大浓度占标率≤</w:t>
      </w:r>
      <w:r>
        <w:rPr>
          <w:color w:val="auto"/>
        </w:rPr>
        <w:t>100%</w:t>
      </w:r>
      <w:r>
        <w:rPr>
          <w:rFonts w:hint="eastAsia"/>
          <w:color w:val="auto"/>
        </w:rPr>
        <w:t>；</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auto"/>
        </w:rPr>
      </w:pPr>
      <w:r>
        <w:rPr>
          <w:rFonts w:hint="eastAsia" w:ascii="宋体" w:hAnsi="宋体" w:eastAsia="宋体" w:cs="宋体"/>
          <w:color w:val="auto"/>
        </w:rPr>
        <w:t>②</w:t>
      </w:r>
      <w:r>
        <w:rPr>
          <w:rFonts w:hint="eastAsia"/>
          <w:color w:val="auto"/>
        </w:rPr>
        <w:t>新增污染源正常排放下污染物年均浓度贡献值的最大浓度占标率≤</w:t>
      </w:r>
      <w:r>
        <w:rPr>
          <w:color w:val="auto"/>
        </w:rPr>
        <w:t>30%</w:t>
      </w:r>
      <w:r>
        <w:rPr>
          <w:rFonts w:hint="eastAsia"/>
          <w:color w:val="auto"/>
        </w:rPr>
        <w:t>（本项目属于二类区）；</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auto"/>
        </w:rPr>
      </w:pPr>
      <w:r>
        <w:rPr>
          <w:rFonts w:hint="eastAsia" w:ascii="宋体" w:hAnsi="宋体" w:eastAsia="宋体" w:cs="宋体"/>
          <w:color w:val="auto"/>
        </w:rPr>
        <w:t>③</w:t>
      </w:r>
      <w:r>
        <w:rPr>
          <w:color w:val="auto"/>
        </w:rPr>
        <w:t>PM</w:t>
      </w:r>
      <w:r>
        <w:rPr>
          <w:color w:val="auto"/>
          <w:vertAlign w:val="subscript"/>
        </w:rPr>
        <w:t>10</w:t>
      </w:r>
      <w:r>
        <w:rPr>
          <w:rFonts w:hint="eastAsia"/>
          <w:color w:val="auto"/>
        </w:rPr>
        <w:t>、</w:t>
      </w:r>
      <w:r>
        <w:rPr>
          <w:color w:val="auto"/>
        </w:rPr>
        <w:t>NOx</w:t>
      </w:r>
      <w:r>
        <w:rPr>
          <w:rFonts w:hint="eastAsia"/>
          <w:color w:val="auto"/>
        </w:rPr>
        <w:t>满足《环境空气质量标准》</w:t>
      </w:r>
      <w:r>
        <w:rPr>
          <w:rFonts w:hint="eastAsia"/>
          <w:color w:val="auto"/>
          <w:lang w:eastAsia="zh-CN"/>
        </w:rPr>
        <w:t>（</w:t>
      </w:r>
      <w:r>
        <w:rPr>
          <w:color w:val="auto"/>
        </w:rPr>
        <w:t>GB3095-2012</w:t>
      </w:r>
      <w:r>
        <w:rPr>
          <w:rFonts w:hint="eastAsia"/>
          <w:color w:val="auto"/>
          <w:lang w:eastAsia="zh-CN"/>
        </w:rPr>
        <w:t>）</w:t>
      </w:r>
      <w:r>
        <w:rPr>
          <w:rFonts w:hint="eastAsia"/>
          <w:color w:val="auto"/>
        </w:rPr>
        <w:t>二类区标准的要求，氨小时平均浓度满足《环境影响评价技术导则－大气环境》</w:t>
      </w:r>
      <w:r>
        <w:rPr>
          <w:color w:val="auto"/>
        </w:rPr>
        <w:t>(HJ2.2-2018)</w:t>
      </w:r>
      <w:r>
        <w:rPr>
          <w:rFonts w:hint="eastAsia"/>
          <w:color w:val="auto"/>
        </w:rPr>
        <w:t>附录</w:t>
      </w:r>
      <w:r>
        <w:rPr>
          <w:color w:val="auto"/>
        </w:rPr>
        <w:t>D</w:t>
      </w:r>
      <w:r>
        <w:rPr>
          <w:rFonts w:hint="eastAsia"/>
          <w:color w:val="auto"/>
        </w:rPr>
        <w:t>其他污染物空气质量浓度参考限值。</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auto"/>
          <w:highlight w:val="none"/>
        </w:rPr>
      </w:pPr>
      <w:r>
        <w:rPr>
          <w:rFonts w:hint="eastAsia" w:ascii="宋体" w:hAnsi="宋体" w:eastAsia="宋体" w:cs="宋体"/>
          <w:color w:val="auto"/>
          <w:highlight w:val="none"/>
        </w:rPr>
        <w:t>④</w:t>
      </w:r>
      <w:r>
        <w:rPr>
          <w:rFonts w:hint="eastAsia"/>
          <w:color w:val="auto"/>
          <w:highlight w:val="none"/>
        </w:rPr>
        <w:t>项目正常排放条件下，叠加环境空气质量现状浓度后环境空气保护目标和网格点的（主要污染物）保证率日均浓度和年平均质量浓度均能够满足相关环境空气质量标准。</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auto"/>
        </w:rPr>
      </w:pPr>
      <w:r>
        <w:rPr>
          <w:rFonts w:hint="eastAsia"/>
          <w:color w:val="auto"/>
        </w:rPr>
        <w:t>（</w:t>
      </w:r>
      <w:r>
        <w:rPr>
          <w:color w:val="auto"/>
        </w:rPr>
        <w:t>4</w:t>
      </w:r>
      <w:r>
        <w:rPr>
          <w:rFonts w:hint="eastAsia"/>
          <w:color w:val="auto"/>
        </w:rPr>
        <w:t>）根据预测结果知，正常工况下，本项目不需要设置大气环境防护距离。</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auto"/>
        </w:rPr>
      </w:pPr>
      <w:r>
        <w:rPr>
          <w:rFonts w:hint="eastAsia"/>
          <w:color w:val="auto"/>
        </w:rPr>
        <w:t>总体而言，工程在严格落实报告书中提出的各项环保措施的前提下，从环境空气影响角度考虑，工程建设是可行的。</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rPr>
        <w:t>表</w:t>
      </w:r>
      <w:r>
        <w:rPr>
          <w:rFonts w:hint="eastAsia"/>
          <w:b/>
          <w:bCs/>
          <w:color w:val="auto"/>
          <w:sz w:val="21"/>
          <w:szCs w:val="21"/>
          <w:highlight w:val="none"/>
          <w:lang w:val="en-US" w:eastAsia="zh-CN"/>
        </w:rPr>
        <w:t>6.2.1-28</w:t>
      </w:r>
      <w:r>
        <w:rPr>
          <w:rFonts w:hint="eastAsia"/>
          <w:b/>
          <w:bCs/>
          <w:color w:val="auto"/>
          <w:sz w:val="21"/>
          <w:szCs w:val="21"/>
          <w:highlight w:val="none"/>
        </w:rPr>
        <w:t xml:space="preserve"> </w:t>
      </w:r>
      <w:r>
        <w:rPr>
          <w:rFonts w:hint="eastAsia"/>
          <w:b/>
          <w:bCs/>
          <w:color w:val="auto"/>
          <w:sz w:val="21"/>
          <w:szCs w:val="21"/>
          <w:highlight w:val="none"/>
          <w:lang w:val="en-US" w:eastAsia="zh-CN"/>
        </w:rPr>
        <w:t xml:space="preserve"> </w:t>
      </w:r>
      <w:r>
        <w:rPr>
          <w:rFonts w:hint="eastAsia"/>
          <w:b/>
          <w:bCs/>
          <w:color w:val="auto"/>
          <w:sz w:val="21"/>
          <w:szCs w:val="21"/>
          <w:highlight w:val="none"/>
        </w:rPr>
        <w:t xml:space="preserve"> </w:t>
      </w:r>
      <w:r>
        <w:rPr>
          <w:b/>
          <w:bCs/>
          <w:color w:val="auto"/>
          <w:sz w:val="21"/>
          <w:szCs w:val="21"/>
          <w:highlight w:val="none"/>
        </w:rPr>
        <w:t>建设项目大气环境影响评价自查表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6"/>
        <w:gridCol w:w="1271"/>
        <w:gridCol w:w="836"/>
        <w:gridCol w:w="121"/>
        <w:gridCol w:w="422"/>
        <w:gridCol w:w="115"/>
        <w:gridCol w:w="106"/>
        <w:gridCol w:w="11"/>
        <w:gridCol w:w="760"/>
        <w:gridCol w:w="178"/>
        <w:gridCol w:w="33"/>
        <w:gridCol w:w="360"/>
        <w:gridCol w:w="708"/>
        <w:gridCol w:w="705"/>
        <w:gridCol w:w="337"/>
        <w:gridCol w:w="92"/>
        <w:gridCol w:w="280"/>
        <w:gridCol w:w="68"/>
        <w:gridCol w:w="479"/>
        <w:gridCol w:w="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28" w:type="dxa"/>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工作内容</w:t>
            </w:r>
          </w:p>
        </w:tc>
        <w:tc>
          <w:tcPr>
            <w:tcW w:w="6394" w:type="dxa"/>
            <w:gridSpan w:val="18"/>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评价等级与范围</w:t>
            </w: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评价等级</w:t>
            </w:r>
          </w:p>
        </w:tc>
        <w:tc>
          <w:tcPr>
            <w:tcW w:w="1611" w:type="dxa"/>
            <w:gridSpan w:val="6"/>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一级</w:t>
            </w:r>
            <w:r>
              <w:rPr>
                <w:color w:val="auto"/>
                <w:sz w:val="21"/>
                <w:szCs w:val="21"/>
                <w:highlight w:val="none"/>
              </w:rPr>
              <w:sym w:font="Wingdings 2" w:char="0052"/>
            </w:r>
          </w:p>
        </w:tc>
        <w:tc>
          <w:tcPr>
            <w:tcW w:w="2039"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二级□</w:t>
            </w:r>
          </w:p>
        </w:tc>
        <w:tc>
          <w:tcPr>
            <w:tcW w:w="2744"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评价范围</w:t>
            </w:r>
          </w:p>
        </w:tc>
        <w:tc>
          <w:tcPr>
            <w:tcW w:w="1611" w:type="dxa"/>
            <w:gridSpan w:val="6"/>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边长=50km□</w:t>
            </w:r>
          </w:p>
        </w:tc>
        <w:tc>
          <w:tcPr>
            <w:tcW w:w="2039"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边长5</w:t>
            </w:r>
            <w:r>
              <w:rPr>
                <w:rFonts w:hint="eastAsia"/>
                <w:color w:val="auto"/>
                <w:sz w:val="21"/>
                <w:szCs w:val="21"/>
                <w:highlight w:val="none"/>
                <w:lang w:eastAsia="zh-CN"/>
              </w:rPr>
              <w:t>～</w:t>
            </w:r>
            <w:r>
              <w:rPr>
                <w:color w:val="auto"/>
                <w:sz w:val="21"/>
                <w:szCs w:val="21"/>
                <w:highlight w:val="none"/>
              </w:rPr>
              <w:t>50km</w:t>
            </w:r>
            <w:r>
              <w:rPr>
                <w:color w:val="auto"/>
                <w:sz w:val="21"/>
                <w:szCs w:val="21"/>
                <w:highlight w:val="none"/>
              </w:rPr>
              <w:sym w:font="Wingdings 2" w:char="00A3"/>
            </w:r>
          </w:p>
        </w:tc>
        <w:tc>
          <w:tcPr>
            <w:tcW w:w="2744"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边长=5km</w:t>
            </w:r>
            <w:r>
              <w:rPr>
                <w:color w:val="auto"/>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评价</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因子</w:t>
            </w: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SO</w:t>
            </w:r>
            <w:r>
              <w:rPr>
                <w:color w:val="auto"/>
                <w:sz w:val="21"/>
                <w:szCs w:val="21"/>
                <w:highlight w:val="none"/>
                <w:vertAlign w:val="subscript"/>
              </w:rPr>
              <w:t>2</w:t>
            </w:r>
            <w:r>
              <w:rPr>
                <w:color w:val="auto"/>
                <w:sz w:val="21"/>
                <w:szCs w:val="21"/>
                <w:highlight w:val="none"/>
              </w:rPr>
              <w:t>+NOx排放量</w:t>
            </w:r>
          </w:p>
        </w:tc>
        <w:tc>
          <w:tcPr>
            <w:tcW w:w="1611" w:type="dxa"/>
            <w:gridSpan w:val="6"/>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≥2000t/a</w:t>
            </w:r>
            <w:r>
              <w:rPr>
                <w:color w:val="auto"/>
                <w:sz w:val="21"/>
                <w:szCs w:val="21"/>
                <w:highlight w:val="none"/>
              </w:rPr>
              <w:sym w:font="Wingdings 2" w:char="00A3"/>
            </w:r>
          </w:p>
        </w:tc>
        <w:tc>
          <w:tcPr>
            <w:tcW w:w="2039"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500</w:t>
            </w:r>
            <w:r>
              <w:rPr>
                <w:rFonts w:hint="eastAsia"/>
                <w:color w:val="auto"/>
                <w:sz w:val="21"/>
                <w:szCs w:val="21"/>
                <w:highlight w:val="none"/>
                <w:lang w:eastAsia="zh-CN"/>
              </w:rPr>
              <w:t>～</w:t>
            </w:r>
            <w:r>
              <w:rPr>
                <w:color w:val="auto"/>
                <w:sz w:val="21"/>
                <w:szCs w:val="21"/>
                <w:highlight w:val="none"/>
              </w:rPr>
              <w:t>2000t/a</w:t>
            </w:r>
            <w:r>
              <w:rPr>
                <w:color w:val="auto"/>
                <w:sz w:val="21"/>
                <w:szCs w:val="21"/>
                <w:highlight w:val="none"/>
              </w:rPr>
              <w:sym w:font="Wingdings 2" w:char="00A3"/>
            </w:r>
          </w:p>
        </w:tc>
        <w:tc>
          <w:tcPr>
            <w:tcW w:w="2744"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＜500t/a</w:t>
            </w:r>
            <w:r>
              <w:rPr>
                <w:color w:val="auto"/>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评价因子</w:t>
            </w:r>
          </w:p>
        </w:tc>
        <w:tc>
          <w:tcPr>
            <w:tcW w:w="3650" w:type="dxa"/>
            <w:gridSpan w:val="11"/>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基本污染物（</w:t>
            </w:r>
            <w:r>
              <w:rPr>
                <w:rFonts w:ascii="Times New Roman" w:hAnsi="Times New Roman" w:cs="Times New Roman"/>
                <w:bCs/>
                <w:color w:val="auto"/>
                <w:sz w:val="21"/>
                <w:szCs w:val="21"/>
                <w:highlight w:val="none"/>
              </w:rPr>
              <w:t>SO</w:t>
            </w:r>
            <w:r>
              <w:rPr>
                <w:rFonts w:ascii="Times New Roman" w:hAnsi="Times New Roman" w:cs="Times New Roman"/>
                <w:bCs/>
                <w:color w:val="auto"/>
                <w:sz w:val="21"/>
                <w:szCs w:val="21"/>
                <w:highlight w:val="none"/>
                <w:vertAlign w:val="subscript"/>
              </w:rPr>
              <w:t>2</w:t>
            </w:r>
            <w:r>
              <w:rPr>
                <w:rFonts w:hint="eastAsia"/>
                <w:color w:val="auto"/>
                <w:sz w:val="21"/>
                <w:szCs w:val="21"/>
                <w:highlight w:val="none"/>
              </w:rPr>
              <w:t>、</w:t>
            </w:r>
            <w:r>
              <w:rPr>
                <w:rFonts w:hint="default"/>
                <w:color w:val="auto"/>
                <w:sz w:val="21"/>
                <w:szCs w:val="21"/>
                <w:highlight w:val="none"/>
              </w:rPr>
              <w:t>NO</w:t>
            </w:r>
            <w:r>
              <w:rPr>
                <w:rFonts w:hint="eastAsia"/>
                <w:color w:val="auto"/>
                <w:sz w:val="21"/>
                <w:szCs w:val="21"/>
                <w:highlight w:val="none"/>
                <w:vertAlign w:val="subscript"/>
                <w:lang w:val="en-US" w:eastAsia="zh-CN"/>
              </w:rPr>
              <w:t>X</w:t>
            </w:r>
            <w:r>
              <w:rPr>
                <w:rFonts w:hint="eastAsia"/>
                <w:color w:val="auto"/>
                <w:sz w:val="21"/>
                <w:szCs w:val="21"/>
                <w:highlight w:val="none"/>
              </w:rPr>
              <w:t>、</w:t>
            </w:r>
            <w:r>
              <w:rPr>
                <w:rFonts w:hint="eastAsia"/>
                <w:color w:val="auto"/>
                <w:sz w:val="21"/>
                <w:szCs w:val="21"/>
                <w:highlight w:val="none"/>
                <w:lang w:eastAsia="zh-CN"/>
              </w:rPr>
              <w:t>PM</w:t>
            </w:r>
            <w:r>
              <w:rPr>
                <w:rFonts w:hint="eastAsia"/>
                <w:color w:val="auto"/>
                <w:sz w:val="21"/>
                <w:szCs w:val="21"/>
                <w:highlight w:val="none"/>
                <w:vertAlign w:val="subscript"/>
                <w:lang w:eastAsia="zh-CN"/>
              </w:rPr>
              <w:t>2.5</w:t>
            </w:r>
            <w:r>
              <w:rPr>
                <w:rFonts w:hint="eastAsia"/>
                <w:color w:val="auto"/>
                <w:sz w:val="21"/>
                <w:szCs w:val="21"/>
                <w:highlight w:val="none"/>
              </w:rPr>
              <w:t>、PM</w:t>
            </w:r>
            <w:r>
              <w:rPr>
                <w:rFonts w:hint="eastAsia"/>
                <w:color w:val="auto"/>
                <w:sz w:val="21"/>
                <w:szCs w:val="21"/>
                <w:highlight w:val="none"/>
                <w:vertAlign w:val="subscript"/>
              </w:rPr>
              <w:t>10</w:t>
            </w:r>
            <w:r>
              <w:rPr>
                <w:rFonts w:hint="eastAsia"/>
                <w:color w:val="auto"/>
                <w:sz w:val="21"/>
                <w:szCs w:val="21"/>
                <w:highlight w:val="none"/>
              </w:rPr>
              <w:t>、CO、O</w:t>
            </w:r>
            <w:r>
              <w:rPr>
                <w:rFonts w:hint="eastAsia"/>
                <w:color w:val="auto"/>
                <w:sz w:val="21"/>
                <w:szCs w:val="21"/>
                <w:highlight w:val="none"/>
                <w:vertAlign w:val="subscript"/>
              </w:rPr>
              <w:t>3</w:t>
            </w:r>
            <w:r>
              <w:rPr>
                <w:color w:val="auto"/>
                <w:sz w:val="21"/>
                <w:szCs w:val="21"/>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其他污染物（</w:t>
            </w:r>
            <w:r>
              <w:rPr>
                <w:rFonts w:hint="eastAsia"/>
                <w:color w:val="auto"/>
                <w:sz w:val="21"/>
                <w:szCs w:val="21"/>
                <w:highlight w:val="none"/>
              </w:rPr>
              <w:t>汞</w:t>
            </w:r>
            <w:r>
              <w:rPr>
                <w:color w:val="auto"/>
                <w:sz w:val="21"/>
                <w:szCs w:val="21"/>
                <w:highlight w:val="none"/>
              </w:rPr>
              <w:t>）</w:t>
            </w:r>
          </w:p>
        </w:tc>
        <w:tc>
          <w:tcPr>
            <w:tcW w:w="2744"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包括二次</w:t>
            </w:r>
            <w:r>
              <w:rPr>
                <w:rFonts w:hint="eastAsia"/>
                <w:color w:val="auto"/>
                <w:sz w:val="21"/>
                <w:szCs w:val="21"/>
                <w:highlight w:val="none"/>
                <w:lang w:eastAsia="zh-CN"/>
              </w:rPr>
              <w:t>PM2.5</w:t>
            </w:r>
            <w:r>
              <w:rPr>
                <w:color w:val="auto"/>
                <w:sz w:val="21"/>
                <w:szCs w:val="21"/>
                <w:highlight w:val="none"/>
              </w:rPr>
              <w:sym w:font="Wingdings 2" w:char="00A3"/>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不包括二次</w:t>
            </w:r>
            <w:r>
              <w:rPr>
                <w:rFonts w:hint="eastAsia"/>
                <w:color w:val="auto"/>
                <w:sz w:val="21"/>
                <w:szCs w:val="21"/>
                <w:highlight w:val="none"/>
                <w:lang w:eastAsia="zh-CN"/>
              </w:rPr>
              <w:t>PM2.5</w:t>
            </w:r>
            <w:r>
              <w:rPr>
                <w:color w:val="auto"/>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评价</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标准</w:t>
            </w: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评价标准</w:t>
            </w:r>
          </w:p>
        </w:tc>
        <w:tc>
          <w:tcPr>
            <w:tcW w:w="1382" w:type="dxa"/>
            <w:gridSpan w:val="3"/>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国家标准</w:t>
            </w:r>
            <w:r>
              <w:rPr>
                <w:color w:val="auto"/>
                <w:sz w:val="21"/>
                <w:szCs w:val="21"/>
                <w:highlight w:val="none"/>
              </w:rPr>
              <w:sym w:font="Wingdings 2" w:char="0052"/>
            </w:r>
          </w:p>
        </w:tc>
        <w:tc>
          <w:tcPr>
            <w:tcW w:w="1560"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地方标准</w:t>
            </w:r>
            <w:r>
              <w:rPr>
                <w:color w:val="auto"/>
                <w:sz w:val="21"/>
                <w:szCs w:val="21"/>
                <w:highlight w:val="none"/>
              </w:rPr>
              <w:sym w:font="Wingdings 2" w:char="0052"/>
            </w:r>
          </w:p>
        </w:tc>
        <w:tc>
          <w:tcPr>
            <w:tcW w:w="1417" w:type="dxa"/>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附录D</w:t>
            </w:r>
            <w:r>
              <w:rPr>
                <w:color w:val="auto"/>
                <w:sz w:val="21"/>
                <w:szCs w:val="21"/>
                <w:highlight w:val="none"/>
              </w:rPr>
              <w:sym w:font="Wingdings 2" w:char="0052"/>
            </w:r>
          </w:p>
        </w:tc>
        <w:tc>
          <w:tcPr>
            <w:tcW w:w="2035" w:type="dxa"/>
            <w:gridSpan w:val="6"/>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其他标准</w:t>
            </w:r>
            <w:r>
              <w:rPr>
                <w:color w:val="auto"/>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现状</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评价</w:t>
            </w: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环境功能区</w:t>
            </w:r>
          </w:p>
        </w:tc>
        <w:tc>
          <w:tcPr>
            <w:tcW w:w="1600"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一类区</w:t>
            </w:r>
            <w:r>
              <w:rPr>
                <w:color w:val="auto"/>
                <w:sz w:val="21"/>
                <w:szCs w:val="21"/>
                <w:highlight w:val="none"/>
              </w:rPr>
              <w:sym w:font="Wingdings 2" w:char="00A3"/>
            </w:r>
          </w:p>
        </w:tc>
        <w:tc>
          <w:tcPr>
            <w:tcW w:w="2050" w:type="dxa"/>
            <w:gridSpan w:val="6"/>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二类区</w:t>
            </w:r>
            <w:r>
              <w:rPr>
                <w:color w:val="auto"/>
                <w:sz w:val="21"/>
                <w:szCs w:val="21"/>
                <w:highlight w:val="none"/>
              </w:rPr>
              <w:sym w:font="Wingdings 2" w:char="0052"/>
            </w:r>
          </w:p>
        </w:tc>
        <w:tc>
          <w:tcPr>
            <w:tcW w:w="2744"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一类区和二类区</w:t>
            </w:r>
            <w:r>
              <w:rPr>
                <w:color w:val="auto"/>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评价基准年</w:t>
            </w:r>
          </w:p>
        </w:tc>
        <w:tc>
          <w:tcPr>
            <w:tcW w:w="6394" w:type="dxa"/>
            <w:gridSpan w:val="18"/>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（202</w:t>
            </w:r>
            <w:r>
              <w:rPr>
                <w:rFonts w:hint="eastAsia"/>
                <w:color w:val="auto"/>
                <w:sz w:val="21"/>
                <w:szCs w:val="21"/>
                <w:highlight w:val="none"/>
                <w:lang w:val="en-US" w:eastAsia="zh-CN"/>
              </w:rPr>
              <w:t>4</w:t>
            </w:r>
            <w:r>
              <w:rPr>
                <w:color w:val="auto"/>
                <w:sz w:val="21"/>
                <w:szCs w:val="21"/>
                <w:highlight w:val="none"/>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环境空气质量现状调查数据来源</w:t>
            </w:r>
          </w:p>
        </w:tc>
        <w:tc>
          <w:tcPr>
            <w:tcW w:w="1600"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长期例行监测数据</w:t>
            </w:r>
            <w:r>
              <w:rPr>
                <w:color w:val="auto"/>
                <w:sz w:val="21"/>
                <w:szCs w:val="21"/>
                <w:highlight w:val="none"/>
              </w:rPr>
              <w:sym w:font="Wingdings 2" w:char="00A3"/>
            </w:r>
          </w:p>
        </w:tc>
        <w:tc>
          <w:tcPr>
            <w:tcW w:w="2050" w:type="dxa"/>
            <w:gridSpan w:val="6"/>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主管部门发布的数据</w:t>
            </w:r>
            <w:r>
              <w:rPr>
                <w:color w:val="auto"/>
                <w:sz w:val="21"/>
                <w:szCs w:val="21"/>
                <w:highlight w:val="none"/>
              </w:rPr>
              <w:sym w:font="Wingdings 2" w:char="0052"/>
            </w:r>
          </w:p>
        </w:tc>
        <w:tc>
          <w:tcPr>
            <w:tcW w:w="2744"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现状补充监测</w:t>
            </w:r>
            <w:r>
              <w:rPr>
                <w:color w:val="auto"/>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现状评价</w:t>
            </w:r>
          </w:p>
        </w:tc>
        <w:tc>
          <w:tcPr>
            <w:tcW w:w="3650" w:type="dxa"/>
            <w:gridSpan w:val="11"/>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达标区</w:t>
            </w:r>
            <w:r>
              <w:rPr>
                <w:color w:val="auto"/>
                <w:sz w:val="21"/>
                <w:szCs w:val="21"/>
                <w:highlight w:val="none"/>
              </w:rPr>
              <w:sym w:font="Wingdings 2" w:char="0052"/>
            </w:r>
          </w:p>
        </w:tc>
        <w:tc>
          <w:tcPr>
            <w:tcW w:w="2744"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不达标区</w:t>
            </w:r>
            <w:r>
              <w:rPr>
                <w:color w:val="auto"/>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污染源</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调查</w:t>
            </w: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调查内容</w:t>
            </w:r>
          </w:p>
        </w:tc>
        <w:tc>
          <w:tcPr>
            <w:tcW w:w="2375"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本项目正常排放源</w:t>
            </w:r>
            <w:r>
              <w:rPr>
                <w:color w:val="auto"/>
                <w:sz w:val="21"/>
                <w:szCs w:val="21"/>
                <w:highlight w:val="none"/>
              </w:rPr>
              <w:sym w:font="Wingdings 2" w:char="0052"/>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本项目非正常排放源</w:t>
            </w:r>
            <w:r>
              <w:rPr>
                <w:color w:val="auto"/>
                <w:sz w:val="21"/>
                <w:szCs w:val="21"/>
                <w:highlight w:val="none"/>
              </w:rPr>
              <w:sym w:font="Wingdings 2" w:char="0052"/>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现有污染源</w:t>
            </w:r>
            <w:r>
              <w:rPr>
                <w:color w:val="auto"/>
                <w:sz w:val="21"/>
                <w:szCs w:val="21"/>
                <w:highlight w:val="none"/>
              </w:rPr>
              <w:sym w:font="Wingdings 2" w:char="0052"/>
            </w:r>
          </w:p>
        </w:tc>
        <w:tc>
          <w:tcPr>
            <w:tcW w:w="1275" w:type="dxa"/>
            <w:gridSpan w:val="4"/>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拟替代的污染源</w:t>
            </w:r>
            <w:r>
              <w:rPr>
                <w:color w:val="auto"/>
                <w:sz w:val="21"/>
                <w:szCs w:val="21"/>
                <w:highlight w:val="none"/>
              </w:rPr>
              <w:sym w:font="Wingdings 2" w:char="0052"/>
            </w:r>
          </w:p>
        </w:tc>
        <w:tc>
          <w:tcPr>
            <w:tcW w:w="1486"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其他在建、</w:t>
            </w:r>
            <w:r>
              <w:rPr>
                <w:rFonts w:hint="eastAsia"/>
                <w:color w:val="auto"/>
                <w:sz w:val="21"/>
                <w:szCs w:val="21"/>
                <w:highlight w:val="none"/>
                <w:lang w:eastAsia="zh-CN"/>
              </w:rPr>
              <w:t>灰渣场</w:t>
            </w:r>
            <w:r>
              <w:rPr>
                <w:color w:val="auto"/>
                <w:sz w:val="21"/>
                <w:szCs w:val="21"/>
                <w:highlight w:val="none"/>
              </w:rPr>
              <w:t>项目污染源</w:t>
            </w:r>
            <w:r>
              <w:rPr>
                <w:color w:val="auto"/>
                <w:sz w:val="21"/>
                <w:szCs w:val="21"/>
                <w:highlight w:val="none"/>
              </w:rPr>
              <w:sym w:font="Wingdings 2" w:char="00A3"/>
            </w:r>
          </w:p>
        </w:tc>
        <w:tc>
          <w:tcPr>
            <w:tcW w:w="1258" w:type="dxa"/>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区域污染源</w:t>
            </w:r>
            <w:r>
              <w:rPr>
                <w:color w:val="auto"/>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大气环境影响预测与评价</w:t>
            </w: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预测模型</w:t>
            </w:r>
          </w:p>
        </w:tc>
        <w:tc>
          <w:tcPr>
            <w:tcW w:w="839"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AERMOD</w:t>
            </w:r>
            <w:r>
              <w:rPr>
                <w:color w:val="auto"/>
                <w:sz w:val="21"/>
                <w:szCs w:val="21"/>
                <w:highlight w:val="none"/>
              </w:rPr>
              <w:sym w:font="Wingdings 2" w:char="0052"/>
            </w:r>
          </w:p>
        </w:tc>
        <w:tc>
          <w:tcPr>
            <w:tcW w:w="655" w:type="dxa"/>
            <w:gridSpan w:val="3"/>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ADMS</w:t>
            </w:r>
            <w:r>
              <w:rPr>
                <w:color w:val="auto"/>
                <w:sz w:val="21"/>
                <w:szCs w:val="21"/>
                <w:highlight w:val="none"/>
              </w:rPr>
              <w:sym w:font="Wingdings 2" w:char="00A3"/>
            </w:r>
          </w:p>
        </w:tc>
        <w:tc>
          <w:tcPr>
            <w:tcW w:w="1092"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AUSTAL2000</w:t>
            </w:r>
            <w:r>
              <w:rPr>
                <w:color w:val="auto"/>
                <w:sz w:val="21"/>
                <w:szCs w:val="21"/>
                <w:highlight w:val="none"/>
              </w:rPr>
              <w:sym w:font="Wingdings 2" w:char="00A3"/>
            </w:r>
          </w:p>
        </w:tc>
        <w:tc>
          <w:tcPr>
            <w:tcW w:w="1064" w:type="dxa"/>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EDMS/AEDT</w:t>
            </w:r>
            <w:r>
              <w:rPr>
                <w:color w:val="auto"/>
                <w:sz w:val="21"/>
                <w:szCs w:val="21"/>
                <w:highlight w:val="none"/>
              </w:rPr>
              <w:sym w:font="Wingdings 2" w:char="00A3"/>
            </w:r>
          </w:p>
        </w:tc>
        <w:tc>
          <w:tcPr>
            <w:tcW w:w="1046" w:type="dxa"/>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CALPUFF</w:t>
            </w:r>
            <w:r>
              <w:rPr>
                <w:color w:val="auto"/>
                <w:sz w:val="21"/>
                <w:szCs w:val="21"/>
                <w:highlight w:val="none"/>
              </w:rPr>
              <w:sym w:font="Wingdings 2" w:char="00A3"/>
            </w:r>
          </w:p>
        </w:tc>
        <w:tc>
          <w:tcPr>
            <w:tcW w:w="919" w:type="dxa"/>
            <w:gridSpan w:val="4"/>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网格模型</w:t>
            </w:r>
            <w:r>
              <w:rPr>
                <w:color w:val="auto"/>
                <w:sz w:val="21"/>
                <w:szCs w:val="21"/>
                <w:highlight w:val="none"/>
              </w:rPr>
              <w:sym w:font="Wingdings 2" w:char="00A3"/>
            </w:r>
          </w:p>
        </w:tc>
        <w:tc>
          <w:tcPr>
            <w:tcW w:w="779"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其他</w:t>
            </w:r>
            <w:r>
              <w:rPr>
                <w:color w:val="auto"/>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预测范围</w:t>
            </w:r>
          </w:p>
        </w:tc>
        <w:tc>
          <w:tcPr>
            <w:tcW w:w="1600"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边长≥50km</w:t>
            </w:r>
            <w:r>
              <w:rPr>
                <w:color w:val="auto"/>
                <w:sz w:val="21"/>
                <w:szCs w:val="21"/>
                <w:highlight w:val="none"/>
              </w:rPr>
              <w:sym w:font="Wingdings 2" w:char="00A3"/>
            </w:r>
          </w:p>
        </w:tc>
        <w:tc>
          <w:tcPr>
            <w:tcW w:w="2050" w:type="dxa"/>
            <w:gridSpan w:val="6"/>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边长5</w:t>
            </w:r>
            <w:r>
              <w:rPr>
                <w:rFonts w:hint="eastAsia"/>
                <w:color w:val="auto"/>
                <w:sz w:val="21"/>
                <w:szCs w:val="21"/>
                <w:highlight w:val="none"/>
                <w:lang w:eastAsia="zh-CN"/>
              </w:rPr>
              <w:t>～</w:t>
            </w:r>
            <w:r>
              <w:rPr>
                <w:color w:val="auto"/>
                <w:sz w:val="21"/>
                <w:szCs w:val="21"/>
                <w:highlight w:val="none"/>
              </w:rPr>
              <w:t>50km</w:t>
            </w:r>
            <w:r>
              <w:rPr>
                <w:color w:val="auto"/>
                <w:sz w:val="21"/>
                <w:szCs w:val="21"/>
                <w:highlight w:val="none"/>
              </w:rPr>
              <w:sym w:font="Wingdings 2" w:char="00A3"/>
            </w:r>
          </w:p>
        </w:tc>
        <w:tc>
          <w:tcPr>
            <w:tcW w:w="2744"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边长=5km</w:t>
            </w:r>
            <w:r>
              <w:rPr>
                <w:color w:val="auto"/>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预测因子</w:t>
            </w:r>
          </w:p>
        </w:tc>
        <w:tc>
          <w:tcPr>
            <w:tcW w:w="3650" w:type="dxa"/>
            <w:gridSpan w:val="11"/>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预测因子（</w:t>
            </w:r>
            <w:r>
              <w:rPr>
                <w:rFonts w:hint="eastAsia"/>
                <w:color w:val="auto"/>
                <w:sz w:val="21"/>
                <w:szCs w:val="21"/>
                <w:highlight w:val="none"/>
                <w:lang w:val="en-US" w:eastAsia="zh-CN"/>
              </w:rPr>
              <w:t>TSP、</w:t>
            </w:r>
            <w:r>
              <w:rPr>
                <w:rFonts w:hint="eastAsia"/>
                <w:color w:val="auto"/>
                <w:sz w:val="21"/>
                <w:szCs w:val="21"/>
                <w:highlight w:val="none"/>
              </w:rPr>
              <w:t>P</w:t>
            </w:r>
            <w:r>
              <w:rPr>
                <w:color w:val="auto"/>
                <w:sz w:val="21"/>
                <w:szCs w:val="21"/>
                <w:highlight w:val="none"/>
              </w:rPr>
              <w:t>M</w:t>
            </w:r>
            <w:r>
              <w:rPr>
                <w:color w:val="auto"/>
                <w:sz w:val="21"/>
                <w:szCs w:val="21"/>
                <w:highlight w:val="none"/>
                <w:vertAlign w:val="subscript"/>
              </w:rPr>
              <w:t>10</w:t>
            </w:r>
            <w:r>
              <w:rPr>
                <w:rFonts w:hint="eastAsia"/>
                <w:color w:val="auto"/>
                <w:sz w:val="21"/>
                <w:szCs w:val="21"/>
                <w:highlight w:val="none"/>
              </w:rPr>
              <w:t>二氧化硫、氮氧化物、汞</w:t>
            </w:r>
            <w:r>
              <w:rPr>
                <w:color w:val="auto"/>
                <w:sz w:val="21"/>
                <w:szCs w:val="21"/>
                <w:highlight w:val="none"/>
              </w:rPr>
              <w:t>）</w:t>
            </w:r>
          </w:p>
        </w:tc>
        <w:tc>
          <w:tcPr>
            <w:tcW w:w="2744"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包括二次</w:t>
            </w:r>
            <w:r>
              <w:rPr>
                <w:rFonts w:hint="eastAsia"/>
                <w:color w:val="auto"/>
                <w:sz w:val="21"/>
                <w:szCs w:val="21"/>
                <w:highlight w:val="none"/>
                <w:lang w:eastAsia="zh-CN"/>
              </w:rPr>
              <w:t>PM2.5</w:t>
            </w:r>
            <w:r>
              <w:rPr>
                <w:color w:val="auto"/>
                <w:sz w:val="21"/>
                <w:szCs w:val="21"/>
                <w:highlight w:val="none"/>
              </w:rPr>
              <w:sym w:font="Wingdings 2" w:char="00A3"/>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不包括二次</w:t>
            </w:r>
            <w:r>
              <w:rPr>
                <w:rFonts w:hint="eastAsia"/>
                <w:color w:val="auto"/>
                <w:sz w:val="21"/>
                <w:szCs w:val="21"/>
                <w:highlight w:val="none"/>
                <w:lang w:eastAsia="zh-CN"/>
              </w:rPr>
              <w:t>PM2.5</w:t>
            </w:r>
            <w:r>
              <w:rPr>
                <w:color w:val="auto"/>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正常排放短期浓度贡献值</w:t>
            </w:r>
          </w:p>
        </w:tc>
        <w:tc>
          <w:tcPr>
            <w:tcW w:w="3650" w:type="dxa"/>
            <w:gridSpan w:val="11"/>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C本项目最大占标率≤100%</w:t>
            </w:r>
            <w:r>
              <w:rPr>
                <w:color w:val="auto"/>
                <w:sz w:val="21"/>
                <w:szCs w:val="21"/>
                <w:highlight w:val="none"/>
              </w:rPr>
              <w:sym w:font="Wingdings 2" w:char="0052"/>
            </w:r>
          </w:p>
        </w:tc>
        <w:tc>
          <w:tcPr>
            <w:tcW w:w="2744"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C本项目最大占标率＞100%</w:t>
            </w:r>
            <w:r>
              <w:rPr>
                <w:color w:val="auto"/>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271"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正常排放年均浓度贡献值</w:t>
            </w:r>
          </w:p>
        </w:tc>
        <w:tc>
          <w:tcPr>
            <w:tcW w:w="957" w:type="dxa"/>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一类区</w:t>
            </w:r>
          </w:p>
        </w:tc>
        <w:tc>
          <w:tcPr>
            <w:tcW w:w="2693" w:type="dxa"/>
            <w:gridSpan w:val="9"/>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C本项目最大占标率≤10%</w:t>
            </w:r>
            <w:r>
              <w:rPr>
                <w:color w:val="auto"/>
                <w:sz w:val="21"/>
                <w:szCs w:val="21"/>
                <w:highlight w:val="none"/>
              </w:rPr>
              <w:sym w:font="Wingdings 2" w:char="00A3"/>
            </w:r>
          </w:p>
        </w:tc>
        <w:tc>
          <w:tcPr>
            <w:tcW w:w="2744"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C本项目最大占标率＞10%</w:t>
            </w:r>
            <w:r>
              <w:rPr>
                <w:color w:val="auto"/>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271"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957" w:type="dxa"/>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二类区</w:t>
            </w:r>
          </w:p>
        </w:tc>
        <w:tc>
          <w:tcPr>
            <w:tcW w:w="2693" w:type="dxa"/>
            <w:gridSpan w:val="9"/>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C本项目最大占标率≤30%</w:t>
            </w:r>
            <w:r>
              <w:rPr>
                <w:color w:val="auto"/>
                <w:sz w:val="21"/>
                <w:szCs w:val="21"/>
                <w:highlight w:val="none"/>
              </w:rPr>
              <w:sym w:font="Wingdings 2" w:char="0052"/>
            </w:r>
          </w:p>
        </w:tc>
        <w:tc>
          <w:tcPr>
            <w:tcW w:w="2744"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C本项目最大占标率＞30%</w:t>
            </w:r>
            <w:r>
              <w:rPr>
                <w:color w:val="auto"/>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非正常排放1h浓度贡献值</w:t>
            </w:r>
          </w:p>
        </w:tc>
        <w:tc>
          <w:tcPr>
            <w:tcW w:w="1494" w:type="dxa"/>
            <w:gridSpan w:val="4"/>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非正常持续时长（</w:t>
            </w:r>
            <w:r>
              <w:rPr>
                <w:rFonts w:hint="eastAsia"/>
                <w:color w:val="auto"/>
                <w:sz w:val="21"/>
                <w:szCs w:val="21"/>
                <w:highlight w:val="none"/>
              </w:rPr>
              <w:t>1</w:t>
            </w:r>
            <w:r>
              <w:rPr>
                <w:color w:val="auto"/>
                <w:sz w:val="21"/>
                <w:szCs w:val="21"/>
                <w:highlight w:val="none"/>
              </w:rPr>
              <w:t>）h</w:t>
            </w:r>
          </w:p>
        </w:tc>
        <w:tc>
          <w:tcPr>
            <w:tcW w:w="2156"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c非正常占标率≤100%</w:t>
            </w:r>
            <w:r>
              <w:rPr>
                <w:color w:val="auto"/>
                <w:sz w:val="21"/>
                <w:szCs w:val="21"/>
                <w:highlight w:val="none"/>
              </w:rPr>
              <w:sym w:font="Wingdings 2" w:char="0052"/>
            </w:r>
          </w:p>
        </w:tc>
        <w:tc>
          <w:tcPr>
            <w:tcW w:w="2744"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c非正常占标率＞100%</w:t>
            </w:r>
            <w:r>
              <w:rPr>
                <w:color w:val="auto"/>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保证率日平均浓度和年平均浓度叠加值</w:t>
            </w:r>
          </w:p>
        </w:tc>
        <w:tc>
          <w:tcPr>
            <w:tcW w:w="3650" w:type="dxa"/>
            <w:gridSpan w:val="11"/>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C叠加达标</w:t>
            </w:r>
            <w:r>
              <w:rPr>
                <w:color w:val="auto"/>
                <w:sz w:val="21"/>
                <w:szCs w:val="21"/>
                <w:highlight w:val="none"/>
              </w:rPr>
              <w:sym w:font="Wingdings 2" w:char="0052"/>
            </w:r>
          </w:p>
        </w:tc>
        <w:tc>
          <w:tcPr>
            <w:tcW w:w="2744"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C叠加不达标</w:t>
            </w:r>
            <w:r>
              <w:rPr>
                <w:color w:val="auto"/>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区域环境质量的整体变化情况</w:t>
            </w:r>
          </w:p>
        </w:tc>
        <w:tc>
          <w:tcPr>
            <w:tcW w:w="3650" w:type="dxa"/>
            <w:gridSpan w:val="11"/>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k≤-20%</w:t>
            </w:r>
            <w:r>
              <w:rPr>
                <w:color w:val="auto"/>
                <w:sz w:val="21"/>
                <w:szCs w:val="21"/>
                <w:highlight w:val="none"/>
              </w:rPr>
              <w:sym w:font="Wingdings 2" w:char="0052"/>
            </w:r>
          </w:p>
        </w:tc>
        <w:tc>
          <w:tcPr>
            <w:tcW w:w="2744"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k＞-20%</w:t>
            </w:r>
            <w:r>
              <w:rPr>
                <w:color w:val="auto"/>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环境监测计划</w:t>
            </w: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污染源监测</w:t>
            </w:r>
          </w:p>
        </w:tc>
        <w:tc>
          <w:tcPr>
            <w:tcW w:w="2549" w:type="dxa"/>
            <w:gridSpan w:val="8"/>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监测因子：（</w:t>
            </w:r>
            <w:r>
              <w:rPr>
                <w:rFonts w:hint="eastAsia"/>
                <w:color w:val="auto"/>
                <w:sz w:val="21"/>
                <w:szCs w:val="21"/>
                <w:highlight w:val="none"/>
              </w:rPr>
              <w:t>二氧化硫、氮氧化物、颗粒物、汞</w:t>
            </w:r>
            <w:r>
              <w:rPr>
                <w:color w:val="auto"/>
                <w:sz w:val="21"/>
                <w:szCs w:val="21"/>
                <w:highlight w:val="none"/>
              </w:rPr>
              <w:t>）</w:t>
            </w:r>
          </w:p>
        </w:tc>
        <w:tc>
          <w:tcPr>
            <w:tcW w:w="2235" w:type="dxa"/>
            <w:gridSpan w:val="6"/>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有组织废气监测</w:t>
            </w:r>
            <w:r>
              <w:rPr>
                <w:color w:val="auto"/>
                <w:sz w:val="21"/>
                <w:szCs w:val="21"/>
                <w:highlight w:val="none"/>
              </w:rPr>
              <w:sym w:font="Wingdings 2" w:char="0052"/>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无组织废气监测</w:t>
            </w:r>
            <w:r>
              <w:rPr>
                <w:color w:val="auto"/>
                <w:sz w:val="21"/>
                <w:szCs w:val="21"/>
                <w:highlight w:val="none"/>
              </w:rPr>
              <w:sym w:font="Wingdings 2" w:char="0052"/>
            </w:r>
          </w:p>
        </w:tc>
        <w:tc>
          <w:tcPr>
            <w:tcW w:w="1610" w:type="dxa"/>
            <w:gridSpan w:val="4"/>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无监测</w:t>
            </w:r>
            <w:r>
              <w:rPr>
                <w:color w:val="auto"/>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环境质量监测</w:t>
            </w:r>
          </w:p>
        </w:tc>
        <w:tc>
          <w:tcPr>
            <w:tcW w:w="2549" w:type="dxa"/>
            <w:gridSpan w:val="8"/>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监测因子：（</w:t>
            </w:r>
            <w:r>
              <w:rPr>
                <w:rFonts w:hint="eastAsia"/>
                <w:color w:val="auto"/>
                <w:sz w:val="21"/>
                <w:szCs w:val="21"/>
                <w:highlight w:val="none"/>
              </w:rPr>
              <w:t>二氧化硫、氮氧化物、颗粒物、汞</w:t>
            </w:r>
            <w:r>
              <w:rPr>
                <w:color w:val="auto"/>
                <w:sz w:val="21"/>
                <w:szCs w:val="21"/>
                <w:highlight w:val="none"/>
              </w:rPr>
              <w:t>）</w:t>
            </w:r>
          </w:p>
        </w:tc>
        <w:tc>
          <w:tcPr>
            <w:tcW w:w="2235" w:type="dxa"/>
            <w:gridSpan w:val="6"/>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监测点位数（ 1  ）</w:t>
            </w:r>
          </w:p>
        </w:tc>
        <w:tc>
          <w:tcPr>
            <w:tcW w:w="1610" w:type="dxa"/>
            <w:gridSpan w:val="4"/>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无监测</w:t>
            </w:r>
            <w:r>
              <w:rPr>
                <w:color w:val="auto"/>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评价</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结论</w:t>
            </w: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环境影响</w:t>
            </w:r>
          </w:p>
        </w:tc>
        <w:tc>
          <w:tcPr>
            <w:tcW w:w="6394" w:type="dxa"/>
            <w:gridSpan w:val="18"/>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可以接受</w:t>
            </w:r>
            <w:r>
              <w:rPr>
                <w:color w:val="auto"/>
                <w:sz w:val="21"/>
                <w:szCs w:val="21"/>
                <w:highlight w:val="none"/>
              </w:rPr>
              <w:sym w:font="Wingdings 2" w:char="0052"/>
            </w:r>
            <w:r>
              <w:rPr>
                <w:color w:val="auto"/>
                <w:sz w:val="21"/>
                <w:szCs w:val="21"/>
                <w:highlight w:val="none"/>
              </w:rPr>
              <w:t xml:space="preserve">     不可以接受</w:t>
            </w:r>
            <w:r>
              <w:rPr>
                <w:color w:val="auto"/>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大气环境防护距离</w:t>
            </w:r>
          </w:p>
        </w:tc>
        <w:tc>
          <w:tcPr>
            <w:tcW w:w="6394" w:type="dxa"/>
            <w:gridSpan w:val="18"/>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距（）厂界最远（）m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271"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污染源年排放量</w:t>
            </w:r>
          </w:p>
        </w:tc>
        <w:tc>
          <w:tcPr>
            <w:tcW w:w="1494" w:type="dxa"/>
            <w:gridSpan w:val="4"/>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ascii="Times New Roman" w:hAnsi="Times New Roman" w:cs="Times New Roman"/>
                <w:bCs/>
                <w:color w:val="auto"/>
                <w:sz w:val="21"/>
                <w:szCs w:val="21"/>
                <w:highlight w:val="none"/>
              </w:rPr>
              <w:t>SO</w:t>
            </w:r>
            <w:r>
              <w:rPr>
                <w:rFonts w:ascii="Times New Roman" w:hAnsi="Times New Roman" w:cs="Times New Roman"/>
                <w:bCs/>
                <w:color w:val="auto"/>
                <w:sz w:val="21"/>
                <w:szCs w:val="21"/>
                <w:highlight w:val="none"/>
                <w:vertAlign w:val="subscript"/>
              </w:rPr>
              <w:t>2</w:t>
            </w:r>
            <w:r>
              <w:rPr>
                <w:color w:val="auto"/>
                <w:sz w:val="21"/>
                <w:szCs w:val="21"/>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w:t>
            </w:r>
            <w:r>
              <w:rPr>
                <w:rFonts w:hint="default" w:ascii="Times New Roman" w:hAnsi="Times New Roman" w:eastAsia="宋体" w:cs="Times New Roman"/>
                <w:color w:val="auto"/>
                <w:sz w:val="21"/>
                <w:szCs w:val="21"/>
                <w:lang w:val="en-US" w:eastAsia="zh-CN"/>
              </w:rPr>
              <w:t>42.1732</w:t>
            </w:r>
            <w:r>
              <w:rPr>
                <w:color w:val="auto"/>
                <w:sz w:val="21"/>
                <w:szCs w:val="21"/>
                <w:highlight w:val="none"/>
              </w:rPr>
              <w:t>）t/a</w:t>
            </w:r>
          </w:p>
        </w:tc>
        <w:tc>
          <w:tcPr>
            <w:tcW w:w="1448" w:type="dxa"/>
            <w:gridSpan w:val="6"/>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NOx：（</w:t>
            </w:r>
            <w:r>
              <w:rPr>
                <w:rFonts w:hint="default" w:ascii="Times New Roman" w:hAnsi="Times New Roman" w:eastAsia="宋体" w:cs="Times New Roman"/>
                <w:color w:val="auto"/>
                <w:sz w:val="21"/>
                <w:szCs w:val="21"/>
                <w:lang w:val="en-US" w:eastAsia="zh-CN"/>
              </w:rPr>
              <w:t>60.9697</w:t>
            </w:r>
            <w:r>
              <w:rPr>
                <w:color w:val="auto"/>
                <w:sz w:val="21"/>
                <w:szCs w:val="21"/>
                <w:highlight w:val="none"/>
              </w:rPr>
              <w:t>）t/a</w:t>
            </w:r>
          </w:p>
        </w:tc>
        <w:tc>
          <w:tcPr>
            <w:tcW w:w="2126"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颗粒物：</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w:t>
            </w:r>
            <w:r>
              <w:rPr>
                <w:rFonts w:hint="default"/>
                <w:color w:val="auto"/>
                <w:sz w:val="21"/>
                <w:szCs w:val="21"/>
                <w:highlight w:val="none"/>
                <w:lang w:val="en-US" w:eastAsia="zh-CN"/>
              </w:rPr>
              <w:t>9.9306</w:t>
            </w:r>
            <w:r>
              <w:rPr>
                <w:color w:val="auto"/>
                <w:sz w:val="21"/>
                <w:szCs w:val="21"/>
                <w:highlight w:val="none"/>
              </w:rPr>
              <w:t>）t/a</w:t>
            </w:r>
          </w:p>
        </w:tc>
        <w:tc>
          <w:tcPr>
            <w:tcW w:w="1326" w:type="dxa"/>
            <w:gridSpan w:val="3"/>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汞</w:t>
            </w:r>
            <w:r>
              <w:rPr>
                <w:color w:val="auto"/>
                <w:sz w:val="21"/>
                <w:szCs w:val="21"/>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w:t>
            </w:r>
            <w:r>
              <w:rPr>
                <w:rFonts w:hint="eastAsia"/>
                <w:color w:val="auto"/>
                <w:sz w:val="21"/>
                <w:szCs w:val="21"/>
                <w:highlight w:val="none"/>
                <w:lang w:eastAsia="zh-CN"/>
              </w:rPr>
              <w:t>0.00</w:t>
            </w:r>
            <w:r>
              <w:rPr>
                <w:rFonts w:hint="eastAsia"/>
                <w:color w:val="auto"/>
                <w:sz w:val="21"/>
                <w:szCs w:val="21"/>
                <w:highlight w:val="none"/>
                <w:lang w:val="en-US" w:eastAsia="zh-CN"/>
              </w:rPr>
              <w:t>23</w:t>
            </w:r>
            <w:r>
              <w:rPr>
                <w:color w:val="auto"/>
                <w:sz w:val="21"/>
                <w:szCs w:val="21"/>
                <w:highlight w:val="none"/>
              </w:rPr>
              <w:t>）</w:t>
            </w:r>
            <w:r>
              <w:rPr>
                <w:rFonts w:hint="eastAsia"/>
                <w:color w:val="auto"/>
                <w:sz w:val="21"/>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2" w:type="dxa"/>
            <w:gridSpan w:val="20"/>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注：“□”为勾选项，填“√”；“（）”为内容填写项</w:t>
            </w:r>
          </w:p>
        </w:tc>
      </w:tr>
    </w:tbl>
    <w:p>
      <w:pPr>
        <w:pStyle w:val="4"/>
        <w:bidi w:val="0"/>
        <w:rPr>
          <w:color w:val="auto"/>
          <w:highlight w:val="none"/>
        </w:rPr>
      </w:pPr>
      <w:r>
        <w:rPr>
          <w:rFonts w:hint="eastAsia"/>
          <w:color w:val="auto"/>
          <w:highlight w:val="none"/>
          <w:lang w:val="en-US" w:eastAsia="zh-CN"/>
        </w:rPr>
        <w:t>6.2.2</w:t>
      </w:r>
      <w:r>
        <w:rPr>
          <w:color w:val="auto"/>
          <w:highlight w:val="none"/>
        </w:rPr>
        <w:t>水环境影响分析</w:t>
      </w:r>
    </w:p>
    <w:p>
      <w:pPr>
        <w:pStyle w:val="5"/>
        <w:bidi w:val="0"/>
        <w:ind w:left="0" w:leftChars="0" w:firstLine="0" w:firstLineChars="0"/>
        <w:rPr>
          <w:rFonts w:hint="default"/>
          <w:color w:val="auto"/>
          <w:lang w:val="en-US"/>
        </w:rPr>
      </w:pPr>
      <w:r>
        <w:rPr>
          <w:rFonts w:hint="eastAsia"/>
          <w:color w:val="auto"/>
          <w:lang w:val="en-US" w:eastAsia="zh-CN"/>
        </w:rPr>
        <w:t>6.2.2.1地表水环境影响分析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476" w:firstLineChars="200"/>
        <w:jc w:val="both"/>
        <w:textAlignment w:val="auto"/>
        <w:rPr>
          <w:rFonts w:ascii="宋体" w:hAnsi="宋体" w:eastAsia="宋体" w:cs="宋体"/>
          <w:color w:val="auto"/>
          <w:sz w:val="24"/>
          <w:szCs w:val="24"/>
        </w:rPr>
      </w:pPr>
      <w:r>
        <w:rPr>
          <w:rFonts w:ascii="宋体" w:hAnsi="宋体" w:eastAsia="宋体" w:cs="宋体"/>
          <w:color w:val="auto"/>
          <w:spacing w:val="-1"/>
          <w:sz w:val="24"/>
          <w:szCs w:val="24"/>
        </w:rPr>
        <w:t>根据</w:t>
      </w:r>
      <w:r>
        <w:rPr>
          <w:rFonts w:hint="eastAsia" w:ascii="宋体" w:hAnsi="宋体" w:cs="宋体"/>
          <w:color w:val="auto"/>
          <w:spacing w:val="-1"/>
          <w:sz w:val="24"/>
          <w:szCs w:val="24"/>
          <w:lang w:val="en-US" w:eastAsia="zh-CN"/>
        </w:rPr>
        <w:t>工程分析章节</w:t>
      </w:r>
      <w:r>
        <w:rPr>
          <w:rFonts w:ascii="宋体" w:hAnsi="宋体" w:eastAsia="宋体" w:cs="宋体"/>
          <w:color w:val="auto"/>
          <w:spacing w:val="-1"/>
          <w:sz w:val="24"/>
          <w:szCs w:val="24"/>
        </w:rPr>
        <w:t>，由于本项</w:t>
      </w:r>
      <w:r>
        <w:rPr>
          <w:rFonts w:ascii="宋体" w:hAnsi="宋体" w:eastAsia="宋体" w:cs="宋体"/>
          <w:color w:val="auto"/>
          <w:spacing w:val="-2"/>
          <w:sz w:val="24"/>
          <w:szCs w:val="24"/>
        </w:rPr>
        <w:t>目不新增生活污水，</w:t>
      </w:r>
      <w:r>
        <w:rPr>
          <w:rFonts w:ascii="宋体" w:hAnsi="宋体" w:eastAsia="宋体" w:cs="宋体"/>
          <w:color w:val="auto"/>
          <w:spacing w:val="-8"/>
          <w:sz w:val="24"/>
          <w:szCs w:val="24"/>
        </w:rPr>
        <w:t>现有生活污水排入市政排水管网，不直接排入地表水体，本项目周边无地表水体，</w:t>
      </w:r>
      <w:r>
        <w:rPr>
          <w:rFonts w:ascii="宋体" w:hAnsi="宋体" w:eastAsia="宋体" w:cs="宋体"/>
          <w:color w:val="auto"/>
          <w:spacing w:val="-2"/>
          <w:sz w:val="24"/>
          <w:szCs w:val="24"/>
        </w:rPr>
        <w:t>不接触地表水，正常工况下本项目排污水不会对地表水体产生影响。</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484" w:firstLineChars="200"/>
        <w:jc w:val="both"/>
        <w:textAlignment w:val="auto"/>
        <w:rPr>
          <w:rFonts w:ascii="宋体" w:hAnsi="宋体" w:eastAsia="宋体" w:cs="宋体"/>
          <w:color w:val="auto"/>
          <w:sz w:val="24"/>
          <w:szCs w:val="24"/>
        </w:rPr>
      </w:pPr>
      <w:r>
        <w:rPr>
          <w:rFonts w:ascii="宋体" w:hAnsi="宋体" w:eastAsia="宋体" w:cs="宋体"/>
          <w:color w:val="auto"/>
          <w:spacing w:val="1"/>
          <w:sz w:val="24"/>
          <w:szCs w:val="24"/>
        </w:rPr>
        <w:t>根据《环境影响评价技术导则地下水环境》</w:t>
      </w:r>
      <w:r>
        <w:rPr>
          <w:rFonts w:hint="eastAsia" w:ascii="宋体" w:hAnsi="宋体" w:eastAsia="宋体" w:cs="宋体"/>
          <w:color w:val="auto"/>
          <w:spacing w:val="1"/>
          <w:sz w:val="24"/>
          <w:szCs w:val="24"/>
          <w:lang w:eastAsia="zh-CN"/>
        </w:rPr>
        <w:t>（</w:t>
      </w:r>
      <w:r>
        <w:rPr>
          <w:rFonts w:ascii="Times New Roman" w:hAnsi="Times New Roman" w:eastAsia="Times New Roman" w:cs="Times New Roman"/>
          <w:color w:val="auto"/>
          <w:sz w:val="24"/>
          <w:szCs w:val="24"/>
        </w:rPr>
        <w:t>HJ</w:t>
      </w:r>
      <w:r>
        <w:rPr>
          <w:rFonts w:ascii="Times New Roman" w:hAnsi="Times New Roman" w:eastAsia="Times New Roman" w:cs="Times New Roman"/>
          <w:color w:val="auto"/>
          <w:spacing w:val="1"/>
          <w:sz w:val="24"/>
          <w:szCs w:val="24"/>
        </w:rPr>
        <w:t>610-2</w:t>
      </w:r>
      <w:r>
        <w:rPr>
          <w:rFonts w:ascii="Times New Roman" w:hAnsi="Times New Roman" w:eastAsia="Times New Roman" w:cs="Times New Roman"/>
          <w:color w:val="auto"/>
          <w:sz w:val="24"/>
          <w:szCs w:val="24"/>
        </w:rPr>
        <w:t>016</w:t>
      </w:r>
      <w:r>
        <w:rPr>
          <w:rFonts w:hint="eastAsia" w:ascii="宋体" w:hAnsi="宋体" w:eastAsia="宋体" w:cs="宋体"/>
          <w:color w:val="auto"/>
          <w:spacing w:val="1"/>
          <w:sz w:val="24"/>
          <w:szCs w:val="24"/>
          <w:lang w:eastAsia="zh-CN"/>
        </w:rPr>
        <w:t>）</w:t>
      </w:r>
      <w:r>
        <w:rPr>
          <w:rFonts w:ascii="宋体" w:hAnsi="宋体" w:eastAsia="宋体" w:cs="宋体"/>
          <w:color w:val="auto"/>
          <w:sz w:val="24"/>
          <w:szCs w:val="24"/>
        </w:rPr>
        <w:t>中附录</w:t>
      </w:r>
      <w:r>
        <w:rPr>
          <w:rFonts w:ascii="Times New Roman" w:hAnsi="Times New Roman" w:eastAsia="Times New Roman" w:cs="Times New Roman"/>
          <w:color w:val="auto"/>
          <w:sz w:val="24"/>
          <w:szCs w:val="24"/>
        </w:rPr>
        <w:t>A</w:t>
      </w:r>
      <w:r>
        <w:rPr>
          <w:rFonts w:ascii="宋体" w:hAnsi="宋体" w:eastAsia="宋体" w:cs="宋体"/>
          <w:color w:val="auto"/>
          <w:sz w:val="24"/>
          <w:szCs w:val="24"/>
        </w:rPr>
        <w:t>的规</w:t>
      </w:r>
      <w:r>
        <w:rPr>
          <w:rFonts w:ascii="宋体" w:hAnsi="宋体" w:eastAsia="宋体" w:cs="宋体"/>
          <w:color w:val="auto"/>
          <w:spacing w:val="-7"/>
          <w:sz w:val="24"/>
          <w:szCs w:val="24"/>
        </w:rPr>
        <w:t>定：热力生产和供应工程地下水评价类别为</w:t>
      </w:r>
      <w:r>
        <w:rPr>
          <w:rFonts w:ascii="Times New Roman" w:hAnsi="Times New Roman" w:eastAsia="Times New Roman" w:cs="Times New Roman"/>
          <w:color w:val="auto"/>
          <w:spacing w:val="-7"/>
          <w:sz w:val="24"/>
          <w:szCs w:val="24"/>
        </w:rPr>
        <w:t>IV</w:t>
      </w:r>
      <w:r>
        <w:rPr>
          <w:rFonts w:ascii="宋体" w:hAnsi="宋体" w:eastAsia="宋体" w:cs="宋体"/>
          <w:color w:val="auto"/>
          <w:spacing w:val="-7"/>
          <w:sz w:val="24"/>
          <w:szCs w:val="24"/>
        </w:rPr>
        <w:t>类</w:t>
      </w:r>
      <w:r>
        <w:rPr>
          <w:rFonts w:hint="eastAsia" w:ascii="宋体" w:hAnsi="宋体" w:eastAsia="宋体" w:cs="宋体"/>
          <w:color w:val="auto"/>
          <w:spacing w:val="-41"/>
          <w:sz w:val="24"/>
          <w:szCs w:val="24"/>
          <w:lang w:eastAsia="zh-CN"/>
        </w:rPr>
        <w:t>，</w:t>
      </w:r>
      <w:r>
        <w:rPr>
          <w:rFonts w:ascii="Times New Roman" w:hAnsi="Times New Roman" w:eastAsia="Times New Roman" w:cs="Times New Roman"/>
          <w:color w:val="auto"/>
          <w:spacing w:val="-7"/>
          <w:sz w:val="24"/>
          <w:szCs w:val="24"/>
        </w:rPr>
        <w:t>IV</w:t>
      </w:r>
      <w:r>
        <w:rPr>
          <w:rFonts w:ascii="宋体" w:hAnsi="宋体" w:eastAsia="宋体" w:cs="宋体"/>
          <w:color w:val="auto"/>
          <w:spacing w:val="-7"/>
          <w:sz w:val="24"/>
          <w:szCs w:val="24"/>
        </w:rPr>
        <w:t>类项目不开展地下水环境影</w:t>
      </w:r>
      <w:r>
        <w:rPr>
          <w:rFonts w:ascii="宋体" w:hAnsi="宋体" w:eastAsia="宋体" w:cs="宋体"/>
          <w:color w:val="auto"/>
          <w:spacing w:val="-3"/>
          <w:sz w:val="24"/>
          <w:szCs w:val="24"/>
        </w:rPr>
        <w:t>响评价。因此本项目仅对运营期项目废水做简要分析。</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472" w:firstLineChars="200"/>
        <w:jc w:val="both"/>
        <w:textAlignment w:val="auto"/>
        <w:rPr>
          <w:rFonts w:ascii="宋体" w:hAnsi="宋体" w:eastAsia="宋体" w:cs="宋体"/>
          <w:color w:val="auto"/>
          <w:spacing w:val="1"/>
          <w:sz w:val="24"/>
          <w:szCs w:val="24"/>
        </w:rPr>
      </w:pPr>
      <w:r>
        <w:rPr>
          <w:rFonts w:ascii="宋体" w:hAnsi="宋体" w:eastAsia="宋体" w:cs="宋体"/>
          <w:color w:val="auto"/>
          <w:spacing w:val="-2"/>
          <w:sz w:val="24"/>
          <w:szCs w:val="24"/>
        </w:rPr>
        <w:t>本次</w:t>
      </w:r>
      <w:r>
        <w:rPr>
          <w:rFonts w:hint="eastAsia" w:ascii="宋体" w:hAnsi="宋体" w:eastAsia="宋体" w:cs="宋体"/>
          <w:color w:val="auto"/>
          <w:spacing w:val="-2"/>
          <w:sz w:val="24"/>
          <w:szCs w:val="24"/>
          <w:lang w:val="en-US" w:eastAsia="zh-CN"/>
        </w:rPr>
        <w:t>改</w:t>
      </w:r>
      <w:r>
        <w:rPr>
          <w:rFonts w:ascii="宋体" w:hAnsi="宋体" w:eastAsia="宋体" w:cs="宋体"/>
          <w:color w:val="auto"/>
          <w:spacing w:val="-2"/>
          <w:sz w:val="24"/>
          <w:szCs w:val="24"/>
        </w:rPr>
        <w:t>扩建项目不新增员工，投入运行后供热</w:t>
      </w:r>
      <w:r>
        <w:rPr>
          <w:rFonts w:ascii="宋体" w:hAnsi="宋体" w:eastAsia="宋体" w:cs="宋体"/>
          <w:color w:val="auto"/>
          <w:spacing w:val="-3"/>
          <w:sz w:val="24"/>
          <w:szCs w:val="24"/>
        </w:rPr>
        <w:t>锅炉产生的废水及影响主要有以</w:t>
      </w:r>
      <w:r>
        <w:rPr>
          <w:rFonts w:ascii="宋体" w:hAnsi="宋体" w:eastAsia="宋体" w:cs="宋体"/>
          <w:color w:val="auto"/>
          <w:spacing w:val="-10"/>
          <w:sz w:val="24"/>
          <w:szCs w:val="24"/>
        </w:rPr>
        <w:t>下几个</w:t>
      </w:r>
      <w:r>
        <w:rPr>
          <w:rFonts w:ascii="宋体" w:hAnsi="宋体" w:eastAsia="宋体" w:cs="宋体"/>
          <w:color w:val="auto"/>
          <w:spacing w:val="1"/>
          <w:sz w:val="24"/>
          <w:szCs w:val="24"/>
        </w:rPr>
        <w:t>方面：</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528"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2"/>
          <w:sz w:val="24"/>
          <w:szCs w:val="24"/>
          <w:lang w:eastAsia="zh-CN"/>
        </w:rPr>
        <w:t>（</w:t>
      </w:r>
      <w:r>
        <w:rPr>
          <w:rFonts w:hint="default" w:ascii="Times New Roman" w:hAnsi="Times New Roman" w:eastAsia="宋体" w:cs="Times New Roman"/>
          <w:color w:val="auto"/>
          <w:spacing w:val="12"/>
          <w:sz w:val="24"/>
          <w:szCs w:val="24"/>
          <w:lang w:val="en-US" w:eastAsia="zh-CN"/>
        </w:rPr>
        <w:t>1</w:t>
      </w:r>
      <w:r>
        <w:rPr>
          <w:rFonts w:hint="default" w:ascii="Times New Roman" w:hAnsi="Times New Roman" w:eastAsia="宋体" w:cs="Times New Roman"/>
          <w:color w:val="auto"/>
          <w:spacing w:val="12"/>
          <w:sz w:val="24"/>
          <w:szCs w:val="24"/>
          <w:lang w:eastAsia="zh-CN"/>
        </w:rPr>
        <w:t>）</w:t>
      </w:r>
      <w:r>
        <w:rPr>
          <w:rFonts w:hint="default" w:ascii="Times New Roman" w:hAnsi="Times New Roman" w:eastAsia="宋体" w:cs="Times New Roman"/>
          <w:color w:val="auto"/>
          <w:spacing w:val="12"/>
          <w:sz w:val="24"/>
          <w:szCs w:val="24"/>
        </w:rPr>
        <w:t>设备冷却水</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46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5"/>
          <w:sz w:val="24"/>
          <w:szCs w:val="24"/>
        </w:rPr>
        <w:t>本项目锅炉在运行时冷却水主要用于引风机、循环泵等设备的冷却。冷却水</w:t>
      </w:r>
      <w:r>
        <w:rPr>
          <w:rFonts w:hint="default" w:ascii="Times New Roman" w:hAnsi="Times New Roman" w:eastAsia="宋体" w:cs="Times New Roman"/>
          <w:color w:val="auto"/>
          <w:spacing w:val="-2"/>
          <w:sz w:val="24"/>
          <w:szCs w:val="24"/>
        </w:rPr>
        <w:t>通过敞口水箱降温后循环使用，不外排，对水环境不产生影响。</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536" w:firstLineChars="200"/>
        <w:textAlignment w:val="auto"/>
        <w:rPr>
          <w:rFonts w:ascii="宋体" w:hAnsi="宋体" w:eastAsia="宋体" w:cs="宋体"/>
          <w:color w:val="auto"/>
          <w:sz w:val="24"/>
          <w:szCs w:val="24"/>
        </w:rPr>
      </w:pPr>
      <w:r>
        <w:rPr>
          <w:rFonts w:hint="default" w:ascii="Times New Roman" w:hAnsi="Times New Roman" w:eastAsia="宋体" w:cs="Times New Roman"/>
          <w:color w:val="auto"/>
          <w:spacing w:val="14"/>
          <w:sz w:val="24"/>
          <w:szCs w:val="24"/>
          <w:lang w:eastAsia="zh-CN"/>
        </w:rPr>
        <w:t>（</w:t>
      </w:r>
      <w:r>
        <w:rPr>
          <w:rFonts w:hint="default" w:ascii="Times New Roman" w:hAnsi="Times New Roman" w:eastAsia="宋体" w:cs="Times New Roman"/>
          <w:color w:val="auto"/>
          <w:spacing w:val="14"/>
          <w:sz w:val="24"/>
          <w:szCs w:val="24"/>
          <w:lang w:val="en-US" w:eastAsia="zh-CN"/>
        </w:rPr>
        <w:t>2</w:t>
      </w:r>
      <w:r>
        <w:rPr>
          <w:rFonts w:hint="default" w:ascii="Times New Roman" w:hAnsi="Times New Roman" w:eastAsia="宋体" w:cs="Times New Roman"/>
          <w:color w:val="auto"/>
          <w:spacing w:val="14"/>
          <w:sz w:val="24"/>
          <w:szCs w:val="24"/>
          <w:lang w:eastAsia="zh-CN"/>
        </w:rPr>
        <w:t>）</w:t>
      </w:r>
      <w:r>
        <w:rPr>
          <w:rFonts w:ascii="宋体" w:hAnsi="宋体" w:eastAsia="宋体" w:cs="宋体"/>
          <w:color w:val="auto"/>
          <w:spacing w:val="14"/>
          <w:sz w:val="24"/>
          <w:szCs w:val="24"/>
        </w:rPr>
        <w:t>锅炉排污水+软化处理废水</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pacing w:val="-4"/>
          <w:sz w:val="24"/>
          <w:szCs w:val="24"/>
        </w:rPr>
      </w:pPr>
      <w:r>
        <w:rPr>
          <w:rFonts w:hint="eastAsia" w:ascii="Times New Roman" w:hAnsi="Times New Roman" w:eastAsia="宋体" w:cs="Times New Roman"/>
          <w:color w:val="auto"/>
          <w:kern w:val="0"/>
          <w:sz w:val="24"/>
          <w:szCs w:val="24"/>
          <w:highlight w:val="none"/>
          <w:lang w:val="en-US" w:eastAsia="zh-CN" w:bidi="ar-SA"/>
        </w:rPr>
        <w:t>根据《排放源统计调查产排污核算方法和系数手册》中《工业锅炉</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热力供应</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行业系数手册》的废水量产污系数，锅炉排污水+软化处理废水产污系数为0.605t/t-原料，则本项目锅炉排污水+软化处理废水产生量为</w:t>
      </w:r>
      <w:r>
        <w:rPr>
          <w:rFonts w:hint="eastAsia" w:cs="Times New Roman"/>
          <w:color w:val="auto"/>
          <w:kern w:val="0"/>
          <w:sz w:val="24"/>
          <w:szCs w:val="24"/>
          <w:highlight w:val="none"/>
          <w:lang w:val="en-US" w:eastAsia="zh-CN" w:bidi="ar-SA"/>
        </w:rPr>
        <w:t>268.2</w:t>
      </w:r>
      <w:r>
        <w:rPr>
          <w:rFonts w:hint="eastAsia" w:ascii="Times New Roman" w:hAnsi="Times New Roman" w:eastAsia="宋体" w:cs="Times New Roman"/>
          <w:color w:val="auto"/>
          <w:kern w:val="0"/>
          <w:sz w:val="24"/>
          <w:szCs w:val="24"/>
          <w:highlight w:val="none"/>
          <w:lang w:val="en-US" w:eastAsia="zh-CN" w:bidi="ar-SA"/>
        </w:rPr>
        <w:t>m</w:t>
      </w:r>
      <w:r>
        <w:rPr>
          <w:rFonts w:hint="eastAsia" w:cs="Times New Roman"/>
          <w:color w:val="auto"/>
          <w:kern w:val="0"/>
          <w:sz w:val="24"/>
          <w:szCs w:val="24"/>
          <w:highlight w:val="none"/>
          <w:vertAlign w:val="super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/d</w:t>
      </w:r>
      <w:r>
        <w:rPr>
          <w:rFonts w:hint="eastAsia" w:cs="Times New Roman"/>
          <w:color w:val="auto"/>
          <w:kern w:val="0"/>
          <w:sz w:val="24"/>
          <w:szCs w:val="24"/>
          <w:highlight w:val="none"/>
          <w:lang w:val="en-US" w:eastAsia="zh-CN" w:bidi="ar-SA"/>
        </w:rPr>
        <w:t>（48276</w:t>
      </w:r>
      <w:r>
        <w:rPr>
          <w:rFonts w:hint="eastAsia" w:ascii="Times New Roman" w:hAnsi="Times New Roman" w:eastAsia="宋体" w:cs="Times New Roman"/>
          <w:color w:val="auto"/>
          <w:kern w:val="0"/>
          <w:sz w:val="24"/>
          <w:szCs w:val="24"/>
          <w:highlight w:val="none"/>
          <w:lang w:val="en-US" w:eastAsia="zh-CN" w:bidi="ar-SA"/>
        </w:rPr>
        <w:t>m</w:t>
      </w:r>
      <w:r>
        <w:rPr>
          <w:rFonts w:hint="eastAsia" w:cs="Times New Roman"/>
          <w:color w:val="auto"/>
          <w:kern w:val="0"/>
          <w:sz w:val="24"/>
          <w:szCs w:val="24"/>
          <w:highlight w:val="none"/>
          <w:vertAlign w:val="super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/a</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这部分废水主要污染物是SS、COD、BOD、pH和全盐</w:t>
      </w:r>
      <w:r>
        <w:rPr>
          <w:rFonts w:hint="eastAsia" w:cs="Times New Roman"/>
          <w:color w:val="auto"/>
          <w:kern w:val="0"/>
          <w:sz w:val="24"/>
          <w:szCs w:val="24"/>
          <w:highlight w:val="none"/>
          <w:lang w:val="en-US" w:eastAsia="zh-CN" w:bidi="ar-SA"/>
        </w:rPr>
        <w:t>量</w:t>
      </w:r>
      <w:r>
        <w:rPr>
          <w:rFonts w:hint="eastAsia" w:ascii="Times New Roman" w:hAnsi="Times New Roman" w:eastAsia="宋体" w:cs="Times New Roman"/>
          <w:color w:val="auto"/>
          <w:kern w:val="0"/>
          <w:sz w:val="24"/>
          <w:szCs w:val="24"/>
          <w:highlight w:val="none"/>
          <w:lang w:val="en-US" w:eastAsia="zh-CN" w:bidi="ar-SA"/>
        </w:rPr>
        <w:t>，可以循环利用。锅炉排污水+软化处理废水部分回用于脱硫系统用水</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回用量180m</w:t>
      </w:r>
      <w:r>
        <w:rPr>
          <w:rFonts w:hint="eastAsia" w:cs="Times New Roman"/>
          <w:color w:val="auto"/>
          <w:kern w:val="0"/>
          <w:sz w:val="24"/>
          <w:szCs w:val="24"/>
          <w:highlight w:val="none"/>
          <w:vertAlign w:val="super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/d</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、除渣系统用水</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回用量1m</w:t>
      </w:r>
      <w:r>
        <w:rPr>
          <w:rFonts w:hint="eastAsia" w:cs="Times New Roman"/>
          <w:color w:val="auto"/>
          <w:kern w:val="0"/>
          <w:sz w:val="24"/>
          <w:szCs w:val="24"/>
          <w:highlight w:val="none"/>
          <w:vertAlign w:val="super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/d</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和煤场、渣场喷洒降尘用水</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回用量30m</w:t>
      </w:r>
      <w:r>
        <w:rPr>
          <w:rFonts w:hint="eastAsia" w:cs="Times New Roman"/>
          <w:color w:val="auto"/>
          <w:kern w:val="0"/>
          <w:sz w:val="24"/>
          <w:szCs w:val="24"/>
          <w:highlight w:val="none"/>
          <w:vertAlign w:val="super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/d</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合计回用水量为211m</w:t>
      </w:r>
      <w:r>
        <w:rPr>
          <w:rFonts w:hint="eastAsia" w:cs="Times New Roman"/>
          <w:color w:val="auto"/>
          <w:kern w:val="0"/>
          <w:sz w:val="24"/>
          <w:szCs w:val="24"/>
          <w:highlight w:val="none"/>
          <w:vertAlign w:val="super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/d</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剩余</w:t>
      </w:r>
      <w:r>
        <w:rPr>
          <w:rFonts w:hint="eastAsia" w:cs="Times New Roman"/>
          <w:color w:val="auto"/>
          <w:kern w:val="0"/>
          <w:sz w:val="24"/>
          <w:szCs w:val="24"/>
          <w:highlight w:val="none"/>
          <w:lang w:val="en-US" w:eastAsia="zh-CN" w:bidi="ar-SA"/>
        </w:rPr>
        <w:t>57.2</w:t>
      </w:r>
      <w:r>
        <w:rPr>
          <w:rFonts w:hint="eastAsia" w:ascii="Times New Roman" w:hAnsi="Times New Roman" w:eastAsia="宋体" w:cs="Times New Roman"/>
          <w:color w:val="auto"/>
          <w:kern w:val="0"/>
          <w:sz w:val="24"/>
          <w:szCs w:val="24"/>
          <w:highlight w:val="none"/>
          <w:lang w:val="en-US" w:eastAsia="zh-CN" w:bidi="ar-SA"/>
        </w:rPr>
        <w:t>m</w:t>
      </w:r>
      <w:r>
        <w:rPr>
          <w:rFonts w:hint="eastAsia" w:cs="Times New Roman"/>
          <w:color w:val="auto"/>
          <w:kern w:val="0"/>
          <w:sz w:val="24"/>
          <w:szCs w:val="24"/>
          <w:highlight w:val="none"/>
          <w:vertAlign w:val="super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/d排入市政</w:t>
      </w:r>
      <w:r>
        <w:rPr>
          <w:rFonts w:hint="eastAsia" w:cs="Times New Roman"/>
          <w:color w:val="auto"/>
          <w:kern w:val="0"/>
          <w:sz w:val="24"/>
          <w:szCs w:val="24"/>
          <w:highlight w:val="none"/>
          <w:lang w:val="en-US" w:eastAsia="zh-CN" w:bidi="ar-SA"/>
        </w:rPr>
        <w:t>下</w:t>
      </w:r>
      <w:r>
        <w:rPr>
          <w:rFonts w:hint="eastAsia" w:ascii="Times New Roman" w:hAnsi="Times New Roman" w:eastAsia="宋体" w:cs="Times New Roman"/>
          <w:color w:val="auto"/>
          <w:kern w:val="0"/>
          <w:sz w:val="24"/>
          <w:szCs w:val="24"/>
          <w:highlight w:val="none"/>
          <w:lang w:val="en-US" w:eastAsia="zh-CN" w:bidi="ar-SA"/>
        </w:rPr>
        <w:t>水管网</w:t>
      </w:r>
      <w:r>
        <w:rPr>
          <w:rFonts w:hint="eastAsia" w:ascii="Times New Roman" w:hAnsi="Times New Roman" w:cs="Times New Roman"/>
          <w:color w:val="auto"/>
          <w:kern w:val="0"/>
          <w:sz w:val="24"/>
          <w:szCs w:val="24"/>
          <w:highlight w:val="none"/>
          <w:lang w:val="en-US" w:eastAsia="zh-CN" w:bidi="ar-SA"/>
        </w:rPr>
        <w:t>，</w:t>
      </w:r>
      <w:r>
        <w:rPr>
          <w:rFonts w:hint="eastAsia" w:cs="Times New Roman"/>
          <w:color w:val="auto"/>
          <w:spacing w:val="-4"/>
          <w:sz w:val="24"/>
          <w:szCs w:val="24"/>
          <w:lang w:val="en-US" w:eastAsia="zh-CN"/>
        </w:rPr>
        <w:t>最终排入托里县污水处理厂</w:t>
      </w:r>
      <w:r>
        <w:rPr>
          <w:rFonts w:hint="default" w:ascii="Times New Roman" w:hAnsi="Times New Roman" w:eastAsia="宋体" w:cs="Times New Roman"/>
          <w:color w:val="auto"/>
          <w:spacing w:val="-4"/>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ascii="宋体" w:hAnsi="宋体" w:eastAsia="宋体" w:cs="宋体"/>
          <w:color w:val="auto"/>
          <w:spacing w:val="-3"/>
          <w:sz w:val="24"/>
          <w:szCs w:val="24"/>
        </w:rPr>
      </w:pPr>
      <w:r>
        <w:rPr>
          <w:rFonts w:ascii="宋体" w:hAnsi="宋体" w:eastAsia="宋体" w:cs="宋体"/>
          <w:color w:val="auto"/>
          <w:sz w:val="24"/>
          <w:szCs w:val="24"/>
        </w:rPr>
        <w:t>综上所述，本项目产生的锅炉排污水+软化处理废水部分回用，剩余部分排</w:t>
      </w:r>
      <w:r>
        <w:rPr>
          <w:rFonts w:ascii="宋体" w:hAnsi="宋体" w:eastAsia="宋体" w:cs="宋体"/>
          <w:color w:val="auto"/>
          <w:spacing w:val="-3"/>
          <w:sz w:val="24"/>
          <w:szCs w:val="24"/>
        </w:rPr>
        <w:t>入市政排水管网，对周围</w:t>
      </w:r>
      <w:r>
        <w:rPr>
          <w:rFonts w:hint="eastAsia" w:ascii="宋体" w:hAnsi="宋体" w:eastAsia="宋体" w:cs="宋体"/>
          <w:color w:val="auto"/>
          <w:spacing w:val="-3"/>
          <w:sz w:val="24"/>
          <w:szCs w:val="24"/>
          <w:lang w:val="en-US" w:eastAsia="zh-CN"/>
        </w:rPr>
        <w:t>地表</w:t>
      </w:r>
      <w:r>
        <w:rPr>
          <w:rFonts w:ascii="宋体" w:hAnsi="宋体" w:eastAsia="宋体" w:cs="宋体"/>
          <w:color w:val="auto"/>
          <w:spacing w:val="-3"/>
          <w:sz w:val="24"/>
          <w:szCs w:val="24"/>
        </w:rPr>
        <w:t>水环境影响较小。</w:t>
      </w:r>
    </w:p>
    <w:p>
      <w:pPr>
        <w:pStyle w:val="5"/>
        <w:bidi w:val="0"/>
        <w:ind w:left="0" w:leftChars="0" w:firstLine="0" w:firstLineChars="0"/>
        <w:rPr>
          <w:rFonts w:hint="default"/>
          <w:color w:val="auto"/>
          <w:lang w:val="en-US"/>
        </w:rPr>
      </w:pPr>
      <w:r>
        <w:rPr>
          <w:rFonts w:hint="eastAsia"/>
          <w:color w:val="auto"/>
          <w:lang w:val="en-US" w:eastAsia="zh-CN"/>
        </w:rPr>
        <w:t>6.2.2.2地下水环境影响分析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544"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6"/>
          <w:sz w:val="24"/>
          <w:szCs w:val="24"/>
          <w:lang w:eastAsia="zh-CN"/>
        </w:rPr>
        <w:t>（</w:t>
      </w:r>
      <w:r>
        <w:rPr>
          <w:rFonts w:hint="default" w:ascii="Times New Roman" w:hAnsi="Times New Roman" w:eastAsia="宋体" w:cs="Times New Roman"/>
          <w:color w:val="auto"/>
          <w:spacing w:val="16"/>
          <w:sz w:val="24"/>
          <w:szCs w:val="24"/>
          <w:lang w:val="en-US" w:eastAsia="zh-CN"/>
        </w:rPr>
        <w:t>1</w:t>
      </w:r>
      <w:r>
        <w:rPr>
          <w:rFonts w:hint="default" w:ascii="Times New Roman" w:hAnsi="Times New Roman" w:eastAsia="宋体" w:cs="Times New Roman"/>
          <w:color w:val="auto"/>
          <w:spacing w:val="16"/>
          <w:sz w:val="24"/>
          <w:szCs w:val="24"/>
          <w:lang w:eastAsia="zh-CN"/>
        </w:rPr>
        <w:t>）</w:t>
      </w:r>
      <w:r>
        <w:rPr>
          <w:rFonts w:hint="default" w:ascii="Times New Roman" w:hAnsi="Times New Roman" w:eastAsia="宋体" w:cs="Times New Roman"/>
          <w:color w:val="auto"/>
          <w:spacing w:val="16"/>
          <w:sz w:val="24"/>
          <w:szCs w:val="24"/>
        </w:rPr>
        <w:t>影响途径</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47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
          <w:sz w:val="24"/>
          <w:szCs w:val="24"/>
        </w:rPr>
        <w:t>运营期对地下水的污染途径和影响主要有以下方面：</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3"/>
          <w:sz w:val="24"/>
          <w:szCs w:val="24"/>
        </w:rPr>
        <w:t>①根据工程分析，在正常情况下，锅炉房生产废水部分回用，剩余部分</w:t>
      </w:r>
      <w:r>
        <w:rPr>
          <w:rFonts w:hint="default" w:ascii="Times New Roman" w:hAnsi="Times New Roman" w:eastAsia="宋体" w:cs="Times New Roman"/>
          <w:color w:val="auto"/>
          <w:spacing w:val="-4"/>
          <w:sz w:val="24"/>
          <w:szCs w:val="24"/>
        </w:rPr>
        <w:t>排入</w:t>
      </w:r>
      <w:r>
        <w:rPr>
          <w:rFonts w:hint="default" w:ascii="Times New Roman" w:hAnsi="Times New Roman" w:eastAsia="宋体" w:cs="Times New Roman"/>
          <w:color w:val="auto"/>
          <w:spacing w:val="-2"/>
          <w:sz w:val="24"/>
          <w:szCs w:val="24"/>
        </w:rPr>
        <w:t>市政排水管网，因此废水在正常情况下不会污染地下水。</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3"/>
          <w:sz w:val="24"/>
          <w:szCs w:val="24"/>
        </w:rPr>
        <w:t>②物料或固体废物堆放场所的喷淋水，会污染浅</w:t>
      </w:r>
      <w:r>
        <w:rPr>
          <w:rFonts w:hint="default" w:ascii="Times New Roman" w:hAnsi="Times New Roman" w:eastAsia="宋体" w:cs="Times New Roman"/>
          <w:color w:val="auto"/>
          <w:spacing w:val="-4"/>
          <w:sz w:val="24"/>
          <w:szCs w:val="24"/>
        </w:rPr>
        <w:t>层地下水。本次改扩建工程</w:t>
      </w:r>
      <w:r>
        <w:rPr>
          <w:rFonts w:hint="default" w:ascii="Times New Roman" w:hAnsi="Times New Roman" w:eastAsia="宋体" w:cs="Times New Roman"/>
          <w:color w:val="auto"/>
          <w:spacing w:val="-3"/>
          <w:sz w:val="24"/>
          <w:szCs w:val="24"/>
        </w:rPr>
        <w:t>依托现有煤场和渣场，根据现有工程环保竣工验收报告，煤场和</w:t>
      </w:r>
      <w:r>
        <w:rPr>
          <w:rFonts w:hint="default" w:ascii="Times New Roman" w:hAnsi="Times New Roman" w:eastAsia="宋体" w:cs="Times New Roman"/>
          <w:color w:val="auto"/>
          <w:spacing w:val="-4"/>
          <w:sz w:val="24"/>
          <w:szCs w:val="24"/>
        </w:rPr>
        <w:t>渣场的地面均进</w:t>
      </w:r>
      <w:r>
        <w:rPr>
          <w:rFonts w:hint="default" w:ascii="Times New Roman" w:hAnsi="Times New Roman" w:eastAsia="宋体" w:cs="Times New Roman"/>
          <w:color w:val="auto"/>
          <w:spacing w:val="-2"/>
          <w:sz w:val="24"/>
          <w:szCs w:val="24"/>
        </w:rPr>
        <w:t>行了硬化防渗处理，喷淋水不会因渗透污染地下水。</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54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5"/>
          <w:sz w:val="24"/>
          <w:szCs w:val="24"/>
          <w:lang w:eastAsia="zh-CN"/>
        </w:rPr>
        <w:t>（</w:t>
      </w:r>
      <w:r>
        <w:rPr>
          <w:rFonts w:hint="default" w:ascii="Times New Roman" w:hAnsi="Times New Roman" w:eastAsia="宋体" w:cs="Times New Roman"/>
          <w:color w:val="auto"/>
          <w:spacing w:val="15"/>
          <w:sz w:val="24"/>
          <w:szCs w:val="24"/>
          <w:lang w:val="en-US" w:eastAsia="zh-CN"/>
        </w:rPr>
        <w:t>2</w:t>
      </w:r>
      <w:r>
        <w:rPr>
          <w:rFonts w:hint="default" w:ascii="Times New Roman" w:hAnsi="Times New Roman" w:eastAsia="宋体" w:cs="Times New Roman"/>
          <w:color w:val="auto"/>
          <w:spacing w:val="15"/>
          <w:sz w:val="24"/>
          <w:szCs w:val="24"/>
          <w:lang w:eastAsia="zh-CN"/>
        </w:rPr>
        <w:t>）</w:t>
      </w:r>
      <w:r>
        <w:rPr>
          <w:rFonts w:hint="default" w:ascii="Times New Roman" w:hAnsi="Times New Roman" w:eastAsia="宋体" w:cs="Times New Roman"/>
          <w:color w:val="auto"/>
          <w:spacing w:val="15"/>
          <w:sz w:val="24"/>
          <w:szCs w:val="24"/>
        </w:rPr>
        <w:t>防治措施</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47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
          <w:sz w:val="24"/>
          <w:szCs w:val="24"/>
        </w:rPr>
        <w:t>为进一步保护评价区地下水不受本项目排水影响，采取以下</w:t>
      </w:r>
      <w:r>
        <w:rPr>
          <w:rFonts w:hint="default" w:ascii="Times New Roman" w:hAnsi="Times New Roman" w:eastAsia="宋体" w:cs="Times New Roman"/>
          <w:color w:val="auto"/>
          <w:spacing w:val="-3"/>
          <w:sz w:val="24"/>
          <w:szCs w:val="24"/>
        </w:rPr>
        <w:t>保护措施：</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3"/>
          <w:sz w:val="24"/>
          <w:szCs w:val="24"/>
        </w:rPr>
        <w:t>①本项目污水管道等设施必须采取防渗漏措施。</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464"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4"/>
          <w:sz w:val="24"/>
          <w:szCs w:val="24"/>
        </w:rPr>
        <w:t>②项目对生活垃圾采取集中收集，垃圾堆放处采取防渗措施，并由环卫工人及时清运后，对地下水水质的影响较小。</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448"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8"/>
          <w:sz w:val="24"/>
          <w:szCs w:val="24"/>
        </w:rPr>
        <w:t>③配备专兼职技术人员，加强地下水环境管理及巡查，定期对脱硫循环水池、</w:t>
      </w:r>
      <w:r>
        <w:rPr>
          <w:rFonts w:hint="default" w:ascii="Times New Roman" w:hAnsi="Times New Roman" w:eastAsia="宋体" w:cs="Times New Roman"/>
          <w:color w:val="auto"/>
          <w:spacing w:val="-3"/>
          <w:sz w:val="24"/>
          <w:szCs w:val="24"/>
        </w:rPr>
        <w:t>沉淀池、管网等环节进行检漏工作，确保各防渗漏措施运行的长期性、稳定性和</w:t>
      </w:r>
      <w:r>
        <w:rPr>
          <w:rFonts w:hint="default" w:ascii="Times New Roman" w:hAnsi="Times New Roman" w:eastAsia="宋体" w:cs="Times New Roman"/>
          <w:color w:val="auto"/>
          <w:spacing w:val="-7"/>
          <w:sz w:val="24"/>
          <w:szCs w:val="24"/>
        </w:rPr>
        <w:t>可靠性。</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47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
          <w:sz w:val="24"/>
          <w:szCs w:val="24"/>
        </w:rPr>
        <w:t>通过上述措施，正常工况下本项目废水排放对地下水环境影响较小。</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64" w:firstLineChars="200"/>
        <w:textAlignment w:val="auto"/>
        <w:rPr>
          <w:rFonts w:hint="default" w:ascii="Times New Roman" w:hAnsi="Times New Roman" w:eastAsia="宋体" w:cs="Times New Roman"/>
          <w:color w:val="auto"/>
          <w:spacing w:val="-3"/>
          <w:sz w:val="24"/>
          <w:szCs w:val="24"/>
        </w:rPr>
      </w:pPr>
      <w:r>
        <w:rPr>
          <w:rFonts w:hint="default" w:ascii="Times New Roman" w:hAnsi="Times New Roman" w:eastAsia="宋体" w:cs="Times New Roman"/>
          <w:color w:val="auto"/>
          <w:spacing w:val="-4"/>
          <w:sz w:val="24"/>
          <w:szCs w:val="24"/>
        </w:rPr>
        <w:t>因此，本项目工程特点决定了对地下水污染的可能性极少，同时在做好各项</w:t>
      </w:r>
      <w:r>
        <w:rPr>
          <w:rFonts w:hint="default" w:ascii="Times New Roman" w:hAnsi="Times New Roman" w:eastAsia="宋体" w:cs="Times New Roman"/>
          <w:color w:val="auto"/>
          <w:spacing w:val="-2"/>
          <w:sz w:val="24"/>
          <w:szCs w:val="24"/>
        </w:rPr>
        <w:t>防治地下水污染措施后，不会对当地地下水</w:t>
      </w:r>
      <w:r>
        <w:rPr>
          <w:rFonts w:hint="default" w:ascii="Times New Roman" w:hAnsi="Times New Roman" w:eastAsia="宋体" w:cs="Times New Roman"/>
          <w:color w:val="auto"/>
          <w:spacing w:val="-3"/>
          <w:sz w:val="24"/>
          <w:szCs w:val="24"/>
        </w:rPr>
        <w:t>环境造成影响。</w:t>
      </w:r>
    </w:p>
    <w:p>
      <w:pPr>
        <w:pStyle w:val="4"/>
        <w:bidi w:val="0"/>
        <w:rPr>
          <w:color w:val="auto"/>
          <w:highlight w:val="none"/>
        </w:rPr>
      </w:pPr>
      <w:r>
        <w:rPr>
          <w:rFonts w:hint="eastAsia"/>
          <w:color w:val="auto"/>
          <w:highlight w:val="none"/>
          <w:lang w:val="en-US" w:eastAsia="zh-CN"/>
        </w:rPr>
        <w:t>6.2.3</w:t>
      </w:r>
      <w:r>
        <w:rPr>
          <w:color w:val="auto"/>
          <w:highlight w:val="none"/>
        </w:rPr>
        <w:t>噪声环境影响分析</w:t>
      </w:r>
    </w:p>
    <w:p>
      <w:pPr>
        <w:pStyle w:val="5"/>
        <w:bidi w:val="0"/>
        <w:ind w:left="0" w:leftChars="0" w:firstLine="0" w:firstLineChars="0"/>
        <w:rPr>
          <w:rFonts w:hint="eastAsia"/>
          <w:color w:val="auto"/>
          <w:lang w:val="en-US" w:eastAsia="zh-CN"/>
        </w:rPr>
      </w:pPr>
      <w:r>
        <w:rPr>
          <w:rFonts w:hint="eastAsia"/>
          <w:color w:val="auto"/>
          <w:lang w:val="en-US" w:eastAsia="zh-CN"/>
        </w:rPr>
        <w:t>6.2.3.1运营期噪声源强</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Times New Roman" w:hAnsi="Times New Roman" w:eastAsia="宋体" w:cs="Times New Roman"/>
          <w:color w:val="auto"/>
          <w:spacing w:val="-3"/>
          <w:sz w:val="24"/>
          <w:szCs w:val="24"/>
          <w:lang w:val="en-US" w:eastAsia="zh-CN"/>
        </w:rPr>
      </w:pPr>
      <w:r>
        <w:rPr>
          <w:rFonts w:hint="default" w:ascii="Times New Roman" w:hAnsi="Times New Roman" w:eastAsia="宋体" w:cs="Times New Roman"/>
          <w:color w:val="auto"/>
          <w:spacing w:val="-3"/>
          <w:sz w:val="24"/>
          <w:szCs w:val="24"/>
          <w:lang w:val="en-US" w:eastAsia="zh-CN"/>
        </w:rPr>
        <w:t>本项目噪声主要为各类风机、泵类</w:t>
      </w:r>
      <w:r>
        <w:rPr>
          <w:rFonts w:hint="eastAsia" w:ascii="Times New Roman" w:hAnsi="Times New Roman" w:eastAsia="宋体" w:cs="Times New Roman"/>
          <w:color w:val="auto"/>
          <w:spacing w:val="-3"/>
          <w:sz w:val="24"/>
          <w:szCs w:val="24"/>
          <w:lang w:val="en-US" w:eastAsia="zh-CN"/>
        </w:rPr>
        <w:t>及锅炉</w:t>
      </w:r>
      <w:r>
        <w:rPr>
          <w:rFonts w:hint="default" w:ascii="Times New Roman" w:hAnsi="Times New Roman" w:eastAsia="宋体" w:cs="Times New Roman"/>
          <w:color w:val="auto"/>
          <w:spacing w:val="-3"/>
          <w:sz w:val="24"/>
          <w:szCs w:val="24"/>
          <w:lang w:val="en-US" w:eastAsia="zh-CN"/>
        </w:rPr>
        <w:t>等</w:t>
      </w:r>
      <w:r>
        <w:rPr>
          <w:rFonts w:hint="eastAsia" w:ascii="Times New Roman" w:hAnsi="Times New Roman" w:eastAsia="宋体" w:cs="Times New Roman"/>
          <w:color w:val="auto"/>
          <w:spacing w:val="-3"/>
          <w:sz w:val="24"/>
          <w:szCs w:val="24"/>
          <w:lang w:val="en-US" w:eastAsia="zh-CN"/>
        </w:rPr>
        <w:t>等产生的设备噪声</w:t>
      </w:r>
      <w:r>
        <w:rPr>
          <w:rFonts w:hint="default" w:ascii="Times New Roman" w:hAnsi="Times New Roman" w:eastAsia="宋体" w:cs="Times New Roman"/>
          <w:color w:val="auto"/>
          <w:spacing w:val="-3"/>
          <w:sz w:val="24"/>
          <w:szCs w:val="24"/>
          <w:lang w:val="en-US" w:eastAsia="zh-CN"/>
        </w:rPr>
        <w:t>，</w:t>
      </w:r>
      <w:r>
        <w:rPr>
          <w:rFonts w:hint="eastAsia" w:ascii="Times New Roman" w:hAnsi="Times New Roman" w:eastAsia="宋体" w:cs="Times New Roman"/>
          <w:color w:val="auto"/>
          <w:spacing w:val="-3"/>
          <w:sz w:val="24"/>
          <w:szCs w:val="24"/>
          <w:lang w:val="en-US" w:eastAsia="zh-CN"/>
        </w:rPr>
        <w:t>根据《环境噪声与振动控制工程技术导则》（HJ2034-2013），噪声值范围在85~100dB（A），主要噪声源及其噪声值见表6.</w:t>
      </w:r>
      <w:r>
        <w:rPr>
          <w:rFonts w:hint="eastAsia" w:cs="Times New Roman"/>
          <w:color w:val="auto"/>
          <w:spacing w:val="-3"/>
          <w:sz w:val="24"/>
          <w:szCs w:val="24"/>
          <w:lang w:val="en-US" w:eastAsia="zh-CN"/>
        </w:rPr>
        <w:t>2.3-1</w:t>
      </w:r>
      <w:r>
        <w:rPr>
          <w:rFonts w:hint="eastAsia" w:ascii="Times New Roman" w:hAnsi="Times New Roman" w:eastAsia="宋体" w:cs="Times New Roman"/>
          <w:color w:val="auto"/>
          <w:spacing w:val="-3"/>
          <w:sz w:val="24"/>
          <w:szCs w:val="24"/>
          <w:lang w:val="en-US" w:eastAsia="zh-CN"/>
        </w:rPr>
        <w:t>、</w:t>
      </w:r>
      <w:r>
        <w:rPr>
          <w:rFonts w:hint="eastAsia" w:cs="Times New Roman"/>
          <w:color w:val="auto"/>
          <w:spacing w:val="-3"/>
          <w:sz w:val="24"/>
          <w:szCs w:val="24"/>
          <w:lang w:val="en-US" w:eastAsia="zh-CN"/>
        </w:rPr>
        <w:t>6.2.3-2</w:t>
      </w:r>
      <w:r>
        <w:rPr>
          <w:rFonts w:hint="eastAsia" w:ascii="Times New Roman" w:hAnsi="Times New Roman" w:eastAsia="宋体" w:cs="Times New Roman"/>
          <w:color w:val="auto"/>
          <w:spacing w:val="-3"/>
          <w:sz w:val="24"/>
          <w:szCs w:val="24"/>
          <w:lang w:val="en-US" w:eastAsia="zh-CN"/>
        </w:rPr>
        <w:t>。</w:t>
      </w:r>
    </w:p>
    <w:p>
      <w:pPr>
        <w:pStyle w:val="5"/>
        <w:bidi w:val="0"/>
        <w:ind w:left="0" w:leftChars="0" w:firstLine="0" w:firstLineChars="0"/>
        <w:rPr>
          <w:rFonts w:hint="eastAsia" w:cs="宋体"/>
          <w:color w:val="auto"/>
          <w:highlight w:val="none"/>
          <w:lang w:val="en-US" w:eastAsia="zh-CN"/>
        </w:rPr>
      </w:pPr>
      <w:r>
        <w:rPr>
          <w:rFonts w:hint="eastAsia" w:cs="宋体"/>
          <w:color w:val="auto"/>
          <w:highlight w:val="none"/>
          <w:lang w:val="en-US" w:eastAsia="zh-CN"/>
        </w:rPr>
        <w:t>6.2.3.2</w:t>
      </w:r>
      <w:r>
        <w:rPr>
          <w:rFonts w:hint="eastAsia" w:ascii="Times New Roman" w:hAnsi="Times New Roman" w:eastAsia="宋体" w:cs="Times New Roman"/>
          <w:b/>
          <w:bCs/>
          <w:color w:val="auto"/>
          <w:kern w:val="0"/>
          <w:sz w:val="28"/>
          <w:szCs w:val="28"/>
          <w:highlight w:val="none"/>
          <w:lang w:val="en-US" w:eastAsia="zh-CN" w:bidi="ar-SA"/>
        </w:rPr>
        <w:t>预测模型</w:t>
      </w:r>
    </w:p>
    <w:p>
      <w:pPr>
        <w:pStyle w:val="40"/>
        <w:keepNext w:val="0"/>
        <w:keepLines w:val="0"/>
        <w:pageBreakBefore w:val="0"/>
        <w:widowControl w:val="0"/>
        <w:numPr>
          <w:ilvl w:val="0"/>
          <w:numId w:val="0"/>
        </w:numPr>
        <w:suppressLineNumbers w:val="0"/>
        <w:tabs>
          <w:tab w:val="left" w:pos="312"/>
          <w:tab w:val="clear" w:pos="0"/>
          <w:tab w:val="clear" w:pos="2760"/>
          <w:tab w:val="clear" w:pos="7012"/>
        </w:tabs>
        <w:kinsoku/>
        <w:wordWrap/>
        <w:overflowPunct/>
        <w:topLinePunct w:val="0"/>
        <w:autoSpaceDE w:val="0"/>
        <w:autoSpaceDN w:val="0"/>
        <w:bidi w:val="0"/>
        <w:adjustRightInd w:val="0"/>
        <w:snapToGrid w:val="0"/>
        <w:spacing w:beforeAutospacing="0" w:afterAutospacing="0" w:line="360" w:lineRule="auto"/>
        <w:ind w:right="0" w:rightChars="0" w:firstLine="480" w:firstLineChars="200"/>
        <w:jc w:val="left"/>
        <w:textAlignment w:val="auto"/>
        <w:rPr>
          <w:rFonts w:hint="eastAsia" w:ascii="Times New Roman" w:hAnsi="Times New Roman" w:eastAsia="宋体" w:cs="Times New Roman"/>
          <w:b w:val="0"/>
          <w:bCs w:val="0"/>
          <w:snapToGrid/>
          <w:color w:val="auto"/>
          <w:kern w:val="0"/>
          <w:sz w:val="24"/>
          <w:szCs w:val="24"/>
          <w:lang w:val="en-US" w:eastAsia="zh-CN" w:bidi="ar"/>
        </w:rPr>
      </w:pPr>
      <w:r>
        <w:rPr>
          <w:rFonts w:hint="eastAsia" w:ascii="Times New Roman" w:hAnsi="Times New Roman" w:eastAsia="宋体" w:cs="Times New Roman"/>
          <w:b w:val="0"/>
          <w:bCs w:val="0"/>
          <w:snapToGrid/>
          <w:color w:val="auto"/>
          <w:kern w:val="0"/>
          <w:sz w:val="24"/>
          <w:szCs w:val="24"/>
          <w:lang w:val="en-US" w:eastAsia="zh-CN" w:bidi="ar"/>
        </w:rPr>
        <w:t>根据项目建设内容及《环境影响评价技术导则 声环境》（HJ2.4-2021）的要求，本评价采用的模型为《环境影响评价技术导则 声环境》（HJ2.4.2021）附录A（规范性附录）户外声传播的衰减和附录B（规范性附录）中“B.1工业噪声预测计算模型”。</w:t>
      </w:r>
    </w:p>
    <w:p>
      <w:pPr>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Times New Roman" w:hAnsi="Times New Roman" w:eastAsia="宋体" w:cs="Times New Roman"/>
          <w:color w:val="auto"/>
          <w:spacing w:val="-3"/>
          <w:sz w:val="24"/>
          <w:szCs w:val="24"/>
          <w:lang w:val="en-US" w:eastAsia="zh-CN"/>
        </w:rPr>
      </w:pPr>
    </w:p>
    <w:p>
      <w:pPr>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Times New Roman" w:hAnsi="Times New Roman" w:eastAsia="宋体" w:cs="Times New Roman"/>
          <w:color w:val="auto"/>
          <w:spacing w:val="-3"/>
          <w:sz w:val="24"/>
          <w:szCs w:val="24"/>
          <w:lang w:val="en-US" w:eastAsia="zh-CN"/>
        </w:rPr>
      </w:pPr>
    </w:p>
    <w:p>
      <w:pPr>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Times New Roman" w:hAnsi="Times New Roman" w:eastAsia="宋体" w:cs="Times New Roman"/>
          <w:color w:val="auto"/>
          <w:spacing w:val="-3"/>
          <w:sz w:val="24"/>
          <w:szCs w:val="24"/>
          <w:lang w:val="en-US" w:eastAsia="zh-CN"/>
        </w:rPr>
      </w:pPr>
    </w:p>
    <w:p>
      <w:pPr>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rPr>
          <w:rFonts w:hint="eastAsia" w:ascii="Times New Roman" w:hAnsi="Times New Roman" w:eastAsia="宋体" w:cs="Times New Roman"/>
          <w:color w:val="auto"/>
          <w:spacing w:val="-3"/>
          <w:sz w:val="24"/>
          <w:szCs w:val="24"/>
          <w:lang w:val="en-US" w:eastAsia="zh-CN"/>
        </w:rPr>
      </w:pPr>
    </w:p>
    <w:p>
      <w:pPr>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rPr>
          <w:rFonts w:hint="eastAsia" w:ascii="Times New Roman" w:hAnsi="Times New Roman" w:eastAsia="宋体" w:cs="Times New Roman"/>
          <w:color w:val="auto"/>
          <w:spacing w:val="-3"/>
          <w:sz w:val="24"/>
          <w:szCs w:val="24"/>
          <w:lang w:val="en-US" w:eastAsia="zh-CN"/>
        </w:rPr>
        <w:sectPr>
          <w:footerReference r:id="rId11" w:type="default"/>
          <w:pgSz w:w="11906" w:h="16839"/>
          <w:pgMar w:top="1440" w:right="1800" w:bottom="1440" w:left="1800" w:header="1020" w:footer="1077" w:gutter="0"/>
          <w:pgBorders>
            <w:top w:val="none" w:sz="0" w:space="0"/>
            <w:left w:val="none" w:sz="0" w:space="0"/>
            <w:bottom w:val="none" w:sz="0" w:space="0"/>
            <w:right w:val="none" w:sz="0" w:space="0"/>
          </w:pgBorders>
          <w:pgNumType w:fmt="decimal"/>
          <w:cols w:space="720" w:num="1"/>
        </w:sectPr>
      </w:pPr>
    </w:p>
    <w:p>
      <w:pPr>
        <w:widowControl/>
        <w:spacing w:line="240" w:lineRule="auto"/>
        <w:ind w:firstLine="0" w:firstLineChars="0"/>
        <w:jc w:val="center"/>
        <w:rPr>
          <w:rFonts w:hint="eastAsia"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w:t>
      </w:r>
      <w:r>
        <w:rPr>
          <w:rFonts w:hint="eastAsia" w:cs="Times New Roman"/>
          <w:b/>
          <w:bCs/>
          <w:color w:val="auto"/>
          <w:kern w:val="0"/>
          <w:sz w:val="21"/>
          <w:szCs w:val="21"/>
          <w:lang w:val="en-US" w:eastAsia="zh-CN" w:bidi="ar"/>
        </w:rPr>
        <w:t>6.2.3-1</w:t>
      </w:r>
      <w:r>
        <w:rPr>
          <w:rFonts w:hint="eastAsia" w:ascii="Times New Roman" w:hAnsi="Times New Roman" w:eastAsia="宋体" w:cs="Times New Roman"/>
          <w:b/>
          <w:bCs/>
          <w:color w:val="auto"/>
          <w:kern w:val="0"/>
          <w:sz w:val="21"/>
          <w:szCs w:val="21"/>
          <w:lang w:val="en-US" w:eastAsia="zh-CN" w:bidi="ar"/>
        </w:rPr>
        <w:t xml:space="preserve">   工业企业噪声源强调查清单（室内声源）</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
        <w:gridCol w:w="607"/>
        <w:gridCol w:w="581"/>
        <w:gridCol w:w="690"/>
        <w:gridCol w:w="595"/>
        <w:gridCol w:w="626"/>
        <w:gridCol w:w="626"/>
        <w:gridCol w:w="627"/>
        <w:gridCol w:w="518"/>
        <w:gridCol w:w="518"/>
        <w:gridCol w:w="518"/>
        <w:gridCol w:w="519"/>
        <w:gridCol w:w="512"/>
        <w:gridCol w:w="512"/>
        <w:gridCol w:w="512"/>
        <w:gridCol w:w="514"/>
        <w:gridCol w:w="474"/>
        <w:gridCol w:w="494"/>
        <w:gridCol w:w="494"/>
        <w:gridCol w:w="494"/>
        <w:gridCol w:w="494"/>
        <w:gridCol w:w="524"/>
        <w:gridCol w:w="524"/>
        <w:gridCol w:w="524"/>
        <w:gridCol w:w="526"/>
        <w:gridCol w:w="7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dxa"/>
            <w:vMerge w:val="restart"/>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bookmarkStart w:id="43" w:name="PT_6"/>
            <w:r>
              <w:rPr>
                <w:rFonts w:hint="default" w:ascii="Times New Roman" w:hAnsi="Times New Roman" w:eastAsia="宋体" w:cs="Times New Roman"/>
                <w:b/>
                <w:bCs/>
                <w:color w:val="auto"/>
                <w:sz w:val="21"/>
                <w:szCs w:val="21"/>
              </w:rPr>
              <w:t>序号</w:t>
            </w:r>
          </w:p>
        </w:tc>
        <w:tc>
          <w:tcPr>
            <w:tcW w:w="607" w:type="dxa"/>
            <w:vMerge w:val="restart"/>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建筑物名称</w:t>
            </w:r>
          </w:p>
        </w:tc>
        <w:tc>
          <w:tcPr>
            <w:tcW w:w="581" w:type="dxa"/>
            <w:vMerge w:val="restart"/>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声源名称</w:t>
            </w:r>
          </w:p>
        </w:tc>
        <w:tc>
          <w:tcPr>
            <w:tcW w:w="690" w:type="dxa"/>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声源源强</w:t>
            </w:r>
          </w:p>
        </w:tc>
        <w:tc>
          <w:tcPr>
            <w:tcW w:w="595" w:type="dxa"/>
            <w:vMerge w:val="restart"/>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声源控制措施</w:t>
            </w:r>
          </w:p>
        </w:tc>
        <w:tc>
          <w:tcPr>
            <w:tcW w:w="1879" w:type="dxa"/>
            <w:gridSpan w:val="3"/>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空间相对位置/m</w:t>
            </w:r>
          </w:p>
        </w:tc>
        <w:tc>
          <w:tcPr>
            <w:tcW w:w="2073" w:type="dxa"/>
            <w:gridSpan w:val="4"/>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距室内边界距离/m</w:t>
            </w:r>
          </w:p>
        </w:tc>
        <w:tc>
          <w:tcPr>
            <w:tcW w:w="2050" w:type="dxa"/>
            <w:gridSpan w:val="4"/>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室内边界声级/dB(A)</w:t>
            </w:r>
          </w:p>
        </w:tc>
        <w:tc>
          <w:tcPr>
            <w:tcW w:w="474" w:type="dxa"/>
            <w:vMerge w:val="restart"/>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运行时段</w:t>
            </w:r>
          </w:p>
        </w:tc>
        <w:tc>
          <w:tcPr>
            <w:tcW w:w="1976" w:type="dxa"/>
            <w:gridSpan w:val="4"/>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建筑物插入损失/dB(A)</w:t>
            </w:r>
            <w:bookmarkStart w:id="44" w:name="PT_10"/>
            <w:bookmarkEnd w:id="44"/>
          </w:p>
        </w:tc>
        <w:tc>
          <w:tcPr>
            <w:tcW w:w="2824" w:type="dxa"/>
            <w:gridSpan w:val="5"/>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建筑物外噪声声压级/dB(A)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425" w:type="dxa"/>
            <w:vMerge w:val="continue"/>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lang w:val="en-US" w:eastAsia="zh-CN"/>
              </w:rPr>
            </w:pPr>
          </w:p>
        </w:tc>
        <w:tc>
          <w:tcPr>
            <w:tcW w:w="607" w:type="dxa"/>
            <w:vMerge w:val="continue"/>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p>
        </w:tc>
        <w:tc>
          <w:tcPr>
            <w:tcW w:w="581" w:type="dxa"/>
            <w:vMerge w:val="continue"/>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p>
        </w:tc>
        <w:tc>
          <w:tcPr>
            <w:tcW w:w="690"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声功率级/dB(A)</w:t>
            </w:r>
          </w:p>
        </w:tc>
        <w:tc>
          <w:tcPr>
            <w:tcW w:w="595" w:type="dxa"/>
            <w:vMerge w:val="continue"/>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X</w:t>
            </w: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Y</w:t>
            </w:r>
          </w:p>
        </w:tc>
        <w:tc>
          <w:tcPr>
            <w:tcW w:w="62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Z</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东</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南</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西</w:t>
            </w:r>
          </w:p>
        </w:tc>
        <w:tc>
          <w:tcPr>
            <w:tcW w:w="519"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北</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东</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南</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西</w:t>
            </w:r>
          </w:p>
        </w:tc>
        <w:tc>
          <w:tcPr>
            <w:tcW w:w="51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北</w:t>
            </w:r>
          </w:p>
        </w:tc>
        <w:tc>
          <w:tcPr>
            <w:tcW w:w="474" w:type="dxa"/>
            <w:vMerge w:val="continue"/>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东</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南</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西</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北</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东</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南</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西</w:t>
            </w:r>
          </w:p>
        </w:tc>
        <w:tc>
          <w:tcPr>
            <w:tcW w:w="5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北</w:t>
            </w:r>
          </w:p>
        </w:tc>
        <w:tc>
          <w:tcPr>
            <w:tcW w:w="7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建筑物外距离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425"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60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116WM锅炉房</w:t>
            </w:r>
          </w:p>
        </w:tc>
        <w:tc>
          <w:tcPr>
            <w:tcW w:w="581"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锅炉主体</w:t>
            </w:r>
          </w:p>
        </w:tc>
        <w:tc>
          <w:tcPr>
            <w:tcW w:w="690"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110</w:t>
            </w:r>
          </w:p>
        </w:tc>
        <w:tc>
          <w:tcPr>
            <w:tcW w:w="595" w:type="dxa"/>
            <w:vMerge w:val="restart"/>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highlight w:val="none"/>
                <w:lang w:val="en-US" w:eastAsia="zh-CN"/>
              </w:rPr>
              <w:t>采取合理布局、基础减震、隔声等降噪措施</w:t>
            </w: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42.2</w:t>
            </w: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-60.4</w:t>
            </w:r>
          </w:p>
        </w:tc>
        <w:tc>
          <w:tcPr>
            <w:tcW w:w="62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17.3</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28.5</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12.4</w:t>
            </w:r>
          </w:p>
        </w:tc>
        <w:tc>
          <w:tcPr>
            <w:tcW w:w="519"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10.1</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98.8</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98.8</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98.9</w:t>
            </w:r>
          </w:p>
        </w:tc>
        <w:tc>
          <w:tcPr>
            <w:tcW w:w="51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98.9</w:t>
            </w:r>
          </w:p>
        </w:tc>
        <w:tc>
          <w:tcPr>
            <w:tcW w:w="47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72.8</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72.8</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72.9</w:t>
            </w:r>
          </w:p>
        </w:tc>
        <w:tc>
          <w:tcPr>
            <w:tcW w:w="5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72.9</w:t>
            </w:r>
          </w:p>
        </w:tc>
        <w:tc>
          <w:tcPr>
            <w:tcW w:w="7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425"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60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116WM锅炉房</w:t>
            </w:r>
          </w:p>
        </w:tc>
        <w:tc>
          <w:tcPr>
            <w:tcW w:w="581"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输送机</w:t>
            </w:r>
          </w:p>
        </w:tc>
        <w:tc>
          <w:tcPr>
            <w:tcW w:w="690"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w:t>
            </w:r>
          </w:p>
        </w:tc>
        <w:tc>
          <w:tcPr>
            <w:tcW w:w="595" w:type="dxa"/>
            <w:vMerge w:val="continue"/>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31.8</w:t>
            </w: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-71.1</w:t>
            </w:r>
          </w:p>
        </w:tc>
        <w:tc>
          <w:tcPr>
            <w:tcW w:w="62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27.6</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17.4</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519"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20.4</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78.8</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78.8</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79.8</w:t>
            </w:r>
          </w:p>
        </w:tc>
        <w:tc>
          <w:tcPr>
            <w:tcW w:w="51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78.8</w:t>
            </w:r>
          </w:p>
        </w:tc>
        <w:tc>
          <w:tcPr>
            <w:tcW w:w="47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52.8</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52.8</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53.8</w:t>
            </w:r>
          </w:p>
        </w:tc>
        <w:tc>
          <w:tcPr>
            <w:tcW w:w="5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52.8</w:t>
            </w:r>
          </w:p>
        </w:tc>
        <w:tc>
          <w:tcPr>
            <w:tcW w:w="7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425"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60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116WM锅炉房</w:t>
            </w:r>
          </w:p>
        </w:tc>
        <w:tc>
          <w:tcPr>
            <w:tcW w:w="581"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鼓风机</w:t>
            </w:r>
          </w:p>
        </w:tc>
        <w:tc>
          <w:tcPr>
            <w:tcW w:w="690"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595" w:type="dxa"/>
            <w:vMerge w:val="continue"/>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35.4</w:t>
            </w: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-63.5</w:t>
            </w:r>
          </w:p>
        </w:tc>
        <w:tc>
          <w:tcPr>
            <w:tcW w:w="62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24.1</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25.1</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w:t>
            </w:r>
          </w:p>
        </w:tc>
        <w:tc>
          <w:tcPr>
            <w:tcW w:w="519"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12.9</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88.8</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88.8</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89.0</w:t>
            </w:r>
          </w:p>
        </w:tc>
        <w:tc>
          <w:tcPr>
            <w:tcW w:w="51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88.9</w:t>
            </w:r>
          </w:p>
        </w:tc>
        <w:tc>
          <w:tcPr>
            <w:tcW w:w="47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62.8</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62.8</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63.0</w:t>
            </w:r>
          </w:p>
        </w:tc>
        <w:tc>
          <w:tcPr>
            <w:tcW w:w="5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62.9</w:t>
            </w:r>
          </w:p>
        </w:tc>
        <w:tc>
          <w:tcPr>
            <w:tcW w:w="7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425"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60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116WM锅炉房</w:t>
            </w:r>
          </w:p>
        </w:tc>
        <w:tc>
          <w:tcPr>
            <w:tcW w:w="581"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引风机</w:t>
            </w:r>
          </w:p>
        </w:tc>
        <w:tc>
          <w:tcPr>
            <w:tcW w:w="690"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595" w:type="dxa"/>
            <w:vMerge w:val="continue"/>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37.2</w:t>
            </w: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-78.9</w:t>
            </w:r>
          </w:p>
        </w:tc>
        <w:tc>
          <w:tcPr>
            <w:tcW w:w="62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22.1</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9.8</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7.4</w:t>
            </w:r>
          </w:p>
        </w:tc>
        <w:tc>
          <w:tcPr>
            <w:tcW w:w="519"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28.4</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88.8</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88.9</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88.9</w:t>
            </w:r>
          </w:p>
        </w:tc>
        <w:tc>
          <w:tcPr>
            <w:tcW w:w="51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88.8</w:t>
            </w:r>
          </w:p>
        </w:tc>
        <w:tc>
          <w:tcPr>
            <w:tcW w:w="47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62.8</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62.9</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62.9</w:t>
            </w:r>
          </w:p>
        </w:tc>
        <w:tc>
          <w:tcPr>
            <w:tcW w:w="5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62.8</w:t>
            </w:r>
          </w:p>
        </w:tc>
        <w:tc>
          <w:tcPr>
            <w:tcW w:w="7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425"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60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脱硫间</w:t>
            </w:r>
          </w:p>
        </w:tc>
        <w:tc>
          <w:tcPr>
            <w:tcW w:w="581"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氧化风机</w:t>
            </w:r>
          </w:p>
        </w:tc>
        <w:tc>
          <w:tcPr>
            <w:tcW w:w="690"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95</w:t>
            </w:r>
          </w:p>
        </w:tc>
        <w:tc>
          <w:tcPr>
            <w:tcW w:w="595" w:type="dxa"/>
            <w:vMerge w:val="continue"/>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38.2</w:t>
            </w: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-20.6</w:t>
            </w:r>
          </w:p>
        </w:tc>
        <w:tc>
          <w:tcPr>
            <w:tcW w:w="62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19.4</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26.4</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8.4</w:t>
            </w:r>
          </w:p>
        </w:tc>
        <w:tc>
          <w:tcPr>
            <w:tcW w:w="519"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19.8</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83.5</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83.5</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83.5</w:t>
            </w:r>
          </w:p>
        </w:tc>
        <w:tc>
          <w:tcPr>
            <w:tcW w:w="51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83.5</w:t>
            </w:r>
          </w:p>
        </w:tc>
        <w:tc>
          <w:tcPr>
            <w:tcW w:w="47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57.5</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57.5</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57.5</w:t>
            </w:r>
          </w:p>
        </w:tc>
        <w:tc>
          <w:tcPr>
            <w:tcW w:w="5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57.5</w:t>
            </w:r>
          </w:p>
        </w:tc>
        <w:tc>
          <w:tcPr>
            <w:tcW w:w="7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425"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60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脱硫间</w:t>
            </w:r>
          </w:p>
        </w:tc>
        <w:tc>
          <w:tcPr>
            <w:tcW w:w="581"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搅拌器</w:t>
            </w:r>
          </w:p>
        </w:tc>
        <w:tc>
          <w:tcPr>
            <w:tcW w:w="690"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w:t>
            </w:r>
          </w:p>
        </w:tc>
        <w:tc>
          <w:tcPr>
            <w:tcW w:w="595" w:type="dxa"/>
            <w:vMerge w:val="continue"/>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39.8</w:t>
            </w: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-27.5</w:t>
            </w:r>
          </w:p>
        </w:tc>
        <w:tc>
          <w:tcPr>
            <w:tcW w:w="62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18.6</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19.5</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519"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26.7</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78.5</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78.5</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78.5</w:t>
            </w:r>
          </w:p>
        </w:tc>
        <w:tc>
          <w:tcPr>
            <w:tcW w:w="51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78.5</w:t>
            </w:r>
          </w:p>
        </w:tc>
        <w:tc>
          <w:tcPr>
            <w:tcW w:w="47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52.5</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52.5</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52.5</w:t>
            </w:r>
          </w:p>
        </w:tc>
        <w:tc>
          <w:tcPr>
            <w:tcW w:w="5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52.5</w:t>
            </w:r>
          </w:p>
        </w:tc>
        <w:tc>
          <w:tcPr>
            <w:tcW w:w="7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425"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60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脱硫间</w:t>
            </w:r>
          </w:p>
        </w:tc>
        <w:tc>
          <w:tcPr>
            <w:tcW w:w="581"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循环泵</w:t>
            </w:r>
          </w:p>
        </w:tc>
        <w:tc>
          <w:tcPr>
            <w:tcW w:w="690"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595" w:type="dxa"/>
            <w:vMerge w:val="continue"/>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39.3</w:t>
            </w: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-34.3</w:t>
            </w:r>
          </w:p>
        </w:tc>
        <w:tc>
          <w:tcPr>
            <w:tcW w:w="62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19.8</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12.7</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9.5</w:t>
            </w:r>
          </w:p>
        </w:tc>
        <w:tc>
          <w:tcPr>
            <w:tcW w:w="519"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33.5</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88.5</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88.5</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88.5</w:t>
            </w:r>
          </w:p>
        </w:tc>
        <w:tc>
          <w:tcPr>
            <w:tcW w:w="51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88.4</w:t>
            </w:r>
          </w:p>
        </w:tc>
        <w:tc>
          <w:tcPr>
            <w:tcW w:w="47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62.5</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62.5</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62.5</w:t>
            </w:r>
          </w:p>
        </w:tc>
        <w:tc>
          <w:tcPr>
            <w:tcW w:w="5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62.4</w:t>
            </w:r>
          </w:p>
        </w:tc>
        <w:tc>
          <w:tcPr>
            <w:tcW w:w="7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425"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60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除尘间</w:t>
            </w:r>
          </w:p>
        </w:tc>
        <w:tc>
          <w:tcPr>
            <w:tcW w:w="581"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布袋除尘器</w:t>
            </w:r>
          </w:p>
        </w:tc>
        <w:tc>
          <w:tcPr>
            <w:tcW w:w="690"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595" w:type="dxa"/>
            <w:vMerge w:val="continue"/>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19.4</w:t>
            </w: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-26.7</w:t>
            </w:r>
          </w:p>
        </w:tc>
        <w:tc>
          <w:tcPr>
            <w:tcW w:w="62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8.6</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23.2</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13.3</w:t>
            </w:r>
          </w:p>
        </w:tc>
        <w:tc>
          <w:tcPr>
            <w:tcW w:w="519"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8.1</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91.6</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91.6</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91.6</w:t>
            </w:r>
          </w:p>
        </w:tc>
        <w:tc>
          <w:tcPr>
            <w:tcW w:w="51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91.6</w:t>
            </w:r>
          </w:p>
        </w:tc>
        <w:tc>
          <w:tcPr>
            <w:tcW w:w="47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65.6</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65.6</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65.6</w:t>
            </w:r>
          </w:p>
        </w:tc>
        <w:tc>
          <w:tcPr>
            <w:tcW w:w="5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65.6</w:t>
            </w:r>
          </w:p>
        </w:tc>
        <w:tc>
          <w:tcPr>
            <w:tcW w:w="7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425"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60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除尘间</w:t>
            </w:r>
          </w:p>
        </w:tc>
        <w:tc>
          <w:tcPr>
            <w:tcW w:w="581"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罗茨风机</w:t>
            </w:r>
          </w:p>
        </w:tc>
        <w:tc>
          <w:tcPr>
            <w:tcW w:w="690"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595" w:type="dxa"/>
            <w:vMerge w:val="continue"/>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13.5</w:t>
            </w: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-29.2</w:t>
            </w:r>
          </w:p>
        </w:tc>
        <w:tc>
          <w:tcPr>
            <w:tcW w:w="62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14.4</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20.8</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7.4</w:t>
            </w:r>
          </w:p>
        </w:tc>
        <w:tc>
          <w:tcPr>
            <w:tcW w:w="519"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91.6</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91.6</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91.6</w:t>
            </w:r>
          </w:p>
        </w:tc>
        <w:tc>
          <w:tcPr>
            <w:tcW w:w="51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91.7</w:t>
            </w:r>
          </w:p>
        </w:tc>
        <w:tc>
          <w:tcPr>
            <w:tcW w:w="47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65.6</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65.6</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65.6</w:t>
            </w:r>
          </w:p>
        </w:tc>
        <w:tc>
          <w:tcPr>
            <w:tcW w:w="5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65.7</w:t>
            </w:r>
          </w:p>
        </w:tc>
        <w:tc>
          <w:tcPr>
            <w:tcW w:w="7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425"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60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除尘间</w:t>
            </w:r>
          </w:p>
        </w:tc>
        <w:tc>
          <w:tcPr>
            <w:tcW w:w="581"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旋转供料器</w:t>
            </w:r>
          </w:p>
        </w:tc>
        <w:tc>
          <w:tcPr>
            <w:tcW w:w="690"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w:t>
            </w:r>
          </w:p>
        </w:tc>
        <w:tc>
          <w:tcPr>
            <w:tcW w:w="595" w:type="dxa"/>
            <w:vMerge w:val="continue"/>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14.1</w:t>
            </w:r>
          </w:p>
        </w:tc>
        <w:tc>
          <w:tcPr>
            <w:tcW w:w="6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-26.5</w:t>
            </w:r>
          </w:p>
        </w:tc>
        <w:tc>
          <w:tcPr>
            <w:tcW w:w="627"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23.5</w:t>
            </w:r>
          </w:p>
        </w:tc>
        <w:tc>
          <w:tcPr>
            <w:tcW w:w="518"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w:t>
            </w:r>
          </w:p>
        </w:tc>
        <w:tc>
          <w:tcPr>
            <w:tcW w:w="519"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8.3</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81.6</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81.6</w:t>
            </w:r>
          </w:p>
        </w:tc>
        <w:tc>
          <w:tcPr>
            <w:tcW w:w="512"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81.6</w:t>
            </w:r>
          </w:p>
        </w:tc>
        <w:tc>
          <w:tcPr>
            <w:tcW w:w="51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81.6</w:t>
            </w:r>
          </w:p>
        </w:tc>
        <w:tc>
          <w:tcPr>
            <w:tcW w:w="47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49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55.6</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55.6</w:t>
            </w:r>
          </w:p>
        </w:tc>
        <w:tc>
          <w:tcPr>
            <w:tcW w:w="524"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55.6</w:t>
            </w:r>
          </w:p>
        </w:tc>
        <w:tc>
          <w:tcPr>
            <w:tcW w:w="5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55.6</w:t>
            </w:r>
          </w:p>
        </w:tc>
        <w:tc>
          <w:tcPr>
            <w:tcW w:w="726" w:type="dxa"/>
            <w:shd w:val="clear" w:color="auto" w:fill="FFFFFF"/>
            <w:tcMar>
              <w:top w:w="0" w:type="dxa"/>
              <w:left w:w="0" w:type="dxa"/>
              <w:bottom w:w="0" w:type="dxa"/>
              <w:right w:w="0" w:type="dxa"/>
            </w:tcMar>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bookmarkEnd w:id="43"/>
    </w:tbl>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pacing w:val="-3"/>
          <w:sz w:val="21"/>
          <w:szCs w:val="21"/>
          <w:lang w:val="en-US" w:eastAsia="zh-CN"/>
        </w:rPr>
      </w:pPr>
      <w:r>
        <w:rPr>
          <w:rFonts w:hint="default" w:ascii="Times New Roman" w:hAnsi="Times New Roman" w:eastAsia="宋体" w:cs="Times New Roman"/>
          <w:b/>
          <w:bCs/>
          <w:color w:val="auto"/>
          <w:kern w:val="0"/>
          <w:sz w:val="21"/>
          <w:szCs w:val="21"/>
          <w:lang w:val="en-US" w:eastAsia="zh-CN" w:bidi="ar"/>
        </w:rPr>
        <w:t>表</w:t>
      </w:r>
      <w:r>
        <w:rPr>
          <w:rFonts w:hint="eastAsia" w:cs="Times New Roman"/>
          <w:b/>
          <w:bCs/>
          <w:color w:val="auto"/>
          <w:kern w:val="0"/>
          <w:sz w:val="21"/>
          <w:szCs w:val="21"/>
          <w:lang w:val="en-US" w:eastAsia="zh-CN" w:bidi="ar"/>
        </w:rPr>
        <w:t>6.2.3-2</w:t>
      </w:r>
      <w:r>
        <w:rPr>
          <w:rFonts w:hint="eastAsia" w:ascii="Times New Roman" w:hAnsi="Times New Roman" w:eastAsia="宋体" w:cs="Times New Roman"/>
          <w:b/>
          <w:bCs/>
          <w:color w:val="auto"/>
          <w:kern w:val="0"/>
          <w:sz w:val="21"/>
          <w:szCs w:val="21"/>
          <w:lang w:val="en-US" w:eastAsia="zh-CN" w:bidi="ar"/>
        </w:rPr>
        <w:t xml:space="preserve">   工业企业噪声源强调查清单（室外声源）</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5"/>
        <w:gridCol w:w="2882"/>
        <w:gridCol w:w="1523"/>
        <w:gridCol w:w="1814"/>
        <w:gridCol w:w="1327"/>
        <w:gridCol w:w="2353"/>
        <w:gridCol w:w="1481"/>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序号</w:t>
            </w:r>
          </w:p>
        </w:tc>
        <w:tc>
          <w:tcPr>
            <w:tcW w:w="0" w:type="auto"/>
            <w:vMerge w:val="restart"/>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声源名称</w:t>
            </w:r>
          </w:p>
        </w:tc>
        <w:tc>
          <w:tcPr>
            <w:tcW w:w="0" w:type="auto"/>
            <w:gridSpan w:val="3"/>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空间相对位置/m</w:t>
            </w:r>
          </w:p>
        </w:tc>
        <w:tc>
          <w:tcPr>
            <w:tcW w:w="0" w:type="auto"/>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（任选一种）</w:t>
            </w:r>
          </w:p>
        </w:tc>
        <w:tc>
          <w:tcPr>
            <w:tcW w:w="1481" w:type="dxa"/>
            <w:vMerge w:val="restart"/>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声源控制措施</w:t>
            </w:r>
          </w:p>
        </w:tc>
        <w:tc>
          <w:tcPr>
            <w:tcW w:w="1060" w:type="dxa"/>
            <w:vMerge w:val="restart"/>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0" w:type="auto"/>
            <w:vMerge w:val="continue"/>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X</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Y</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Z</w:t>
            </w:r>
          </w:p>
        </w:tc>
        <w:tc>
          <w:tcPr>
            <w:tcW w:w="235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声功率级/dB(A)</w:t>
            </w:r>
          </w:p>
        </w:tc>
        <w:tc>
          <w:tcPr>
            <w:tcW w:w="1481" w:type="dxa"/>
            <w:vMerge w:val="continue"/>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1060" w:type="dxa"/>
            <w:vMerge w:val="continue"/>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提升机</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2.7</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-37.5</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w:t>
            </w:r>
          </w:p>
        </w:tc>
        <w:tc>
          <w:tcPr>
            <w:tcW w:w="235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90</w:t>
            </w:r>
          </w:p>
        </w:tc>
        <w:tc>
          <w:tcPr>
            <w:tcW w:w="1481" w:type="dxa"/>
            <w:vMerge w:val="restart"/>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采取合理布局、基础减震、隔声等降噪措施</w:t>
            </w:r>
          </w:p>
        </w:tc>
        <w:tc>
          <w:tcPr>
            <w:tcW w:w="1060"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搅拌器</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2.3</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-40.8</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w:t>
            </w:r>
          </w:p>
        </w:tc>
        <w:tc>
          <w:tcPr>
            <w:tcW w:w="235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90</w:t>
            </w:r>
          </w:p>
        </w:tc>
        <w:tc>
          <w:tcPr>
            <w:tcW w:w="1481" w:type="dxa"/>
            <w:vMerge w:val="continue"/>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1060"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输送泵</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2.8</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-42.9</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w:t>
            </w:r>
          </w:p>
        </w:tc>
        <w:tc>
          <w:tcPr>
            <w:tcW w:w="235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85</w:t>
            </w:r>
          </w:p>
        </w:tc>
        <w:tc>
          <w:tcPr>
            <w:tcW w:w="1481" w:type="dxa"/>
            <w:vMerge w:val="continue"/>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1060"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压缩机</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-0.2</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-39.1</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w:t>
            </w:r>
          </w:p>
        </w:tc>
        <w:tc>
          <w:tcPr>
            <w:tcW w:w="235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90</w:t>
            </w:r>
          </w:p>
        </w:tc>
        <w:tc>
          <w:tcPr>
            <w:tcW w:w="1481" w:type="dxa"/>
            <w:vMerge w:val="continue"/>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1060"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24</w:t>
            </w:r>
          </w:p>
        </w:tc>
      </w:tr>
    </w:tbl>
    <w:p>
      <w:pPr>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Times New Roman" w:hAnsi="Times New Roman" w:eastAsia="宋体" w:cs="Times New Roman"/>
          <w:color w:val="auto"/>
          <w:spacing w:val="-3"/>
          <w:sz w:val="24"/>
          <w:szCs w:val="24"/>
          <w:lang w:val="en-US" w:eastAsia="zh-CN"/>
        </w:rPr>
      </w:pPr>
    </w:p>
    <w:p>
      <w:pPr>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Times New Roman" w:hAnsi="Times New Roman" w:eastAsia="宋体" w:cs="Times New Roman"/>
          <w:color w:val="auto"/>
          <w:spacing w:val="-3"/>
          <w:sz w:val="24"/>
          <w:szCs w:val="24"/>
          <w:lang w:val="en-US" w:eastAsia="zh-CN"/>
        </w:rPr>
      </w:pPr>
    </w:p>
    <w:p>
      <w:pPr>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Times New Roman" w:hAnsi="Times New Roman" w:eastAsia="宋体" w:cs="Times New Roman"/>
          <w:color w:val="auto"/>
          <w:spacing w:val="-3"/>
          <w:sz w:val="24"/>
          <w:szCs w:val="24"/>
          <w:lang w:val="en-US" w:eastAsia="zh-CN"/>
        </w:rPr>
      </w:pPr>
    </w:p>
    <w:p>
      <w:pPr>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Times New Roman" w:hAnsi="Times New Roman" w:eastAsia="宋体" w:cs="Times New Roman"/>
          <w:color w:val="auto"/>
          <w:spacing w:val="-3"/>
          <w:sz w:val="24"/>
          <w:szCs w:val="24"/>
          <w:lang w:val="en-US" w:eastAsia="zh-CN"/>
        </w:rPr>
      </w:pPr>
    </w:p>
    <w:p>
      <w:pPr>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Times New Roman" w:hAnsi="Times New Roman" w:eastAsia="宋体" w:cs="Times New Roman"/>
          <w:color w:val="auto"/>
          <w:spacing w:val="-3"/>
          <w:sz w:val="24"/>
          <w:szCs w:val="24"/>
          <w:lang w:val="en-US" w:eastAsia="zh-CN"/>
        </w:rPr>
      </w:pPr>
    </w:p>
    <w:p>
      <w:pPr>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Times New Roman" w:hAnsi="Times New Roman" w:eastAsia="宋体" w:cs="Times New Roman"/>
          <w:color w:val="auto"/>
          <w:spacing w:val="-3"/>
          <w:sz w:val="24"/>
          <w:szCs w:val="24"/>
          <w:lang w:val="en-US" w:eastAsia="zh-CN"/>
        </w:rPr>
      </w:pPr>
    </w:p>
    <w:p>
      <w:pPr>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Times New Roman" w:hAnsi="Times New Roman" w:eastAsia="宋体" w:cs="Times New Roman"/>
          <w:color w:val="auto"/>
          <w:spacing w:val="-3"/>
          <w:sz w:val="24"/>
          <w:szCs w:val="24"/>
          <w:lang w:val="en-US" w:eastAsia="zh-CN"/>
        </w:rPr>
      </w:pPr>
    </w:p>
    <w:p>
      <w:pPr>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Times New Roman" w:hAnsi="Times New Roman" w:eastAsia="宋体" w:cs="Times New Roman"/>
          <w:color w:val="auto"/>
          <w:spacing w:val="-3"/>
          <w:sz w:val="24"/>
          <w:szCs w:val="24"/>
          <w:lang w:val="en-US" w:eastAsia="zh-CN"/>
        </w:rPr>
      </w:pPr>
    </w:p>
    <w:p>
      <w:pPr>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Times New Roman" w:hAnsi="Times New Roman" w:eastAsia="宋体" w:cs="Times New Roman"/>
          <w:color w:val="auto"/>
          <w:spacing w:val="-3"/>
          <w:sz w:val="24"/>
          <w:szCs w:val="24"/>
          <w:lang w:val="en-US" w:eastAsia="zh-CN"/>
        </w:rPr>
      </w:pPr>
    </w:p>
    <w:p>
      <w:pPr>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rPr>
          <w:rFonts w:hint="eastAsia" w:ascii="Times New Roman" w:hAnsi="Times New Roman" w:eastAsia="宋体" w:cs="Times New Roman"/>
          <w:color w:val="auto"/>
          <w:spacing w:val="-3"/>
          <w:sz w:val="24"/>
          <w:szCs w:val="24"/>
          <w:lang w:val="en-US" w:eastAsia="zh-CN"/>
        </w:rPr>
      </w:pPr>
    </w:p>
    <w:p>
      <w:pPr>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rPr>
          <w:rFonts w:hint="eastAsia" w:ascii="Times New Roman" w:hAnsi="Times New Roman" w:eastAsia="宋体" w:cs="Times New Roman"/>
          <w:color w:val="auto"/>
          <w:spacing w:val="-3"/>
          <w:sz w:val="24"/>
          <w:szCs w:val="24"/>
          <w:lang w:val="en-US" w:eastAsia="zh-CN"/>
        </w:rPr>
      </w:pPr>
    </w:p>
    <w:p>
      <w:pPr>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rPr>
          <w:rFonts w:hint="eastAsia" w:ascii="Times New Roman" w:hAnsi="Times New Roman" w:eastAsia="宋体" w:cs="Times New Roman"/>
          <w:color w:val="auto"/>
          <w:spacing w:val="-3"/>
          <w:sz w:val="24"/>
          <w:szCs w:val="24"/>
          <w:lang w:val="en-US" w:eastAsia="zh-CN"/>
        </w:rPr>
      </w:pPr>
    </w:p>
    <w:p>
      <w:pPr>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rPr>
          <w:rFonts w:hint="eastAsia" w:ascii="Times New Roman" w:hAnsi="Times New Roman" w:eastAsia="宋体" w:cs="Times New Roman"/>
          <w:color w:val="auto"/>
          <w:spacing w:val="-3"/>
          <w:sz w:val="24"/>
          <w:szCs w:val="24"/>
          <w:lang w:val="en-US" w:eastAsia="zh-CN"/>
        </w:rPr>
        <w:sectPr>
          <w:pgSz w:w="16839" w:h="11906" w:orient="landscape"/>
          <w:pgMar w:top="1803" w:right="1440" w:bottom="1803" w:left="1440" w:header="1361" w:footer="1077" w:gutter="0"/>
          <w:pgBorders>
            <w:top w:val="none" w:sz="0" w:space="0"/>
            <w:left w:val="none" w:sz="0" w:space="0"/>
            <w:bottom w:val="none" w:sz="0" w:space="0"/>
            <w:right w:val="none" w:sz="0" w:space="0"/>
          </w:pgBorders>
          <w:pgNumType w:fmt="decimal"/>
          <w:cols w:space="720" w:num="1"/>
        </w:sectPr>
      </w:pPr>
    </w:p>
    <w:p>
      <w:pPr>
        <w:pStyle w:val="5"/>
        <w:bidi w:val="0"/>
        <w:ind w:left="0" w:leftChars="0" w:firstLine="0" w:firstLineChars="0"/>
        <w:rPr>
          <w:rFonts w:hint="eastAsia"/>
          <w:color w:val="auto"/>
          <w:lang w:val="en-US" w:eastAsia="zh-CN"/>
        </w:rPr>
      </w:pPr>
      <w:r>
        <w:rPr>
          <w:rFonts w:hint="eastAsia"/>
          <w:color w:val="auto"/>
          <w:lang w:val="en-US" w:eastAsia="zh-CN"/>
        </w:rPr>
        <w:t>6.2.3.3预测参数</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w:t>
      </w:r>
      <w:r>
        <w:rPr>
          <w:rFonts w:hint="eastAsia" w:ascii="Times New Roman" w:hAnsi="Times New Roman" w:eastAsia="宋体" w:cs="Times New Roman"/>
          <w:b/>
          <w:bCs/>
          <w:color w:val="auto"/>
          <w:kern w:val="0"/>
          <w:sz w:val="21"/>
          <w:szCs w:val="21"/>
          <w:lang w:val="en-US" w:eastAsia="zh-CN" w:bidi="ar"/>
        </w:rPr>
        <w:t>6.</w:t>
      </w:r>
      <w:r>
        <w:rPr>
          <w:rFonts w:hint="eastAsia" w:cs="Times New Roman"/>
          <w:b/>
          <w:bCs/>
          <w:color w:val="auto"/>
          <w:kern w:val="0"/>
          <w:sz w:val="21"/>
          <w:szCs w:val="21"/>
          <w:lang w:val="en-US" w:eastAsia="zh-CN" w:bidi="ar"/>
        </w:rPr>
        <w:t>2.3-3</w:t>
      </w:r>
      <w:r>
        <w:rPr>
          <w:rFonts w:hint="eastAsia" w:ascii="Times New Roman" w:hAnsi="Times New Roman" w:eastAsia="宋体" w:cs="Times New Roman"/>
          <w:b/>
          <w:bCs/>
          <w:color w:val="auto"/>
          <w:kern w:val="0"/>
          <w:sz w:val="21"/>
          <w:szCs w:val="21"/>
          <w:lang w:val="en-US" w:eastAsia="zh-CN" w:bidi="ar"/>
        </w:rPr>
        <w:t xml:space="preserve">   </w:t>
      </w:r>
      <w:r>
        <w:rPr>
          <w:rFonts w:hint="default" w:ascii="Times New Roman" w:hAnsi="Times New Roman" w:eastAsia="宋体" w:cs="Times New Roman"/>
          <w:b/>
          <w:bCs/>
          <w:color w:val="auto"/>
          <w:kern w:val="0"/>
          <w:sz w:val="21"/>
          <w:szCs w:val="21"/>
          <w:lang w:val="en-US" w:eastAsia="zh-CN" w:bidi="ar"/>
        </w:rPr>
        <w:t>项目噪声环境影响预测基础数据表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4"/>
        <w:gridCol w:w="2233"/>
        <w:gridCol w:w="1705"/>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dxa"/>
            <w:tcBorders>
              <w:tl2br w:val="nil"/>
              <w:tr2bl w:val="nil"/>
            </w:tcBorders>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序号</w:t>
            </w:r>
          </w:p>
        </w:tc>
        <w:tc>
          <w:tcPr>
            <w:tcW w:w="2107" w:type="dxa"/>
            <w:tcBorders>
              <w:tl2br w:val="nil"/>
              <w:tr2bl w:val="nil"/>
            </w:tcBorders>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名称</w:t>
            </w:r>
          </w:p>
        </w:tc>
        <w:tc>
          <w:tcPr>
            <w:tcW w:w="1608" w:type="dxa"/>
            <w:tcBorders>
              <w:tl2br w:val="nil"/>
              <w:tr2bl w:val="nil"/>
            </w:tcBorders>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单位</w:t>
            </w:r>
          </w:p>
        </w:tc>
        <w:tc>
          <w:tcPr>
            <w:tcW w:w="1608" w:type="dxa"/>
            <w:tcBorders>
              <w:tl2br w:val="nil"/>
              <w:tr2bl w:val="nil"/>
            </w:tcBorders>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数据</w:t>
            </w:r>
          </w:p>
        </w:tc>
        <w:tc>
          <w:tcPr>
            <w:tcW w:w="1608" w:type="dxa"/>
            <w:tcBorders>
              <w:tl2br w:val="nil"/>
              <w:tr2bl w:val="nil"/>
            </w:tcBorders>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p>
        </w:tc>
        <w:tc>
          <w:tcPr>
            <w:tcW w:w="2107"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年平均风速</w:t>
            </w:r>
          </w:p>
        </w:tc>
        <w:tc>
          <w:tcPr>
            <w:tcW w:w="16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m/s</w:t>
            </w:r>
          </w:p>
        </w:tc>
        <w:tc>
          <w:tcPr>
            <w:tcW w:w="16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2.4</w:t>
            </w:r>
          </w:p>
        </w:tc>
        <w:tc>
          <w:tcPr>
            <w:tcW w:w="16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w:t>
            </w:r>
          </w:p>
        </w:tc>
        <w:tc>
          <w:tcPr>
            <w:tcW w:w="2107"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主导风向</w:t>
            </w:r>
          </w:p>
        </w:tc>
        <w:tc>
          <w:tcPr>
            <w:tcW w:w="16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16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南</w:t>
            </w:r>
          </w:p>
        </w:tc>
        <w:tc>
          <w:tcPr>
            <w:tcW w:w="16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w:t>
            </w:r>
          </w:p>
        </w:tc>
        <w:tc>
          <w:tcPr>
            <w:tcW w:w="2107"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年平均气温</w:t>
            </w:r>
          </w:p>
        </w:tc>
        <w:tc>
          <w:tcPr>
            <w:tcW w:w="16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16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6.8</w:t>
            </w:r>
          </w:p>
        </w:tc>
        <w:tc>
          <w:tcPr>
            <w:tcW w:w="16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p>
        </w:tc>
        <w:tc>
          <w:tcPr>
            <w:tcW w:w="2107"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年平均相对湿度</w:t>
            </w:r>
          </w:p>
        </w:tc>
        <w:tc>
          <w:tcPr>
            <w:tcW w:w="16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16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54.3</w:t>
            </w:r>
          </w:p>
        </w:tc>
        <w:tc>
          <w:tcPr>
            <w:tcW w:w="16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w:t>
            </w:r>
          </w:p>
        </w:tc>
        <w:tc>
          <w:tcPr>
            <w:tcW w:w="2107"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大气压强</w:t>
            </w:r>
          </w:p>
        </w:tc>
        <w:tc>
          <w:tcPr>
            <w:tcW w:w="16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atm</w:t>
            </w:r>
          </w:p>
        </w:tc>
        <w:tc>
          <w:tcPr>
            <w:tcW w:w="16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w:t>
            </w:r>
          </w:p>
        </w:tc>
        <w:tc>
          <w:tcPr>
            <w:tcW w:w="1608" w:type="dxa"/>
            <w:tcBorders>
              <w:tl2br w:val="nil"/>
              <w:tr2bl w:val="nil"/>
            </w:tcBorders>
            <w:shd w:val="clear" w:color="auto" w:fill="auto"/>
            <w:noWrap w:val="0"/>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r>
    </w:tbl>
    <w:p>
      <w:pPr>
        <w:pStyle w:val="5"/>
        <w:bidi w:val="0"/>
        <w:ind w:left="0" w:leftChars="0" w:firstLine="0" w:firstLineChars="0"/>
        <w:rPr>
          <w:rFonts w:hint="eastAsia"/>
          <w:color w:val="auto"/>
          <w:lang w:val="en-US" w:eastAsia="zh-CN"/>
        </w:rPr>
      </w:pPr>
      <w:r>
        <w:rPr>
          <w:rFonts w:hint="eastAsia"/>
          <w:color w:val="auto"/>
          <w:lang w:val="en-US" w:eastAsia="zh-CN"/>
        </w:rPr>
        <w:t>6.2.3.4评价标准</w:t>
      </w:r>
    </w:p>
    <w:p>
      <w:pPr>
        <w:pStyle w:val="40"/>
        <w:keepNext w:val="0"/>
        <w:keepLines w:val="0"/>
        <w:pageBreakBefore w:val="0"/>
        <w:widowControl w:val="0"/>
        <w:numPr>
          <w:ilvl w:val="0"/>
          <w:numId w:val="0"/>
        </w:numPr>
        <w:suppressLineNumbers w:val="0"/>
        <w:tabs>
          <w:tab w:val="left" w:pos="312"/>
          <w:tab w:val="clear" w:pos="0"/>
          <w:tab w:val="clear" w:pos="2760"/>
          <w:tab w:val="clear" w:pos="7012"/>
        </w:tabs>
        <w:kinsoku/>
        <w:wordWrap/>
        <w:overflowPunct/>
        <w:topLinePunct w:val="0"/>
        <w:autoSpaceDE w:val="0"/>
        <w:autoSpaceDN w:val="0"/>
        <w:bidi w:val="0"/>
        <w:adjustRightInd w:val="0"/>
        <w:snapToGrid w:val="0"/>
        <w:spacing w:beforeAutospacing="0" w:afterAutospacing="0" w:line="360" w:lineRule="auto"/>
        <w:ind w:right="0" w:rightChars="0" w:firstLine="480" w:firstLineChars="200"/>
        <w:jc w:val="left"/>
        <w:textAlignment w:val="auto"/>
        <w:rPr>
          <w:rFonts w:hint="default" w:ascii="Times New Roman" w:hAnsi="Times New Roman" w:eastAsia="宋体" w:cs="Times New Roman"/>
          <w:b w:val="0"/>
          <w:bCs/>
          <w:color w:val="auto"/>
          <w:kern w:val="0"/>
          <w:sz w:val="24"/>
          <w:szCs w:val="24"/>
          <w:highlight w:val="none"/>
          <w:lang w:val="en-US" w:eastAsia="zh-CN" w:bidi="ar"/>
        </w:rPr>
      </w:pPr>
      <w:r>
        <w:rPr>
          <w:rFonts w:hint="default" w:ascii="Times New Roman" w:hAnsi="Times New Roman" w:eastAsia="宋体" w:cs="Times New Roman"/>
          <w:b w:val="0"/>
          <w:bCs/>
          <w:color w:val="auto"/>
          <w:kern w:val="0"/>
          <w:sz w:val="24"/>
          <w:szCs w:val="24"/>
          <w:highlight w:val="none"/>
          <w:lang w:val="en-US" w:eastAsia="zh-CN" w:bidi="ar"/>
        </w:rPr>
        <w:t>评价标准采用《工业企业厂界环境噪声排放标准》（GB12348-2008）中</w:t>
      </w:r>
      <w:r>
        <w:rPr>
          <w:rFonts w:hint="eastAsia" w:ascii="Times New Roman" w:hAnsi="Times New Roman" w:eastAsia="宋体" w:cs="Times New Roman"/>
          <w:b w:val="0"/>
          <w:bCs/>
          <w:color w:val="auto"/>
          <w:kern w:val="0"/>
          <w:sz w:val="24"/>
          <w:szCs w:val="24"/>
          <w:highlight w:val="none"/>
          <w:lang w:val="en-US" w:eastAsia="zh-CN" w:bidi="ar"/>
        </w:rPr>
        <w:t>3</w:t>
      </w:r>
      <w:r>
        <w:rPr>
          <w:rFonts w:hint="default" w:ascii="Times New Roman" w:hAnsi="Times New Roman" w:eastAsia="宋体" w:cs="Times New Roman"/>
          <w:b w:val="0"/>
          <w:bCs/>
          <w:color w:val="auto"/>
          <w:kern w:val="0"/>
          <w:sz w:val="24"/>
          <w:szCs w:val="24"/>
          <w:highlight w:val="none"/>
          <w:lang w:val="en-US" w:eastAsia="zh-CN" w:bidi="ar"/>
        </w:rPr>
        <w:t>类</w:t>
      </w:r>
      <w:r>
        <w:rPr>
          <w:rFonts w:hint="eastAsia" w:ascii="Times New Roman" w:hAnsi="Times New Roman" w:eastAsia="宋体" w:cs="Times New Roman"/>
          <w:b w:val="0"/>
          <w:bCs/>
          <w:color w:val="auto"/>
          <w:kern w:val="0"/>
          <w:sz w:val="24"/>
          <w:szCs w:val="24"/>
          <w:highlight w:val="none"/>
          <w:lang w:val="en-US" w:eastAsia="zh-CN" w:bidi="ar"/>
        </w:rPr>
        <w:t>标准</w:t>
      </w:r>
      <w:r>
        <w:rPr>
          <w:rFonts w:hint="default" w:ascii="Times New Roman" w:hAnsi="Times New Roman" w:eastAsia="宋体" w:cs="Times New Roman"/>
          <w:b w:val="0"/>
          <w:bCs/>
          <w:color w:val="auto"/>
          <w:kern w:val="0"/>
          <w:sz w:val="24"/>
          <w:szCs w:val="24"/>
          <w:highlight w:val="none"/>
          <w:lang w:val="en-US" w:eastAsia="zh-CN" w:bidi="ar"/>
        </w:rPr>
        <w:t>。</w:t>
      </w:r>
    </w:p>
    <w:p>
      <w:pPr>
        <w:pStyle w:val="5"/>
        <w:bidi w:val="0"/>
        <w:ind w:left="0" w:leftChars="0" w:firstLine="0" w:firstLineChars="0"/>
        <w:rPr>
          <w:rFonts w:hint="eastAsia"/>
          <w:color w:val="auto"/>
          <w:lang w:val="en-US" w:eastAsia="zh-CN"/>
        </w:rPr>
      </w:pPr>
      <w:r>
        <w:rPr>
          <w:rFonts w:hint="eastAsia"/>
          <w:color w:val="auto"/>
          <w:lang w:val="en-US" w:eastAsia="zh-CN"/>
        </w:rPr>
        <w:t>6.2.3.5预测结果</w:t>
      </w:r>
    </w:p>
    <w:p>
      <w:pPr>
        <w:pStyle w:val="40"/>
        <w:keepNext w:val="0"/>
        <w:keepLines w:val="0"/>
        <w:pageBreakBefore w:val="0"/>
        <w:widowControl w:val="0"/>
        <w:numPr>
          <w:ilvl w:val="0"/>
          <w:numId w:val="0"/>
        </w:numPr>
        <w:suppressLineNumbers w:val="0"/>
        <w:tabs>
          <w:tab w:val="left" w:pos="312"/>
          <w:tab w:val="clear" w:pos="0"/>
          <w:tab w:val="clear" w:pos="2760"/>
          <w:tab w:val="clear" w:pos="7012"/>
        </w:tabs>
        <w:kinsoku/>
        <w:wordWrap/>
        <w:overflowPunct/>
        <w:topLinePunct w:val="0"/>
        <w:autoSpaceDE w:val="0"/>
        <w:autoSpaceDN w:val="0"/>
        <w:bidi w:val="0"/>
        <w:adjustRightInd w:val="0"/>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b w:val="0"/>
          <w:bCs/>
          <w:color w:val="auto"/>
          <w:kern w:val="0"/>
          <w:sz w:val="24"/>
          <w:szCs w:val="24"/>
          <w:highlight w:val="none"/>
          <w:lang w:val="en-US" w:eastAsia="zh-CN" w:bidi="ar"/>
        </w:rPr>
      </w:pPr>
      <w:r>
        <w:rPr>
          <w:rFonts w:hint="default" w:ascii="Times New Roman" w:hAnsi="Times New Roman" w:eastAsia="宋体" w:cs="Times New Roman"/>
          <w:b w:val="0"/>
          <w:bCs/>
          <w:color w:val="auto"/>
          <w:kern w:val="0"/>
          <w:sz w:val="24"/>
          <w:szCs w:val="24"/>
          <w:highlight w:val="none"/>
          <w:lang w:val="en-US" w:eastAsia="zh-CN" w:bidi="ar"/>
        </w:rPr>
        <w:t>通过预测模型计算，项目厂界</w:t>
      </w:r>
      <w:r>
        <w:rPr>
          <w:rFonts w:hint="eastAsia" w:ascii="Times New Roman" w:hAnsi="Times New Roman" w:eastAsia="宋体" w:cs="Times New Roman"/>
          <w:b w:val="0"/>
          <w:bCs/>
          <w:color w:val="auto"/>
          <w:kern w:val="0"/>
          <w:sz w:val="24"/>
          <w:szCs w:val="24"/>
          <w:highlight w:val="none"/>
          <w:lang w:val="en-US" w:eastAsia="zh-CN" w:bidi="ar"/>
        </w:rPr>
        <w:t>及敏感点</w:t>
      </w:r>
      <w:r>
        <w:rPr>
          <w:rFonts w:hint="default" w:ascii="Times New Roman" w:hAnsi="Times New Roman" w:eastAsia="宋体" w:cs="Times New Roman"/>
          <w:b w:val="0"/>
          <w:bCs/>
          <w:color w:val="auto"/>
          <w:kern w:val="0"/>
          <w:sz w:val="24"/>
          <w:szCs w:val="24"/>
          <w:highlight w:val="none"/>
          <w:lang w:val="en-US" w:eastAsia="zh-CN" w:bidi="ar"/>
        </w:rPr>
        <w:t>噪声预测结果与达标分析见表</w:t>
      </w:r>
      <w:r>
        <w:rPr>
          <w:rFonts w:hint="eastAsia" w:ascii="Times New Roman" w:cs="Times New Roman"/>
          <w:b w:val="0"/>
          <w:bCs/>
          <w:color w:val="auto"/>
          <w:kern w:val="0"/>
          <w:sz w:val="24"/>
          <w:szCs w:val="24"/>
          <w:highlight w:val="none"/>
          <w:lang w:val="en-US" w:eastAsia="zh-CN" w:bidi="ar"/>
        </w:rPr>
        <w:t>6.2.3-4</w:t>
      </w:r>
      <w:r>
        <w:rPr>
          <w:rFonts w:hint="eastAsia" w:ascii="Times New Roman" w:hAnsi="Times New Roman" w:eastAsia="宋体" w:cs="Times New Roman"/>
          <w:b w:val="0"/>
          <w:bCs/>
          <w:color w:val="auto"/>
          <w:kern w:val="0"/>
          <w:sz w:val="24"/>
          <w:szCs w:val="24"/>
          <w:highlight w:val="none"/>
          <w:lang w:val="en-US" w:eastAsia="zh-CN" w:bidi="ar"/>
        </w:rPr>
        <w:t>、表6.</w:t>
      </w:r>
      <w:r>
        <w:rPr>
          <w:rFonts w:hint="eastAsia" w:ascii="Times New Roman" w:cs="Times New Roman"/>
          <w:b w:val="0"/>
          <w:bCs/>
          <w:color w:val="auto"/>
          <w:kern w:val="0"/>
          <w:sz w:val="24"/>
          <w:szCs w:val="24"/>
          <w:highlight w:val="none"/>
          <w:lang w:val="en-US" w:eastAsia="zh-CN" w:bidi="ar"/>
        </w:rPr>
        <w:t>2.3-5</w:t>
      </w:r>
      <w:r>
        <w:rPr>
          <w:rFonts w:hint="eastAsia" w:ascii="Times New Roman" w:hAnsi="Times New Roman" w:eastAsia="宋体" w:cs="Times New Roman"/>
          <w:b w:val="0"/>
          <w:bCs/>
          <w:color w:val="auto"/>
          <w:kern w:val="0"/>
          <w:sz w:val="24"/>
          <w:szCs w:val="24"/>
          <w:highlight w:val="none"/>
          <w:lang w:val="en-US" w:eastAsia="zh-CN" w:bidi="ar"/>
        </w:rPr>
        <w:t>。</w:t>
      </w: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default"/>
          <w:b/>
          <w:bCs/>
          <w:color w:val="auto"/>
          <w:highlight w:val="none"/>
          <w:lang w:val="en-US" w:eastAsia="zh-CN"/>
        </w:rPr>
      </w:pPr>
      <w:r>
        <w:rPr>
          <w:rFonts w:hint="default"/>
          <w:b/>
          <w:bCs/>
          <w:color w:val="auto"/>
          <w:sz w:val="21"/>
          <w:szCs w:val="21"/>
          <w:highlight w:val="none"/>
          <w:lang w:val="en-US" w:eastAsia="zh-CN"/>
        </w:rPr>
        <w:t>表</w:t>
      </w:r>
      <w:r>
        <w:rPr>
          <w:rFonts w:hint="eastAsia"/>
          <w:b/>
          <w:bCs/>
          <w:color w:val="auto"/>
          <w:sz w:val="21"/>
          <w:szCs w:val="21"/>
          <w:highlight w:val="none"/>
          <w:lang w:val="en-US" w:eastAsia="zh-CN"/>
        </w:rPr>
        <w:t xml:space="preserve">6.2.3-4 </w:t>
      </w:r>
      <w:r>
        <w:rPr>
          <w:rFonts w:hint="default"/>
          <w:b/>
          <w:bCs/>
          <w:color w:val="auto"/>
          <w:sz w:val="21"/>
          <w:szCs w:val="21"/>
          <w:highlight w:val="none"/>
          <w:lang w:val="en-US" w:eastAsia="zh-CN"/>
        </w:rPr>
        <w:t xml:space="preserve">  厂界噪声预测结果与达标分析表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803"/>
        <w:gridCol w:w="803"/>
        <w:gridCol w:w="803"/>
        <w:gridCol w:w="993"/>
        <w:gridCol w:w="1416"/>
        <w:gridCol w:w="1417"/>
        <w:gridCol w:w="11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dxa"/>
            <w:vMerge w:val="restart"/>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预测方位</w:t>
            </w:r>
          </w:p>
        </w:tc>
        <w:tc>
          <w:tcPr>
            <w:tcW w:w="2409" w:type="dxa"/>
            <w:gridSpan w:val="3"/>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最大值点</w:t>
            </w:r>
            <w:r>
              <w:rPr>
                <w:rFonts w:hint="default" w:ascii="Times New Roman" w:hAnsi="Times New Roman" w:eastAsia="宋体" w:cs="Times New Roman"/>
                <w:b/>
                <w:bCs/>
                <w:color w:val="auto"/>
                <w:sz w:val="21"/>
                <w:szCs w:val="21"/>
                <w:highlight w:val="none"/>
                <w:lang w:val="en-US" w:eastAsia="zh-CN"/>
              </w:rPr>
              <w:t>空间相对位置/m</w:t>
            </w:r>
          </w:p>
        </w:tc>
        <w:tc>
          <w:tcPr>
            <w:tcW w:w="993" w:type="dxa"/>
            <w:vMerge w:val="restart"/>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时段</w:t>
            </w:r>
          </w:p>
        </w:tc>
        <w:tc>
          <w:tcPr>
            <w:tcW w:w="1417" w:type="dxa"/>
            <w:vMerge w:val="restart"/>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贡献值</w:t>
            </w:r>
            <w:r>
              <w:rPr>
                <w:rFonts w:hint="default" w:ascii="Times New Roman" w:hAnsi="Times New Roman" w:eastAsia="宋体" w:cs="Times New Roman"/>
                <w:b/>
                <w:bCs/>
                <w:color w:val="auto"/>
                <w:sz w:val="21"/>
                <w:szCs w:val="21"/>
                <w:highlight w:val="none"/>
                <w:lang w:val="en-US" w:eastAsia="zh-CN"/>
              </w:rPr>
              <w:t>（dB(A)）</w:t>
            </w:r>
          </w:p>
        </w:tc>
        <w:tc>
          <w:tcPr>
            <w:tcW w:w="1418" w:type="dxa"/>
            <w:vMerge w:val="restart"/>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标准限值（dB(A)）</w:t>
            </w:r>
          </w:p>
        </w:tc>
        <w:tc>
          <w:tcPr>
            <w:tcW w:w="1188" w:type="dxa"/>
            <w:vMerge w:val="restart"/>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dxa"/>
            <w:vMerge w:val="continue"/>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X</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Y</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Z</w:t>
            </w:r>
          </w:p>
        </w:tc>
        <w:tc>
          <w:tcPr>
            <w:tcW w:w="993" w:type="dxa"/>
            <w:vMerge w:val="continue"/>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1417" w:type="dxa"/>
            <w:vMerge w:val="continue"/>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1418" w:type="dxa"/>
            <w:vMerge w:val="continue"/>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1188" w:type="dxa"/>
            <w:vMerge w:val="continue"/>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1" w:type="dxa"/>
            <w:vMerge w:val="restart"/>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东侧</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65.3</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-65.2</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w:t>
            </w:r>
          </w:p>
        </w:tc>
        <w:tc>
          <w:tcPr>
            <w:tcW w:w="99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昼间</w:t>
            </w:r>
          </w:p>
        </w:tc>
        <w:tc>
          <w:tcPr>
            <w:tcW w:w="1417"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46.8</w:t>
            </w:r>
          </w:p>
        </w:tc>
        <w:tc>
          <w:tcPr>
            <w:tcW w:w="1418"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60</w:t>
            </w:r>
          </w:p>
        </w:tc>
        <w:tc>
          <w:tcPr>
            <w:tcW w:w="1188"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1" w:type="dxa"/>
            <w:vMerge w:val="continue"/>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65.3</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-65.2</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w:t>
            </w:r>
          </w:p>
        </w:tc>
        <w:tc>
          <w:tcPr>
            <w:tcW w:w="99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夜间</w:t>
            </w:r>
          </w:p>
        </w:tc>
        <w:tc>
          <w:tcPr>
            <w:tcW w:w="1417"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46.8</w:t>
            </w:r>
          </w:p>
        </w:tc>
        <w:tc>
          <w:tcPr>
            <w:tcW w:w="1418"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50</w:t>
            </w:r>
          </w:p>
        </w:tc>
        <w:tc>
          <w:tcPr>
            <w:tcW w:w="1188"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1" w:type="dxa"/>
            <w:vMerge w:val="restart"/>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南侧</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44.3</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-99</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w:t>
            </w:r>
          </w:p>
        </w:tc>
        <w:tc>
          <w:tcPr>
            <w:tcW w:w="99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昼间</w:t>
            </w:r>
          </w:p>
        </w:tc>
        <w:tc>
          <w:tcPr>
            <w:tcW w:w="1417"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43</w:t>
            </w:r>
          </w:p>
        </w:tc>
        <w:tc>
          <w:tcPr>
            <w:tcW w:w="1418"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60</w:t>
            </w:r>
          </w:p>
        </w:tc>
        <w:tc>
          <w:tcPr>
            <w:tcW w:w="1188"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1" w:type="dxa"/>
            <w:vMerge w:val="continue"/>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44.3</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-99</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w:t>
            </w:r>
          </w:p>
        </w:tc>
        <w:tc>
          <w:tcPr>
            <w:tcW w:w="99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夜间</w:t>
            </w:r>
          </w:p>
        </w:tc>
        <w:tc>
          <w:tcPr>
            <w:tcW w:w="1417"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43</w:t>
            </w:r>
          </w:p>
        </w:tc>
        <w:tc>
          <w:tcPr>
            <w:tcW w:w="1418"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50</w:t>
            </w:r>
          </w:p>
        </w:tc>
        <w:tc>
          <w:tcPr>
            <w:tcW w:w="1188"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1" w:type="dxa"/>
            <w:vMerge w:val="restart"/>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西侧</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-65.5</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-68.9</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w:t>
            </w:r>
          </w:p>
        </w:tc>
        <w:tc>
          <w:tcPr>
            <w:tcW w:w="99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昼间</w:t>
            </w:r>
          </w:p>
        </w:tc>
        <w:tc>
          <w:tcPr>
            <w:tcW w:w="1417"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35</w:t>
            </w:r>
          </w:p>
        </w:tc>
        <w:tc>
          <w:tcPr>
            <w:tcW w:w="1418"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60</w:t>
            </w:r>
          </w:p>
        </w:tc>
        <w:tc>
          <w:tcPr>
            <w:tcW w:w="1188"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1" w:type="dxa"/>
            <w:vMerge w:val="continue"/>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-65.5</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-68.9</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w:t>
            </w:r>
          </w:p>
        </w:tc>
        <w:tc>
          <w:tcPr>
            <w:tcW w:w="99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夜间</w:t>
            </w:r>
          </w:p>
        </w:tc>
        <w:tc>
          <w:tcPr>
            <w:tcW w:w="1417"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35</w:t>
            </w:r>
          </w:p>
        </w:tc>
        <w:tc>
          <w:tcPr>
            <w:tcW w:w="1418"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50</w:t>
            </w:r>
          </w:p>
        </w:tc>
        <w:tc>
          <w:tcPr>
            <w:tcW w:w="1188"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1" w:type="dxa"/>
            <w:vMerge w:val="restart"/>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北侧</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20.1</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96.9</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w:t>
            </w:r>
          </w:p>
        </w:tc>
        <w:tc>
          <w:tcPr>
            <w:tcW w:w="99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昼间</w:t>
            </w:r>
          </w:p>
        </w:tc>
        <w:tc>
          <w:tcPr>
            <w:tcW w:w="1417"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25.1</w:t>
            </w:r>
          </w:p>
        </w:tc>
        <w:tc>
          <w:tcPr>
            <w:tcW w:w="1418"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60</w:t>
            </w:r>
          </w:p>
        </w:tc>
        <w:tc>
          <w:tcPr>
            <w:tcW w:w="1188"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101" w:type="dxa"/>
            <w:vMerge w:val="continue"/>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20.1</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96.9</w:t>
            </w:r>
          </w:p>
        </w:tc>
        <w:tc>
          <w:tcPr>
            <w:tcW w:w="80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w:t>
            </w:r>
          </w:p>
        </w:tc>
        <w:tc>
          <w:tcPr>
            <w:tcW w:w="993"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夜间</w:t>
            </w:r>
          </w:p>
        </w:tc>
        <w:tc>
          <w:tcPr>
            <w:tcW w:w="1417"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25.1</w:t>
            </w:r>
          </w:p>
        </w:tc>
        <w:tc>
          <w:tcPr>
            <w:tcW w:w="1418"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50</w:t>
            </w:r>
          </w:p>
        </w:tc>
        <w:tc>
          <w:tcPr>
            <w:tcW w:w="1188" w:type="dxa"/>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达标</w:t>
            </w:r>
          </w:p>
        </w:tc>
      </w:tr>
    </w:tbl>
    <w:p>
      <w:pPr>
        <w:pStyle w:val="40"/>
        <w:keepNext w:val="0"/>
        <w:keepLines w:val="0"/>
        <w:pageBreakBefore w:val="0"/>
        <w:widowControl w:val="0"/>
        <w:numPr>
          <w:ilvl w:val="0"/>
          <w:numId w:val="0"/>
        </w:numPr>
        <w:suppressLineNumbers w:val="0"/>
        <w:tabs>
          <w:tab w:val="left" w:pos="312"/>
          <w:tab w:val="clear" w:pos="0"/>
          <w:tab w:val="clear" w:pos="2760"/>
          <w:tab w:val="clear" w:pos="7012"/>
        </w:tabs>
        <w:kinsoku/>
        <w:wordWrap/>
        <w:overflowPunct/>
        <w:topLinePunct w:val="0"/>
        <w:autoSpaceDE w:val="0"/>
        <w:autoSpaceDN w:val="0"/>
        <w:bidi w:val="0"/>
        <w:adjustRightInd/>
        <w:snapToGrid/>
        <w:spacing w:before="0" w:beforeAutospacing="0" w:after="0" w:afterAutospacing="0" w:line="360" w:lineRule="auto"/>
        <w:ind w:right="0" w:rightChars="0" w:firstLine="420" w:firstLineChars="200"/>
        <w:jc w:val="left"/>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注：表中坐标以厂界中心（</w:t>
      </w:r>
      <w:r>
        <w:rPr>
          <w:rFonts w:hint="eastAsia" w:cs="Times New Roman"/>
          <w:color w:val="auto"/>
          <w:sz w:val="24"/>
          <w:szCs w:val="24"/>
          <w:lang w:val="en-US" w:eastAsia="zh-CN"/>
        </w:rPr>
        <w:t>**</w:t>
      </w:r>
      <w:r>
        <w:rPr>
          <w:rFonts w:hint="eastAsia" w:ascii="Times New Roman" w:hAnsi="Times New Roman" w:eastAsia="宋体" w:cs="Times New Roman"/>
          <w:b w:val="0"/>
          <w:bCs/>
          <w:color w:val="auto"/>
          <w:sz w:val="21"/>
          <w:szCs w:val="21"/>
          <w:highlight w:val="none"/>
          <w:lang w:val="en-US" w:eastAsia="zh-CN"/>
        </w:rPr>
        <w:t>）为坐标原点，正东向为X轴正方向，正北向为Y轴正方向。</w:t>
      </w: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ascii="Times New Roman" w:hAnsi="Times New Roman" w:eastAsia="宋体" w:cs="Times New Roman"/>
          <w:b/>
          <w:bCs/>
          <w:color w:val="auto"/>
          <w:sz w:val="21"/>
          <w:szCs w:val="21"/>
          <w:highlight w:val="none"/>
          <w:lang w:val="en-US" w:eastAsia="zh-CN"/>
        </w:rPr>
        <w:t>6.</w:t>
      </w:r>
      <w:r>
        <w:rPr>
          <w:rFonts w:hint="eastAsia" w:cs="Times New Roman"/>
          <w:b/>
          <w:bCs/>
          <w:color w:val="auto"/>
          <w:sz w:val="21"/>
          <w:szCs w:val="21"/>
          <w:highlight w:val="none"/>
          <w:lang w:val="en-US" w:eastAsia="zh-CN"/>
        </w:rPr>
        <w:t>2.3-5</w:t>
      </w:r>
      <w:r>
        <w:rPr>
          <w:rFonts w:hint="default" w:ascii="Times New Roman" w:hAnsi="Times New Roman" w:eastAsia="宋体" w:cs="Times New Roman"/>
          <w:b/>
          <w:bCs/>
          <w:color w:val="auto"/>
          <w:sz w:val="21"/>
          <w:szCs w:val="21"/>
          <w:highlight w:val="none"/>
          <w:lang w:val="en-US" w:eastAsia="zh-CN"/>
        </w:rPr>
        <w:t xml:space="preserve">  </w:t>
      </w:r>
      <w:r>
        <w:rPr>
          <w:rFonts w:hint="eastAsia" w:ascii="Times New Roman" w:hAnsi="Times New Roman" w:eastAsia="宋体" w:cs="Times New Roman"/>
          <w:b/>
          <w:bCs/>
          <w:color w:val="auto"/>
          <w:sz w:val="21"/>
          <w:szCs w:val="21"/>
          <w:highlight w:val="none"/>
          <w:lang w:val="en-US" w:eastAsia="zh-CN"/>
        </w:rPr>
        <w:t xml:space="preserve"> 项目</w:t>
      </w:r>
      <w:r>
        <w:rPr>
          <w:rFonts w:hint="default" w:ascii="Times New Roman" w:hAnsi="Times New Roman" w:eastAsia="宋体" w:cs="Times New Roman"/>
          <w:b/>
          <w:bCs/>
          <w:color w:val="auto"/>
          <w:sz w:val="21"/>
          <w:szCs w:val="21"/>
          <w:highlight w:val="none"/>
          <w:lang w:val="en-US" w:eastAsia="zh-CN"/>
        </w:rPr>
        <w:t>噪声</w:t>
      </w:r>
      <w:r>
        <w:rPr>
          <w:rFonts w:hint="eastAsia" w:ascii="Times New Roman" w:hAnsi="Times New Roman" w:eastAsia="宋体" w:cs="Times New Roman"/>
          <w:b/>
          <w:bCs/>
          <w:color w:val="auto"/>
          <w:sz w:val="21"/>
          <w:szCs w:val="21"/>
          <w:highlight w:val="none"/>
          <w:lang w:val="en-US" w:eastAsia="zh-CN"/>
        </w:rPr>
        <w:t>敏感点</w:t>
      </w:r>
      <w:r>
        <w:rPr>
          <w:rFonts w:hint="default" w:ascii="Times New Roman" w:hAnsi="Times New Roman" w:eastAsia="宋体" w:cs="Times New Roman"/>
          <w:b/>
          <w:bCs/>
          <w:color w:val="auto"/>
          <w:sz w:val="21"/>
          <w:szCs w:val="21"/>
          <w:highlight w:val="none"/>
          <w:lang w:val="en-US" w:eastAsia="zh-CN"/>
        </w:rPr>
        <w:t>预测结果与达标分析表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7"/>
        <w:gridCol w:w="833"/>
        <w:gridCol w:w="572"/>
        <w:gridCol w:w="572"/>
        <w:gridCol w:w="572"/>
        <w:gridCol w:w="572"/>
        <w:gridCol w:w="542"/>
        <w:gridCol w:w="542"/>
        <w:gridCol w:w="685"/>
        <w:gridCol w:w="684"/>
        <w:gridCol w:w="685"/>
        <w:gridCol w:w="684"/>
        <w:gridCol w:w="546"/>
        <w:gridCol w:w="5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序号</w:t>
            </w:r>
          </w:p>
        </w:tc>
        <w:tc>
          <w:tcPr>
            <w:tcW w:w="0" w:type="auto"/>
            <w:vMerge w:val="restart"/>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声环境保护目标名称</w:t>
            </w:r>
          </w:p>
        </w:tc>
        <w:tc>
          <w:tcPr>
            <w:tcW w:w="0" w:type="auto"/>
            <w:gridSpan w:val="2"/>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噪声背景值/dB(A)</w:t>
            </w:r>
          </w:p>
        </w:tc>
        <w:tc>
          <w:tcPr>
            <w:tcW w:w="0" w:type="auto"/>
            <w:gridSpan w:val="2"/>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噪声现状值/dB(A)</w:t>
            </w:r>
          </w:p>
        </w:tc>
        <w:tc>
          <w:tcPr>
            <w:tcW w:w="0" w:type="auto"/>
            <w:gridSpan w:val="2"/>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噪声标准/dB(A)</w:t>
            </w:r>
          </w:p>
        </w:tc>
        <w:tc>
          <w:tcPr>
            <w:tcW w:w="0" w:type="auto"/>
            <w:gridSpan w:val="2"/>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噪声贡献值/dB(A)</w:t>
            </w:r>
          </w:p>
        </w:tc>
        <w:tc>
          <w:tcPr>
            <w:tcW w:w="0" w:type="auto"/>
            <w:gridSpan w:val="2"/>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噪声预测值/dB(A)</w:t>
            </w:r>
          </w:p>
        </w:tc>
        <w:tc>
          <w:tcPr>
            <w:tcW w:w="0" w:type="auto"/>
            <w:gridSpan w:val="2"/>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超标和达标情况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p>
        </w:tc>
        <w:tc>
          <w:tcPr>
            <w:tcW w:w="0" w:type="auto"/>
            <w:vMerge w:val="continue"/>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昼间</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夜间</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昼间</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夜间</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昼间</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夜间</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昼间</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夜间</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昼间</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夜间</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昼间</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p>
        </w:tc>
        <w:tc>
          <w:tcPr>
            <w:tcW w:w="834"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48</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41</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48</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41</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60</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50</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22.0</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22.0</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48.0</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41.1</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达标</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w:t>
            </w:r>
          </w:p>
        </w:tc>
        <w:tc>
          <w:tcPr>
            <w:tcW w:w="834"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48</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42</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48</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42</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60</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50</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19.5</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19.5</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48.0</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42.0</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达标</w:t>
            </w:r>
          </w:p>
        </w:tc>
        <w:tc>
          <w:tcPr>
            <w:tcW w:w="0" w:type="auto"/>
            <w:shd w:val="clear" w:color="auto" w:fill="FFFFFF"/>
            <w:vAlign w:val="center"/>
          </w:tcPr>
          <w:p>
            <w:pPr>
              <w:pStyle w:val="40"/>
              <w:keepNext w:val="0"/>
              <w:keepLines w:val="0"/>
              <w:pageBreakBefore w:val="0"/>
              <w:widowControl w:val="0"/>
              <w:tabs>
                <w:tab w:val="clear" w:pos="0"/>
                <w:tab w:val="clear" w:pos="7012"/>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达标</w:t>
            </w:r>
          </w:p>
        </w:tc>
      </w:tr>
    </w:tbl>
    <w:p>
      <w:pPr>
        <w:pStyle w:val="40"/>
        <w:keepNext w:val="0"/>
        <w:keepLines w:val="0"/>
        <w:pageBreakBefore w:val="0"/>
        <w:widowControl w:val="0"/>
        <w:numPr>
          <w:ilvl w:val="0"/>
          <w:numId w:val="0"/>
        </w:numPr>
        <w:suppressLineNumbers w:val="0"/>
        <w:tabs>
          <w:tab w:val="left" w:pos="312"/>
          <w:tab w:val="clear" w:pos="0"/>
          <w:tab w:val="clear" w:pos="2760"/>
          <w:tab w:val="clear" w:pos="7012"/>
        </w:tabs>
        <w:kinsoku/>
        <w:wordWrap/>
        <w:overflowPunct/>
        <w:topLinePunct w:val="0"/>
        <w:autoSpaceDE w:val="0"/>
        <w:autoSpaceDN w:val="0"/>
        <w:bidi w:val="0"/>
        <w:adjustRightInd w:val="0"/>
        <w:snapToGrid w:val="0"/>
        <w:spacing w:beforeAutospacing="0" w:afterAutospacing="0" w:line="360" w:lineRule="auto"/>
        <w:ind w:right="0" w:rightChars="0" w:firstLine="480" w:firstLineChars="200"/>
        <w:jc w:val="left"/>
        <w:textAlignment w:val="auto"/>
        <w:rPr>
          <w:rFonts w:hint="default" w:ascii="Times New Roman" w:hAnsi="Times New Roman" w:eastAsia="宋体" w:cs="Times New Roman"/>
          <w:b w:val="0"/>
          <w:bCs w:val="0"/>
          <w:color w:val="auto"/>
          <w:kern w:val="0"/>
          <w:sz w:val="24"/>
          <w:szCs w:val="24"/>
          <w:lang w:val="en-US" w:eastAsia="zh-CN" w:bidi="ar"/>
        </w:rPr>
      </w:pPr>
      <w:r>
        <w:rPr>
          <w:rFonts w:hint="eastAsia" w:ascii="Times New Roman" w:hAnsi="Times New Roman" w:eastAsia="宋体" w:cs="Times New Roman"/>
          <w:b w:val="0"/>
          <w:bCs w:val="0"/>
          <w:color w:val="auto"/>
          <w:kern w:val="0"/>
          <w:sz w:val="24"/>
          <w:szCs w:val="24"/>
          <w:lang w:val="en-US" w:eastAsia="zh-CN" w:bidi="ar"/>
        </w:rPr>
        <w:t>由上表可知，正常工况下，项目厂界及敏感点噪声均满足《工业企业厂界环境噪声排放标准》</w:t>
      </w:r>
      <w:bookmarkStart w:id="45" w:name="PO_3"/>
      <w:r>
        <w:rPr>
          <w:rFonts w:hint="eastAsia" w:ascii="Times New Roman" w:hAnsi="Times New Roman" w:eastAsia="宋体" w:cs="Times New Roman"/>
          <w:b w:val="0"/>
          <w:bCs w:val="0"/>
          <w:color w:val="auto"/>
          <w:kern w:val="0"/>
          <w:sz w:val="24"/>
          <w:szCs w:val="24"/>
          <w:lang w:val="en-US" w:eastAsia="zh-CN" w:bidi="ar"/>
        </w:rPr>
        <w:t>（GB12348-2008）</w:t>
      </w:r>
      <w:bookmarkEnd w:id="45"/>
      <w:r>
        <w:rPr>
          <w:rFonts w:hint="eastAsia" w:ascii="Times New Roman" w:hAnsi="Times New Roman" w:eastAsia="宋体" w:cs="Times New Roman"/>
          <w:b w:val="0"/>
          <w:bCs w:val="0"/>
          <w:color w:val="auto"/>
          <w:kern w:val="0"/>
          <w:sz w:val="24"/>
          <w:szCs w:val="24"/>
          <w:lang w:val="en-US" w:eastAsia="zh-CN" w:bidi="ar"/>
        </w:rPr>
        <w:t>2类标准。</w:t>
      </w:r>
    </w:p>
    <w:p>
      <w:pPr>
        <w:pStyle w:val="40"/>
        <w:keepNext w:val="0"/>
        <w:keepLines w:val="0"/>
        <w:pageBreakBefore w:val="0"/>
        <w:widowControl w:val="0"/>
        <w:numPr>
          <w:ilvl w:val="0"/>
          <w:numId w:val="0"/>
        </w:numPr>
        <w:suppressLineNumbers w:val="0"/>
        <w:tabs>
          <w:tab w:val="left" w:pos="312"/>
          <w:tab w:val="clear" w:pos="0"/>
          <w:tab w:val="clear" w:pos="2760"/>
          <w:tab w:val="clear" w:pos="7012"/>
        </w:tabs>
        <w:kinsoku/>
        <w:wordWrap/>
        <w:overflowPunct/>
        <w:topLinePunct w:val="0"/>
        <w:autoSpaceDE w:val="0"/>
        <w:autoSpaceDN w:val="0"/>
        <w:bidi w:val="0"/>
        <w:adjustRightInd w:val="0"/>
        <w:snapToGrid w:val="0"/>
        <w:spacing w:beforeAutospacing="0" w:afterAutospacing="0" w:line="360" w:lineRule="auto"/>
        <w:ind w:right="0" w:rightChars="0" w:firstLine="480" w:firstLineChars="200"/>
        <w:jc w:val="left"/>
        <w:textAlignment w:val="auto"/>
        <w:rPr>
          <w:rFonts w:hint="eastAsia" w:ascii="Times New Roman" w:hAnsi="Times New Roman" w:eastAsia="宋体" w:cs="Times New Roman"/>
          <w:b w:val="0"/>
          <w:bCs/>
          <w:color w:val="auto"/>
          <w:kern w:val="0"/>
          <w:sz w:val="24"/>
          <w:szCs w:val="24"/>
          <w:highlight w:val="none"/>
          <w:lang w:val="en-US" w:eastAsia="zh-CN" w:bidi="ar"/>
        </w:rPr>
      </w:pPr>
      <w:r>
        <w:rPr>
          <w:rFonts w:hint="eastAsia" w:ascii="Times New Roman" w:hAnsi="Times New Roman" w:eastAsia="宋体" w:cs="Times New Roman"/>
          <w:b w:val="0"/>
          <w:bCs/>
          <w:color w:val="auto"/>
          <w:kern w:val="0"/>
          <w:sz w:val="24"/>
          <w:szCs w:val="24"/>
          <w:highlight w:val="none"/>
          <w:lang w:val="en-US" w:eastAsia="zh-CN" w:bidi="ar"/>
        </w:rPr>
        <w:t>综上，本项目噪声</w:t>
      </w:r>
      <w:r>
        <w:rPr>
          <w:rFonts w:hint="default" w:ascii="Times New Roman" w:hAnsi="Times New Roman" w:eastAsia="宋体" w:cs="Times New Roman"/>
          <w:b w:val="0"/>
          <w:bCs/>
          <w:color w:val="auto"/>
          <w:kern w:val="0"/>
          <w:sz w:val="24"/>
          <w:szCs w:val="24"/>
          <w:highlight w:val="none"/>
          <w:lang w:val="en-US" w:eastAsia="zh-CN" w:bidi="ar"/>
        </w:rPr>
        <w:t>达标排放，</w:t>
      </w:r>
      <w:r>
        <w:rPr>
          <w:rFonts w:hint="eastAsia" w:ascii="Times New Roman" w:hAnsi="Times New Roman" w:eastAsia="宋体" w:cs="Times New Roman"/>
          <w:b w:val="0"/>
          <w:bCs/>
          <w:color w:val="auto"/>
          <w:kern w:val="0"/>
          <w:sz w:val="24"/>
          <w:szCs w:val="24"/>
          <w:highlight w:val="none"/>
          <w:lang w:val="en-US" w:eastAsia="zh-CN" w:bidi="ar"/>
        </w:rPr>
        <w:t>对周边环境影响较小。</w:t>
      </w:r>
    </w:p>
    <w:p>
      <w:pPr>
        <w:pStyle w:val="5"/>
        <w:bidi w:val="0"/>
        <w:ind w:left="0" w:leftChars="0" w:firstLine="0" w:firstLineChars="0"/>
        <w:rPr>
          <w:rFonts w:hint="default"/>
          <w:color w:val="auto"/>
          <w:lang w:val="en-US" w:eastAsia="zh-CN"/>
        </w:rPr>
      </w:pPr>
      <w:r>
        <w:rPr>
          <w:rFonts w:hint="eastAsia"/>
          <w:color w:val="auto"/>
          <w:lang w:val="en-US" w:eastAsia="zh-CN"/>
        </w:rPr>
        <w:t>6.2.3.6声</w:t>
      </w:r>
      <w:r>
        <w:rPr>
          <w:rFonts w:hint="default"/>
          <w:color w:val="auto"/>
          <w:lang w:val="en-US" w:eastAsia="zh-CN"/>
        </w:rPr>
        <w:t>环境影响评价自查表</w:t>
      </w:r>
    </w:p>
    <w:p>
      <w:pPr>
        <w:pStyle w:val="13"/>
        <w:keepNext w:val="0"/>
        <w:keepLines w:val="0"/>
        <w:pageBreakBefore w:val="0"/>
        <w:widowControl w:val="0"/>
        <w:kinsoku/>
        <w:wordWrap/>
        <w:overflowPunct/>
        <w:topLinePunct w:val="0"/>
        <w:bidi w:val="0"/>
        <w:adjustRightInd w:val="0"/>
        <w:snapToGrid w:val="0"/>
        <w:spacing w:before="0" w:beforeLines="0" w:after="0" w:afterLines="0"/>
        <w:ind w:firstLine="480" w:firstLineChars="200"/>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项目噪声</w:t>
      </w:r>
      <w:r>
        <w:rPr>
          <w:rFonts w:hint="eastAsia" w:ascii="Times New Roman" w:hAnsi="Times New Roman" w:cs="Times New Roman"/>
          <w:color w:val="auto"/>
          <w:highlight w:val="none"/>
          <w:lang w:val="en-US" w:eastAsia="zh-CN"/>
        </w:rPr>
        <w:t>自查表</w:t>
      </w:r>
      <w:r>
        <w:rPr>
          <w:rFonts w:hint="default" w:ascii="Times New Roman" w:hAnsi="Times New Roman" w:cs="Times New Roman"/>
          <w:color w:val="auto"/>
          <w:highlight w:val="none"/>
        </w:rPr>
        <w:t>见表</w:t>
      </w:r>
      <w:r>
        <w:rPr>
          <w:rFonts w:hint="eastAsia" w:ascii="Times New Roman" w:hAnsi="Times New Roman" w:cs="Times New Roman"/>
          <w:color w:val="auto"/>
          <w:highlight w:val="none"/>
          <w:lang w:val="en-US" w:eastAsia="zh-CN"/>
        </w:rPr>
        <w:t>6.</w:t>
      </w:r>
      <w:r>
        <w:rPr>
          <w:rFonts w:hint="eastAsia" w:cs="Times New Roman"/>
          <w:color w:val="auto"/>
          <w:highlight w:val="none"/>
          <w:lang w:val="en-US" w:eastAsia="zh-CN"/>
        </w:rPr>
        <w:t>2.3-6</w:t>
      </w:r>
      <w:r>
        <w:rPr>
          <w:rFonts w:hint="default" w:ascii="Times New Roman" w:hAnsi="Times New Roman" w:cs="Times New Roman"/>
          <w:color w:val="auto"/>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1"/>
          <w:szCs w:val="21"/>
          <w:lang w:val="en-US" w:eastAsia="zh-CN" w:bidi="ar"/>
        </w:rPr>
        <w:t>表</w:t>
      </w:r>
      <w:r>
        <w:rPr>
          <w:rFonts w:hint="eastAsia" w:ascii="Times New Roman" w:hAnsi="Times New Roman" w:eastAsia="宋体" w:cs="Times New Roman"/>
          <w:b/>
          <w:bCs/>
          <w:color w:val="auto"/>
          <w:kern w:val="0"/>
          <w:sz w:val="21"/>
          <w:szCs w:val="21"/>
          <w:lang w:val="en-US" w:eastAsia="zh-CN" w:bidi="ar"/>
        </w:rPr>
        <w:t>6.</w:t>
      </w:r>
      <w:r>
        <w:rPr>
          <w:rFonts w:hint="eastAsia" w:cs="Times New Roman"/>
          <w:b/>
          <w:bCs/>
          <w:color w:val="auto"/>
          <w:kern w:val="0"/>
          <w:sz w:val="21"/>
          <w:szCs w:val="21"/>
          <w:lang w:val="en-US" w:eastAsia="zh-CN" w:bidi="ar"/>
        </w:rPr>
        <w:t>2.3-6</w:t>
      </w:r>
      <w:r>
        <w:rPr>
          <w:rFonts w:hint="default" w:ascii="Times New Roman" w:hAnsi="Times New Roman" w:eastAsia="宋体" w:cs="Times New Roman"/>
          <w:b/>
          <w:bCs/>
          <w:color w:val="auto"/>
          <w:kern w:val="0"/>
          <w:sz w:val="21"/>
          <w:szCs w:val="21"/>
          <w:lang w:val="en-US" w:eastAsia="zh-CN" w:bidi="ar"/>
        </w:rPr>
        <w:t xml:space="preserve">   </w:t>
      </w:r>
      <w:r>
        <w:rPr>
          <w:rFonts w:hint="eastAsia" w:ascii="Times New Roman" w:hAnsi="Times New Roman" w:eastAsia="宋体" w:cs="Times New Roman"/>
          <w:b/>
          <w:bCs/>
          <w:color w:val="auto"/>
          <w:kern w:val="0"/>
          <w:sz w:val="21"/>
          <w:szCs w:val="21"/>
          <w:lang w:val="en-US" w:eastAsia="zh-CN" w:bidi="ar"/>
        </w:rPr>
        <w:t>项目声环境影响自查表</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1145"/>
        <w:gridCol w:w="1558"/>
        <w:gridCol w:w="989"/>
        <w:gridCol w:w="909"/>
        <w:gridCol w:w="804"/>
        <w:gridCol w:w="977"/>
        <w:gridCol w:w="1481"/>
        <w:gridCol w:w="4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623" w:type="pct"/>
            <w:gridSpan w:val="2"/>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工作内容</w:t>
            </w:r>
          </w:p>
        </w:tc>
        <w:tc>
          <w:tcPr>
            <w:tcW w:w="3376" w:type="pct"/>
            <w:gridSpan w:val="6"/>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687" w:type="pct"/>
            <w:vMerge w:val="restar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评价等级</w:t>
            </w:r>
          </w:p>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与范围</w:t>
            </w:r>
          </w:p>
        </w:tc>
        <w:tc>
          <w:tcPr>
            <w:tcW w:w="935"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评价等级</w:t>
            </w:r>
          </w:p>
        </w:tc>
        <w:tc>
          <w:tcPr>
            <w:tcW w:w="3376" w:type="pct"/>
            <w:gridSpan w:val="6"/>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一级□ 二级□ 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687" w:type="pct"/>
            <w:vMerge w:val="continue"/>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935"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评价范围</w:t>
            </w:r>
          </w:p>
        </w:tc>
        <w:tc>
          <w:tcPr>
            <w:tcW w:w="3376" w:type="pct"/>
            <w:gridSpan w:val="6"/>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 m</w:t>
            </w:r>
            <w:r>
              <w:rPr>
                <w:rFonts w:hint="default" w:ascii="Times New Roman" w:hAnsi="Times New Roman" w:eastAsia="宋体" w:cs="Times New Roman"/>
                <w:color w:val="auto"/>
                <w:sz w:val="21"/>
                <w:szCs w:val="21"/>
              </w:rPr>
              <w:sym w:font="Wingdings 2" w:char="0052"/>
            </w:r>
            <w:r>
              <w:rPr>
                <w:rFonts w:hint="default" w:ascii="Times New Roman" w:hAnsi="Times New Roman" w:eastAsia="宋体" w:cs="Times New Roman"/>
                <w:color w:val="auto"/>
                <w:sz w:val="21"/>
                <w:szCs w:val="21"/>
              </w:rPr>
              <w:t xml:space="preserve">  大于200 m</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 xml:space="preserve">   小于200 m</w:t>
            </w:r>
            <w:r>
              <w:rPr>
                <w:rFonts w:hint="default" w:ascii="Times New Roman" w:hAnsi="Times New Roman" w:eastAsia="宋体" w:cs="Times New Roman"/>
                <w:color w:val="auto"/>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687"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评价因子</w:t>
            </w:r>
          </w:p>
        </w:tc>
        <w:tc>
          <w:tcPr>
            <w:tcW w:w="935"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评价因子</w:t>
            </w:r>
          </w:p>
        </w:tc>
        <w:tc>
          <w:tcPr>
            <w:tcW w:w="3376" w:type="pct"/>
            <w:gridSpan w:val="6"/>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等效连续A声级√ 最大A声级□ 计权等效连续感觉噪声级□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687"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评价标准</w:t>
            </w:r>
          </w:p>
        </w:tc>
        <w:tc>
          <w:tcPr>
            <w:tcW w:w="935"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评价标准</w:t>
            </w:r>
          </w:p>
        </w:tc>
        <w:tc>
          <w:tcPr>
            <w:tcW w:w="3376" w:type="pct"/>
            <w:gridSpan w:val="6"/>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国家标准√ 地方标准□ 国外标准□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687" w:type="pct"/>
            <w:vMerge w:val="restar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现状评价</w:t>
            </w:r>
          </w:p>
        </w:tc>
        <w:tc>
          <w:tcPr>
            <w:tcW w:w="935"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环境功能区</w:t>
            </w:r>
          </w:p>
        </w:tc>
        <w:tc>
          <w:tcPr>
            <w:tcW w:w="593"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0类区□</w:t>
            </w:r>
          </w:p>
        </w:tc>
        <w:tc>
          <w:tcPr>
            <w:tcW w:w="545"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1类区</w:t>
            </w:r>
            <w:r>
              <w:rPr>
                <w:rFonts w:hint="default" w:ascii="Times New Roman" w:hAnsi="Times New Roman" w:eastAsia="宋体" w:cs="Times New Roman"/>
                <w:color w:val="auto"/>
                <w:sz w:val="21"/>
                <w:szCs w:val="21"/>
                <w:lang w:eastAsia="zh-CN"/>
              </w:rPr>
              <w:t>□</w:t>
            </w:r>
          </w:p>
        </w:tc>
        <w:tc>
          <w:tcPr>
            <w:tcW w:w="482"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2类区</w:t>
            </w:r>
            <w:r>
              <w:rPr>
                <w:rFonts w:hint="eastAsia" w:ascii="Times New Roman" w:hAnsi="Times New Roman" w:eastAsia="宋体" w:cs="Times New Roman"/>
                <w:color w:val="auto"/>
                <w:sz w:val="21"/>
                <w:szCs w:val="21"/>
                <w:lang w:eastAsia="zh-CN"/>
              </w:rPr>
              <w:t>☑</w:t>
            </w:r>
          </w:p>
        </w:tc>
        <w:tc>
          <w:tcPr>
            <w:tcW w:w="586"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3类区□</w:t>
            </w:r>
          </w:p>
        </w:tc>
        <w:tc>
          <w:tcPr>
            <w:tcW w:w="543"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4a类区□</w:t>
            </w:r>
          </w:p>
        </w:tc>
        <w:tc>
          <w:tcPr>
            <w:tcW w:w="624"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4b类区□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687" w:type="pct"/>
            <w:vMerge w:val="continue"/>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935"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评价年度</w:t>
            </w:r>
          </w:p>
        </w:tc>
        <w:tc>
          <w:tcPr>
            <w:tcW w:w="593"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初期√</w:t>
            </w:r>
          </w:p>
        </w:tc>
        <w:tc>
          <w:tcPr>
            <w:tcW w:w="545"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近期□</w:t>
            </w:r>
          </w:p>
        </w:tc>
        <w:tc>
          <w:tcPr>
            <w:tcW w:w="482"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中期□</w:t>
            </w:r>
          </w:p>
        </w:tc>
        <w:tc>
          <w:tcPr>
            <w:tcW w:w="1753" w:type="pct"/>
            <w:gridSpan w:val="3"/>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687" w:type="pct"/>
            <w:vMerge w:val="continue"/>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935"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现状调查方法</w:t>
            </w:r>
          </w:p>
        </w:tc>
        <w:tc>
          <w:tcPr>
            <w:tcW w:w="3376" w:type="pct"/>
            <w:gridSpan w:val="6"/>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现场实测法√ 现场实测加模型计算法□ 收集资料□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687" w:type="pct"/>
            <w:vMerge w:val="continue"/>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935"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现状评价</w:t>
            </w:r>
          </w:p>
        </w:tc>
        <w:tc>
          <w:tcPr>
            <w:tcW w:w="1139" w:type="pct"/>
            <w:gridSpan w:val="2"/>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达标百分比</w:t>
            </w:r>
          </w:p>
        </w:tc>
        <w:tc>
          <w:tcPr>
            <w:tcW w:w="2236" w:type="pct"/>
            <w:gridSpan w:val="4"/>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687"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噪声源调查</w:t>
            </w:r>
          </w:p>
        </w:tc>
        <w:tc>
          <w:tcPr>
            <w:tcW w:w="935"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噪声源调查法</w:t>
            </w:r>
          </w:p>
        </w:tc>
        <w:tc>
          <w:tcPr>
            <w:tcW w:w="3376" w:type="pct"/>
            <w:gridSpan w:val="6"/>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现场实测□ 已有资料√ 研究成果□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687" w:type="pct"/>
            <w:vMerge w:val="restar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声环境影</w:t>
            </w:r>
          </w:p>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响预测与</w:t>
            </w:r>
          </w:p>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w:t>
            </w:r>
          </w:p>
        </w:tc>
        <w:tc>
          <w:tcPr>
            <w:tcW w:w="935"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预测模型</w:t>
            </w:r>
          </w:p>
        </w:tc>
        <w:tc>
          <w:tcPr>
            <w:tcW w:w="3376" w:type="pct"/>
            <w:gridSpan w:val="6"/>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导则推荐模型√   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687" w:type="pct"/>
            <w:vMerge w:val="continue"/>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935"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预测范围</w:t>
            </w:r>
          </w:p>
        </w:tc>
        <w:tc>
          <w:tcPr>
            <w:tcW w:w="3376" w:type="pct"/>
            <w:gridSpan w:val="6"/>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 m</w:t>
            </w:r>
            <w:r>
              <w:rPr>
                <w:rFonts w:hint="default" w:ascii="Times New Roman" w:hAnsi="Times New Roman" w:eastAsia="宋体" w:cs="Times New Roman"/>
                <w:color w:val="auto"/>
                <w:sz w:val="21"/>
                <w:szCs w:val="21"/>
              </w:rPr>
              <w:sym w:font="Wingdings 2" w:char="0052"/>
            </w:r>
            <w:r>
              <w:rPr>
                <w:rFonts w:hint="default" w:ascii="Times New Roman" w:hAnsi="Times New Roman" w:eastAsia="宋体" w:cs="Times New Roman"/>
                <w:color w:val="auto"/>
                <w:sz w:val="21"/>
                <w:szCs w:val="21"/>
              </w:rPr>
              <w:t xml:space="preserve">   大于200 m</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 xml:space="preserve">    小于200 m</w:t>
            </w:r>
            <w:r>
              <w:rPr>
                <w:rFonts w:hint="default" w:ascii="Times New Roman" w:hAnsi="Times New Roman" w:eastAsia="宋体" w:cs="Times New Roman"/>
                <w:color w:val="auto"/>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687" w:type="pct"/>
            <w:vMerge w:val="continue"/>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935"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预测因子</w:t>
            </w:r>
          </w:p>
        </w:tc>
        <w:tc>
          <w:tcPr>
            <w:tcW w:w="3376" w:type="pct"/>
            <w:gridSpan w:val="6"/>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等效连续A声级√  最大A声级□  计权等效连续感觉噪声级□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687" w:type="pct"/>
            <w:vMerge w:val="continue"/>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935"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厂界噪声贡献值</w:t>
            </w:r>
          </w:p>
        </w:tc>
        <w:tc>
          <w:tcPr>
            <w:tcW w:w="3376" w:type="pct"/>
            <w:gridSpan w:val="6"/>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达标</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 xml:space="preserve">   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687" w:type="pct"/>
            <w:vMerge w:val="continue"/>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935"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声环境保护目标处噪声值</w:t>
            </w:r>
          </w:p>
        </w:tc>
        <w:tc>
          <w:tcPr>
            <w:tcW w:w="3376" w:type="pct"/>
            <w:gridSpan w:val="6"/>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 xml:space="preserve">   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687" w:type="pct"/>
            <w:vMerge w:val="restar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环境监测</w:t>
            </w:r>
          </w:p>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计划</w:t>
            </w:r>
          </w:p>
        </w:tc>
        <w:tc>
          <w:tcPr>
            <w:tcW w:w="935"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排放监测</w:t>
            </w:r>
          </w:p>
        </w:tc>
        <w:tc>
          <w:tcPr>
            <w:tcW w:w="3376" w:type="pct"/>
            <w:gridSpan w:val="6"/>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厂界监测√ 固定位置监测√ 自动监测□ 手动监测√ 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687" w:type="pct"/>
            <w:vMerge w:val="continue"/>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935"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声环境保护目</w:t>
            </w:r>
          </w:p>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标处噪声监测</w:t>
            </w:r>
          </w:p>
        </w:tc>
        <w:tc>
          <w:tcPr>
            <w:tcW w:w="1139" w:type="pct"/>
            <w:gridSpan w:val="2"/>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监测因子：（等效连续A声级）</w:t>
            </w:r>
          </w:p>
        </w:tc>
        <w:tc>
          <w:tcPr>
            <w:tcW w:w="1069" w:type="pct"/>
            <w:gridSpan w:val="2"/>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监测点位（</w:t>
            </w:r>
            <w:r>
              <w:rPr>
                <w:rFonts w:hint="eastAsia" w:ascii="Times New Roman" w:hAnsi="Times New Roman" w:eastAsia="宋体" w:cs="Times New Roman"/>
                <w:color w:val="auto"/>
                <w:sz w:val="21"/>
                <w:szCs w:val="21"/>
                <w:lang w:val="en-US" w:eastAsia="zh-CN"/>
              </w:rPr>
              <w:t>项目区北侧、南侧</w:t>
            </w:r>
            <w:r>
              <w:rPr>
                <w:rFonts w:hint="default" w:ascii="Times New Roman" w:hAnsi="Times New Roman" w:eastAsia="宋体" w:cs="Times New Roman"/>
                <w:color w:val="auto"/>
                <w:sz w:val="21"/>
                <w:szCs w:val="21"/>
              </w:rPr>
              <w:t>）</w:t>
            </w:r>
          </w:p>
        </w:tc>
        <w:tc>
          <w:tcPr>
            <w:tcW w:w="1167" w:type="pct"/>
            <w:gridSpan w:val="2"/>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687"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评价结论</w:t>
            </w:r>
          </w:p>
        </w:tc>
        <w:tc>
          <w:tcPr>
            <w:tcW w:w="935" w:type="pct"/>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环境影响</w:t>
            </w:r>
          </w:p>
        </w:tc>
        <w:tc>
          <w:tcPr>
            <w:tcW w:w="3376" w:type="pct"/>
            <w:gridSpan w:val="6"/>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可行</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 xml:space="preserve">  不可行□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5000" w:type="pct"/>
            <w:gridSpan w:val="8"/>
            <w:tcBorders>
              <w:tl2br w:val="nil"/>
              <w:tr2bl w:val="nil"/>
            </w:tcBorders>
            <w:noWrap w:val="0"/>
            <w:vAlign w:val="center"/>
          </w:tcPr>
          <w:p>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注：“□”为勾选项，可√；“（）”为内容填写项。</w:t>
            </w:r>
          </w:p>
        </w:tc>
      </w:tr>
    </w:tbl>
    <w:p>
      <w:pPr>
        <w:pStyle w:val="4"/>
        <w:bidi w:val="0"/>
        <w:rPr>
          <w:color w:val="auto"/>
          <w:highlight w:val="none"/>
        </w:rPr>
      </w:pPr>
      <w:r>
        <w:rPr>
          <w:rFonts w:hint="eastAsia"/>
          <w:color w:val="auto"/>
          <w:highlight w:val="none"/>
          <w:lang w:val="en-US" w:eastAsia="zh-CN"/>
        </w:rPr>
        <w:t>6.2.4</w:t>
      </w:r>
      <w:r>
        <w:rPr>
          <w:color w:val="auto"/>
          <w:highlight w:val="none"/>
        </w:rPr>
        <w:t>固废环境影响分析</w:t>
      </w:r>
    </w:p>
    <w:p>
      <w:pPr>
        <w:pStyle w:val="14"/>
        <w:keepNext w:val="0"/>
        <w:keepLines w:val="0"/>
        <w:pageBreakBefore w:val="0"/>
        <w:numPr>
          <w:ilvl w:val="0"/>
          <w:numId w:val="0"/>
        </w:numPr>
        <w:kinsoku/>
        <w:wordWrap/>
        <w:overflowPunct/>
        <w:topLinePunct w:val="0"/>
        <w:autoSpaceDE/>
        <w:autoSpaceDN/>
        <w:bidi w:val="0"/>
        <w:adjustRightInd w:val="0"/>
        <w:snapToGrid w:val="0"/>
        <w:spacing w:after="0" w:afterLines="0"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bookmarkStart w:id="46" w:name="_Toc40116515"/>
      <w:r>
        <w:rPr>
          <w:rFonts w:hint="default" w:ascii="Times New Roman" w:hAnsi="Times New Roman" w:eastAsia="宋体" w:cs="Times New Roman"/>
          <w:color w:val="auto"/>
          <w:sz w:val="24"/>
          <w:szCs w:val="24"/>
          <w:highlight w:val="none"/>
          <w:lang w:val="en-US" w:eastAsia="zh-CN"/>
        </w:rPr>
        <w:t>本项目产生的固体废物主要有一般</w:t>
      </w:r>
      <w:r>
        <w:rPr>
          <w:rFonts w:hint="eastAsia" w:cs="Times New Roman"/>
          <w:color w:val="auto"/>
          <w:sz w:val="24"/>
          <w:szCs w:val="24"/>
          <w:highlight w:val="none"/>
          <w:lang w:val="en-US" w:eastAsia="zh-CN"/>
        </w:rPr>
        <w:t>工业</w:t>
      </w:r>
      <w:r>
        <w:rPr>
          <w:rFonts w:hint="default" w:ascii="Times New Roman" w:hAnsi="Times New Roman" w:eastAsia="宋体" w:cs="Times New Roman"/>
          <w:color w:val="auto"/>
          <w:sz w:val="24"/>
          <w:szCs w:val="24"/>
          <w:highlight w:val="none"/>
          <w:lang w:val="en-US" w:eastAsia="zh-CN"/>
        </w:rPr>
        <w:t>固废</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危险废物</w:t>
      </w:r>
      <w:r>
        <w:rPr>
          <w:rFonts w:hint="eastAsia" w:ascii="Times New Roman" w:hAnsi="Times New Roman" w:eastAsia="宋体" w:cs="Times New Roman"/>
          <w:color w:val="auto"/>
          <w:sz w:val="24"/>
          <w:szCs w:val="24"/>
          <w:highlight w:val="none"/>
          <w:lang w:val="en-US" w:eastAsia="zh-CN"/>
        </w:rPr>
        <w:t>。</w:t>
      </w:r>
    </w:p>
    <w:p>
      <w:pPr>
        <w:pStyle w:val="14"/>
        <w:keepNext w:val="0"/>
        <w:keepLines w:val="0"/>
        <w:pageBreakBefore w:val="0"/>
        <w:numPr>
          <w:ilvl w:val="0"/>
          <w:numId w:val="0"/>
        </w:numPr>
        <w:kinsoku/>
        <w:wordWrap/>
        <w:overflowPunct/>
        <w:topLinePunct w:val="0"/>
        <w:autoSpaceDE/>
        <w:autoSpaceDN/>
        <w:bidi w:val="0"/>
        <w:adjustRightInd w:val="0"/>
        <w:snapToGrid w:val="0"/>
        <w:spacing w:after="0" w:afterLines="0"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本项目运营过程中产生的固体废物主要来自脱硫工序</w:t>
      </w:r>
      <w:r>
        <w:rPr>
          <w:rFonts w:hint="eastAsia" w:ascii="Times New Roman" w:hAnsi="Times New Roman" w:eastAsia="宋体" w:cs="Times New Roman"/>
          <w:color w:val="auto"/>
          <w:sz w:val="24"/>
          <w:szCs w:val="24"/>
          <w:lang w:val="en-US" w:eastAsia="zh-CN"/>
        </w:rPr>
        <w:t>产生的脱硫石膏（S1）；SCR脱硝工序产生的废催化剂（S2）；除尘工序产生的除尘灰（S3）、废旧布袋（S4）；煤燃烧工序产生的炉渣（S5）；软化水工序产生的废离子交换树脂（S6）；脱硫及脱硝工序产生的废包装袋（S7）。</w:t>
      </w:r>
    </w:p>
    <w:p>
      <w:pPr>
        <w:pStyle w:val="5"/>
        <w:bidi w:val="0"/>
        <w:ind w:left="0" w:leftChars="0" w:firstLine="0" w:firstLineChars="0"/>
        <w:rPr>
          <w:rFonts w:hint="default"/>
          <w:color w:val="auto"/>
          <w:lang w:val="en-US" w:eastAsia="zh-CN"/>
        </w:rPr>
      </w:pPr>
      <w:r>
        <w:rPr>
          <w:rFonts w:hint="eastAsia"/>
          <w:color w:val="auto"/>
          <w:lang w:val="en-US" w:eastAsia="zh-CN"/>
        </w:rPr>
        <w:t>6.2.4.1固体废物贮存环境影响分析</w:t>
      </w:r>
    </w:p>
    <w:p>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72" w:firstLineChars="200"/>
        <w:textAlignment w:val="baseline"/>
        <w:rPr>
          <w:rFonts w:hint="default" w:ascii="Times New Roman" w:hAnsi="Times New Roman" w:eastAsia="Times New Roman" w:cs="Times New Roman"/>
          <w:color w:val="auto"/>
          <w:spacing w:val="-2"/>
          <w:sz w:val="24"/>
          <w:szCs w:val="24"/>
          <w:lang w:val="en-US" w:eastAsia="zh-CN"/>
        </w:rPr>
      </w:pPr>
      <w:r>
        <w:rPr>
          <w:rFonts w:hint="eastAsia" w:ascii="Times New Roman" w:hAnsi="Times New Roman" w:eastAsia="Times New Roman" w:cs="Times New Roman"/>
          <w:color w:val="auto"/>
          <w:spacing w:val="-2"/>
          <w:sz w:val="24"/>
          <w:szCs w:val="24"/>
          <w:lang w:val="en-US" w:eastAsia="zh-CN"/>
        </w:rPr>
        <w:t>本项目</w:t>
      </w:r>
      <w:r>
        <w:rPr>
          <w:rFonts w:hint="default" w:ascii="Times New Roman" w:hAnsi="Times New Roman" w:eastAsia="宋体" w:cs="Times New Roman"/>
          <w:color w:val="auto"/>
          <w:sz w:val="24"/>
          <w:szCs w:val="28"/>
          <w:highlight w:val="none"/>
          <w:lang w:val="en-US" w:eastAsia="zh-CN"/>
        </w:rPr>
        <w:t>固废</w:t>
      </w:r>
      <w:r>
        <w:rPr>
          <w:rFonts w:hint="eastAsia" w:ascii="Times New Roman" w:hAnsi="Times New Roman" w:eastAsia="Times New Roman" w:cs="Times New Roman"/>
          <w:color w:val="auto"/>
          <w:spacing w:val="-2"/>
          <w:sz w:val="24"/>
          <w:szCs w:val="24"/>
          <w:lang w:val="en-US" w:eastAsia="zh-CN"/>
        </w:rPr>
        <w:t>来源及处置措施情况见表</w:t>
      </w:r>
      <w:r>
        <w:rPr>
          <w:rFonts w:hint="eastAsia" w:eastAsia="Times New Roman" w:cs="Times New Roman"/>
          <w:color w:val="auto"/>
          <w:spacing w:val="-2"/>
          <w:sz w:val="24"/>
          <w:szCs w:val="24"/>
          <w:lang w:val="en-US" w:eastAsia="zh-CN"/>
        </w:rPr>
        <w:t>6.2.4-1</w:t>
      </w:r>
      <w:r>
        <w:rPr>
          <w:rFonts w:hint="eastAsia" w:ascii="Times New Roman" w:hAnsi="Times New Roman" w:eastAsia="Times New Roman" w:cs="Times New Roman"/>
          <w:color w:val="auto"/>
          <w:spacing w:val="-2"/>
          <w:sz w:val="24"/>
          <w:szCs w:val="24"/>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pacing w:val="6"/>
          <w:sz w:val="21"/>
          <w:szCs w:val="21"/>
        </w:rPr>
      </w:pPr>
      <w:r>
        <w:rPr>
          <w:rFonts w:hint="default" w:ascii="Times New Roman" w:hAnsi="Times New Roman" w:eastAsia="宋体" w:cs="Times New Roman"/>
          <w:b/>
          <w:bCs/>
          <w:color w:val="auto"/>
          <w:spacing w:val="6"/>
          <w:sz w:val="21"/>
          <w:szCs w:val="21"/>
        </w:rPr>
        <w:t>表</w:t>
      </w:r>
      <w:r>
        <w:rPr>
          <w:rFonts w:hint="eastAsia" w:cs="Times New Roman"/>
          <w:b/>
          <w:bCs/>
          <w:color w:val="auto"/>
          <w:spacing w:val="6"/>
          <w:sz w:val="21"/>
          <w:szCs w:val="21"/>
          <w:lang w:val="en-US" w:eastAsia="zh-CN"/>
        </w:rPr>
        <w:t>6.2.4-1</w:t>
      </w:r>
      <w:r>
        <w:rPr>
          <w:rFonts w:hint="default" w:ascii="Times New Roman" w:hAnsi="Times New Roman" w:eastAsia="Times New Roman" w:cs="Times New Roman"/>
          <w:b/>
          <w:bCs/>
          <w:color w:val="auto"/>
          <w:spacing w:val="6"/>
          <w:sz w:val="21"/>
          <w:szCs w:val="21"/>
        </w:rPr>
        <w:t xml:space="preserve">   </w:t>
      </w:r>
      <w:r>
        <w:rPr>
          <w:rFonts w:hint="default" w:ascii="Times New Roman" w:hAnsi="Times New Roman" w:eastAsia="宋体" w:cs="Times New Roman"/>
          <w:b/>
          <w:bCs/>
          <w:color w:val="auto"/>
          <w:spacing w:val="6"/>
          <w:sz w:val="21"/>
          <w:szCs w:val="21"/>
        </w:rPr>
        <w:t>本项目</w:t>
      </w:r>
      <w:r>
        <w:rPr>
          <w:rFonts w:hint="default" w:ascii="Times New Roman" w:hAnsi="Times New Roman" w:eastAsia="宋体" w:cs="Times New Roman"/>
          <w:b/>
          <w:bCs/>
          <w:color w:val="auto"/>
          <w:spacing w:val="6"/>
          <w:sz w:val="21"/>
          <w:szCs w:val="21"/>
          <w:lang w:val="en-US" w:eastAsia="zh-CN"/>
        </w:rPr>
        <w:t>固废</w:t>
      </w:r>
      <w:r>
        <w:rPr>
          <w:rFonts w:hint="default" w:ascii="Times New Roman" w:hAnsi="Times New Roman" w:eastAsia="宋体" w:cs="Times New Roman"/>
          <w:b/>
          <w:bCs/>
          <w:color w:val="auto"/>
          <w:spacing w:val="6"/>
          <w:sz w:val="21"/>
          <w:szCs w:val="21"/>
        </w:rPr>
        <w:t>来源及处置措施一览表</w:t>
      </w:r>
    </w:p>
    <w:p>
      <w:pPr>
        <w:spacing w:line="14" w:lineRule="exact"/>
        <w:rPr>
          <w:color w:val="auto"/>
        </w:rPr>
      </w:pP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8"/>
        <w:gridCol w:w="970"/>
        <w:gridCol w:w="1288"/>
        <w:gridCol w:w="900"/>
        <w:gridCol w:w="1071"/>
        <w:gridCol w:w="951"/>
        <w:gridCol w:w="1039"/>
        <w:gridCol w:w="1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编号</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污染物名称</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产生途径</w:t>
            </w:r>
          </w:p>
        </w:tc>
        <w:tc>
          <w:tcPr>
            <w:tcW w:w="5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固废</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性质</w:t>
            </w: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固废</w:t>
            </w:r>
            <w:r>
              <w:rPr>
                <w:rFonts w:hint="default" w:ascii="Times New Roman" w:hAnsi="Times New Roman" w:eastAsia="宋体" w:cs="Times New Roman"/>
                <w:b/>
                <w:bCs/>
                <w:color w:val="auto"/>
                <w:sz w:val="21"/>
                <w:szCs w:val="21"/>
                <w:lang w:val="en-US" w:eastAsia="zh-CN"/>
              </w:rPr>
              <w:t>代码</w:t>
            </w:r>
          </w:p>
        </w:tc>
        <w:tc>
          <w:tcPr>
            <w:tcW w:w="5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危险</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特性</w:t>
            </w:r>
          </w:p>
        </w:tc>
        <w:tc>
          <w:tcPr>
            <w:tcW w:w="6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产生量</w:t>
            </w:r>
            <w:r>
              <w:rPr>
                <w:rFonts w:hint="eastAsia"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lang w:val="en-US" w:eastAsia="zh-CN"/>
              </w:rPr>
              <w:t>t/a</w:t>
            </w:r>
            <w:r>
              <w:rPr>
                <w:rFonts w:hint="eastAsia" w:ascii="Times New Roman" w:hAnsi="Times New Roman" w:eastAsia="宋体" w:cs="Times New Roman"/>
                <w:b/>
                <w:bCs/>
                <w:color w:val="auto"/>
                <w:sz w:val="21"/>
                <w:szCs w:val="21"/>
                <w:lang w:val="en-US" w:eastAsia="zh-CN"/>
              </w:rPr>
              <w:t>）</w:t>
            </w:r>
          </w:p>
        </w:tc>
        <w:tc>
          <w:tcPr>
            <w:tcW w:w="10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S1</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脱硫</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石膏</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脱硫工序</w:t>
            </w:r>
          </w:p>
        </w:tc>
        <w:tc>
          <w:tcPr>
            <w:tcW w:w="52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一般</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工业</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固废</w:t>
            </w: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900-099-S06</w:t>
            </w:r>
          </w:p>
        </w:tc>
        <w:tc>
          <w:tcPr>
            <w:tcW w:w="5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1360.34</w:t>
            </w:r>
          </w:p>
        </w:tc>
        <w:tc>
          <w:tcPr>
            <w:tcW w:w="10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外售给托里县盛世工贸有限公司用于制砖，作为建筑材料使用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S3</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除尘灰</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除尘工序</w:t>
            </w:r>
          </w:p>
        </w:tc>
        <w:tc>
          <w:tcPr>
            <w:tcW w:w="5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900-001-S02</w:t>
            </w:r>
          </w:p>
        </w:tc>
        <w:tc>
          <w:tcPr>
            <w:tcW w:w="5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4505.07</w:t>
            </w:r>
          </w:p>
        </w:tc>
        <w:tc>
          <w:tcPr>
            <w:tcW w:w="10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外售给托里县盛世工贸有限公司用于制砖，作为建筑材料使用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S4</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废旧布袋</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除尘工序</w:t>
            </w:r>
          </w:p>
        </w:tc>
        <w:tc>
          <w:tcPr>
            <w:tcW w:w="5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900-009-S59</w:t>
            </w:r>
          </w:p>
        </w:tc>
        <w:tc>
          <w:tcPr>
            <w:tcW w:w="5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lang w:val="en-US" w:eastAsia="zh-CN"/>
              </w:rPr>
              <w:t>t</w:t>
            </w:r>
            <w:r>
              <w:rPr>
                <w:rFonts w:hint="eastAsia" w:ascii="Times New Roman" w:hAnsi="Times New Roman" w:eastAsia="宋体" w:cs="Times New Roman"/>
                <w:color w:val="auto"/>
                <w:sz w:val="21"/>
                <w:szCs w:val="21"/>
                <w:lang w:val="en-US" w:eastAsia="zh-CN"/>
              </w:rPr>
              <w:t>/3a</w:t>
            </w:r>
          </w:p>
        </w:tc>
        <w:tc>
          <w:tcPr>
            <w:tcW w:w="10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厂家回收处理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S5</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炉渣</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煤燃烧工序</w:t>
            </w:r>
          </w:p>
        </w:tc>
        <w:tc>
          <w:tcPr>
            <w:tcW w:w="5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900-001-S03</w:t>
            </w:r>
          </w:p>
        </w:tc>
        <w:tc>
          <w:tcPr>
            <w:tcW w:w="5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23229.943</w:t>
            </w:r>
          </w:p>
        </w:tc>
        <w:tc>
          <w:tcPr>
            <w:tcW w:w="10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外售给托里县盛世工贸有限公司用于制砖，作为建筑材料使用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S6</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废离子交换树脂</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软化水工序</w:t>
            </w:r>
          </w:p>
        </w:tc>
        <w:tc>
          <w:tcPr>
            <w:tcW w:w="5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900-008-S59</w:t>
            </w:r>
          </w:p>
        </w:tc>
        <w:tc>
          <w:tcPr>
            <w:tcW w:w="5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w:t>
            </w:r>
            <w:r>
              <w:rPr>
                <w:rFonts w:hint="default" w:ascii="Times New Roman" w:hAnsi="Times New Roman" w:eastAsia="宋体" w:cs="Times New Roman"/>
                <w:color w:val="auto"/>
                <w:sz w:val="21"/>
                <w:szCs w:val="21"/>
                <w:lang w:val="en-US" w:eastAsia="zh-CN"/>
              </w:rPr>
              <w:t>t/</w:t>
            </w:r>
            <w:r>
              <w:rPr>
                <w:rFonts w:hint="eastAsia"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lang w:val="en-US" w:eastAsia="zh-CN"/>
              </w:rPr>
              <w:t>a</w:t>
            </w:r>
          </w:p>
        </w:tc>
        <w:tc>
          <w:tcPr>
            <w:tcW w:w="10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厂家回收处理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S7</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废包装袋</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脱硫及脱硝工序</w:t>
            </w:r>
          </w:p>
        </w:tc>
        <w:tc>
          <w:tcPr>
            <w:tcW w:w="5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900-003-S17</w:t>
            </w:r>
          </w:p>
        </w:tc>
        <w:tc>
          <w:tcPr>
            <w:tcW w:w="5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w:t>
            </w:r>
          </w:p>
        </w:tc>
        <w:tc>
          <w:tcPr>
            <w:tcW w:w="10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厂家回收处理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S2</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废催化剂</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SCR</w:t>
            </w:r>
            <w:r>
              <w:rPr>
                <w:rFonts w:hint="eastAsia" w:ascii="Times New Roman" w:hAnsi="Times New Roman" w:eastAsia="宋体" w:cs="Times New Roman"/>
                <w:color w:val="auto"/>
                <w:sz w:val="21"/>
                <w:szCs w:val="21"/>
                <w:lang w:val="en-US" w:eastAsia="zh-CN"/>
              </w:rPr>
              <w:t>脱硝</w:t>
            </w:r>
            <w:r>
              <w:rPr>
                <w:rFonts w:hint="default" w:ascii="Times New Roman" w:hAnsi="Times New Roman" w:eastAsia="宋体" w:cs="Times New Roman"/>
                <w:color w:val="auto"/>
                <w:sz w:val="21"/>
                <w:szCs w:val="21"/>
                <w:lang w:val="en-US" w:eastAsia="zh-CN"/>
              </w:rPr>
              <w:t>工序</w:t>
            </w:r>
          </w:p>
        </w:tc>
        <w:tc>
          <w:tcPr>
            <w:tcW w:w="5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危险</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废物</w:t>
            </w: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772-007-50</w:t>
            </w:r>
          </w:p>
        </w:tc>
        <w:tc>
          <w:tcPr>
            <w:tcW w:w="5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毒性（T）</w:t>
            </w:r>
          </w:p>
        </w:tc>
        <w:tc>
          <w:tcPr>
            <w:tcW w:w="6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0.1t/3a</w:t>
            </w:r>
          </w:p>
        </w:tc>
        <w:tc>
          <w:tcPr>
            <w:tcW w:w="10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有危废处置资质的单位上门</w:t>
            </w:r>
            <w:r>
              <w:rPr>
                <w:rFonts w:hint="default" w:ascii="Times New Roman" w:hAnsi="Times New Roman" w:eastAsia="宋体" w:cs="Times New Roman"/>
                <w:color w:val="auto"/>
                <w:sz w:val="21"/>
                <w:szCs w:val="21"/>
                <w:lang w:val="en-US" w:eastAsia="zh-CN"/>
              </w:rPr>
              <w:t>回收处理</w:t>
            </w:r>
          </w:p>
        </w:tc>
      </w:tr>
    </w:tbl>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综上所述，</w:t>
      </w:r>
      <w:r>
        <w:rPr>
          <w:rFonts w:hint="eastAsia" w:ascii="Times New Roman" w:hAnsi="Times New Roman" w:eastAsia="宋体" w:cs="Times New Roman"/>
          <w:color w:val="auto"/>
          <w:sz w:val="24"/>
          <w:szCs w:val="24"/>
          <w:highlight w:val="none"/>
          <w:lang w:val="en-US" w:eastAsia="zh-CN"/>
        </w:rPr>
        <w:t>本</w:t>
      </w:r>
      <w:r>
        <w:rPr>
          <w:rFonts w:hint="default" w:ascii="Times New Roman" w:hAnsi="Times New Roman" w:eastAsia="宋体" w:cs="Times New Roman"/>
          <w:color w:val="auto"/>
          <w:sz w:val="24"/>
          <w:szCs w:val="24"/>
          <w:highlight w:val="none"/>
          <w:lang w:val="en-US" w:eastAsia="zh-CN"/>
        </w:rPr>
        <w:t>项目固体废物的收集、贮存</w:t>
      </w:r>
      <w:r>
        <w:rPr>
          <w:rFonts w:hint="eastAsia" w:cs="Times New Roman"/>
          <w:color w:val="auto"/>
          <w:sz w:val="24"/>
          <w:szCs w:val="24"/>
          <w:highlight w:val="none"/>
          <w:lang w:val="en-US" w:eastAsia="zh-CN"/>
        </w:rPr>
        <w:t>得到合理处置，</w:t>
      </w:r>
      <w:r>
        <w:rPr>
          <w:rFonts w:hint="default" w:ascii="Times New Roman" w:hAnsi="Times New Roman" w:eastAsia="宋体" w:cs="Times New Roman"/>
          <w:color w:val="auto"/>
          <w:sz w:val="24"/>
          <w:szCs w:val="24"/>
          <w:highlight w:val="none"/>
          <w:lang w:val="en-US" w:eastAsia="zh-CN"/>
        </w:rPr>
        <w:t>对环境的影响较小。</w:t>
      </w:r>
    </w:p>
    <w:p>
      <w:pPr>
        <w:pStyle w:val="5"/>
        <w:bidi w:val="0"/>
        <w:ind w:left="0" w:leftChars="0" w:firstLine="0" w:firstLineChars="0"/>
        <w:rPr>
          <w:rFonts w:hint="default"/>
          <w:color w:val="auto"/>
          <w:lang w:val="en-US" w:eastAsia="zh-CN"/>
        </w:rPr>
      </w:pPr>
      <w:r>
        <w:rPr>
          <w:rFonts w:hint="eastAsia"/>
          <w:color w:val="auto"/>
          <w:lang w:val="en-US" w:eastAsia="zh-CN"/>
        </w:rPr>
        <w:t>6.2.4.2固体废物运输过程环境影晌分析</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项目各危险固废均按照相应的包装要求进行包装，企业危险固废外运委托有资质的单位进行运输，严格执行《危险废物收集贮存运输技术规范》</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HJ2025-2012</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和《危险废物转移</w:t>
      </w:r>
      <w:r>
        <w:rPr>
          <w:rFonts w:hint="eastAsia" w:ascii="Times New Roman" w:hAnsi="Times New Roman" w:eastAsia="宋体" w:cs="Times New Roman"/>
          <w:color w:val="auto"/>
          <w:sz w:val="24"/>
          <w:szCs w:val="24"/>
          <w:highlight w:val="none"/>
          <w:lang w:val="en-US" w:eastAsia="zh-CN"/>
        </w:rPr>
        <w:t>联单</w:t>
      </w:r>
      <w:r>
        <w:rPr>
          <w:rFonts w:hint="default" w:ascii="Times New Roman" w:hAnsi="Times New Roman" w:eastAsia="宋体" w:cs="Times New Roman"/>
          <w:color w:val="auto"/>
          <w:sz w:val="24"/>
          <w:szCs w:val="24"/>
          <w:highlight w:val="none"/>
          <w:lang w:val="en-US" w:eastAsia="zh-CN"/>
        </w:rPr>
        <w:t>管理办法》</w:t>
      </w:r>
      <w:r>
        <w:rPr>
          <w:rFonts w:hint="eastAsia" w:ascii="Times New Roman" w:hAnsi="Times New Roman" w:eastAsia="宋体" w:cs="Times New Roman"/>
          <w:color w:val="auto"/>
          <w:sz w:val="24"/>
          <w:szCs w:val="24"/>
          <w:highlight w:val="none"/>
          <w:lang w:val="en-US" w:eastAsia="zh-CN"/>
        </w:rPr>
        <w:t>（2021年11月30日生态环境部、公安部、交通运输部令第23号，2022年1月1日起施行）</w:t>
      </w:r>
      <w:r>
        <w:rPr>
          <w:rFonts w:hint="default" w:ascii="Times New Roman" w:hAnsi="Times New Roman" w:eastAsia="宋体" w:cs="Times New Roman"/>
          <w:color w:val="auto"/>
          <w:sz w:val="24"/>
          <w:szCs w:val="24"/>
          <w:highlight w:val="none"/>
          <w:lang w:val="en-US" w:eastAsia="zh-CN"/>
        </w:rPr>
        <w:t>，并制定好危险废物转移运输途中的污染防范及事故应急措施，严格按照要求办理有关手续。运输单位在运输本项目危险废物过程中应严格做好相应的防范措施，防止危险废物的泄漏</w:t>
      </w:r>
      <w:r>
        <w:rPr>
          <w:rFonts w:hint="eastAsia" w:ascii="Times New Roman" w:hAnsi="Times New Roman" w:eastAsia="宋体" w:cs="Times New Roman"/>
          <w:color w:val="auto"/>
          <w:sz w:val="24"/>
          <w:szCs w:val="24"/>
          <w:highlight w:val="none"/>
          <w:lang w:val="en-US" w:eastAsia="zh-CN"/>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本项目固体废物在运输过程中应选择合理的运输路线以减轻对运输路途中的环境影响以及避免运输过程中造成二次污染。</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因此，本</w:t>
      </w:r>
      <w:r>
        <w:rPr>
          <w:rFonts w:hint="default" w:ascii="Times New Roman" w:hAnsi="Times New Roman" w:eastAsia="宋体" w:cs="Times New Roman"/>
          <w:color w:val="auto"/>
          <w:sz w:val="24"/>
          <w:szCs w:val="24"/>
          <w:highlight w:val="none"/>
          <w:lang w:val="en-US" w:eastAsia="zh-CN"/>
        </w:rPr>
        <w:t>项目运输过程对环境的影响较小。</w:t>
      </w:r>
    </w:p>
    <w:p>
      <w:pPr>
        <w:keepNext w:val="0"/>
        <w:keepLines w:val="0"/>
        <w:pageBreakBefore w:val="0"/>
        <w:kinsoku/>
        <w:wordWrap/>
        <w:overflowPunct/>
        <w:autoSpaceDE/>
        <w:autoSpaceDN/>
        <w:bidi w:val="0"/>
        <w:adjustRightInd w:val="0"/>
        <w:snapToGrid w:val="0"/>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综上所述，在加强管理，并在落实好各项污染防治措施和固体废物安全处置措施的前提下，项目产生的固体废物对周围环境的影响较小。</w:t>
      </w:r>
    </w:p>
    <w:p>
      <w:pPr>
        <w:pStyle w:val="4"/>
        <w:bidi w:val="0"/>
        <w:rPr>
          <w:color w:val="auto"/>
          <w:highlight w:val="none"/>
        </w:rPr>
      </w:pPr>
      <w:r>
        <w:rPr>
          <w:rFonts w:hint="eastAsia"/>
          <w:color w:val="auto"/>
          <w:highlight w:val="none"/>
          <w:lang w:val="en-US" w:eastAsia="zh-CN"/>
        </w:rPr>
        <w:t>6.2.5</w:t>
      </w:r>
      <w:r>
        <w:rPr>
          <w:color w:val="auto"/>
          <w:highlight w:val="none"/>
        </w:rPr>
        <w:t>土壤影响</w:t>
      </w:r>
      <w:r>
        <w:rPr>
          <w:rFonts w:hint="eastAsia"/>
          <w:color w:val="auto"/>
          <w:highlight w:val="none"/>
          <w:lang w:val="en-US" w:eastAsia="zh-CN"/>
        </w:rPr>
        <w:t>分析</w:t>
      </w:r>
      <w:r>
        <w:rPr>
          <w:color w:val="auto"/>
          <w:highlight w:val="none"/>
        </w:rPr>
        <w:t>与评价</w:t>
      </w:r>
      <w:bookmarkEnd w:id="46"/>
    </w:p>
    <w:p>
      <w:pPr>
        <w:keepNext w:val="0"/>
        <w:keepLines w:val="0"/>
        <w:pageBreakBefore w:val="0"/>
        <w:kinsoku/>
        <w:wordWrap/>
        <w:overflowPunct/>
        <w:autoSpaceDE/>
        <w:autoSpaceDN/>
        <w:bidi w:val="0"/>
        <w:adjustRightInd w:val="0"/>
        <w:snapToGrid w:val="0"/>
        <w:spacing w:line="360" w:lineRule="auto"/>
        <w:ind w:firstLine="480" w:firstLineChars="200"/>
        <w:textAlignment w:val="auto"/>
        <w:rPr>
          <w:rFonts w:ascii="Times New Roman" w:hAnsi="Times New Roman" w:cs="Times New Roman"/>
          <w:color w:val="auto"/>
          <w:highlight w:val="none"/>
        </w:rPr>
      </w:pPr>
      <w:r>
        <w:rPr>
          <w:rFonts w:ascii="Times New Roman" w:hAnsi="Times New Roman" w:cs="Times New Roman"/>
          <w:color w:val="auto"/>
          <w:highlight w:val="none"/>
        </w:rPr>
        <w:t>（1）废水对土壤的影响</w:t>
      </w:r>
    </w:p>
    <w:p>
      <w:pPr>
        <w:keepNext w:val="0"/>
        <w:keepLines w:val="0"/>
        <w:pageBreakBefore w:val="0"/>
        <w:kinsoku/>
        <w:wordWrap/>
        <w:overflowPunct/>
        <w:autoSpaceDE/>
        <w:autoSpaceDN/>
        <w:bidi w:val="0"/>
        <w:adjustRightInd w:val="0"/>
        <w:snapToGrid w:val="0"/>
        <w:spacing w:line="360" w:lineRule="auto"/>
        <w:ind w:firstLine="480" w:firstLineChars="200"/>
        <w:textAlignment w:val="auto"/>
        <w:rPr>
          <w:rFonts w:ascii="Times New Roman" w:hAnsi="Times New Roman" w:cs="Times New Roman"/>
          <w:color w:val="auto"/>
          <w:highlight w:val="none"/>
        </w:rPr>
      </w:pPr>
      <w:r>
        <w:rPr>
          <w:rFonts w:ascii="Times New Roman" w:hAnsi="Times New Roman" w:cs="Times New Roman"/>
          <w:color w:val="auto"/>
          <w:highlight w:val="none"/>
        </w:rPr>
        <w:t>本项目废水主要为软水制备废水、锅炉排水，为减少水资源浪费，该部分废水可全部回用于脱硫系统补水以及煤场、灰</w:t>
      </w:r>
      <w:r>
        <w:rPr>
          <w:rFonts w:hint="eastAsia" w:cs="Times New Roman"/>
          <w:color w:val="auto"/>
          <w:highlight w:val="none"/>
          <w:lang w:eastAsia="zh-CN"/>
        </w:rPr>
        <w:t>渣场</w:t>
      </w:r>
      <w:r>
        <w:rPr>
          <w:rFonts w:ascii="Times New Roman" w:hAnsi="Times New Roman" w:cs="Times New Roman"/>
          <w:color w:val="auto"/>
          <w:highlight w:val="none"/>
        </w:rPr>
        <w:t>降尘使用。项目产生的废水均得到有效处理，不会对区域土壤造成不利影响。</w:t>
      </w:r>
    </w:p>
    <w:p>
      <w:pPr>
        <w:keepNext w:val="0"/>
        <w:keepLines w:val="0"/>
        <w:pageBreakBefore w:val="0"/>
        <w:kinsoku/>
        <w:wordWrap/>
        <w:overflowPunct/>
        <w:autoSpaceDE/>
        <w:autoSpaceDN/>
        <w:bidi w:val="0"/>
        <w:adjustRightInd w:val="0"/>
        <w:snapToGrid w:val="0"/>
        <w:spacing w:line="360" w:lineRule="auto"/>
        <w:ind w:firstLine="480" w:firstLineChars="200"/>
        <w:textAlignment w:val="auto"/>
        <w:rPr>
          <w:rFonts w:ascii="Times New Roman" w:hAnsi="Times New Roman" w:cs="Times New Roman"/>
          <w:color w:val="auto"/>
          <w:highlight w:val="none"/>
        </w:rPr>
      </w:pPr>
      <w:r>
        <w:rPr>
          <w:rFonts w:ascii="Times New Roman" w:hAnsi="Times New Roman" w:cs="Times New Roman"/>
          <w:color w:val="auto"/>
          <w:highlight w:val="none"/>
        </w:rPr>
        <w:t>（2）废气对土壤的影响</w:t>
      </w:r>
    </w:p>
    <w:p>
      <w:pPr>
        <w:keepNext w:val="0"/>
        <w:keepLines w:val="0"/>
        <w:pageBreakBefore w:val="0"/>
        <w:kinsoku/>
        <w:wordWrap/>
        <w:overflowPunct/>
        <w:autoSpaceDE/>
        <w:autoSpaceDN/>
        <w:bidi w:val="0"/>
        <w:adjustRightInd w:val="0"/>
        <w:snapToGrid w:val="0"/>
        <w:spacing w:line="360" w:lineRule="auto"/>
        <w:ind w:firstLine="480" w:firstLineChars="200"/>
        <w:textAlignment w:val="auto"/>
        <w:rPr>
          <w:rFonts w:ascii="Times New Roman" w:hAnsi="Times New Roman" w:cs="Times New Roman"/>
          <w:color w:val="auto"/>
          <w:highlight w:val="none"/>
        </w:rPr>
      </w:pPr>
      <w:r>
        <w:rPr>
          <w:rFonts w:ascii="Times New Roman" w:hAnsi="Times New Roman" w:cs="Times New Roman"/>
          <w:color w:val="auto"/>
          <w:highlight w:val="none"/>
        </w:rPr>
        <w:t>本项目对土壤影响主要为大气沉降产生的粉尘等污染物对土壤环境产生污染。粉尘主要成分是Ca、Mg、Si、Al等的氧化物，这些污染物不断沉积到土壤或农作物表面，将对土壤及农作物产生一定影响。粉煤灰pH约为10-12，呈较强的碱性，能使周围土壤碱化。粉尘通过水合作用和结晶作用在土壤表面形成硬的外壳，导致</w:t>
      </w:r>
      <w:r>
        <w:rPr>
          <w:rFonts w:hint="eastAsia" w:ascii="Times New Roman" w:hAnsi="Times New Roman" w:cs="Times New Roman"/>
          <w:color w:val="auto"/>
          <w:highlight w:val="none"/>
          <w:lang w:eastAsia="zh-CN"/>
        </w:rPr>
        <w:t>土壤孔隙度</w:t>
      </w:r>
      <w:r>
        <w:rPr>
          <w:rFonts w:ascii="Times New Roman" w:hAnsi="Times New Roman" w:cs="Times New Roman"/>
          <w:color w:val="auto"/>
          <w:highlight w:val="none"/>
        </w:rPr>
        <w:t>、有机碳含量和持水能力显著下降。</w:t>
      </w:r>
    </w:p>
    <w:p>
      <w:pPr>
        <w:keepNext w:val="0"/>
        <w:keepLines w:val="0"/>
        <w:pageBreakBefore w:val="0"/>
        <w:kinsoku/>
        <w:wordWrap/>
        <w:overflowPunct/>
        <w:autoSpaceDE/>
        <w:autoSpaceDN/>
        <w:bidi w:val="0"/>
        <w:adjustRightInd w:val="0"/>
        <w:snapToGrid w:val="0"/>
        <w:spacing w:line="360" w:lineRule="auto"/>
        <w:ind w:firstLine="480" w:firstLineChars="200"/>
        <w:textAlignment w:val="auto"/>
        <w:rPr>
          <w:rFonts w:ascii="Times New Roman" w:hAnsi="Times New Roman" w:cs="Times New Roman"/>
          <w:color w:val="auto"/>
          <w:highlight w:val="none"/>
        </w:rPr>
      </w:pPr>
      <w:r>
        <w:rPr>
          <w:rFonts w:ascii="Times New Roman" w:hAnsi="Times New Roman" w:cs="Times New Roman"/>
          <w:color w:val="auto"/>
          <w:highlight w:val="none"/>
        </w:rPr>
        <w:t>本项目位于城市建成区，周边无农田分布，此外，通过大气预测可知，采取环保措施后，大气污染物最大落地浓度较小，对周边土壤影响较小。</w:t>
      </w:r>
    </w:p>
    <w:p>
      <w:pPr>
        <w:pStyle w:val="94"/>
        <w:keepNext w:val="0"/>
        <w:keepLines w:val="0"/>
        <w:pageBreakBefore w:val="0"/>
        <w:kinsoku/>
        <w:wordWrap/>
        <w:overflowPunct/>
        <w:autoSpaceDE/>
        <w:autoSpaceDN/>
        <w:bidi w:val="0"/>
        <w:adjustRightInd w:val="0"/>
        <w:snapToGrid w:val="0"/>
        <w:ind w:firstLine="480" w:firstLineChars="200"/>
        <w:textAlignment w:val="auto"/>
        <w:rPr>
          <w:rFonts w:ascii="Times New Roman" w:hAnsi="Times New Roman" w:cs="Times New Roman"/>
          <w:color w:val="auto"/>
          <w:highlight w:val="none"/>
        </w:rPr>
      </w:pPr>
      <w:r>
        <w:rPr>
          <w:rFonts w:ascii="Times New Roman" w:hAnsi="Times New Roman" w:cs="Times New Roman"/>
          <w:color w:val="auto"/>
          <w:highlight w:val="none"/>
        </w:rPr>
        <w:t>土壤环境影响评价自查表见表</w:t>
      </w:r>
      <w:r>
        <w:rPr>
          <w:rFonts w:hint="eastAsia" w:cs="Times New Roman"/>
          <w:color w:val="auto"/>
          <w:highlight w:val="none"/>
          <w:lang w:val="en-US" w:eastAsia="zh-CN"/>
        </w:rPr>
        <w:t>6</w:t>
      </w:r>
      <w:r>
        <w:rPr>
          <w:rFonts w:ascii="Times New Roman" w:hAnsi="Times New Roman" w:cs="Times New Roman"/>
          <w:color w:val="auto"/>
          <w:highlight w:val="none"/>
        </w:rPr>
        <w:t>.</w:t>
      </w:r>
      <w:r>
        <w:rPr>
          <w:rFonts w:hint="eastAsia" w:cs="Times New Roman"/>
          <w:color w:val="auto"/>
          <w:highlight w:val="none"/>
          <w:lang w:val="en-US" w:eastAsia="zh-CN"/>
        </w:rPr>
        <w:t>2.5-1</w:t>
      </w:r>
      <w:r>
        <w:rPr>
          <w:rFonts w:ascii="Times New Roman" w:hAnsi="Times New Roman" w:cs="Times New Roman"/>
          <w:color w:val="auto"/>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red"/>
        </w:rPr>
      </w:pPr>
      <w:r>
        <w:rPr>
          <w:b/>
          <w:bCs/>
          <w:color w:val="auto"/>
          <w:sz w:val="21"/>
          <w:szCs w:val="21"/>
          <w:highlight w:val="none"/>
        </w:rPr>
        <w:t>表</w:t>
      </w:r>
      <w:r>
        <w:rPr>
          <w:rFonts w:hint="eastAsia"/>
          <w:b/>
          <w:bCs/>
          <w:color w:val="auto"/>
          <w:sz w:val="21"/>
          <w:szCs w:val="21"/>
          <w:highlight w:val="none"/>
          <w:lang w:val="en-US" w:eastAsia="zh-CN"/>
        </w:rPr>
        <w:t>6</w:t>
      </w:r>
      <w:r>
        <w:rPr>
          <w:b/>
          <w:bCs/>
          <w:color w:val="auto"/>
          <w:sz w:val="21"/>
          <w:szCs w:val="21"/>
          <w:highlight w:val="none"/>
        </w:rPr>
        <w:t>.</w:t>
      </w:r>
      <w:r>
        <w:rPr>
          <w:rFonts w:hint="eastAsia"/>
          <w:b/>
          <w:bCs/>
          <w:color w:val="auto"/>
          <w:sz w:val="21"/>
          <w:szCs w:val="21"/>
          <w:highlight w:val="none"/>
          <w:lang w:val="en-US" w:eastAsia="zh-CN"/>
        </w:rPr>
        <w:t>2.5-1</w:t>
      </w:r>
      <w:r>
        <w:rPr>
          <w:b/>
          <w:bCs/>
          <w:color w:val="auto"/>
          <w:sz w:val="21"/>
          <w:szCs w:val="21"/>
          <w:highlight w:val="none"/>
        </w:rPr>
        <w:t xml:space="preserve">   土壤环境自查表</w:t>
      </w:r>
    </w:p>
    <w:tbl>
      <w:tblPr>
        <w:tblStyle w:val="33"/>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89"/>
        <w:gridCol w:w="1380"/>
        <w:gridCol w:w="1399"/>
        <w:gridCol w:w="135"/>
        <w:gridCol w:w="976"/>
        <w:gridCol w:w="1255"/>
        <w:gridCol w:w="557"/>
        <w:gridCol w:w="1254"/>
        <w:gridCol w:w="101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801" w:type="dxa"/>
            <w:gridSpan w:val="2"/>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工作内容</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完成情况</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b/>
                <w:bCs/>
                <w:color w:val="auto"/>
                <w:sz w:val="21"/>
                <w:szCs w:val="21"/>
                <w:highlight w:val="none"/>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restar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影响识别</w:t>
            </w: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影响类型</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污染影响型</w:t>
            </w:r>
            <w:r>
              <w:rPr>
                <w:color w:val="auto"/>
                <w:sz w:val="21"/>
                <w:szCs w:val="21"/>
                <w:highlight w:val="none"/>
              </w:rPr>
              <w:sym w:font="Wingdings 2" w:char="F052"/>
            </w:r>
            <w:r>
              <w:rPr>
                <w:color w:val="auto"/>
                <w:sz w:val="21"/>
                <w:szCs w:val="21"/>
                <w:highlight w:val="none"/>
              </w:rPr>
              <w:t>；生态影响型□；两种兼有□</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土地利用类型</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建设用地</w:t>
            </w:r>
            <w:r>
              <w:rPr>
                <w:color w:val="auto"/>
                <w:sz w:val="21"/>
                <w:szCs w:val="21"/>
                <w:highlight w:val="none"/>
              </w:rPr>
              <w:sym w:font="Wingdings 2" w:char="F052"/>
            </w:r>
            <w:r>
              <w:rPr>
                <w:color w:val="auto"/>
                <w:sz w:val="21"/>
                <w:szCs w:val="21"/>
                <w:highlight w:val="none"/>
              </w:rPr>
              <w:t>；农用地□；未利用地□</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占地规模</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w:t>
            </w:r>
            <w:r>
              <w:rPr>
                <w:rFonts w:hint="default"/>
                <w:color w:val="auto"/>
                <w:sz w:val="21"/>
                <w:szCs w:val="21"/>
                <w:highlight w:val="none"/>
                <w:lang w:val="en-US" w:eastAsia="zh-CN"/>
              </w:rPr>
              <w:t>2.7475</w:t>
            </w:r>
            <w:r>
              <w:rPr>
                <w:color w:val="auto"/>
                <w:sz w:val="21"/>
                <w:szCs w:val="21"/>
                <w:highlight w:val="none"/>
              </w:rPr>
              <w:t>）h</w:t>
            </w:r>
            <w:r>
              <w:rPr>
                <w:rFonts w:hint="eastAsia"/>
                <w:color w:val="auto"/>
                <w:sz w:val="21"/>
                <w:szCs w:val="21"/>
                <w:highlight w:val="none"/>
                <w:lang w:val="en-US" w:eastAsia="zh-CN"/>
              </w:rPr>
              <w:t>m</w:t>
            </w:r>
            <w:r>
              <w:rPr>
                <w:rFonts w:hint="eastAsia"/>
                <w:color w:val="auto"/>
                <w:sz w:val="21"/>
                <w:szCs w:val="21"/>
                <w:highlight w:val="none"/>
                <w:vertAlign w:val="superscript"/>
                <w:lang w:val="en-US" w:eastAsia="zh-CN"/>
              </w:rPr>
              <w:t>2</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敏感目标信息</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敏感目标（无）、方位（）、距离（）</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影响途径</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大气沉降</w:t>
            </w:r>
            <w:r>
              <w:rPr>
                <w:rFonts w:hint="eastAsia"/>
                <w:color w:val="auto"/>
                <w:sz w:val="21"/>
                <w:szCs w:val="21"/>
                <w:highlight w:val="none"/>
                <w:lang w:eastAsia="zh-CN"/>
              </w:rPr>
              <w:t>☑</w:t>
            </w:r>
            <w:r>
              <w:rPr>
                <w:color w:val="auto"/>
                <w:sz w:val="21"/>
                <w:szCs w:val="21"/>
                <w:highlight w:val="none"/>
              </w:rPr>
              <w:t>；地面漫流□；垂直入渗</w:t>
            </w:r>
            <w:r>
              <w:rPr>
                <w:color w:val="auto"/>
                <w:sz w:val="21"/>
                <w:szCs w:val="21"/>
                <w:highlight w:val="none"/>
              </w:rPr>
              <w:sym w:font="Wingdings 2" w:char="F052"/>
            </w:r>
            <w:r>
              <w:rPr>
                <w:color w:val="auto"/>
                <w:sz w:val="21"/>
                <w:szCs w:val="21"/>
                <w:highlight w:val="none"/>
              </w:rPr>
              <w:t>；地下水位□；其他（）</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全部污染物</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粉尘和废水</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特征因子</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汞</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所属土壤环境影响评价项目类别</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Ⅰ类□；Ⅱ类□；Ⅲ类</w:t>
            </w:r>
            <w:r>
              <w:rPr>
                <w:color w:val="auto"/>
                <w:sz w:val="21"/>
                <w:szCs w:val="21"/>
                <w:highlight w:val="none"/>
              </w:rPr>
              <w:sym w:font="Wingdings 2" w:char="F052"/>
            </w:r>
            <w:r>
              <w:rPr>
                <w:color w:val="auto"/>
                <w:sz w:val="21"/>
                <w:szCs w:val="21"/>
                <w:highlight w:val="none"/>
              </w:rPr>
              <w:t>；Ⅳ类□</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敏感程度</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敏感</w:t>
            </w:r>
            <w:r>
              <w:rPr>
                <w:rFonts w:hint="eastAsia"/>
                <w:color w:val="auto"/>
                <w:sz w:val="21"/>
                <w:szCs w:val="21"/>
                <w:highlight w:val="none"/>
                <w:lang w:eastAsia="zh-CN"/>
              </w:rPr>
              <w:t>☑</w:t>
            </w:r>
            <w:r>
              <w:rPr>
                <w:color w:val="auto"/>
                <w:sz w:val="21"/>
                <w:szCs w:val="21"/>
                <w:highlight w:val="none"/>
              </w:rPr>
              <w:t>；较敏感</w:t>
            </w:r>
            <w:r>
              <w:rPr>
                <w:rFonts w:hint="eastAsia"/>
                <w:color w:val="auto"/>
                <w:sz w:val="21"/>
                <w:szCs w:val="21"/>
                <w:highlight w:val="none"/>
                <w:lang w:eastAsia="zh-CN"/>
              </w:rPr>
              <w:t>□</w:t>
            </w:r>
            <w:r>
              <w:rPr>
                <w:color w:val="auto"/>
                <w:sz w:val="21"/>
                <w:szCs w:val="21"/>
                <w:highlight w:val="none"/>
              </w:rPr>
              <w:t>；不敏感</w:t>
            </w:r>
            <w:r>
              <w:rPr>
                <w:color w:val="auto"/>
                <w:sz w:val="21"/>
                <w:szCs w:val="21"/>
                <w:highlight w:val="none"/>
              </w:rPr>
              <w:sym w:font="Wingdings 2" w:char="00A3"/>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801" w:type="dxa"/>
            <w:gridSpan w:val="2"/>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评价工作等级</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eastAsia="zh-CN"/>
              </w:rPr>
            </w:pPr>
            <w:r>
              <w:rPr>
                <w:color w:val="auto"/>
                <w:sz w:val="21"/>
                <w:szCs w:val="21"/>
                <w:highlight w:val="none"/>
              </w:rPr>
              <w:t>一级□；二级□；三级</w:t>
            </w:r>
            <w:r>
              <w:rPr>
                <w:rFonts w:hint="eastAsia"/>
                <w:color w:val="auto"/>
                <w:sz w:val="21"/>
                <w:szCs w:val="21"/>
                <w:highlight w:val="none"/>
                <w:lang w:eastAsia="zh-CN"/>
              </w:rPr>
              <w:t>☑</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restar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现状调查内容</w:t>
            </w: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资料收集</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a）□；b）□；c）□；d）□</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理化特性</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同附录C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vMerge w:val="restar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现状监测点位</w:t>
            </w:r>
          </w:p>
        </w:tc>
        <w:tc>
          <w:tcPr>
            <w:tcW w:w="1423"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129" w:type="dxa"/>
            <w:gridSpan w:val="2"/>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占地范围内</w:t>
            </w:r>
          </w:p>
        </w:tc>
        <w:tc>
          <w:tcPr>
            <w:tcW w:w="1276"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占地范围外</w:t>
            </w:r>
          </w:p>
        </w:tc>
        <w:tc>
          <w:tcPr>
            <w:tcW w:w="1842" w:type="dxa"/>
            <w:gridSpan w:val="2"/>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深度</w:t>
            </w:r>
          </w:p>
        </w:tc>
        <w:tc>
          <w:tcPr>
            <w:tcW w:w="1034" w:type="dxa"/>
            <w:vMerge w:val="restar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点位</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布置图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23"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表层样点数</w:t>
            </w:r>
          </w:p>
        </w:tc>
        <w:tc>
          <w:tcPr>
            <w:tcW w:w="1129" w:type="dxa"/>
            <w:gridSpan w:val="2"/>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3</w:t>
            </w:r>
          </w:p>
        </w:tc>
        <w:tc>
          <w:tcPr>
            <w:tcW w:w="1276"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0</w:t>
            </w:r>
          </w:p>
        </w:tc>
        <w:tc>
          <w:tcPr>
            <w:tcW w:w="1842" w:type="dxa"/>
            <w:gridSpan w:val="2"/>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lang w:val="en-US" w:eastAsia="zh-CN"/>
              </w:rPr>
              <w:t>0-</w:t>
            </w:r>
            <w:r>
              <w:rPr>
                <w:color w:val="auto"/>
                <w:sz w:val="21"/>
                <w:szCs w:val="21"/>
                <w:highlight w:val="none"/>
              </w:rPr>
              <w:t>0.2m</w:t>
            </w:r>
          </w:p>
        </w:tc>
        <w:tc>
          <w:tcPr>
            <w:tcW w:w="1034"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23"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柱状样点数</w:t>
            </w:r>
          </w:p>
        </w:tc>
        <w:tc>
          <w:tcPr>
            <w:tcW w:w="1129" w:type="dxa"/>
            <w:gridSpan w:val="2"/>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0</w:t>
            </w:r>
          </w:p>
        </w:tc>
        <w:tc>
          <w:tcPr>
            <w:tcW w:w="1276"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0</w:t>
            </w:r>
          </w:p>
        </w:tc>
        <w:tc>
          <w:tcPr>
            <w:tcW w:w="1842" w:type="dxa"/>
            <w:gridSpan w:val="2"/>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w:t>
            </w:r>
          </w:p>
        </w:tc>
        <w:tc>
          <w:tcPr>
            <w:tcW w:w="1034"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现状监测因子</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b w:val="0"/>
                <w:bCs w:val="0"/>
                <w:color w:val="auto"/>
                <w:sz w:val="21"/>
                <w:szCs w:val="21"/>
                <w:highlight w:val="none"/>
                <w:lang w:val="en-US" w:eastAsia="zh-CN"/>
              </w:rPr>
              <w:t>镉</w:t>
            </w:r>
            <w:r>
              <w:rPr>
                <w:rFonts w:hint="default" w:ascii="Times New Roman" w:hAnsi="Times New Roman"/>
                <w:b w:val="0"/>
                <w:bCs w:val="0"/>
                <w:color w:val="auto"/>
                <w:sz w:val="21"/>
                <w:szCs w:val="21"/>
                <w:highlight w:val="none"/>
              </w:rPr>
              <w:t>、汞、砷、铅、铜、镍、铬(六价)</w:t>
            </w:r>
            <w:r>
              <w:rPr>
                <w:rFonts w:hint="eastAsia"/>
                <w:b w:val="0"/>
                <w:bCs w:val="0"/>
                <w:color w:val="auto"/>
                <w:sz w:val="21"/>
                <w:szCs w:val="21"/>
                <w:highlight w:val="none"/>
                <w:lang w:eastAsia="zh-CN"/>
              </w:rPr>
              <w:t>、四氯化碳、氯仿、</w:t>
            </w:r>
            <w:r>
              <w:rPr>
                <w:rFonts w:hint="eastAsia"/>
                <w:b w:val="0"/>
                <w:bCs w:val="0"/>
                <w:color w:val="auto"/>
                <w:sz w:val="21"/>
                <w:szCs w:val="21"/>
                <w:highlight w:val="none"/>
                <w:lang w:val="en-US" w:eastAsia="zh-CN"/>
              </w:rPr>
              <w:t>氯甲烷、</w:t>
            </w:r>
            <w:r>
              <w:rPr>
                <w:rFonts w:hint="eastAsia"/>
                <w:b w:val="0"/>
                <w:bCs w:val="0"/>
                <w:color w:val="auto"/>
                <w:sz w:val="21"/>
                <w:szCs w:val="21"/>
                <w:highlight w:val="none"/>
                <w:lang w:eastAsia="zh-CN"/>
              </w:rPr>
              <w:t>1，1-二氯乙烷、1，2-二氯乙烷、1，1-二氯乙烯、顺-1，2-二氯乙烯、反-1，2-二氯乙烯、二氯甲烷、1，2-二氯丙烷、1，1，1，2-四氯乙烷、1，1，2，2-四氯乙烷、四氯乙烯、1，1，1-三氯乙烷、1，1，2-三氯乙烷、三氯乙烯、1，2，3-三氯丙烷、氯乙烯、苯、氯苯、1，2-二氯苯、1，4</w:t>
            </w:r>
            <w:r>
              <w:rPr>
                <w:rFonts w:hint="eastAsia"/>
                <w:b w:val="0"/>
                <w:bCs w:val="0"/>
                <w:color w:val="auto"/>
                <w:sz w:val="21"/>
                <w:szCs w:val="21"/>
                <w:highlight w:val="none"/>
                <w:lang w:val="en-US" w:eastAsia="zh-CN"/>
              </w:rPr>
              <w:t>-</w:t>
            </w:r>
            <w:r>
              <w:rPr>
                <w:rFonts w:hint="eastAsia"/>
                <w:b w:val="0"/>
                <w:bCs w:val="0"/>
                <w:color w:val="auto"/>
                <w:sz w:val="21"/>
                <w:szCs w:val="21"/>
                <w:highlight w:val="none"/>
                <w:lang w:eastAsia="zh-CN"/>
              </w:rPr>
              <w:t>二氯苯、乙苯、苯乙烯、甲苯、间</w:t>
            </w:r>
            <w:r>
              <w:rPr>
                <w:rFonts w:hint="eastAsia"/>
                <w:b w:val="0"/>
                <w:bCs w:val="0"/>
                <w:color w:val="auto"/>
                <w:sz w:val="21"/>
                <w:szCs w:val="21"/>
                <w:highlight w:val="none"/>
                <w:lang w:val="en-US" w:eastAsia="zh-CN"/>
              </w:rPr>
              <w:t>-</w:t>
            </w:r>
            <w:r>
              <w:rPr>
                <w:rFonts w:hint="eastAsia"/>
                <w:b w:val="0"/>
                <w:bCs w:val="0"/>
                <w:color w:val="auto"/>
                <w:sz w:val="21"/>
                <w:szCs w:val="21"/>
                <w:highlight w:val="none"/>
                <w:lang w:eastAsia="zh-CN"/>
              </w:rPr>
              <w:t>二甲苯+对</w:t>
            </w:r>
            <w:r>
              <w:rPr>
                <w:rFonts w:hint="eastAsia"/>
                <w:b w:val="0"/>
                <w:bCs w:val="0"/>
                <w:color w:val="auto"/>
                <w:sz w:val="21"/>
                <w:szCs w:val="21"/>
                <w:highlight w:val="none"/>
                <w:lang w:val="en-US" w:eastAsia="zh-CN"/>
              </w:rPr>
              <w:t>-</w:t>
            </w:r>
            <w:r>
              <w:rPr>
                <w:rFonts w:hint="eastAsia"/>
                <w:b w:val="0"/>
                <w:bCs w:val="0"/>
                <w:color w:val="auto"/>
                <w:sz w:val="21"/>
                <w:szCs w:val="21"/>
                <w:highlight w:val="none"/>
                <w:lang w:eastAsia="zh-CN"/>
              </w:rPr>
              <w:t>二甲苯、邻</w:t>
            </w:r>
            <w:r>
              <w:rPr>
                <w:rFonts w:hint="eastAsia"/>
                <w:b w:val="0"/>
                <w:bCs w:val="0"/>
                <w:color w:val="auto"/>
                <w:sz w:val="21"/>
                <w:szCs w:val="21"/>
                <w:highlight w:val="none"/>
                <w:lang w:val="en-US" w:eastAsia="zh-CN"/>
              </w:rPr>
              <w:t>-</w:t>
            </w:r>
            <w:r>
              <w:rPr>
                <w:rFonts w:hint="eastAsia"/>
                <w:b w:val="0"/>
                <w:bCs w:val="0"/>
                <w:color w:val="auto"/>
                <w:sz w:val="21"/>
                <w:szCs w:val="21"/>
                <w:highlight w:val="none"/>
                <w:lang w:eastAsia="zh-CN"/>
              </w:rPr>
              <w:t>二甲苯、硝基苯、苯胺、2-氯酚、苯并[</w:t>
            </w:r>
            <w:r>
              <w:rPr>
                <w:rFonts w:hint="eastAsia"/>
                <w:b w:val="0"/>
                <w:bCs w:val="0"/>
                <w:color w:val="auto"/>
                <w:sz w:val="21"/>
                <w:szCs w:val="21"/>
                <w:highlight w:val="none"/>
                <w:lang w:val="en-US" w:eastAsia="zh-CN"/>
              </w:rPr>
              <w:t>α</w:t>
            </w:r>
            <w:r>
              <w:rPr>
                <w:rFonts w:hint="eastAsia"/>
                <w:b w:val="0"/>
                <w:bCs w:val="0"/>
                <w:color w:val="auto"/>
                <w:sz w:val="21"/>
                <w:szCs w:val="21"/>
                <w:highlight w:val="none"/>
                <w:lang w:eastAsia="zh-CN"/>
              </w:rPr>
              <w:t>]</w:t>
            </w:r>
            <w:r>
              <w:rPr>
                <w:rFonts w:hint="eastAsia"/>
                <w:b w:val="0"/>
                <w:bCs w:val="0"/>
                <w:color w:val="auto"/>
                <w:sz w:val="21"/>
                <w:szCs w:val="21"/>
                <w:highlight w:val="none"/>
                <w:lang w:val="en-US" w:eastAsia="zh-CN"/>
              </w:rPr>
              <w:t>蒽</w:t>
            </w:r>
            <w:r>
              <w:rPr>
                <w:rFonts w:hint="eastAsia"/>
                <w:b w:val="0"/>
                <w:bCs w:val="0"/>
                <w:color w:val="auto"/>
                <w:sz w:val="21"/>
                <w:szCs w:val="21"/>
                <w:highlight w:val="none"/>
                <w:lang w:eastAsia="zh-CN"/>
              </w:rPr>
              <w:t>、苯并[</w:t>
            </w:r>
            <w:r>
              <w:rPr>
                <w:rFonts w:hint="eastAsia"/>
                <w:b w:val="0"/>
                <w:bCs w:val="0"/>
                <w:color w:val="auto"/>
                <w:sz w:val="21"/>
                <w:szCs w:val="21"/>
                <w:highlight w:val="none"/>
                <w:lang w:val="en-US" w:eastAsia="zh-CN"/>
              </w:rPr>
              <w:t>α</w:t>
            </w:r>
            <w:r>
              <w:rPr>
                <w:rFonts w:hint="eastAsia"/>
                <w:b w:val="0"/>
                <w:bCs w:val="0"/>
                <w:color w:val="auto"/>
                <w:sz w:val="21"/>
                <w:szCs w:val="21"/>
                <w:highlight w:val="none"/>
                <w:lang w:eastAsia="zh-CN"/>
              </w:rPr>
              <w:t>]</w:t>
            </w:r>
            <w:r>
              <w:rPr>
                <w:rFonts w:hint="eastAsia"/>
                <w:b w:val="0"/>
                <w:bCs w:val="0"/>
                <w:color w:val="auto"/>
                <w:sz w:val="21"/>
                <w:szCs w:val="21"/>
                <w:highlight w:val="none"/>
                <w:lang w:val="en-US" w:eastAsia="zh-CN"/>
              </w:rPr>
              <w:t>芘</w:t>
            </w:r>
            <w:r>
              <w:rPr>
                <w:rFonts w:hint="eastAsia"/>
                <w:b w:val="0"/>
                <w:bCs w:val="0"/>
                <w:color w:val="auto"/>
                <w:sz w:val="21"/>
                <w:szCs w:val="21"/>
                <w:highlight w:val="none"/>
                <w:lang w:eastAsia="zh-CN"/>
              </w:rPr>
              <w:t>、苯并[b]荧</w:t>
            </w:r>
            <w:r>
              <w:rPr>
                <w:rFonts w:hint="eastAsia"/>
                <w:b w:val="0"/>
                <w:bCs w:val="0"/>
                <w:color w:val="auto"/>
                <w:sz w:val="21"/>
                <w:szCs w:val="21"/>
                <w:highlight w:val="none"/>
                <w:lang w:val="en-US" w:eastAsia="zh-CN"/>
              </w:rPr>
              <w:t>蒽</w:t>
            </w:r>
            <w:r>
              <w:rPr>
                <w:rFonts w:hint="eastAsia"/>
                <w:b w:val="0"/>
                <w:bCs w:val="0"/>
                <w:color w:val="auto"/>
                <w:sz w:val="21"/>
                <w:szCs w:val="21"/>
                <w:highlight w:val="none"/>
                <w:lang w:eastAsia="zh-CN"/>
              </w:rPr>
              <w:t>、苯并[k]荧</w:t>
            </w:r>
            <w:r>
              <w:rPr>
                <w:rFonts w:hint="eastAsia"/>
                <w:b w:val="0"/>
                <w:bCs w:val="0"/>
                <w:color w:val="auto"/>
                <w:sz w:val="21"/>
                <w:szCs w:val="21"/>
                <w:highlight w:val="none"/>
                <w:lang w:val="en-US" w:eastAsia="zh-CN"/>
              </w:rPr>
              <w:t>蒽</w:t>
            </w:r>
            <w:r>
              <w:rPr>
                <w:rFonts w:hint="eastAsia"/>
                <w:b w:val="0"/>
                <w:bCs w:val="0"/>
                <w:color w:val="auto"/>
                <w:sz w:val="21"/>
                <w:szCs w:val="21"/>
                <w:highlight w:val="none"/>
                <w:lang w:eastAsia="zh-CN"/>
              </w:rPr>
              <w:t>、䓛、二苯并[</w:t>
            </w:r>
            <w:r>
              <w:rPr>
                <w:rFonts w:hint="eastAsia"/>
                <w:b w:val="0"/>
                <w:bCs w:val="0"/>
                <w:color w:val="auto"/>
                <w:sz w:val="21"/>
                <w:szCs w:val="21"/>
                <w:highlight w:val="none"/>
                <w:lang w:val="en-US" w:eastAsia="zh-CN"/>
              </w:rPr>
              <w:t>α</w:t>
            </w:r>
            <w:r>
              <w:rPr>
                <w:rFonts w:hint="eastAsia"/>
                <w:b w:val="0"/>
                <w:bCs w:val="0"/>
                <w:color w:val="auto"/>
                <w:sz w:val="21"/>
                <w:szCs w:val="21"/>
                <w:highlight w:val="none"/>
                <w:lang w:eastAsia="zh-CN"/>
              </w:rPr>
              <w:t>，h]</w:t>
            </w:r>
            <w:r>
              <w:rPr>
                <w:rFonts w:hint="eastAsia"/>
                <w:b w:val="0"/>
                <w:bCs w:val="0"/>
                <w:color w:val="auto"/>
                <w:sz w:val="21"/>
                <w:szCs w:val="21"/>
                <w:highlight w:val="none"/>
                <w:lang w:val="en-US" w:eastAsia="zh-CN"/>
              </w:rPr>
              <w:t>蒽</w:t>
            </w:r>
            <w:r>
              <w:rPr>
                <w:rFonts w:hint="eastAsia"/>
                <w:b w:val="0"/>
                <w:bCs w:val="0"/>
                <w:color w:val="auto"/>
                <w:sz w:val="21"/>
                <w:szCs w:val="21"/>
                <w:highlight w:val="none"/>
                <w:lang w:eastAsia="zh-CN"/>
              </w:rPr>
              <w:t>、</w:t>
            </w:r>
            <w:r>
              <w:rPr>
                <w:rFonts w:hint="eastAsia"/>
                <w:b w:val="0"/>
                <w:bCs w:val="0"/>
                <w:color w:val="auto"/>
                <w:sz w:val="21"/>
                <w:szCs w:val="21"/>
                <w:highlight w:val="none"/>
                <w:lang w:val="en-US" w:eastAsia="zh-CN"/>
              </w:rPr>
              <w:t>茚</w:t>
            </w:r>
            <w:r>
              <w:rPr>
                <w:rFonts w:hint="eastAsia"/>
                <w:b w:val="0"/>
                <w:bCs w:val="0"/>
                <w:color w:val="auto"/>
                <w:sz w:val="21"/>
                <w:szCs w:val="21"/>
                <w:highlight w:val="none"/>
                <w:lang w:eastAsia="zh-CN"/>
              </w:rPr>
              <w:t>并[1，2，3-cd]</w:t>
            </w:r>
            <w:r>
              <w:rPr>
                <w:rFonts w:hint="eastAsia"/>
                <w:b w:val="0"/>
                <w:bCs w:val="0"/>
                <w:color w:val="auto"/>
                <w:sz w:val="21"/>
                <w:szCs w:val="21"/>
                <w:highlight w:val="none"/>
                <w:lang w:val="en-US" w:eastAsia="zh-CN"/>
              </w:rPr>
              <w:t>芘</w:t>
            </w:r>
            <w:r>
              <w:rPr>
                <w:rFonts w:hint="eastAsia"/>
                <w:b w:val="0"/>
                <w:bCs w:val="0"/>
                <w:color w:val="auto"/>
                <w:sz w:val="21"/>
                <w:szCs w:val="21"/>
                <w:highlight w:val="none"/>
                <w:lang w:eastAsia="zh-CN"/>
              </w:rPr>
              <w:t>、</w:t>
            </w:r>
            <w:r>
              <w:rPr>
                <w:rFonts w:hint="eastAsia"/>
                <w:b w:val="0"/>
                <w:bCs w:val="0"/>
                <w:color w:val="auto"/>
                <w:sz w:val="21"/>
                <w:szCs w:val="21"/>
                <w:highlight w:val="none"/>
                <w:lang w:val="en-US" w:eastAsia="zh-CN"/>
              </w:rPr>
              <w:t>萘</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restar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现状评</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价</w:t>
            </w: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评价因子</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lang w:val="en-US" w:eastAsia="zh-CN"/>
              </w:rPr>
              <w:t>/</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评价标准</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GB15618□；GB36600</w:t>
            </w:r>
            <w:r>
              <w:rPr>
                <w:color w:val="auto"/>
                <w:sz w:val="21"/>
                <w:szCs w:val="21"/>
                <w:highlight w:val="none"/>
              </w:rPr>
              <w:sym w:font="Wingdings 2" w:char="F052"/>
            </w:r>
            <w:r>
              <w:rPr>
                <w:color w:val="auto"/>
                <w:sz w:val="21"/>
                <w:szCs w:val="21"/>
                <w:highlight w:val="none"/>
              </w:rPr>
              <w:t>；表D.1□；表D.2□；其他（）</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现状评价结论</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lang w:val="zh-CN"/>
              </w:rPr>
              <w:t>各监测点土壤中的各监测因子均能满足《</w:t>
            </w:r>
            <w:r>
              <w:rPr>
                <w:rFonts w:hint="eastAsia"/>
                <w:color w:val="auto"/>
                <w:sz w:val="21"/>
                <w:szCs w:val="21"/>
                <w:highlight w:val="none"/>
                <w:lang w:val="zh-CN"/>
              </w:rPr>
              <w:t>土壤环境质量 建设用地土壤污染风险管控标准（试行）</w:t>
            </w:r>
            <w:r>
              <w:rPr>
                <w:color w:val="auto"/>
                <w:sz w:val="21"/>
                <w:szCs w:val="21"/>
                <w:highlight w:val="none"/>
                <w:lang w:val="zh-CN"/>
              </w:rPr>
              <w:t>》（GB36600-2018）第二类用地筛选限值</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restar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影响预测</w:t>
            </w: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预测因子</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定性描述</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预测方法</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附录E□；附录F□；其他（定性描述）</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预测分析内容</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影响范围（占地范围内）</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影响程度（小）</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预测结论</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达标结论：a）</w:t>
            </w:r>
            <w:r>
              <w:rPr>
                <w:color w:val="auto"/>
                <w:sz w:val="21"/>
                <w:szCs w:val="21"/>
                <w:highlight w:val="none"/>
              </w:rPr>
              <w:sym w:font="Wingdings 2" w:char="F052"/>
            </w:r>
            <w:r>
              <w:rPr>
                <w:color w:val="auto"/>
                <w:sz w:val="21"/>
                <w:szCs w:val="21"/>
                <w:highlight w:val="none"/>
              </w:rPr>
              <w:t>；b）□；c）□</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不达标结论：a）□；b）□</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restar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防治措</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施</w:t>
            </w: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防控措施</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土壤环境质量现状保障□；源头控制</w:t>
            </w:r>
            <w:r>
              <w:rPr>
                <w:color w:val="auto"/>
                <w:sz w:val="21"/>
                <w:szCs w:val="21"/>
                <w:highlight w:val="none"/>
              </w:rPr>
              <w:sym w:font="Wingdings 2" w:char="F052"/>
            </w:r>
            <w:r>
              <w:rPr>
                <w:color w:val="auto"/>
                <w:sz w:val="21"/>
                <w:szCs w:val="21"/>
                <w:highlight w:val="none"/>
              </w:rPr>
              <w:t>；过程防控</w:t>
            </w:r>
            <w:r>
              <w:rPr>
                <w:color w:val="auto"/>
                <w:sz w:val="21"/>
                <w:szCs w:val="21"/>
                <w:highlight w:val="none"/>
              </w:rPr>
              <w:sym w:font="Wingdings 2" w:char="F052"/>
            </w:r>
            <w:r>
              <w:rPr>
                <w:color w:val="auto"/>
                <w:sz w:val="21"/>
                <w:szCs w:val="21"/>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其他（）</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vMerge w:val="restar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跟踪监测</w:t>
            </w:r>
          </w:p>
        </w:tc>
        <w:tc>
          <w:tcPr>
            <w:tcW w:w="1560" w:type="dxa"/>
            <w:gridSpan w:val="2"/>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监测点数</w:t>
            </w:r>
          </w:p>
        </w:tc>
        <w:tc>
          <w:tcPr>
            <w:tcW w:w="2835" w:type="dxa"/>
            <w:gridSpan w:val="3"/>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监测指标</w:t>
            </w:r>
          </w:p>
        </w:tc>
        <w:tc>
          <w:tcPr>
            <w:tcW w:w="127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监测频次</w:t>
            </w:r>
          </w:p>
        </w:tc>
        <w:tc>
          <w:tcPr>
            <w:tcW w:w="1034" w:type="dxa"/>
            <w:vMerge w:val="restar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560" w:type="dxa"/>
            <w:gridSpan w:val="2"/>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w:t>
            </w:r>
          </w:p>
        </w:tc>
        <w:tc>
          <w:tcPr>
            <w:tcW w:w="2835" w:type="dxa"/>
            <w:gridSpan w:val="3"/>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w:t>
            </w:r>
          </w:p>
        </w:tc>
        <w:tc>
          <w:tcPr>
            <w:tcW w:w="127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w:t>
            </w:r>
          </w:p>
        </w:tc>
        <w:tc>
          <w:tcPr>
            <w:tcW w:w="1034"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6"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405"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信息公开指标</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w:t>
            </w:r>
          </w:p>
        </w:tc>
        <w:tc>
          <w:tcPr>
            <w:tcW w:w="1034" w:type="dxa"/>
            <w:vMerge w:val="continue"/>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801" w:type="dxa"/>
            <w:gridSpan w:val="2"/>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评价结论</w:t>
            </w:r>
          </w:p>
        </w:tc>
        <w:tc>
          <w:tcPr>
            <w:tcW w:w="5670" w:type="dxa"/>
            <w:gridSpan w:val="6"/>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可行</w:t>
            </w:r>
          </w:p>
        </w:tc>
        <w:tc>
          <w:tcPr>
            <w:tcW w:w="103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505" w:type="dxa"/>
            <w:gridSpan w:val="9"/>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注1：“□”为勾选项，可√；“（ ）”为内容填写项；“备注”为其他补充内容。</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注2：需要分别开展土壤</w:t>
            </w:r>
            <w:r>
              <w:rPr>
                <w:rFonts w:hint="eastAsia"/>
                <w:color w:val="auto"/>
                <w:sz w:val="21"/>
                <w:szCs w:val="21"/>
                <w:highlight w:val="none"/>
                <w:lang w:eastAsia="zh-CN"/>
              </w:rPr>
              <w:t>环境影响评级</w:t>
            </w:r>
            <w:r>
              <w:rPr>
                <w:color w:val="auto"/>
                <w:sz w:val="21"/>
                <w:szCs w:val="21"/>
                <w:highlight w:val="none"/>
              </w:rPr>
              <w:t>工作的，分别填写自查表。</w:t>
            </w:r>
          </w:p>
        </w:tc>
      </w:tr>
    </w:tbl>
    <w:p>
      <w:pPr>
        <w:pStyle w:val="4"/>
        <w:bidi w:val="0"/>
        <w:rPr>
          <w:color w:val="auto"/>
          <w:highlight w:val="none"/>
        </w:rPr>
      </w:pPr>
      <w:bookmarkStart w:id="47" w:name="_Toc489296725"/>
      <w:bookmarkStart w:id="48" w:name="_Toc26306"/>
      <w:bookmarkStart w:id="49" w:name="_Toc763"/>
      <w:bookmarkStart w:id="50" w:name="_Toc3567"/>
      <w:bookmarkStart w:id="51" w:name="_Toc25348"/>
      <w:bookmarkStart w:id="52" w:name="_Toc17981"/>
      <w:bookmarkStart w:id="53" w:name="_Toc22810"/>
      <w:bookmarkStart w:id="54" w:name="_Toc3448"/>
      <w:bookmarkStart w:id="55" w:name="_Toc13396"/>
      <w:bookmarkStart w:id="56" w:name="_Toc27565"/>
      <w:bookmarkStart w:id="57" w:name="_Toc29303"/>
      <w:bookmarkStart w:id="58" w:name="_Toc3894"/>
      <w:bookmarkStart w:id="59" w:name="_Toc13287"/>
      <w:r>
        <w:rPr>
          <w:rFonts w:hint="eastAsia"/>
          <w:color w:val="auto"/>
          <w:highlight w:val="none"/>
          <w:lang w:val="en-US" w:eastAsia="zh-CN"/>
        </w:rPr>
        <w:t>6.2.6</w:t>
      </w:r>
      <w:r>
        <w:rPr>
          <w:rFonts w:hint="eastAsia"/>
          <w:color w:val="auto"/>
          <w:highlight w:val="none"/>
        </w:rPr>
        <w:t>环境风险评价</w:t>
      </w:r>
      <w:bookmarkEnd w:id="47"/>
      <w:bookmarkEnd w:id="48"/>
      <w:bookmarkEnd w:id="49"/>
      <w:bookmarkEnd w:id="50"/>
      <w:bookmarkEnd w:id="51"/>
      <w:bookmarkEnd w:id="52"/>
      <w:bookmarkEnd w:id="53"/>
      <w:bookmarkEnd w:id="54"/>
      <w:bookmarkEnd w:id="55"/>
      <w:bookmarkEnd w:id="56"/>
      <w:bookmarkEnd w:id="57"/>
      <w:bookmarkEnd w:id="58"/>
      <w:bookmarkEnd w:id="59"/>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firstLine="472" w:firstLineChars="200"/>
        <w:jc w:val="both"/>
        <w:textAlignment w:val="auto"/>
        <w:rPr>
          <w:color w:val="auto"/>
        </w:rPr>
      </w:pPr>
      <w:r>
        <w:rPr>
          <w:color w:val="auto"/>
          <w:spacing w:val="-2"/>
        </w:rPr>
        <w:t>集中供热工程是一个系统工程，在其运行过程中不可避免地会</w:t>
      </w:r>
      <w:r>
        <w:rPr>
          <w:color w:val="auto"/>
          <w:spacing w:val="-3"/>
        </w:rPr>
        <w:t>出现一些故障而造</w:t>
      </w:r>
      <w:r>
        <w:rPr>
          <w:color w:val="auto"/>
          <w:spacing w:val="4"/>
        </w:rPr>
        <w:t>成环境风险。环境风险评价应以突发性事故导致的危险物质环境急性损害防控为目</w:t>
      </w:r>
      <w:r>
        <w:rPr>
          <w:color w:val="auto"/>
          <w:spacing w:val="-2"/>
        </w:rPr>
        <w:t>标，对建设项目的环境风险进行分析、预测和评估，提出环境风险预防、控制、</w:t>
      </w:r>
      <w:r>
        <w:rPr>
          <w:color w:val="auto"/>
          <w:spacing w:val="-3"/>
        </w:rPr>
        <w:t>减缓</w:t>
      </w:r>
      <w:r>
        <w:rPr>
          <w:color w:val="auto"/>
          <w:spacing w:val="-1"/>
        </w:rPr>
        <w:t>措施，明确环境风险监控及应急建议要求，为建设项目</w:t>
      </w:r>
      <w:r>
        <w:rPr>
          <w:color w:val="auto"/>
          <w:spacing w:val="-2"/>
        </w:rPr>
        <w:t>环境风险防控提供科学依据。</w:t>
      </w:r>
    </w:p>
    <w:p>
      <w:pPr>
        <w:pStyle w:val="5"/>
        <w:bidi w:val="0"/>
        <w:ind w:left="0" w:leftChars="0" w:firstLine="0" w:firstLineChars="0"/>
        <w:rPr>
          <w:color w:val="auto"/>
          <w:sz w:val="28"/>
          <w:szCs w:val="28"/>
        </w:rPr>
      </w:pPr>
      <w:r>
        <w:rPr>
          <w:rFonts w:hint="eastAsia" w:eastAsia="宋体" w:cs="Times New Roman"/>
          <w:b/>
          <w:bCs/>
          <w:color w:val="auto"/>
          <w:spacing w:val="-2"/>
          <w:sz w:val="28"/>
          <w:szCs w:val="28"/>
          <w:lang w:val="en-US" w:eastAsia="zh-CN"/>
        </w:rPr>
        <w:t>6</w:t>
      </w:r>
      <w:r>
        <w:rPr>
          <w:rFonts w:ascii="Times New Roman" w:hAnsi="Times New Roman" w:eastAsia="Times New Roman" w:cs="Times New Roman"/>
          <w:b/>
          <w:bCs/>
          <w:color w:val="auto"/>
          <w:spacing w:val="-2"/>
          <w:sz w:val="28"/>
          <w:szCs w:val="28"/>
        </w:rPr>
        <w:t>.</w:t>
      </w:r>
      <w:r>
        <w:rPr>
          <w:rFonts w:hint="eastAsia" w:eastAsia="宋体" w:cs="Times New Roman"/>
          <w:b/>
          <w:bCs/>
          <w:color w:val="auto"/>
          <w:spacing w:val="-2"/>
          <w:sz w:val="28"/>
          <w:szCs w:val="28"/>
          <w:lang w:val="en-US" w:eastAsia="zh-CN"/>
        </w:rPr>
        <w:t>2.6.1</w:t>
      </w:r>
      <w:r>
        <w:rPr>
          <w:b/>
          <w:bCs/>
          <w:color w:val="auto"/>
          <w:spacing w:val="-2"/>
          <w:sz w:val="28"/>
          <w:szCs w:val="28"/>
        </w:rPr>
        <w:t>环境风险评价工作等级划分</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2" w:firstLineChars="200"/>
        <w:jc w:val="both"/>
        <w:textAlignment w:val="auto"/>
        <w:rPr>
          <w:color w:val="auto"/>
          <w:spacing w:val="1"/>
        </w:rPr>
      </w:pPr>
      <w:r>
        <w:rPr>
          <w:color w:val="auto"/>
          <w:spacing w:val="-2"/>
        </w:rPr>
        <w:t>依据《建设项目环境风险评价技术导则》（HJ169-2018）要求，环境风险评价工作等级划分为一级、二级、三级。根据建设项目涉及的物质及工艺系统危险</w:t>
      </w:r>
      <w:r>
        <w:rPr>
          <w:color w:val="auto"/>
          <w:spacing w:val="-3"/>
        </w:rPr>
        <w:t>性和所在</w:t>
      </w:r>
      <w:r>
        <w:rPr>
          <w:color w:val="auto"/>
          <w:spacing w:val="1"/>
        </w:rPr>
        <w:t>地的环境敏感性确定环境风险潜势，按表</w:t>
      </w:r>
      <w:r>
        <w:rPr>
          <w:rFonts w:hint="eastAsia"/>
          <w:color w:val="auto"/>
          <w:spacing w:val="1"/>
          <w:lang w:val="en-US" w:eastAsia="zh-CN"/>
        </w:rPr>
        <w:t>6.2.6-1</w:t>
      </w:r>
      <w:r>
        <w:rPr>
          <w:color w:val="auto"/>
          <w:spacing w:val="1"/>
        </w:rPr>
        <w:t>确定风险评价工作等级。</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表</w:t>
      </w:r>
      <w:r>
        <w:rPr>
          <w:rFonts w:hint="eastAsia" w:cs="Times New Roman"/>
          <w:b/>
          <w:bCs/>
          <w:color w:val="auto"/>
          <w:sz w:val="21"/>
          <w:szCs w:val="21"/>
          <w:highlight w:val="none"/>
          <w:lang w:val="en-US" w:eastAsia="zh-CN"/>
        </w:rPr>
        <w:t>6.2.6-1</w:t>
      </w:r>
      <w:r>
        <w:rPr>
          <w:rFonts w:ascii="Times New Roman" w:hAnsi="Times New Roman" w:eastAsia="宋体" w:cs="Times New Roman"/>
          <w:b/>
          <w:bCs/>
          <w:color w:val="auto"/>
          <w:sz w:val="21"/>
          <w:szCs w:val="21"/>
          <w:highlight w:val="none"/>
        </w:rPr>
        <w:t xml:space="preserve">   风险评价工作等级划分表</w:t>
      </w:r>
    </w:p>
    <w:tbl>
      <w:tblPr>
        <w:tblStyle w:val="66"/>
        <w:tblW w:w="500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45"/>
        <w:gridCol w:w="1565"/>
        <w:gridCol w:w="1620"/>
        <w:gridCol w:w="2232"/>
        <w:gridCol w:w="156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环境风险潜势</w:t>
            </w:r>
          </w:p>
        </w:tc>
        <w:tc>
          <w:tcPr>
            <w:tcW w:w="156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IV、IV</w:t>
            </w:r>
            <w:r>
              <w:rPr>
                <w:rFonts w:ascii="Times New Roman" w:hAnsi="Times New Roman" w:eastAsia="宋体" w:cs="Times New Roman"/>
                <w:color w:val="auto"/>
                <w:sz w:val="21"/>
                <w:szCs w:val="21"/>
                <w:highlight w:val="none"/>
                <w:vertAlign w:val="superscript"/>
              </w:rPr>
              <w:t>+</w:t>
            </w:r>
          </w:p>
        </w:tc>
        <w:tc>
          <w:tcPr>
            <w:tcW w:w="16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III</w:t>
            </w:r>
          </w:p>
        </w:tc>
        <w:tc>
          <w:tcPr>
            <w:tcW w:w="22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II</w:t>
            </w:r>
          </w:p>
        </w:tc>
        <w:tc>
          <w:tcPr>
            <w:tcW w:w="15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I</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评价工作等级</w:t>
            </w:r>
          </w:p>
        </w:tc>
        <w:tc>
          <w:tcPr>
            <w:tcW w:w="156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一</w:t>
            </w:r>
          </w:p>
        </w:tc>
        <w:tc>
          <w:tcPr>
            <w:tcW w:w="16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二</w:t>
            </w:r>
          </w:p>
        </w:tc>
        <w:tc>
          <w:tcPr>
            <w:tcW w:w="22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三</w:t>
            </w:r>
          </w:p>
        </w:tc>
        <w:tc>
          <w:tcPr>
            <w:tcW w:w="15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简单分析a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310"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a是相对于详细评价工作内容而言，在描述危险物质、环境影响途径、环境危害后果、风险防范措施等方面给出定性的说明。见附录A。</w:t>
            </w:r>
          </w:p>
        </w:tc>
      </w:tr>
    </w:tbl>
    <w:p>
      <w:pPr>
        <w:spacing w:line="28" w:lineRule="exact"/>
        <w:ind w:firstLine="4"/>
        <w:rPr>
          <w:color w:val="auto"/>
        </w:rPr>
      </w:pP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风险潜势为Ⅳ及以上，进行一级评价；风险潜势为Ⅲ</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进行二级评价；风险潜势为Ⅱ</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进行三级评价；风险潜势为Ⅰ</w:t>
      </w:r>
      <w:r>
        <w:rPr>
          <w:rFonts w:hint="eastAsia"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可开展简单分析。</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
          <w:position w:val="3"/>
          <w:sz w:val="24"/>
          <w:szCs w:val="24"/>
        </w:rPr>
        <w:t>（1）危险物质数量与临界量比值（Q）</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88"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
          <w:sz w:val="24"/>
          <w:szCs w:val="24"/>
        </w:rPr>
        <w:t>计算</w:t>
      </w:r>
      <w:r>
        <w:rPr>
          <w:rFonts w:hint="default" w:ascii="Times New Roman" w:hAnsi="Times New Roman" w:eastAsia="宋体" w:cs="Times New Roman"/>
          <w:color w:val="auto"/>
          <w:kern w:val="0"/>
          <w:sz w:val="24"/>
          <w:szCs w:val="24"/>
          <w:highlight w:val="none"/>
          <w:lang w:val="en-US" w:eastAsia="zh-CN" w:bidi="ar-SA"/>
        </w:rPr>
        <w:t>所涉及的每种危险物质在厂界内的最大存在总量与其在附录B中对应临界量的比值Q。在不</w:t>
      </w:r>
      <w:r>
        <w:rPr>
          <w:rFonts w:hint="default" w:ascii="Times New Roman" w:hAnsi="Times New Roman" w:eastAsia="宋体" w:cs="Times New Roman"/>
          <w:color w:val="auto"/>
          <w:spacing w:val="-2"/>
          <w:sz w:val="24"/>
          <w:szCs w:val="24"/>
        </w:rPr>
        <w:t>同厂区的同一种物质，按其在厂界内的最大存在总量计算。对</w:t>
      </w:r>
      <w:r>
        <w:rPr>
          <w:rFonts w:hint="default" w:ascii="Times New Roman" w:hAnsi="Times New Roman" w:eastAsia="宋体" w:cs="Times New Roman"/>
          <w:color w:val="auto"/>
          <w:spacing w:val="-3"/>
          <w:sz w:val="24"/>
          <w:szCs w:val="24"/>
        </w:rPr>
        <w:t>于长</w:t>
      </w:r>
      <w:r>
        <w:rPr>
          <w:rFonts w:hint="default" w:ascii="Times New Roman" w:hAnsi="Times New Roman" w:eastAsia="宋体" w:cs="Times New Roman"/>
          <w:color w:val="auto"/>
          <w:sz w:val="24"/>
          <w:szCs w:val="24"/>
        </w:rPr>
        <w:t>输管线项目，按照两个截断阀室之间管段危险物</w:t>
      </w:r>
      <w:r>
        <w:rPr>
          <w:rFonts w:hint="default" w:ascii="Times New Roman" w:hAnsi="Times New Roman" w:eastAsia="宋体" w:cs="Times New Roman"/>
          <w:color w:val="auto"/>
          <w:spacing w:val="-1"/>
          <w:sz w:val="24"/>
          <w:szCs w:val="24"/>
        </w:rPr>
        <w:t>质最大存在总量计算。</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当只涉及一种危险物质时，计算该物质的总量与其临界量比值，即为Q；当存在</w:t>
      </w:r>
      <w:r>
        <w:rPr>
          <w:rFonts w:hint="default" w:ascii="Times New Roman" w:hAnsi="Times New Roman" w:eastAsia="宋体" w:cs="Times New Roman"/>
          <w:color w:val="auto"/>
          <w:spacing w:val="11"/>
          <w:sz w:val="24"/>
          <w:szCs w:val="24"/>
        </w:rPr>
        <w:t xml:space="preserve"> </w:t>
      </w:r>
      <w:r>
        <w:rPr>
          <w:rFonts w:hint="default" w:ascii="Times New Roman" w:hAnsi="Times New Roman" w:eastAsia="宋体" w:cs="Times New Roman"/>
          <w:color w:val="auto"/>
          <w:spacing w:val="-2"/>
          <w:sz w:val="24"/>
          <w:szCs w:val="24"/>
        </w:rPr>
        <w:t>多种危险物质时，则按式（C.1）计算物质总量与其临界量比值（Q</w:t>
      </w:r>
      <w:r>
        <w:rPr>
          <w:rFonts w:hint="default" w:ascii="Times New Roman" w:hAnsi="Times New Roman" w:eastAsia="宋体" w:cs="Times New Roman"/>
          <w:color w:val="auto"/>
          <w:spacing w:val="-62"/>
          <w:sz w:val="24"/>
          <w:szCs w:val="24"/>
        </w:rPr>
        <w:t>）：</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right="0" w:firstLine="480" w:firstLineChars="20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rPr>
        <w:drawing>
          <wp:inline distT="0" distB="0" distL="114300" distR="114300">
            <wp:extent cx="1343025" cy="438150"/>
            <wp:effectExtent l="0" t="0" r="0" b="0"/>
            <wp:docPr id="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0"/>
                    <pic:cNvPicPr>
                      <a:picLocks noChangeAspect="1"/>
                    </pic:cNvPicPr>
                  </pic:nvPicPr>
                  <pic:blipFill>
                    <a:blip r:embed="rId50"/>
                    <a:stretch>
                      <a:fillRect/>
                    </a:stretch>
                  </pic:blipFill>
                  <pic:spPr>
                    <a:xfrm>
                      <a:off x="0" y="0"/>
                      <a:ext cx="1343025" cy="438150"/>
                    </a:xfrm>
                    <a:prstGeom prst="rect">
                      <a:avLst/>
                    </a:prstGeom>
                    <a:noFill/>
                    <a:ln>
                      <a:noFill/>
                    </a:ln>
                  </pic:spPr>
                </pic:pic>
              </a:graphicData>
            </a:graphic>
          </wp:inline>
        </w:drawing>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64"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4"/>
          <w:position w:val="3"/>
          <w:sz w:val="24"/>
          <w:szCs w:val="24"/>
        </w:rPr>
        <w:t>式中：q</w:t>
      </w:r>
      <w:r>
        <w:rPr>
          <w:rFonts w:hint="default" w:ascii="Times New Roman" w:hAnsi="Times New Roman" w:eastAsia="宋体" w:cs="Times New Roman"/>
          <w:color w:val="auto"/>
          <w:spacing w:val="-4"/>
          <w:position w:val="3"/>
          <w:sz w:val="24"/>
          <w:szCs w:val="24"/>
          <w:vertAlign w:val="subscript"/>
        </w:rPr>
        <w:t>1</w:t>
      </w:r>
      <w:r>
        <w:rPr>
          <w:rFonts w:hint="default" w:ascii="Times New Roman" w:hAnsi="Times New Roman" w:eastAsia="宋体" w:cs="Times New Roman"/>
          <w:color w:val="auto"/>
          <w:spacing w:val="-4"/>
          <w:position w:val="3"/>
          <w:sz w:val="24"/>
          <w:szCs w:val="24"/>
        </w:rPr>
        <w:t>，q</w:t>
      </w:r>
      <w:r>
        <w:rPr>
          <w:rFonts w:hint="default" w:ascii="Times New Roman" w:hAnsi="Times New Roman" w:eastAsia="宋体" w:cs="Times New Roman"/>
          <w:color w:val="auto"/>
          <w:spacing w:val="-4"/>
          <w:position w:val="3"/>
          <w:sz w:val="24"/>
          <w:szCs w:val="24"/>
          <w:vertAlign w:val="subscript"/>
        </w:rPr>
        <w:t>2</w:t>
      </w:r>
      <w:r>
        <w:rPr>
          <w:rFonts w:hint="default" w:ascii="Times New Roman" w:hAnsi="Times New Roman" w:eastAsia="宋体" w:cs="Times New Roman"/>
          <w:color w:val="auto"/>
          <w:spacing w:val="-4"/>
          <w:position w:val="3"/>
          <w:sz w:val="24"/>
          <w:szCs w:val="24"/>
        </w:rPr>
        <w:t>，...，q</w:t>
      </w:r>
      <w:r>
        <w:rPr>
          <w:rFonts w:hint="default" w:ascii="Times New Roman" w:hAnsi="Times New Roman" w:eastAsia="宋体" w:cs="Times New Roman"/>
          <w:color w:val="auto"/>
          <w:spacing w:val="-4"/>
          <w:position w:val="3"/>
          <w:sz w:val="24"/>
          <w:szCs w:val="24"/>
          <w:vertAlign w:val="subscript"/>
        </w:rPr>
        <w:t>n</w:t>
      </w:r>
      <w:r>
        <w:rPr>
          <w:rFonts w:hint="default" w:ascii="Times New Roman" w:hAnsi="Times New Roman" w:eastAsia="宋体" w:cs="Times New Roman"/>
          <w:color w:val="auto"/>
          <w:spacing w:val="-4"/>
          <w:position w:val="3"/>
          <w:sz w:val="24"/>
          <w:szCs w:val="24"/>
        </w:rPr>
        <w:t>——每种危险物质的最大存在总量，t；</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1170" w:firstLineChars="5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3"/>
          <w:position w:val="3"/>
          <w:sz w:val="24"/>
          <w:szCs w:val="24"/>
        </w:rPr>
        <w:t>Q</w:t>
      </w:r>
      <w:r>
        <w:rPr>
          <w:rFonts w:hint="default" w:ascii="Times New Roman" w:hAnsi="Times New Roman" w:eastAsia="宋体" w:cs="Times New Roman"/>
          <w:color w:val="auto"/>
          <w:spacing w:val="-3"/>
          <w:position w:val="3"/>
          <w:sz w:val="24"/>
          <w:szCs w:val="24"/>
          <w:vertAlign w:val="subscript"/>
        </w:rPr>
        <w:t>1</w:t>
      </w:r>
      <w:r>
        <w:rPr>
          <w:rFonts w:hint="default" w:ascii="Times New Roman" w:hAnsi="Times New Roman" w:eastAsia="宋体" w:cs="Times New Roman"/>
          <w:color w:val="auto"/>
          <w:spacing w:val="-3"/>
          <w:position w:val="3"/>
          <w:sz w:val="24"/>
          <w:szCs w:val="24"/>
        </w:rPr>
        <w:t>，Q</w:t>
      </w:r>
      <w:r>
        <w:rPr>
          <w:rFonts w:hint="default" w:ascii="Times New Roman" w:hAnsi="Times New Roman" w:eastAsia="宋体" w:cs="Times New Roman"/>
          <w:color w:val="auto"/>
          <w:spacing w:val="-3"/>
          <w:position w:val="3"/>
          <w:sz w:val="24"/>
          <w:szCs w:val="24"/>
          <w:vertAlign w:val="subscript"/>
        </w:rPr>
        <w:t>2</w:t>
      </w:r>
      <w:r>
        <w:rPr>
          <w:rFonts w:hint="default" w:ascii="Times New Roman" w:hAnsi="Times New Roman" w:eastAsia="宋体" w:cs="Times New Roman"/>
          <w:color w:val="auto"/>
          <w:spacing w:val="-3"/>
          <w:position w:val="3"/>
          <w:sz w:val="24"/>
          <w:szCs w:val="24"/>
        </w:rPr>
        <w:t>，Q</w:t>
      </w:r>
      <w:r>
        <w:rPr>
          <w:rFonts w:hint="default" w:ascii="Times New Roman" w:hAnsi="Times New Roman" w:eastAsia="宋体" w:cs="Times New Roman"/>
          <w:color w:val="auto"/>
          <w:spacing w:val="-3"/>
          <w:position w:val="3"/>
          <w:sz w:val="24"/>
          <w:szCs w:val="24"/>
          <w:vertAlign w:val="subscript"/>
        </w:rPr>
        <w:t>n</w:t>
      </w:r>
      <w:r>
        <w:rPr>
          <w:rFonts w:hint="default" w:ascii="Times New Roman" w:hAnsi="Times New Roman" w:eastAsia="宋体" w:cs="Times New Roman"/>
          <w:color w:val="auto"/>
          <w:spacing w:val="-3"/>
          <w:position w:val="3"/>
          <w:sz w:val="24"/>
          <w:szCs w:val="24"/>
        </w:rPr>
        <w:t>——每种危险物质的临界量，t。</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right="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9"/>
          <w:position w:val="3"/>
          <w:sz w:val="24"/>
          <w:szCs w:val="24"/>
        </w:rPr>
        <w:t>当Q＜1时，该项目环境风险潜势为Ⅰ。</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right="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
          <w:position w:val="3"/>
          <w:sz w:val="24"/>
          <w:szCs w:val="24"/>
        </w:rPr>
        <w:t>当Q≥1时，将Q值划分为：①1≤Q＜10；②10≤Q＜100；③Q≥100。</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2"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pacing w:val="-2"/>
          <w:sz w:val="24"/>
          <w:szCs w:val="24"/>
          <w:highlight w:val="none"/>
        </w:rPr>
        <w:t>本项目锅炉房运行过程中不涉及有毒有害、易燃易爆危险物</w:t>
      </w:r>
      <w:r>
        <w:rPr>
          <w:rFonts w:hint="default" w:ascii="Times New Roman" w:hAnsi="Times New Roman" w:eastAsia="宋体" w:cs="Times New Roman"/>
          <w:color w:val="auto"/>
          <w:spacing w:val="-3"/>
          <w:sz w:val="24"/>
          <w:szCs w:val="24"/>
          <w:highlight w:val="none"/>
        </w:rPr>
        <w:t>质，锅炉房不属于重</w:t>
      </w:r>
      <w:r>
        <w:rPr>
          <w:rFonts w:hint="default" w:ascii="Times New Roman" w:hAnsi="Times New Roman" w:eastAsia="宋体" w:cs="Times New Roman"/>
          <w:color w:val="auto"/>
          <w:spacing w:val="-1"/>
          <w:sz w:val="24"/>
          <w:szCs w:val="24"/>
          <w:highlight w:val="none"/>
        </w:rPr>
        <w:t>大危险源。</w:t>
      </w:r>
      <w:r>
        <w:rPr>
          <w:rFonts w:hint="eastAsia" w:cs="Times New Roman"/>
          <w:color w:val="auto"/>
          <w:sz w:val="24"/>
          <w:szCs w:val="24"/>
          <w:lang w:val="en-US" w:eastAsia="zh-CN"/>
        </w:rPr>
        <w:t>本项目涉及的</w:t>
      </w:r>
      <w:r>
        <w:rPr>
          <w:rFonts w:hint="default" w:ascii="Times New Roman" w:hAnsi="Times New Roman" w:eastAsia="宋体" w:cs="Times New Roman"/>
          <w:color w:val="auto"/>
          <w:sz w:val="24"/>
          <w:szCs w:val="24"/>
        </w:rPr>
        <w:t>风险物质</w:t>
      </w:r>
      <w:r>
        <w:rPr>
          <w:rFonts w:hint="eastAsia" w:cs="Times New Roman"/>
          <w:color w:val="auto"/>
          <w:sz w:val="24"/>
          <w:szCs w:val="24"/>
          <w:lang w:val="en-US" w:eastAsia="zh-CN"/>
        </w:rPr>
        <w:t>主要为</w:t>
      </w:r>
      <w:r>
        <w:rPr>
          <w:rFonts w:hint="eastAsia" w:ascii="Times New Roman" w:hAnsi="Times New Roman" w:eastAsia="宋体" w:cs="Times New Roman"/>
          <w:color w:val="auto"/>
          <w:sz w:val="24"/>
          <w:szCs w:val="24"/>
          <w:lang w:val="en-US" w:eastAsia="zh-CN"/>
        </w:rPr>
        <w:t>废催化剂</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危险废物</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废催化剂</w:t>
      </w:r>
      <w:r>
        <w:rPr>
          <w:rFonts w:hint="default" w:ascii="Times New Roman" w:hAnsi="Times New Roman" w:eastAsia="宋体" w:cs="Times New Roman"/>
          <w:color w:val="auto"/>
          <w:sz w:val="24"/>
          <w:szCs w:val="24"/>
          <w:lang w:val="en-US" w:eastAsia="zh-CN"/>
        </w:rPr>
        <w:t>更换后由有危废处置资质的单位上门回收处置</w:t>
      </w:r>
      <w:r>
        <w:rPr>
          <w:rFonts w:hint="eastAsia" w:ascii="Times New Roman" w:hAnsi="Times New Roman" w:eastAsia="宋体" w:cs="Times New Roman"/>
          <w:color w:val="auto"/>
          <w:sz w:val="24"/>
          <w:szCs w:val="24"/>
          <w:lang w:val="en-US" w:eastAsia="zh-CN"/>
        </w:rPr>
        <w:t>，不在厂区暂存</w:t>
      </w:r>
      <w:r>
        <w:rPr>
          <w:rFonts w:hint="eastAsia" w:cs="Times New Roman"/>
          <w:color w:val="auto"/>
          <w:sz w:val="24"/>
          <w:szCs w:val="24"/>
          <w:lang w:val="en-US" w:eastAsia="zh-CN"/>
        </w:rPr>
        <w:t>，因此，</w:t>
      </w: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rPr>
        <w:t>风险物质的临界量</w:t>
      </w:r>
      <w:r>
        <w:rPr>
          <w:rFonts w:hint="eastAsia" w:ascii="Times New Roman" w:hAnsi="Times New Roman" w:eastAsia="宋体" w:cs="Times New Roman"/>
          <w:color w:val="auto"/>
          <w:sz w:val="24"/>
          <w:szCs w:val="24"/>
          <w:lang w:val="en-US" w:eastAsia="zh-CN"/>
        </w:rPr>
        <w:t>为</w:t>
      </w:r>
      <w:r>
        <w:rPr>
          <w:rFonts w:hint="default" w:ascii="Times New Roman" w:hAnsi="Times New Roman" w:eastAsia="宋体" w:cs="Times New Roman"/>
          <w:color w:val="auto"/>
          <w:sz w:val="24"/>
          <w:szCs w:val="24"/>
          <w:highlight w:val="none"/>
        </w:rPr>
        <w:t>Q=</w:t>
      </w:r>
      <w:r>
        <w:rPr>
          <w:rFonts w:hint="eastAsia" w:cs="Times New Roman"/>
          <w:color w:val="auto"/>
          <w:sz w:val="24"/>
          <w:szCs w:val="24"/>
          <w:highlight w:val="none"/>
          <w:lang w:val="en-US" w:eastAsia="zh-CN"/>
        </w:rPr>
        <w:t>0</w:t>
      </w:r>
      <w:r>
        <w:rPr>
          <w:rFonts w:hint="default" w:ascii="Times New Roman" w:hAnsi="Times New Roman" w:eastAsia="宋体" w:cs="Times New Roman"/>
          <w:color w:val="auto"/>
          <w:sz w:val="24"/>
          <w:szCs w:val="24"/>
        </w:rPr>
        <w:t>&lt;1</w:t>
      </w:r>
      <w:r>
        <w:rPr>
          <w:rFonts w:hint="eastAsia" w:cs="Times New Roman"/>
          <w:color w:val="auto"/>
          <w:sz w:val="24"/>
          <w:szCs w:val="24"/>
          <w:lang w:eastAsia="zh-CN"/>
        </w:rPr>
        <w:t>，</w:t>
      </w:r>
      <w:r>
        <w:rPr>
          <w:rFonts w:hint="default" w:ascii="Times New Roman" w:hAnsi="Times New Roman" w:eastAsia="宋体" w:cs="Times New Roman"/>
          <w:color w:val="auto"/>
          <w:spacing w:val="-6"/>
          <w:sz w:val="24"/>
          <w:szCs w:val="24"/>
          <w:highlight w:val="none"/>
        </w:rPr>
        <w:t>本项目环境风险潜势为</w:t>
      </w:r>
      <w:r>
        <w:rPr>
          <w:rFonts w:hint="default" w:ascii="Times New Roman" w:hAnsi="Times New Roman" w:eastAsia="宋体" w:cs="Times New Roman"/>
          <w:color w:val="auto"/>
          <w:spacing w:val="-7"/>
          <w:sz w:val="24"/>
          <w:szCs w:val="24"/>
          <w:highlight w:val="none"/>
        </w:rPr>
        <w:t>Ⅰ。</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根据表</w:t>
      </w:r>
      <w:r>
        <w:rPr>
          <w:rFonts w:hint="default" w:ascii="Times New Roman" w:hAnsi="Times New Roman" w:eastAsia="宋体" w:cs="Times New Roman"/>
          <w:color w:val="auto"/>
          <w:sz w:val="24"/>
          <w:szCs w:val="24"/>
          <w:lang w:val="en-US" w:eastAsia="zh-CN"/>
        </w:rPr>
        <w:t>6.2.6-1</w:t>
      </w:r>
      <w:r>
        <w:rPr>
          <w:rFonts w:hint="default" w:ascii="Times New Roman" w:hAnsi="Times New Roman" w:eastAsia="宋体" w:cs="Times New Roman"/>
          <w:color w:val="auto"/>
          <w:sz w:val="24"/>
          <w:szCs w:val="24"/>
        </w:rPr>
        <w:t>风险评价工作等级划分要求，确定本项目环境风险评价等级为简单</w:t>
      </w:r>
      <w:r>
        <w:rPr>
          <w:rFonts w:hint="default" w:ascii="Times New Roman" w:hAnsi="Times New Roman" w:eastAsia="宋体" w:cs="Times New Roman"/>
          <w:color w:val="auto"/>
          <w:spacing w:val="-5"/>
          <w:sz w:val="24"/>
          <w:szCs w:val="24"/>
        </w:rPr>
        <w:t>分析。</w:t>
      </w:r>
    </w:p>
    <w:p>
      <w:pPr>
        <w:pStyle w:val="5"/>
        <w:bidi w:val="0"/>
        <w:ind w:left="0" w:leftChars="0" w:firstLine="0" w:firstLineChars="0"/>
        <w:rPr>
          <w:rFonts w:hint="default"/>
          <w:color w:val="auto"/>
        </w:rPr>
      </w:pPr>
      <w:r>
        <w:rPr>
          <w:rFonts w:hint="eastAsia"/>
          <w:color w:val="auto"/>
          <w:lang w:val="en-US" w:eastAsia="zh-CN"/>
        </w:rPr>
        <w:t>6.2.6.2</w:t>
      </w:r>
      <w:r>
        <w:rPr>
          <w:rFonts w:hint="default"/>
          <w:color w:val="auto"/>
        </w:rPr>
        <w:t>风险事故因素分析</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68"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3"/>
          <w:position w:val="2"/>
          <w:sz w:val="24"/>
          <w:szCs w:val="24"/>
        </w:rPr>
        <w:t>（1）常见事故</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72"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pacing w:val="-2"/>
          <w:sz w:val="24"/>
          <w:szCs w:val="24"/>
        </w:rPr>
        <w:t>锅炉是一种承压设备，如其经常在高温、高压状态下运行，则</w:t>
      </w:r>
      <w:r>
        <w:rPr>
          <w:rFonts w:hint="default" w:ascii="Times New Roman" w:hAnsi="Times New Roman" w:eastAsia="宋体" w:cs="Times New Roman"/>
          <w:color w:val="auto"/>
          <w:spacing w:val="-3"/>
          <w:sz w:val="24"/>
          <w:szCs w:val="24"/>
        </w:rPr>
        <w:t>容易发生的事故有</w:t>
      </w:r>
      <w:r>
        <w:rPr>
          <w:rFonts w:hint="default" w:ascii="Times New Roman" w:hAnsi="Times New Roman" w:eastAsia="宋体" w:cs="Times New Roman"/>
          <w:color w:val="auto"/>
          <w:spacing w:val="-6"/>
          <w:sz w:val="24"/>
          <w:szCs w:val="24"/>
        </w:rPr>
        <w:t>缺水、满水溢出、受压部件破坏、锅炉内水冲击、燃烧设备故障以及附</w:t>
      </w:r>
      <w:r>
        <w:rPr>
          <w:rFonts w:hint="default" w:ascii="Times New Roman" w:hAnsi="Times New Roman" w:eastAsia="宋体" w:cs="Times New Roman"/>
          <w:color w:val="auto"/>
          <w:spacing w:val="-7"/>
          <w:sz w:val="24"/>
          <w:szCs w:val="24"/>
        </w:rPr>
        <w:t>属设备损坏等。</w:t>
      </w:r>
      <w:r>
        <w:rPr>
          <w:rFonts w:hint="default" w:ascii="Times New Roman" w:hAnsi="Times New Roman" w:eastAsia="宋体" w:cs="Times New Roman"/>
          <w:color w:val="auto"/>
          <w:spacing w:val="-2"/>
          <w:sz w:val="24"/>
          <w:szCs w:val="24"/>
        </w:rPr>
        <w:t>除上述事故，锅炉在运行过程中还会发生一些影响正常生产事故，如：炉排卡死、熔</w:t>
      </w:r>
      <w:r>
        <w:rPr>
          <w:rFonts w:hint="default" w:ascii="Times New Roman" w:hAnsi="Times New Roman" w:eastAsia="宋体" w:cs="Times New Roman"/>
          <w:color w:val="auto"/>
          <w:sz w:val="24"/>
          <w:szCs w:val="24"/>
          <w:highlight w:val="none"/>
          <w:lang w:val="en-US" w:eastAsia="zh-CN"/>
        </w:rPr>
        <w:t>断；拦渣器熔断；前拱墙崩塌；再热器管、减温器管、疏水管、防腐管等管道的爆漏；锅炉烟管泄漏；锅炉灭火；锅炉入孔装置垫片冲出；锅炉上水控制系统等事故。</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（2）突发事故</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锅炉突发事故主要有突然停电、停水、循环水泵突然停运等；供热管线突发事故主要有冬季管线冻裂等情况。</w:t>
      </w:r>
    </w:p>
    <w:p>
      <w:pPr>
        <w:pStyle w:val="5"/>
        <w:bidi w:val="0"/>
        <w:ind w:left="0" w:leftChars="0" w:firstLine="0" w:firstLineChars="0"/>
        <w:rPr>
          <w:rFonts w:hint="default"/>
          <w:color w:val="auto"/>
        </w:rPr>
      </w:pPr>
      <w:r>
        <w:rPr>
          <w:rFonts w:hint="eastAsia"/>
          <w:color w:val="auto"/>
          <w:lang w:val="en-US" w:eastAsia="zh-CN"/>
        </w:rPr>
        <w:t>6.2.6.3</w:t>
      </w:r>
      <w:r>
        <w:rPr>
          <w:rFonts w:hint="default"/>
          <w:color w:val="auto"/>
        </w:rPr>
        <w:t>事故环境影响分析</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2" w:firstLineChars="200"/>
        <w:jc w:val="both"/>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2"/>
          <w:sz w:val="24"/>
          <w:szCs w:val="24"/>
        </w:rPr>
        <w:t>在锅炉生产过程中发生的事故，不论是人为因素引起的，还是环境因素所致的，或是自身因素造成的，其结果都会给居民生活和企业生产带来不便，并</w:t>
      </w:r>
      <w:r>
        <w:rPr>
          <w:rFonts w:hint="default" w:ascii="Times New Roman" w:hAnsi="Times New Roman" w:eastAsia="宋体" w:cs="Times New Roman"/>
          <w:color w:val="auto"/>
          <w:spacing w:val="-3"/>
          <w:sz w:val="24"/>
          <w:szCs w:val="24"/>
        </w:rPr>
        <w:t>造成供热单位</w:t>
      </w:r>
      <w:r>
        <w:rPr>
          <w:rFonts w:hint="default" w:ascii="Times New Roman" w:hAnsi="Times New Roman" w:eastAsia="宋体" w:cs="Times New Roman"/>
          <w:color w:val="auto"/>
          <w:spacing w:val="-2"/>
          <w:sz w:val="24"/>
          <w:szCs w:val="24"/>
        </w:rPr>
        <w:t>经济损失，一旦事故严重，还可能危及人身安全，并对热源周围环境带</w:t>
      </w:r>
      <w:r>
        <w:rPr>
          <w:rFonts w:hint="default" w:ascii="Times New Roman" w:hAnsi="Times New Roman" w:eastAsia="宋体" w:cs="Times New Roman"/>
          <w:color w:val="auto"/>
          <w:spacing w:val="-3"/>
          <w:sz w:val="24"/>
          <w:szCs w:val="24"/>
        </w:rPr>
        <w:t>来不同程度的</w:t>
      </w:r>
      <w:r>
        <w:rPr>
          <w:rFonts w:hint="default" w:ascii="Times New Roman" w:hAnsi="Times New Roman" w:eastAsia="宋体" w:cs="Times New Roman"/>
          <w:color w:val="auto"/>
          <w:spacing w:val="-2"/>
          <w:sz w:val="24"/>
          <w:szCs w:val="24"/>
        </w:rPr>
        <w:t>影响，如：锅炉房爆炸时，锅炉间充满的混合气体会对大气环境造成一</w:t>
      </w:r>
      <w:r>
        <w:rPr>
          <w:rFonts w:hint="default" w:ascii="Times New Roman" w:hAnsi="Times New Roman" w:eastAsia="宋体" w:cs="Times New Roman"/>
          <w:color w:val="auto"/>
          <w:spacing w:val="-3"/>
          <w:sz w:val="24"/>
          <w:szCs w:val="24"/>
        </w:rPr>
        <w:t>定污染；烟道</w:t>
      </w:r>
      <w:r>
        <w:rPr>
          <w:rFonts w:hint="default" w:ascii="Times New Roman" w:hAnsi="Times New Roman" w:eastAsia="宋体" w:cs="Times New Roman"/>
          <w:color w:val="auto"/>
          <w:spacing w:val="-2"/>
          <w:sz w:val="24"/>
          <w:szCs w:val="24"/>
        </w:rPr>
        <w:t>泄漏时，排放大气中污染物会增多等。事故如不及时处理，轻的将损坏</w:t>
      </w:r>
      <w:r>
        <w:rPr>
          <w:rFonts w:hint="default" w:ascii="Times New Roman" w:hAnsi="Times New Roman" w:eastAsia="宋体" w:cs="Times New Roman"/>
          <w:color w:val="auto"/>
          <w:spacing w:val="-3"/>
          <w:sz w:val="24"/>
          <w:szCs w:val="24"/>
        </w:rPr>
        <w:t>设施，造成停</w:t>
      </w:r>
      <w:r>
        <w:rPr>
          <w:rFonts w:hint="default" w:ascii="Times New Roman" w:hAnsi="Times New Roman" w:eastAsia="宋体" w:cs="Times New Roman"/>
          <w:color w:val="auto"/>
          <w:spacing w:val="-1"/>
          <w:sz w:val="24"/>
          <w:szCs w:val="24"/>
        </w:rPr>
        <w:t>炉，停暖，重则将引起锅炉爆炸，危及人身安全。</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eastAsia" w:cs="Times New Roman"/>
          <w:b/>
          <w:bCs/>
          <w:color w:val="auto"/>
          <w:sz w:val="21"/>
          <w:szCs w:val="21"/>
          <w:highlight w:val="none"/>
          <w:lang w:val="en-US" w:eastAsia="zh-CN"/>
        </w:rPr>
        <w:t>6.2.6-2</w:t>
      </w:r>
      <w:r>
        <w:rPr>
          <w:rFonts w:hint="default" w:ascii="Times New Roman" w:hAnsi="Times New Roman" w:eastAsia="宋体" w:cs="Times New Roman"/>
          <w:b/>
          <w:bCs/>
          <w:color w:val="auto"/>
          <w:sz w:val="21"/>
          <w:szCs w:val="21"/>
          <w:highlight w:val="none"/>
          <w:lang w:val="en-US" w:eastAsia="zh-CN"/>
        </w:rPr>
        <w:t xml:space="preserve">  </w:t>
      </w:r>
      <w:r>
        <w:rPr>
          <w:rFonts w:hint="eastAsia"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val="en-US" w:eastAsia="zh-CN"/>
        </w:rPr>
        <w:t>建设项目环境风险简单分析内容表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74"/>
        <w:gridCol w:w="66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9" w:type="pct"/>
            <w:tcBorders>
              <w:tl2br w:val="nil"/>
              <w:tr2bl w:val="nil"/>
            </w:tcBorders>
            <w:noWrap w:val="0"/>
            <w:vAlign w:val="center"/>
          </w:tcPr>
          <w:p>
            <w:pPr>
              <w:pStyle w:val="11"/>
              <w:pageBreakBefore w:val="0"/>
              <w:widowControl w:val="0"/>
              <w:numPr>
                <w:ilvl w:val="0"/>
                <w:numId w:val="0"/>
              </w:numPr>
              <w:kinsoku/>
              <w:overflowPunct/>
              <w:topLinePunct w:val="0"/>
              <w:bidi w:val="0"/>
              <w:spacing w:line="240" w:lineRule="auto"/>
              <w:ind w:left="51" w:leftChars="0" w:right="51" w:right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建设项目名称</w:t>
            </w:r>
          </w:p>
        </w:tc>
        <w:tc>
          <w:tcPr>
            <w:tcW w:w="3900" w:type="pct"/>
            <w:tcBorders>
              <w:tl2br w:val="nil"/>
              <w:tr2bl w:val="nil"/>
            </w:tcBorders>
            <w:noWrap w:val="0"/>
            <w:vAlign w:val="center"/>
          </w:tcPr>
          <w:p>
            <w:pPr>
              <w:pStyle w:val="11"/>
              <w:pageBreakBefore w:val="0"/>
              <w:widowControl w:val="0"/>
              <w:numPr>
                <w:ilvl w:val="0"/>
                <w:numId w:val="0"/>
              </w:numPr>
              <w:kinsoku/>
              <w:overflowPunct/>
              <w:topLinePunct w:val="0"/>
              <w:bidi w:val="0"/>
              <w:spacing w:line="240" w:lineRule="auto"/>
              <w:ind w:left="51" w:leftChars="0" w:right="51" w:rightChars="0"/>
              <w:jc w:val="center"/>
              <w:rPr>
                <w:rFonts w:hint="default" w:ascii="Times New Roman" w:hAnsi="Times New Roman" w:eastAsia="宋体" w:cs="Times New Roman"/>
                <w:color w:val="auto"/>
                <w:sz w:val="21"/>
                <w:highlight w:val="none"/>
              </w:rPr>
            </w:pPr>
            <w:r>
              <w:rPr>
                <w:rFonts w:hint="eastAsia"/>
                <w:b w:val="0"/>
                <w:bCs w:val="0"/>
                <w:color w:val="auto"/>
                <w:sz w:val="21"/>
                <w:szCs w:val="21"/>
                <w:lang w:val="en-US" w:eastAsia="zh-CN"/>
              </w:rPr>
              <w:t>托里县2024年集中供热改扩建项目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9" w:type="pct"/>
            <w:tcBorders>
              <w:tl2br w:val="nil"/>
              <w:tr2bl w:val="nil"/>
            </w:tcBorders>
            <w:noWrap w:val="0"/>
            <w:vAlign w:val="center"/>
          </w:tcPr>
          <w:p>
            <w:pPr>
              <w:pStyle w:val="11"/>
              <w:pageBreakBefore w:val="0"/>
              <w:widowControl w:val="0"/>
              <w:numPr>
                <w:ilvl w:val="0"/>
                <w:numId w:val="0"/>
              </w:numPr>
              <w:kinsoku/>
              <w:overflowPunct/>
              <w:topLinePunct w:val="0"/>
              <w:bidi w:val="0"/>
              <w:spacing w:line="240" w:lineRule="auto"/>
              <w:ind w:left="51" w:leftChars="0" w:right="51" w:right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建设地点</w:t>
            </w:r>
          </w:p>
        </w:tc>
        <w:tc>
          <w:tcPr>
            <w:tcW w:w="3900" w:type="pct"/>
            <w:tcBorders>
              <w:tl2br w:val="nil"/>
              <w:tr2bl w:val="nil"/>
            </w:tcBorders>
            <w:noWrap w:val="0"/>
            <w:vAlign w:val="center"/>
          </w:tcPr>
          <w:p>
            <w:pPr>
              <w:pStyle w:val="11"/>
              <w:pageBreakBefore w:val="0"/>
              <w:widowControl w:val="0"/>
              <w:numPr>
                <w:ilvl w:val="0"/>
                <w:numId w:val="0"/>
              </w:numPr>
              <w:kinsoku/>
              <w:overflowPunct/>
              <w:topLinePunct w:val="0"/>
              <w:bidi w:val="0"/>
              <w:spacing w:line="240" w:lineRule="auto"/>
              <w:ind w:left="51" w:leftChars="0" w:right="51" w:right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lang w:val="zh-CN"/>
              </w:rPr>
              <w:t>本项目位于新疆塔城地区托里县文化路以北，多拉特路以西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9" w:type="pct"/>
            <w:tcBorders>
              <w:tl2br w:val="nil"/>
              <w:tr2bl w:val="nil"/>
            </w:tcBorders>
            <w:noWrap w:val="0"/>
            <w:vAlign w:val="center"/>
          </w:tcPr>
          <w:p>
            <w:pPr>
              <w:pStyle w:val="11"/>
              <w:pageBreakBefore w:val="0"/>
              <w:widowControl w:val="0"/>
              <w:numPr>
                <w:ilvl w:val="0"/>
                <w:numId w:val="0"/>
              </w:numPr>
              <w:kinsoku/>
              <w:overflowPunct/>
              <w:topLinePunct w:val="0"/>
              <w:bidi w:val="0"/>
              <w:spacing w:line="240" w:lineRule="auto"/>
              <w:ind w:left="51" w:leftChars="0" w:right="51" w:right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地理坐标</w:t>
            </w:r>
          </w:p>
        </w:tc>
        <w:tc>
          <w:tcPr>
            <w:tcW w:w="3900" w:type="pct"/>
            <w:tcBorders>
              <w:tl2br w:val="nil"/>
              <w:tr2bl w:val="nil"/>
            </w:tcBorders>
            <w:noWrap w:val="0"/>
            <w:vAlign w:val="center"/>
          </w:tcPr>
          <w:p>
            <w:pPr>
              <w:pStyle w:val="11"/>
              <w:pageBreakBefore w:val="0"/>
              <w:widowControl w:val="0"/>
              <w:numPr>
                <w:ilvl w:val="0"/>
                <w:numId w:val="0"/>
              </w:numPr>
              <w:kinsoku/>
              <w:overflowPunct/>
              <w:topLinePunct w:val="0"/>
              <w:bidi w:val="0"/>
              <w:spacing w:line="240" w:lineRule="auto"/>
              <w:ind w:left="51" w:leftChars="0" w:right="51" w:right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rPr>
              <w:t>中心坐标为</w:t>
            </w:r>
            <w:r>
              <w:rPr>
                <w:rFonts w:hint="eastAsia" w:cs="Times New Roman"/>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9" w:type="pct"/>
            <w:tcBorders>
              <w:tl2br w:val="nil"/>
              <w:tr2bl w:val="nil"/>
            </w:tcBorders>
            <w:noWrap w:val="0"/>
            <w:vAlign w:val="center"/>
          </w:tcPr>
          <w:p>
            <w:pPr>
              <w:pStyle w:val="11"/>
              <w:pageBreakBefore w:val="0"/>
              <w:widowControl w:val="0"/>
              <w:numPr>
                <w:ilvl w:val="0"/>
                <w:numId w:val="0"/>
              </w:numPr>
              <w:kinsoku/>
              <w:overflowPunct/>
              <w:topLinePunct w:val="0"/>
              <w:bidi w:val="0"/>
              <w:spacing w:line="240" w:lineRule="auto"/>
              <w:ind w:left="51" w:leftChars="0" w:right="51" w:right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主要危险物质及分布</w:t>
            </w:r>
          </w:p>
        </w:tc>
        <w:tc>
          <w:tcPr>
            <w:tcW w:w="3900" w:type="pct"/>
            <w:tcBorders>
              <w:tl2br w:val="nil"/>
              <w:tr2bl w:val="nil"/>
            </w:tcBorders>
            <w:noWrap w:val="0"/>
            <w:vAlign w:val="center"/>
          </w:tcPr>
          <w:p>
            <w:pPr>
              <w:pStyle w:val="11"/>
              <w:pageBreakBefore w:val="0"/>
              <w:widowControl w:val="0"/>
              <w:numPr>
                <w:ilvl w:val="0"/>
                <w:numId w:val="0"/>
              </w:numPr>
              <w:kinsoku/>
              <w:overflowPunct/>
              <w:topLinePunct w:val="0"/>
              <w:bidi w:val="0"/>
              <w:spacing w:line="240" w:lineRule="auto"/>
              <w:ind w:left="51" w:leftChars="0" w:right="51" w:rightChars="0"/>
              <w:jc w:val="center"/>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9" w:type="pct"/>
            <w:tcBorders>
              <w:tl2br w:val="nil"/>
              <w:tr2bl w:val="nil"/>
            </w:tcBorders>
            <w:noWrap w:val="0"/>
            <w:vAlign w:val="center"/>
          </w:tcPr>
          <w:p>
            <w:pPr>
              <w:pStyle w:val="11"/>
              <w:pageBreakBefore w:val="0"/>
              <w:widowControl w:val="0"/>
              <w:numPr>
                <w:ilvl w:val="0"/>
                <w:numId w:val="0"/>
              </w:numPr>
              <w:kinsoku/>
              <w:overflowPunct/>
              <w:topLinePunct w:val="0"/>
              <w:bidi w:val="0"/>
              <w:spacing w:line="240" w:lineRule="auto"/>
              <w:ind w:left="51" w:leftChars="0" w:right="51" w:right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环境影响途径及危害后果（大气、地表水、地下水等）</w:t>
            </w:r>
          </w:p>
        </w:tc>
        <w:tc>
          <w:tcPr>
            <w:tcW w:w="3900" w:type="pct"/>
            <w:tcBorders>
              <w:tl2br w:val="nil"/>
              <w:tr2bl w:val="nil"/>
            </w:tcBorders>
            <w:noWrap w:val="0"/>
            <w:vAlign w:val="center"/>
          </w:tcPr>
          <w:p>
            <w:pPr>
              <w:pStyle w:val="11"/>
              <w:pageBreakBefore w:val="0"/>
              <w:widowControl w:val="0"/>
              <w:numPr>
                <w:ilvl w:val="0"/>
                <w:numId w:val="0"/>
              </w:numPr>
              <w:kinsoku/>
              <w:overflowPunct/>
              <w:topLinePunct w:val="0"/>
              <w:bidi w:val="0"/>
              <w:spacing w:line="240" w:lineRule="auto"/>
              <w:ind w:left="51" w:leftChars="0" w:right="51" w:rightChars="0"/>
              <w:jc w:val="center"/>
              <w:rPr>
                <w:rFonts w:hint="default" w:ascii="Times New Roman" w:hAnsi="Times New Roman" w:eastAsia="宋体" w:cs="Times New Roman"/>
                <w:color w:val="auto"/>
                <w:sz w:val="21"/>
                <w:highlight w:val="none"/>
              </w:rPr>
            </w:pPr>
            <w:r>
              <w:rPr>
                <w:rFonts w:hint="eastAsia" w:ascii="Times New Roman" w:hAnsi="Times New Roman" w:eastAsia="宋体" w:cs="Times New Roman"/>
                <w:color w:val="auto"/>
                <w:sz w:val="21"/>
                <w:highlight w:val="none"/>
                <w:lang w:val="en-US" w:eastAsia="zh-CN"/>
              </w:rPr>
              <w:t>锅炉废气</w:t>
            </w:r>
            <w:r>
              <w:rPr>
                <w:rFonts w:hint="default" w:ascii="Times New Roman" w:hAnsi="Times New Roman" w:eastAsia="宋体" w:cs="Times New Roman"/>
                <w:color w:val="auto"/>
                <w:sz w:val="21"/>
                <w:highlight w:val="none"/>
              </w:rPr>
              <w:t>泄漏</w:t>
            </w:r>
            <w:r>
              <w:rPr>
                <w:rFonts w:hint="eastAsia" w:ascii="Times New Roman" w:hAnsi="Times New Roman" w:eastAsia="宋体" w:cs="Times New Roman"/>
                <w:color w:val="auto"/>
                <w:sz w:val="21"/>
                <w:highlight w:val="none"/>
                <w:lang w:eastAsia="zh-CN"/>
              </w:rPr>
              <w:t>、</w:t>
            </w:r>
            <w:r>
              <w:rPr>
                <w:rFonts w:hint="eastAsia" w:ascii="Times New Roman" w:hAnsi="Times New Roman" w:eastAsia="宋体" w:cs="Times New Roman"/>
                <w:color w:val="auto"/>
                <w:sz w:val="21"/>
                <w:highlight w:val="none"/>
                <w:lang w:val="en-US" w:eastAsia="zh-CN"/>
              </w:rPr>
              <w:t>爆炸</w:t>
            </w:r>
            <w:r>
              <w:rPr>
                <w:rFonts w:hint="default" w:ascii="Times New Roman" w:hAnsi="Times New Roman" w:eastAsia="宋体" w:cs="Times New Roman"/>
                <w:color w:val="auto"/>
                <w:sz w:val="21"/>
                <w:highlight w:val="none"/>
              </w:rPr>
              <w:t>可能外泄到土壤和周边环境，造成</w:t>
            </w:r>
            <w:r>
              <w:rPr>
                <w:rFonts w:hint="eastAsia" w:ascii="Times New Roman" w:hAnsi="Times New Roman" w:eastAsia="宋体" w:cs="Times New Roman"/>
                <w:color w:val="auto"/>
                <w:sz w:val="21"/>
                <w:highlight w:val="none"/>
                <w:lang w:val="en-US" w:eastAsia="zh-CN"/>
              </w:rPr>
              <w:t>大气、</w:t>
            </w:r>
            <w:r>
              <w:rPr>
                <w:rFonts w:hint="default" w:ascii="Times New Roman" w:hAnsi="Times New Roman" w:eastAsia="宋体" w:cs="Times New Roman"/>
                <w:color w:val="auto"/>
                <w:sz w:val="21"/>
                <w:highlight w:val="none"/>
              </w:rPr>
              <w:t>土壤的污染。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9" w:type="pct"/>
            <w:tcBorders>
              <w:tl2br w:val="nil"/>
              <w:tr2bl w:val="nil"/>
            </w:tcBorders>
            <w:noWrap w:val="0"/>
            <w:vAlign w:val="center"/>
          </w:tcPr>
          <w:p>
            <w:pPr>
              <w:pStyle w:val="11"/>
              <w:pageBreakBefore w:val="0"/>
              <w:widowControl w:val="0"/>
              <w:numPr>
                <w:ilvl w:val="0"/>
                <w:numId w:val="0"/>
              </w:numPr>
              <w:kinsoku/>
              <w:overflowPunct/>
              <w:topLinePunct w:val="0"/>
              <w:bidi w:val="0"/>
              <w:spacing w:line="240" w:lineRule="auto"/>
              <w:ind w:left="51" w:leftChars="0" w:right="51" w:right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风险防范措施要求</w:t>
            </w:r>
          </w:p>
        </w:tc>
        <w:tc>
          <w:tcPr>
            <w:tcW w:w="3900" w:type="pct"/>
            <w:tcBorders>
              <w:tl2br w:val="nil"/>
              <w:tr2bl w:val="nil"/>
            </w:tcBorders>
            <w:noWrap w:val="0"/>
            <w:vAlign w:val="center"/>
          </w:tcPr>
          <w:p>
            <w:pPr>
              <w:pStyle w:val="11"/>
              <w:pageBreakBefore w:val="0"/>
              <w:widowControl w:val="0"/>
              <w:numPr>
                <w:ilvl w:val="0"/>
                <w:numId w:val="0"/>
              </w:numPr>
              <w:kinsoku/>
              <w:overflowPunct/>
              <w:topLinePunct w:val="0"/>
              <w:bidi w:val="0"/>
              <w:spacing w:line="240" w:lineRule="auto"/>
              <w:ind w:left="51" w:leftChars="0" w:right="51" w:right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rPr>
              <w:t>落实</w:t>
            </w:r>
            <w:r>
              <w:rPr>
                <w:rFonts w:hint="eastAsia" w:ascii="Times New Roman" w:hAnsi="Times New Roman" w:eastAsia="宋体" w:cs="Times New Roman"/>
                <w:color w:val="auto"/>
                <w:sz w:val="21"/>
                <w:highlight w:val="none"/>
                <w:lang w:val="en-US" w:eastAsia="zh-CN"/>
              </w:rPr>
              <w:t>燃煤锅炉的正常运行等</w:t>
            </w:r>
            <w:r>
              <w:rPr>
                <w:rFonts w:hint="default" w:ascii="Times New Roman" w:hAnsi="Times New Roman" w:eastAsia="宋体" w:cs="Times New Roman"/>
                <w:color w:val="auto"/>
                <w:sz w:val="21"/>
                <w:highlight w:val="none"/>
              </w:rPr>
              <w:t>，加强场区巡查和环境管理</w:t>
            </w:r>
            <w:r>
              <w:rPr>
                <w:rFonts w:hint="eastAsia" w:ascii="Times New Roman" w:hAnsi="Times New Roman" w:eastAsia="宋体" w:cs="Times New Roman"/>
                <w:color w:val="auto"/>
                <w:sz w:val="21"/>
                <w:highlight w:val="none"/>
                <w:lang w:eastAsia="zh-CN"/>
              </w:rPr>
              <w:t>；</w:t>
            </w:r>
            <w:r>
              <w:rPr>
                <w:rFonts w:hint="eastAsia" w:ascii="Times New Roman" w:hAnsi="Times New Roman" w:eastAsia="宋体" w:cs="Times New Roman"/>
                <w:color w:val="auto"/>
                <w:sz w:val="21"/>
                <w:highlight w:val="none"/>
                <w:lang w:val="en-US" w:eastAsia="zh-CN"/>
              </w:rPr>
              <w:t>编制环境应急预案。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9" w:type="pct"/>
            <w:tcBorders>
              <w:tl2br w:val="nil"/>
              <w:tr2bl w:val="nil"/>
            </w:tcBorders>
            <w:noWrap w:val="0"/>
            <w:vAlign w:val="center"/>
          </w:tcPr>
          <w:p>
            <w:pPr>
              <w:pStyle w:val="11"/>
              <w:pageBreakBefore w:val="0"/>
              <w:widowControl w:val="0"/>
              <w:numPr>
                <w:ilvl w:val="0"/>
                <w:numId w:val="0"/>
              </w:numPr>
              <w:kinsoku/>
              <w:overflowPunct/>
              <w:topLinePunct w:val="0"/>
              <w:bidi w:val="0"/>
              <w:spacing w:line="240" w:lineRule="auto"/>
              <w:ind w:left="51" w:leftChars="0" w:right="51" w:right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填表说明</w:t>
            </w:r>
          </w:p>
        </w:tc>
        <w:tc>
          <w:tcPr>
            <w:tcW w:w="3900" w:type="pct"/>
            <w:tcBorders>
              <w:tl2br w:val="nil"/>
              <w:tr2bl w:val="nil"/>
            </w:tcBorders>
            <w:noWrap w:val="0"/>
            <w:vAlign w:val="center"/>
          </w:tcPr>
          <w:p>
            <w:pPr>
              <w:pStyle w:val="11"/>
              <w:pageBreakBefore w:val="0"/>
              <w:widowControl w:val="0"/>
              <w:numPr>
                <w:ilvl w:val="0"/>
                <w:numId w:val="0"/>
              </w:numPr>
              <w:kinsoku/>
              <w:overflowPunct/>
              <w:topLinePunct w:val="0"/>
              <w:bidi w:val="0"/>
              <w:spacing w:line="240" w:lineRule="auto"/>
              <w:ind w:left="51" w:leftChars="0" w:right="51" w:right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rPr>
              <w:t>经计算本项目Q值为</w:t>
            </w:r>
            <w:r>
              <w:rPr>
                <w:rFonts w:hint="eastAsia" w:ascii="Times New Roman" w:hAnsi="Times New Roman" w:eastAsia="宋体" w:cs="Times New Roman"/>
                <w:color w:val="auto"/>
                <w:sz w:val="21"/>
                <w:highlight w:val="none"/>
                <w:lang w:val="en-US" w:eastAsia="zh-CN"/>
              </w:rPr>
              <w:t>0</w:t>
            </w:r>
            <w:r>
              <w:rPr>
                <w:rFonts w:hint="default" w:ascii="Times New Roman" w:hAnsi="Times New Roman" w:eastAsia="宋体" w:cs="Times New Roman"/>
                <w:color w:val="auto"/>
                <w:sz w:val="21"/>
                <w:highlight w:val="none"/>
              </w:rPr>
              <w:t>，Q＜1，故该项目环境风险潜势为Ⅰ，评价等级为简单分析。</w:t>
            </w:r>
          </w:p>
        </w:tc>
      </w:tr>
    </w:tbl>
    <w:p>
      <w:pPr>
        <w:pStyle w:val="5"/>
        <w:bidi w:val="0"/>
        <w:ind w:left="0" w:leftChars="0" w:firstLine="0" w:firstLineChars="0"/>
        <w:rPr>
          <w:rFonts w:hint="default"/>
          <w:color w:val="auto"/>
        </w:rPr>
      </w:pPr>
      <w:r>
        <w:rPr>
          <w:rFonts w:hint="eastAsia"/>
          <w:color w:val="auto"/>
          <w:lang w:val="en-US" w:eastAsia="zh-CN"/>
        </w:rPr>
        <w:t>6.2.6.4</w:t>
      </w:r>
      <w:r>
        <w:rPr>
          <w:rFonts w:hint="default"/>
          <w:color w:val="auto"/>
        </w:rPr>
        <w:t>事故防范措施</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
          <w:sz w:val="24"/>
          <w:szCs w:val="24"/>
        </w:rPr>
        <w:t>针对集中供热工程中常见事故原因，本项目应在设计、施工、</w:t>
      </w:r>
      <w:r>
        <w:rPr>
          <w:rFonts w:hint="default" w:ascii="Times New Roman" w:hAnsi="Times New Roman" w:eastAsia="宋体" w:cs="Times New Roman"/>
          <w:color w:val="auto"/>
          <w:spacing w:val="-3"/>
          <w:sz w:val="24"/>
          <w:szCs w:val="24"/>
        </w:rPr>
        <w:t>操作及劳动组织等</w:t>
      </w:r>
      <w:r>
        <w:rPr>
          <w:rFonts w:hint="default" w:ascii="Times New Roman" w:hAnsi="Times New Roman" w:eastAsia="宋体" w:cs="Times New Roman"/>
          <w:color w:val="auto"/>
          <w:sz w:val="24"/>
          <w:szCs w:val="24"/>
        </w:rPr>
        <w:t>各方面均应采取必要预防措施，以防患于未然</w:t>
      </w:r>
      <w:r>
        <w:rPr>
          <w:rFonts w:hint="default" w:ascii="Times New Roman" w:hAnsi="Times New Roman" w:eastAsia="宋体" w:cs="Times New Roman"/>
          <w:color w:val="auto"/>
          <w:spacing w:val="-1"/>
          <w:sz w:val="24"/>
          <w:szCs w:val="24"/>
        </w:rPr>
        <w:t>。具体应采取的措施如下：</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84"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（1）各级管理人员应高度重视锅炉水质管理，并制定相应管理</w:t>
      </w:r>
      <w:r>
        <w:rPr>
          <w:rFonts w:hint="default" w:ascii="Times New Roman" w:hAnsi="Times New Roman" w:eastAsia="宋体" w:cs="Times New Roman"/>
          <w:color w:val="auto"/>
          <w:sz w:val="24"/>
          <w:szCs w:val="24"/>
        </w:rPr>
        <w:t>制度及岗位责任</w:t>
      </w:r>
      <w:r>
        <w:rPr>
          <w:rFonts w:hint="default" w:ascii="Times New Roman" w:hAnsi="Times New Roman" w:eastAsia="宋体" w:cs="Times New Roman"/>
          <w:color w:val="auto"/>
          <w:spacing w:val="-5"/>
          <w:sz w:val="24"/>
          <w:szCs w:val="24"/>
        </w:rPr>
        <w:t>制；</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84"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（2）锅炉定期排污规范化，并重视供热系统除污，防止供热系统污</w:t>
      </w:r>
      <w:r>
        <w:rPr>
          <w:rFonts w:hint="default" w:ascii="Times New Roman" w:hAnsi="Times New Roman" w:eastAsia="宋体" w:cs="Times New Roman"/>
          <w:color w:val="auto"/>
          <w:sz w:val="24"/>
          <w:szCs w:val="24"/>
        </w:rPr>
        <w:t>物回水进入</w:t>
      </w:r>
      <w:r>
        <w:rPr>
          <w:rFonts w:hint="default" w:ascii="Times New Roman" w:hAnsi="Times New Roman" w:eastAsia="宋体" w:cs="Times New Roman"/>
          <w:color w:val="auto"/>
          <w:spacing w:val="-4"/>
          <w:sz w:val="24"/>
          <w:szCs w:val="24"/>
        </w:rPr>
        <w:t>锅炉；</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position w:val="2"/>
          <w:sz w:val="24"/>
          <w:szCs w:val="24"/>
        </w:rPr>
        <w:t>（3）锅炉本体设计上应将受热情况有较大差异受热面分设独立水循环系统；</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84"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（4）设计中严格遵守国家和有关部门关于防火、防爆的安全标准规</w:t>
      </w:r>
      <w:r>
        <w:rPr>
          <w:rFonts w:hint="default" w:ascii="Times New Roman" w:hAnsi="Times New Roman" w:eastAsia="宋体" w:cs="Times New Roman"/>
          <w:color w:val="auto"/>
          <w:sz w:val="24"/>
          <w:szCs w:val="24"/>
        </w:rPr>
        <w:t>定，合理布</w:t>
      </w:r>
      <w:r>
        <w:rPr>
          <w:rFonts w:hint="default" w:ascii="Times New Roman" w:hAnsi="Times New Roman" w:eastAsia="宋体" w:cs="Times New Roman"/>
          <w:color w:val="auto"/>
          <w:spacing w:val="-1"/>
          <w:sz w:val="24"/>
          <w:szCs w:val="24"/>
        </w:rPr>
        <w:t>局，防止火灾蔓延，相互影响；</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84"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（5）锅炉房采用微机控制，监测控制锅炉房锅筒水位、给水压力等</w:t>
      </w:r>
      <w:r>
        <w:rPr>
          <w:rFonts w:hint="default" w:ascii="Times New Roman" w:hAnsi="Times New Roman" w:eastAsia="宋体" w:cs="Times New Roman"/>
          <w:color w:val="auto"/>
          <w:sz w:val="24"/>
          <w:szCs w:val="24"/>
        </w:rPr>
        <w:t>，配备报警</w:t>
      </w:r>
      <w:r>
        <w:rPr>
          <w:rFonts w:hint="default" w:ascii="Times New Roman" w:hAnsi="Times New Roman" w:eastAsia="宋体" w:cs="Times New Roman"/>
          <w:color w:val="auto"/>
          <w:spacing w:val="-1"/>
          <w:sz w:val="24"/>
          <w:szCs w:val="24"/>
        </w:rPr>
        <w:t>器和变频远程控制器，实现锅炉安全运行；</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84"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（6）操作人员必须经过严格岗位培训，提高操作水平和熟练程度，</w:t>
      </w:r>
      <w:r>
        <w:rPr>
          <w:rFonts w:hint="default" w:ascii="Times New Roman" w:hAnsi="Times New Roman" w:eastAsia="宋体" w:cs="Times New Roman"/>
          <w:color w:val="auto"/>
          <w:sz w:val="24"/>
          <w:szCs w:val="24"/>
        </w:rPr>
        <w:t>以避免因失误操作引起的事故，并对操作人员加强安全教</w:t>
      </w:r>
      <w:r>
        <w:rPr>
          <w:rFonts w:hint="default" w:ascii="Times New Roman" w:hAnsi="Times New Roman" w:eastAsia="宋体" w:cs="Times New Roman"/>
          <w:color w:val="auto"/>
          <w:spacing w:val="-1"/>
          <w:sz w:val="24"/>
          <w:szCs w:val="24"/>
        </w:rPr>
        <w:t>育，以提高其责任心；</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84"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（7）以各生产装置为单位，组织工人和技术人员对本装置易发生事</w:t>
      </w:r>
      <w:r>
        <w:rPr>
          <w:rFonts w:hint="default" w:ascii="Times New Roman" w:hAnsi="Times New Roman" w:eastAsia="宋体" w:cs="Times New Roman"/>
          <w:color w:val="auto"/>
          <w:sz w:val="24"/>
          <w:szCs w:val="24"/>
        </w:rPr>
        <w:t>故部位、事</w:t>
      </w:r>
      <w:r>
        <w:rPr>
          <w:rFonts w:hint="default" w:ascii="Times New Roman" w:hAnsi="Times New Roman" w:eastAsia="宋体" w:cs="Times New Roman"/>
          <w:color w:val="auto"/>
          <w:spacing w:val="-2"/>
          <w:sz w:val="24"/>
          <w:szCs w:val="24"/>
        </w:rPr>
        <w:t>故类型及后果、事故防范及处置等进行分析，并编制安全手册，以</w:t>
      </w:r>
      <w:r>
        <w:rPr>
          <w:rFonts w:hint="default" w:ascii="Times New Roman" w:hAnsi="Times New Roman" w:eastAsia="宋体" w:cs="Times New Roman"/>
          <w:color w:val="auto"/>
          <w:spacing w:val="-3"/>
          <w:sz w:val="24"/>
          <w:szCs w:val="24"/>
        </w:rPr>
        <w:t>提高安全操作水平</w:t>
      </w:r>
      <w:r>
        <w:rPr>
          <w:rFonts w:hint="default" w:ascii="Times New Roman" w:hAnsi="Times New Roman" w:eastAsia="宋体" w:cs="Times New Roman"/>
          <w:color w:val="auto"/>
          <w:spacing w:val="-1"/>
          <w:sz w:val="24"/>
          <w:szCs w:val="24"/>
        </w:rPr>
        <w:t>和处置突发事故的应变能力；</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（8）在日常生产中应加强对设备、管道、泵、阀等的检修维护，以及时发现问题及时处理，同时在锅炉每年停炉期间认真进行检修维护；</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（9）在仪器、仪表、设备的选型和采购方面坚持“质量第一，安全可靠”的原则，以减少因仪器、仪表、设备的原因造成的泄漏和爆漏；</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（10）锅炉操作人员应培训且获得上岗证后方可上岗，并在工程设计中应考虑防震、防雷击措施。</w:t>
      </w:r>
    </w:p>
    <w:p>
      <w:pPr>
        <w:pStyle w:val="5"/>
        <w:bidi w:val="0"/>
        <w:ind w:left="0" w:leftChars="0" w:firstLine="0" w:firstLineChars="0"/>
        <w:rPr>
          <w:rFonts w:hint="default"/>
          <w:color w:val="auto"/>
        </w:rPr>
      </w:pPr>
      <w:r>
        <w:rPr>
          <w:rFonts w:hint="eastAsia"/>
          <w:color w:val="auto"/>
          <w:lang w:val="en-US" w:eastAsia="zh-CN"/>
        </w:rPr>
        <w:t>6.2.6.5</w:t>
      </w:r>
      <w:r>
        <w:rPr>
          <w:rFonts w:hint="default"/>
          <w:color w:val="auto"/>
        </w:rPr>
        <w:t>事故应急处理措施</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96"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4"/>
          <w:sz w:val="24"/>
          <w:szCs w:val="24"/>
        </w:rPr>
        <w:t>为了加强和规范对集中供热突发事件的应急处置工作，维护公众利益和社会利</w:t>
      </w:r>
      <w:r>
        <w:rPr>
          <w:rFonts w:hint="default" w:ascii="Times New Roman" w:hAnsi="Times New Roman" w:eastAsia="宋体" w:cs="Times New Roman"/>
          <w:color w:val="auto"/>
          <w:spacing w:val="-2"/>
          <w:sz w:val="24"/>
          <w:szCs w:val="24"/>
        </w:rPr>
        <w:t>益，提高对集中供热突发事件的快速反应和处置能力，最大限度减少突发事</w:t>
      </w:r>
      <w:r>
        <w:rPr>
          <w:rFonts w:hint="default" w:ascii="Times New Roman" w:hAnsi="Times New Roman" w:eastAsia="宋体" w:cs="Times New Roman"/>
          <w:color w:val="auto"/>
          <w:spacing w:val="-3"/>
          <w:sz w:val="24"/>
          <w:szCs w:val="24"/>
        </w:rPr>
        <w:t>件造成影</w:t>
      </w:r>
      <w:r>
        <w:rPr>
          <w:rFonts w:hint="default" w:ascii="Times New Roman" w:hAnsi="Times New Roman" w:eastAsia="宋体" w:cs="Times New Roman"/>
          <w:color w:val="auto"/>
          <w:sz w:val="24"/>
          <w:szCs w:val="24"/>
        </w:rPr>
        <w:t>响和损失，建设单位应在本项目运营期间采取</w:t>
      </w:r>
      <w:r>
        <w:rPr>
          <w:rFonts w:hint="default" w:ascii="Times New Roman" w:hAnsi="Times New Roman" w:eastAsia="宋体" w:cs="Times New Roman"/>
          <w:color w:val="auto"/>
          <w:spacing w:val="-1"/>
          <w:sz w:val="24"/>
          <w:szCs w:val="24"/>
        </w:rPr>
        <w:t>如下事故应急处理措施：</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position w:val="2"/>
          <w:sz w:val="24"/>
          <w:szCs w:val="24"/>
        </w:rPr>
        <w:t>（1）建立事故应急处理组织体系，并且为其制定相应职责</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
          <w:sz w:val="24"/>
          <w:szCs w:val="24"/>
        </w:rPr>
        <w:t>在</w:t>
      </w:r>
      <w:r>
        <w:rPr>
          <w:rFonts w:hint="eastAsia" w:ascii="Times New Roman" w:hAnsi="Times New Roman" w:eastAsia="宋体" w:cs="Times New Roman"/>
          <w:color w:val="auto"/>
          <w:spacing w:val="-2"/>
          <w:sz w:val="24"/>
          <w:szCs w:val="24"/>
          <w:lang w:val="en-US" w:eastAsia="zh-CN"/>
        </w:rPr>
        <w:t>托里县</w:t>
      </w:r>
      <w:r>
        <w:rPr>
          <w:rFonts w:hint="default" w:ascii="Times New Roman" w:hAnsi="Times New Roman" w:eastAsia="宋体" w:cs="Times New Roman"/>
          <w:color w:val="auto"/>
          <w:spacing w:val="-2"/>
          <w:sz w:val="24"/>
          <w:szCs w:val="24"/>
        </w:rPr>
        <w:t>相关管理部门统一领导下，成立</w:t>
      </w:r>
      <w:r>
        <w:rPr>
          <w:rFonts w:hint="eastAsia" w:ascii="Times New Roman" w:hAnsi="Times New Roman" w:eastAsia="宋体" w:cs="Times New Roman"/>
          <w:color w:val="auto"/>
          <w:spacing w:val="-2"/>
          <w:sz w:val="24"/>
          <w:szCs w:val="24"/>
          <w:lang w:val="en-US" w:eastAsia="zh-CN"/>
        </w:rPr>
        <w:t>托里县</w:t>
      </w:r>
      <w:r>
        <w:rPr>
          <w:rFonts w:hint="default" w:ascii="Times New Roman" w:hAnsi="Times New Roman" w:eastAsia="宋体" w:cs="Times New Roman"/>
          <w:color w:val="auto"/>
          <w:spacing w:val="-2"/>
          <w:sz w:val="24"/>
          <w:szCs w:val="24"/>
        </w:rPr>
        <w:t>集中供热</w:t>
      </w:r>
      <w:r>
        <w:rPr>
          <w:rFonts w:hint="default" w:ascii="Times New Roman" w:hAnsi="Times New Roman" w:eastAsia="宋体" w:cs="Times New Roman"/>
          <w:color w:val="auto"/>
          <w:spacing w:val="-3"/>
          <w:sz w:val="24"/>
          <w:szCs w:val="24"/>
        </w:rPr>
        <w:t>突发事故应急指挥</w:t>
      </w:r>
      <w:r>
        <w:rPr>
          <w:rFonts w:hint="default" w:ascii="Times New Roman" w:hAnsi="Times New Roman" w:eastAsia="宋体" w:cs="Times New Roman"/>
          <w:color w:val="auto"/>
          <w:sz w:val="24"/>
          <w:szCs w:val="24"/>
        </w:rPr>
        <w:t>部分部，领导和协调供热范围集中供热突发事</w:t>
      </w:r>
      <w:r>
        <w:rPr>
          <w:rFonts w:hint="default" w:ascii="Times New Roman" w:hAnsi="Times New Roman" w:eastAsia="宋体" w:cs="Times New Roman"/>
          <w:color w:val="auto"/>
          <w:spacing w:val="-1"/>
          <w:sz w:val="24"/>
          <w:szCs w:val="24"/>
        </w:rPr>
        <w:t>故应急处置工作，主要职责为：</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
          <w:sz w:val="24"/>
          <w:szCs w:val="24"/>
        </w:rPr>
        <w:t>a、组织落实</w:t>
      </w:r>
      <w:r>
        <w:rPr>
          <w:rFonts w:hint="eastAsia" w:ascii="Times New Roman" w:hAnsi="Times New Roman" w:eastAsia="宋体" w:cs="Times New Roman"/>
          <w:color w:val="auto"/>
          <w:spacing w:val="-2"/>
          <w:sz w:val="24"/>
          <w:szCs w:val="24"/>
          <w:lang w:val="en-US" w:eastAsia="zh-CN"/>
        </w:rPr>
        <w:t>托里县</w:t>
      </w:r>
      <w:r>
        <w:rPr>
          <w:rFonts w:hint="default" w:ascii="Times New Roman" w:hAnsi="Times New Roman" w:eastAsia="宋体" w:cs="Times New Roman"/>
          <w:color w:val="auto"/>
          <w:spacing w:val="-2"/>
          <w:sz w:val="24"/>
          <w:szCs w:val="24"/>
        </w:rPr>
        <w:t>集中供热突发事件应急预案；</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position w:val="2"/>
          <w:sz w:val="24"/>
          <w:szCs w:val="24"/>
        </w:rPr>
        <w:t>b、统一协调各有关部门应急处理集中供热突发</w:t>
      </w:r>
      <w:r>
        <w:rPr>
          <w:rFonts w:hint="default" w:ascii="Times New Roman" w:hAnsi="Times New Roman" w:eastAsia="宋体" w:cs="Times New Roman"/>
          <w:color w:val="auto"/>
          <w:spacing w:val="-2"/>
          <w:position w:val="2"/>
          <w:sz w:val="24"/>
          <w:szCs w:val="24"/>
        </w:rPr>
        <w:t>事件；</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c、依据应急事件等级，提出预警方案，采取有关预警措施和紧</w:t>
      </w:r>
      <w:r>
        <w:rPr>
          <w:rFonts w:hint="default" w:ascii="Times New Roman" w:hAnsi="Times New Roman" w:eastAsia="宋体" w:cs="Times New Roman"/>
          <w:color w:val="auto"/>
          <w:spacing w:val="-2"/>
          <w:sz w:val="24"/>
          <w:szCs w:val="24"/>
        </w:rPr>
        <w:t>急措施；</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
          <w:position w:val="2"/>
          <w:sz w:val="24"/>
          <w:szCs w:val="24"/>
        </w:rPr>
        <w:t>d、部署和总结年度供热行业事故应急工作；</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e、负责集中供热突发事故应急信息的接受、核实、处理、传</w:t>
      </w:r>
      <w:r>
        <w:rPr>
          <w:rFonts w:hint="default" w:ascii="Times New Roman" w:hAnsi="Times New Roman" w:eastAsia="宋体" w:cs="Times New Roman"/>
          <w:color w:val="auto"/>
          <w:spacing w:val="-2"/>
          <w:sz w:val="24"/>
          <w:szCs w:val="24"/>
        </w:rPr>
        <w:t>递和通报；</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position w:val="2"/>
          <w:sz w:val="24"/>
          <w:szCs w:val="24"/>
        </w:rPr>
        <w:t>f、完成上级部门交办的其他工作。</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2" w:firstLineChars="200"/>
        <w:jc w:val="both"/>
        <w:textAlignment w:val="auto"/>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pacing w:val="-2"/>
          <w:sz w:val="24"/>
          <w:szCs w:val="24"/>
          <w:lang w:val="en-US" w:eastAsia="zh-CN"/>
        </w:rPr>
        <w:t>（2）托里县</w:t>
      </w:r>
      <w:r>
        <w:rPr>
          <w:rFonts w:hint="default" w:ascii="Times New Roman" w:hAnsi="Times New Roman" w:eastAsia="宋体" w:cs="Times New Roman"/>
          <w:color w:val="auto"/>
          <w:spacing w:val="-3"/>
          <w:sz w:val="24"/>
          <w:szCs w:val="24"/>
        </w:rPr>
        <w:t>集中供热行业主管部门，具体负责城市集中供热突发事件的预防处置工</w:t>
      </w:r>
      <w:r>
        <w:rPr>
          <w:rFonts w:hint="default" w:ascii="Times New Roman" w:hAnsi="Times New Roman" w:eastAsia="宋体" w:cs="Times New Roman"/>
          <w:color w:val="auto"/>
          <w:spacing w:val="-2"/>
          <w:sz w:val="24"/>
          <w:szCs w:val="24"/>
        </w:rPr>
        <w:t>作。集中供热突发事故应急指挥部下设办公室，可在</w:t>
      </w:r>
      <w:r>
        <w:rPr>
          <w:rFonts w:hint="eastAsia" w:cs="Times New Roman"/>
          <w:color w:val="auto"/>
          <w:spacing w:val="-6"/>
          <w:sz w:val="24"/>
          <w:szCs w:val="24"/>
          <w:lang w:val="en-US" w:eastAsia="zh-CN"/>
        </w:rPr>
        <w:t>托里县供热公司</w:t>
      </w:r>
      <w:r>
        <w:rPr>
          <w:rFonts w:hint="default" w:ascii="Times New Roman" w:hAnsi="Times New Roman" w:eastAsia="宋体" w:cs="Times New Roman"/>
          <w:color w:val="auto"/>
          <w:spacing w:val="-2"/>
          <w:sz w:val="24"/>
          <w:szCs w:val="24"/>
        </w:rPr>
        <w:t>设</w:t>
      </w:r>
      <w:r>
        <w:rPr>
          <w:rFonts w:hint="default" w:ascii="Times New Roman" w:hAnsi="Times New Roman" w:eastAsia="宋体" w:cs="Times New Roman"/>
          <w:color w:val="auto"/>
          <w:spacing w:val="-3"/>
          <w:sz w:val="24"/>
          <w:szCs w:val="24"/>
        </w:rPr>
        <w:t>立联络处，负责</w:t>
      </w:r>
      <w:r>
        <w:rPr>
          <w:rFonts w:hint="default" w:ascii="Times New Roman" w:hAnsi="Times New Roman" w:eastAsia="宋体" w:cs="Times New Roman"/>
          <w:color w:val="auto"/>
          <w:spacing w:val="-2"/>
          <w:sz w:val="24"/>
          <w:szCs w:val="24"/>
        </w:rPr>
        <w:t>日常工作，主要职责为：</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
          <w:sz w:val="24"/>
          <w:szCs w:val="24"/>
        </w:rPr>
        <w:t>a、负责信息汇总以及综合协调，发挥运转枢纽作用；</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position w:val="2"/>
          <w:sz w:val="24"/>
          <w:szCs w:val="24"/>
        </w:rPr>
        <w:t>b、负责接收和办理向上级部门报送紧急重</w:t>
      </w:r>
      <w:r>
        <w:rPr>
          <w:rFonts w:hint="default" w:ascii="Times New Roman" w:hAnsi="Times New Roman" w:eastAsia="宋体" w:cs="Times New Roman"/>
          <w:color w:val="auto"/>
          <w:spacing w:val="-2"/>
          <w:position w:val="2"/>
          <w:sz w:val="24"/>
          <w:szCs w:val="24"/>
        </w:rPr>
        <w:t>要事项；</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5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c、组织起草、修订《</w:t>
      </w:r>
      <w:r>
        <w:rPr>
          <w:rFonts w:hint="eastAsia" w:cs="Times New Roman"/>
          <w:color w:val="auto"/>
          <w:spacing w:val="-6"/>
          <w:sz w:val="24"/>
          <w:szCs w:val="24"/>
          <w:lang w:val="en-US" w:eastAsia="zh-CN"/>
        </w:rPr>
        <w:t>托里县供热公司</w:t>
      </w:r>
      <w:r>
        <w:rPr>
          <w:rFonts w:hint="default" w:ascii="Times New Roman" w:hAnsi="Times New Roman" w:eastAsia="宋体" w:cs="Times New Roman"/>
          <w:color w:val="auto"/>
          <w:spacing w:val="-6"/>
          <w:sz w:val="24"/>
          <w:szCs w:val="24"/>
        </w:rPr>
        <w:t>集中供热事故应急预案》，指导应</w:t>
      </w:r>
      <w:r>
        <w:rPr>
          <w:rFonts w:hint="default" w:ascii="Times New Roman" w:hAnsi="Times New Roman" w:eastAsia="宋体" w:cs="Times New Roman"/>
          <w:color w:val="auto"/>
          <w:spacing w:val="-2"/>
          <w:sz w:val="24"/>
          <w:szCs w:val="24"/>
        </w:rPr>
        <w:t>急预案体系的建设；</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d、协调群体性突发事件的预防、应急演练、应急处置、信息发布、应急保障和</w:t>
      </w:r>
      <w:r>
        <w:rPr>
          <w:rFonts w:hint="default" w:ascii="Times New Roman" w:hAnsi="Times New Roman" w:eastAsia="宋体" w:cs="Times New Roman"/>
          <w:color w:val="auto"/>
          <w:spacing w:val="-2"/>
          <w:sz w:val="24"/>
          <w:szCs w:val="24"/>
        </w:rPr>
        <w:t>宣传培训工作。</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position w:val="2"/>
          <w:sz w:val="24"/>
          <w:szCs w:val="24"/>
        </w:rPr>
        <w:t>（</w:t>
      </w:r>
      <w:r>
        <w:rPr>
          <w:rFonts w:hint="eastAsia" w:ascii="Times New Roman" w:hAnsi="Times New Roman" w:eastAsia="宋体" w:cs="Times New Roman"/>
          <w:color w:val="auto"/>
          <w:spacing w:val="-1"/>
          <w:position w:val="2"/>
          <w:sz w:val="24"/>
          <w:szCs w:val="24"/>
          <w:lang w:val="en-US" w:eastAsia="zh-CN"/>
        </w:rPr>
        <w:t>3</w:t>
      </w:r>
      <w:r>
        <w:rPr>
          <w:rFonts w:hint="default" w:ascii="Times New Roman" w:hAnsi="Times New Roman" w:eastAsia="宋体" w:cs="Times New Roman"/>
          <w:color w:val="auto"/>
          <w:spacing w:val="-1"/>
          <w:position w:val="2"/>
          <w:sz w:val="24"/>
          <w:szCs w:val="24"/>
        </w:rPr>
        <w:t>）建立并完善预防及应急处理机制，执行并落实各项事故应急处理措施</w:t>
      </w:r>
      <w:r>
        <w:rPr>
          <w:rFonts w:hint="default" w:ascii="Times New Roman" w:hAnsi="Times New Roman" w:eastAsia="宋体" w:cs="Times New Roman"/>
          <w:color w:val="auto"/>
          <w:spacing w:val="-2"/>
          <w:sz w:val="24"/>
          <w:szCs w:val="24"/>
        </w:rPr>
        <w:t>地区供热事故应急救援机构应当定期研究城市供热安全应急救</w:t>
      </w:r>
      <w:r>
        <w:rPr>
          <w:rFonts w:hint="default" w:ascii="Times New Roman" w:hAnsi="Times New Roman" w:eastAsia="宋体" w:cs="Times New Roman"/>
          <w:color w:val="auto"/>
          <w:spacing w:val="-3"/>
          <w:sz w:val="24"/>
          <w:szCs w:val="24"/>
        </w:rPr>
        <w:t>援工作，检查供热</w:t>
      </w:r>
      <w:r>
        <w:rPr>
          <w:rFonts w:hint="default" w:ascii="Times New Roman" w:hAnsi="Times New Roman" w:eastAsia="宋体" w:cs="Times New Roman"/>
          <w:color w:val="auto"/>
          <w:spacing w:val="-2"/>
          <w:sz w:val="24"/>
          <w:szCs w:val="24"/>
        </w:rPr>
        <w:t>安全生产制度和应急救援预案的建立、实施情况，加强供热安全宣传</w:t>
      </w:r>
      <w:r>
        <w:rPr>
          <w:rFonts w:hint="default" w:ascii="Times New Roman" w:hAnsi="Times New Roman" w:eastAsia="宋体" w:cs="Times New Roman"/>
          <w:color w:val="auto"/>
          <w:spacing w:val="-3"/>
          <w:sz w:val="24"/>
          <w:szCs w:val="24"/>
        </w:rPr>
        <w:t>教育、监督检查</w:t>
      </w:r>
      <w:r>
        <w:rPr>
          <w:rFonts w:hint="default" w:ascii="Times New Roman" w:hAnsi="Times New Roman" w:eastAsia="宋体" w:cs="Times New Roman"/>
          <w:color w:val="auto"/>
          <w:spacing w:val="-1"/>
          <w:sz w:val="24"/>
          <w:szCs w:val="24"/>
        </w:rPr>
        <w:t>工作，及时消除隐患，防患于未然。</w:t>
      </w:r>
    </w:p>
    <w:p>
      <w:pPr>
        <w:pStyle w:val="14"/>
        <w:keepNext w:val="0"/>
        <w:keepLines w:val="0"/>
        <w:pageBreakBefore w:val="0"/>
        <w:widowControl w:val="0"/>
        <w:kinsoku/>
        <w:wordWrap/>
        <w:overflowPunct/>
        <w:topLinePunct w:val="0"/>
        <w:autoSpaceDE/>
        <w:autoSpaceDN/>
        <w:bidi w:val="0"/>
        <w:adjustRightInd w:val="0"/>
        <w:snapToGrid w:val="0"/>
        <w:spacing w:after="0" w:afterLines="0" w:line="360" w:lineRule="auto"/>
        <w:ind w:left="0" w:right="0" w:firstLine="472"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
          <w:sz w:val="24"/>
          <w:szCs w:val="24"/>
        </w:rPr>
        <w:t>a、供热经营企业，应定期检查本单位供热应急救援预案、交通、通讯</w:t>
      </w:r>
      <w:r>
        <w:rPr>
          <w:rFonts w:hint="default" w:ascii="Times New Roman" w:hAnsi="Times New Roman" w:eastAsia="宋体" w:cs="Times New Roman"/>
          <w:color w:val="auto"/>
          <w:spacing w:val="-3"/>
          <w:sz w:val="24"/>
          <w:szCs w:val="24"/>
        </w:rPr>
        <w:t>、仪器、抢险</w:t>
      </w:r>
      <w:r>
        <w:rPr>
          <w:rFonts w:hint="default" w:ascii="Times New Roman" w:hAnsi="Times New Roman" w:eastAsia="宋体" w:cs="Times New Roman"/>
          <w:color w:val="auto"/>
          <w:spacing w:val="-2"/>
          <w:sz w:val="24"/>
          <w:szCs w:val="24"/>
        </w:rPr>
        <w:t>工具和专业人员落实情况，定期组织抢险应急演练，并设专人对抢险设备等</w:t>
      </w:r>
      <w:r>
        <w:rPr>
          <w:rFonts w:hint="default" w:ascii="Times New Roman" w:hAnsi="Times New Roman" w:eastAsia="宋体" w:cs="Times New Roman"/>
          <w:color w:val="auto"/>
          <w:spacing w:val="-3"/>
          <w:sz w:val="24"/>
          <w:szCs w:val="24"/>
        </w:rPr>
        <w:t>定期进行</w:t>
      </w:r>
      <w:r>
        <w:rPr>
          <w:rFonts w:hint="default" w:ascii="Times New Roman" w:hAnsi="Times New Roman" w:eastAsia="宋体" w:cs="Times New Roman"/>
          <w:color w:val="auto"/>
          <w:spacing w:val="-2"/>
          <w:sz w:val="24"/>
          <w:szCs w:val="24"/>
        </w:rPr>
        <w:t>维护保养，确保能随时处于工作状态，并严格落实巡查、巡线、入户检查等</w:t>
      </w:r>
      <w:r>
        <w:rPr>
          <w:rFonts w:hint="default" w:ascii="Times New Roman" w:hAnsi="Times New Roman" w:eastAsia="宋体" w:cs="Times New Roman"/>
          <w:color w:val="auto"/>
          <w:spacing w:val="-3"/>
          <w:sz w:val="24"/>
          <w:szCs w:val="24"/>
        </w:rPr>
        <w:t>各项规章</w:t>
      </w:r>
      <w:r>
        <w:rPr>
          <w:rFonts w:hint="default" w:ascii="Times New Roman" w:hAnsi="Times New Roman" w:eastAsia="宋体" w:cs="Times New Roman"/>
          <w:color w:val="auto"/>
          <w:spacing w:val="-4"/>
          <w:sz w:val="24"/>
          <w:szCs w:val="24"/>
        </w:rPr>
        <w:t>制度。</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b、锅炉房应加强设备的使用及检修工作，尽量避免或减少运行事故的发生。</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c、用热户要增强用热安全意识，学习用热安全常识，提高自我防范和自救能力。</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val="en-US" w:eastAsia="zh-CN"/>
        </w:rPr>
        <w:t>）建立并完善事故应急响应及终止机制</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A、基本程序</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供热企业集中供热事故发生后，事故现场人员可拨打110报告事故情况，并且向当地集中供热事故应急救援机构报告，同时组织相关人员做好事故现场的抢险工作，事故所在地集中供热事故应急救援机构接到报告后，立即启动本地的应急救援预案，并且迅速向上级机关报告。</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B、事故报告</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报告原则和程序：集中供热事故发生后，事故发生单位应立即报告当地集中供热应急救援机构，并在24小时内提交书面报告，应急救援机构接到事故报告后，1小时内报告上级部门。</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报告内容：（a）事故发生的时间、地点，事故类别，人员伤亡情况，设施损失及对集中供热造成影响的情况；（b）险情的基本情况，事故的简要经过，紧急抢险救援情况，直接经济损失；（c）险情或事故原因的初步分析或基本结论；（d）采取的措施；（e）事故报告单位、签发人及报告时间。</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C、事故处置</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遵循“统一指挥、快速反应、各司其职、协同配合、科学高效”原则，共同做好城市集中供热险情及重大事故应急处置及抢险救援工作。</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在事故发生后，供热企业应立即启动抢险应急救援预案，全力开展事故抢险工作，并且将有关情况及时向上级部门报告。</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bookmarkStart w:id="60" w:name="bookmark66"/>
      <w:bookmarkEnd w:id="60"/>
      <w:r>
        <w:rPr>
          <w:rFonts w:hint="default" w:ascii="Times New Roman" w:hAnsi="Times New Roman" w:eastAsia="宋体" w:cs="Times New Roman"/>
          <w:color w:val="auto"/>
          <w:highlight w:val="none"/>
          <w:lang w:val="en-US" w:eastAsia="zh-CN"/>
        </w:rPr>
        <w:t>对重要突发事件的处理：</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（a）锅炉爆管：锅炉爆管是锅炉运行过程中可能发生的事故，一旦发生锅炉爆管，整个锅炉将不能运行，因此必须增设一台备用锅炉，事故发生时，启动备用锅炉，对爆管锅炉进行抢修。</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（b）锅炉拱坍塌：在供热过程中经过高温燃烧，锅炉拱可能坍塌，一旦锅炉拱坍塌，必须启用备用锅炉。</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（c）停电停水：供热系统设施均靠电、水运行，如遇停电停水，供热系统设施将不能正常工作，从而导致停止供热，因此必须增设一台备用发电机，以备停电停水时应急使用，防止因停电停水造成供热中断。</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（d）管线破裂：由于冬季天气寒冷所导致的供热管线被冻裂，必须及时向有关部门汇报，并及时组织进行抢修，防止因管线破裂造成供热中断。</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D、信息发布</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集中供热事故信息和新闻发布，由集中供热事故应急救援指挥部及事故所在地人民政府实行集中、统一管理，以确保信息准确，及时传递，并根据国家有关法律、法规向社会公布。</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E、应急终止</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集中供热事故应急救援指挥部根据城市集中供热事故抢险工作进展的情况，决定应急救援终止，并及时向上级部门报告。抢险应急状态终止后，要对事故发生及抢险经过、事故原因、事故造成的后果</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应包括伤亡人员情况及经济损失情况</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、预防事故采取措施、应急预案效果及评估情况，应吸取经验教训及对事故责任单位及责任人处理等情况总结报告上级主管部门。</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（4）加强事故应急处置的保障工作</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A、组织好集中供热事故应急救援预案工作基本力量</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组织建立专业抢险队伍，配备相应抢险设备，挑选专业技术过硬的人员担当重要责任，制定分类别的应急抢险工作规程。</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B、在事件处理中定期总结经验</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针对处理事件过程中存在的问题，改进和完善各项应急准备工作，不断完善城市集中供热事故应急救援预案。</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color w:val="auto"/>
          <w:spacing w:val="1"/>
        </w:rPr>
      </w:pPr>
      <w:r>
        <w:rPr>
          <w:rFonts w:hint="default" w:ascii="Times New Roman" w:hAnsi="Times New Roman" w:eastAsia="宋体" w:cs="Times New Roman"/>
          <w:color w:val="auto"/>
          <w:highlight w:val="none"/>
          <w:lang w:val="en-US" w:eastAsia="zh-CN"/>
        </w:rPr>
        <w:t>C、加强供热使用知识及安全防范宣传工作有计划、有针对性的开展预防供热事故及有关知识的宣传，增强公众及供热运营人员预防供热事故常识和防范意识，不断提高防范和应急反应能力。</w:t>
      </w:r>
      <w:bookmarkStart w:id="125" w:name="_GoBack"/>
      <w:bookmarkEnd w:id="125"/>
    </w:p>
    <w:p>
      <w:pPr>
        <w:pStyle w:val="14"/>
        <w:spacing w:before="78" w:line="361" w:lineRule="auto"/>
        <w:ind w:left="0" w:leftChars="0" w:right="28" w:firstLine="0" w:firstLineChars="0"/>
        <w:jc w:val="both"/>
        <w:rPr>
          <w:color w:val="auto"/>
          <w:spacing w:val="1"/>
        </w:rPr>
      </w:pPr>
    </w:p>
    <w:p>
      <w:pPr>
        <w:pStyle w:val="14"/>
        <w:spacing w:before="78" w:line="361" w:lineRule="auto"/>
        <w:ind w:left="0" w:leftChars="0" w:right="28" w:firstLine="0" w:firstLineChars="0"/>
        <w:jc w:val="both"/>
        <w:rPr>
          <w:color w:val="auto"/>
          <w:spacing w:val="1"/>
        </w:rPr>
      </w:pPr>
    </w:p>
    <w:p>
      <w:pPr>
        <w:pStyle w:val="2"/>
        <w:pageBreakBefore w:val="0"/>
        <w:widowControl w:val="0"/>
        <w:tabs>
          <w:tab w:val="left" w:pos="625"/>
        </w:tabs>
        <w:kinsoku/>
        <w:wordWrap/>
        <w:overflowPunct/>
        <w:topLinePunct w:val="0"/>
        <w:autoSpaceDE/>
        <w:autoSpaceDN/>
        <w:bidi w:val="0"/>
        <w:adjustRightInd w:val="0"/>
        <w:snapToGrid w:val="0"/>
        <w:spacing w:before="0" w:after="0" w:line="360" w:lineRule="auto"/>
        <w:textAlignment w:val="auto"/>
        <w:rPr>
          <w:rFonts w:hint="default" w:ascii="Times New Roman" w:hAnsi="Times New Roman" w:cs="Times New Roman"/>
          <w:color w:val="auto"/>
          <w:highlight w:val="none"/>
        </w:rPr>
      </w:pPr>
      <w:bookmarkStart w:id="61" w:name="_Toc8014"/>
      <w:bookmarkStart w:id="62" w:name="_Toc27523"/>
      <w:r>
        <w:rPr>
          <w:rFonts w:hint="eastAsia" w:ascii="Times New Roman" w:hAnsi="Times New Roman" w:cs="Times New Roman"/>
          <w:color w:val="auto"/>
          <w:highlight w:val="none"/>
          <w:lang w:val="en-US" w:eastAsia="zh-CN"/>
        </w:rPr>
        <w:t>7</w:t>
      </w:r>
      <w:r>
        <w:rPr>
          <w:rFonts w:hint="default" w:ascii="Times New Roman" w:hAnsi="Times New Roman" w:cs="Times New Roman"/>
          <w:color w:val="auto"/>
          <w:highlight w:val="none"/>
        </w:rPr>
        <w:t>环境保护措施及其可行性分析</w:t>
      </w:r>
      <w:bookmarkEnd w:id="61"/>
      <w:bookmarkEnd w:id="62"/>
    </w:p>
    <w:p>
      <w:pPr>
        <w:pStyle w:val="3"/>
        <w:pageBreakBefore w:val="0"/>
        <w:widowControl w:val="0"/>
        <w:tabs>
          <w:tab w:val="left" w:pos="1302"/>
        </w:tabs>
        <w:kinsoku/>
        <w:wordWrap/>
        <w:overflowPunct/>
        <w:topLinePunct w:val="0"/>
        <w:autoSpaceDE/>
        <w:autoSpaceDN/>
        <w:bidi w:val="0"/>
        <w:adjustRightInd w:val="0"/>
        <w:snapToGrid w:val="0"/>
        <w:spacing w:before="0" w:after="0" w:line="360" w:lineRule="auto"/>
        <w:textAlignment w:val="auto"/>
        <w:rPr>
          <w:rFonts w:hint="default" w:ascii="Times New Roman" w:hAnsi="Times New Roman" w:cs="Times New Roman"/>
          <w:color w:val="auto"/>
          <w:highlight w:val="none"/>
        </w:rPr>
      </w:pPr>
      <w:bookmarkStart w:id="63" w:name="_Toc23396"/>
      <w:bookmarkStart w:id="64" w:name="_Toc30187"/>
      <w:r>
        <w:rPr>
          <w:rFonts w:hint="eastAsia" w:ascii="Times New Roman" w:hAnsi="Times New Roman" w:cs="Times New Roman"/>
          <w:color w:val="auto"/>
          <w:highlight w:val="none"/>
          <w:lang w:val="en-US" w:eastAsia="zh-CN"/>
        </w:rPr>
        <w:t>7</w:t>
      </w:r>
      <w:r>
        <w:rPr>
          <w:rFonts w:hint="default" w:ascii="Times New Roman" w:hAnsi="Times New Roman" w:cs="Times New Roman"/>
          <w:color w:val="auto"/>
          <w:highlight w:val="none"/>
        </w:rPr>
        <w:t>.1施工期污染防治措施及可行性分析</w:t>
      </w:r>
      <w:bookmarkEnd w:id="63"/>
      <w:bookmarkEnd w:id="64"/>
    </w:p>
    <w:p>
      <w:pPr>
        <w:pStyle w:val="4"/>
        <w:pageBreakBefore w:val="0"/>
        <w:widowControl w:val="0"/>
        <w:kinsoku/>
        <w:wordWrap/>
        <w:overflowPunct/>
        <w:topLinePunct w:val="0"/>
        <w:autoSpaceDE/>
        <w:autoSpaceDN/>
        <w:bidi w:val="0"/>
        <w:adjustRightInd w:val="0"/>
        <w:snapToGrid w:val="0"/>
        <w:spacing w:before="0" w:after="0" w:line="360" w:lineRule="auto"/>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7</w:t>
      </w:r>
      <w:r>
        <w:rPr>
          <w:rFonts w:hint="default" w:ascii="Times New Roman" w:hAnsi="Times New Roman" w:cs="Times New Roman"/>
          <w:color w:val="auto"/>
          <w:highlight w:val="none"/>
        </w:rPr>
        <w:t>.1.1大气污染防治措施</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（1）</w:t>
      </w:r>
      <w:r>
        <w:rPr>
          <w:rFonts w:hint="eastAsia" w:ascii="宋体" w:hAnsi="宋体" w:eastAsia="宋体" w:cs="宋体"/>
          <w:color w:val="auto"/>
          <w:highlight w:val="none"/>
          <w:lang w:val="en-US" w:eastAsia="zh-CN"/>
        </w:rPr>
        <w:t>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w:t>
      </w:r>
      <w:r>
        <w:rPr>
          <w:rFonts w:hint="default" w:ascii="Times New Roman" w:hAnsi="Times New Roman" w:cs="Times New Roman"/>
          <w:color w:val="auto"/>
          <w:highlight w:val="none"/>
          <w:lang w:val="en-US" w:eastAsia="zh-CN"/>
        </w:rPr>
        <w:t>及</w:t>
      </w:r>
      <w:r>
        <w:rPr>
          <w:rFonts w:hint="eastAsia" w:ascii="Times New Roman" w:hAnsi="Times New Roman" w:eastAsia="宋体" w:cs="Times New Roman"/>
          <w:color w:val="auto"/>
          <w:highlight w:val="none"/>
          <w:lang w:val="en-US" w:eastAsia="zh-CN"/>
        </w:rPr>
        <w:t>新建供热管网</w:t>
      </w:r>
      <w:r>
        <w:rPr>
          <w:rFonts w:hint="eastAsia" w:cs="Times New Roman"/>
          <w:color w:val="auto"/>
          <w:highlight w:val="none"/>
          <w:lang w:val="en-US" w:eastAsia="zh-CN"/>
        </w:rPr>
        <w:t>工程</w:t>
      </w:r>
      <w:r>
        <w:rPr>
          <w:rFonts w:hint="default" w:ascii="Times New Roman" w:hAnsi="Times New Roman" w:cs="Times New Roman"/>
          <w:color w:val="auto"/>
          <w:highlight w:val="none"/>
          <w:lang w:val="en-US" w:eastAsia="zh-CN"/>
        </w:rPr>
        <w:t>施工大气污染防治措施</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1）在施工过程中，作业场地采取围挡、围护以减少扬尘扩散，围挡、围护对减少扬尘对环境的污染有明显作用，当风速为2.5m/s时可使影响距离缩短40%。在施工现场周围，连续设置不低于</w:t>
      </w:r>
      <w:r>
        <w:rPr>
          <w:rFonts w:hint="default" w:ascii="Times New Roman" w:hAnsi="Times New Roman" w:cs="Times New Roman"/>
          <w:color w:val="auto"/>
          <w:highlight w:val="none"/>
          <w:lang w:val="en-US" w:eastAsia="zh-CN"/>
        </w:rPr>
        <w:t>1.8</w:t>
      </w:r>
      <w:r>
        <w:rPr>
          <w:rFonts w:hint="default" w:ascii="Times New Roman" w:hAnsi="Times New Roman" w:cs="Times New Roman"/>
          <w:color w:val="auto"/>
          <w:highlight w:val="none"/>
        </w:rPr>
        <w:t>m高的围挡，并做到坚固美观。</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在施工场地安排员工定期对施工场地洒水以减少扬尘量，洒水次数根据天气状况而定，一般每天洒水1～2次，若遇到大风或干燥天气可适当增加洒水次数。施工场地洒水与否对扬尘的影响较大，场地洒水后，扬尘量将减低28%～75%，大大减少了其对环境的影响。</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3）工程建设期间，使用的具有粉尘逸散性的工程材料、砂石、土方或废弃物，应当密闭处理。若在工地内堆置，则应采取覆盖防尘布、覆盖防尘网，防止风蚀起尘。同时对运输建筑材料及建筑垃圾的车辆加盖蓬布减少洒落；车辆进出、装卸场地时应用水将轮胎冲洗干净；车辆行驶路线尽量避开居民区。</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4）尽量避免在大风天气下进行施工作业。本项目使用商品混凝土，就近购买。</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5）在施工场地设置专人负责弃土、建筑垃圾、建筑材料的处置、清运和堆放，堆放场地加盖蓬布或洒水，防止二次扬尘。</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6）施工单位应负责工地周边道路的保洁与清洗责任；随工程进度及时进行回填和植被恢复，减少裸露地面和临时土方堆场。</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7）对建筑垃圾及弃土应及时处理、清运、以减少占地，防止扬尘污染，改善施工场地的环境。</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管网施工大气污染防治措施</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开挖沟槽过程中，应洒水使作业面保持一定的湿度：对施工场地内松散、干涸的表土，也应经常洒水防止粉尘：回填土方时，在表层土质干燥时应适当洒水，防止粉尘飞扬。</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加强回填土方堆放场的管理，</w:t>
      </w:r>
      <w:r>
        <w:rPr>
          <w:rFonts w:hint="default" w:ascii="Times New Roman" w:hAnsi="Times New Roman" w:cs="Times New Roman"/>
          <w:color w:val="auto"/>
          <w:highlight w:val="none"/>
          <w:lang w:val="en-US" w:eastAsia="zh-CN"/>
        </w:rPr>
        <w:t>对土方</w:t>
      </w:r>
      <w:r>
        <w:rPr>
          <w:rFonts w:hint="default" w:ascii="Times New Roman" w:hAnsi="Times New Roman" w:cs="Times New Roman"/>
          <w:color w:val="auto"/>
          <w:highlight w:val="none"/>
        </w:rPr>
        <w:t>表面</w:t>
      </w:r>
      <w:r>
        <w:rPr>
          <w:rFonts w:hint="default" w:ascii="Times New Roman" w:hAnsi="Times New Roman" w:cs="Times New Roman"/>
          <w:color w:val="auto"/>
          <w:highlight w:val="none"/>
          <w:lang w:val="en-US" w:eastAsia="zh-CN"/>
        </w:rPr>
        <w:t>进行</w:t>
      </w:r>
      <w:r>
        <w:rPr>
          <w:rFonts w:hint="default" w:ascii="Times New Roman" w:hAnsi="Times New Roman" w:cs="Times New Roman"/>
          <w:color w:val="auto"/>
          <w:highlight w:val="none"/>
        </w:rPr>
        <w:t>压实</w:t>
      </w:r>
      <w:r>
        <w:rPr>
          <w:rFonts w:hint="default" w:ascii="Times New Roman" w:hAnsi="Times New Roman" w:cs="Times New Roman"/>
          <w:color w:val="auto"/>
          <w:highlight w:val="none"/>
          <w:lang w:val="en-US" w:eastAsia="zh-CN"/>
        </w:rPr>
        <w:t>并覆盖防尘网或防尘布，</w:t>
      </w:r>
      <w:r>
        <w:rPr>
          <w:rFonts w:hint="default" w:ascii="Times New Roman" w:hAnsi="Times New Roman" w:cs="Times New Roman"/>
          <w:color w:val="auto"/>
          <w:highlight w:val="none"/>
        </w:rPr>
        <w:t>定期</w:t>
      </w:r>
      <w:r>
        <w:rPr>
          <w:rFonts w:hint="default" w:ascii="Times New Roman" w:hAnsi="Times New Roman" w:cs="Times New Roman"/>
          <w:color w:val="auto"/>
          <w:highlight w:val="none"/>
          <w:lang w:val="en-US" w:eastAsia="zh-CN"/>
        </w:rPr>
        <w:t>洒水降尘，对弃土、废</w:t>
      </w:r>
      <w:r>
        <w:rPr>
          <w:rFonts w:hint="default" w:ascii="Times New Roman" w:hAnsi="Times New Roman" w:cs="Times New Roman"/>
          <w:color w:val="auto"/>
          <w:highlight w:val="none"/>
        </w:rPr>
        <w:t>建筑材料</w:t>
      </w:r>
      <w:r>
        <w:rPr>
          <w:rFonts w:hint="default" w:ascii="Times New Roman" w:hAnsi="Times New Roman" w:cs="Times New Roman"/>
          <w:color w:val="auto"/>
          <w:highlight w:val="none"/>
          <w:lang w:val="en-US" w:eastAsia="zh-CN"/>
        </w:rPr>
        <w:t>等应</w:t>
      </w:r>
      <w:r>
        <w:rPr>
          <w:rFonts w:hint="default" w:ascii="Times New Roman" w:hAnsi="Times New Roman" w:cs="Times New Roman"/>
          <w:color w:val="auto"/>
          <w:highlight w:val="none"/>
        </w:rPr>
        <w:t>及时运走，不宜长时间堆积</w:t>
      </w:r>
      <w:r>
        <w:rPr>
          <w:rFonts w:hint="eastAsia" w:ascii="Times New Roman" w:hAnsi="Times New Roman" w:cs="Times New Roman"/>
          <w:color w:val="auto"/>
          <w:highlight w:val="none"/>
          <w:lang w:eastAsia="zh-CN"/>
        </w:rPr>
        <w:t>。</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工程用的管道尽可能置于维护结构内或堆放在室内，减少建材的露天堆放。</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在</w:t>
      </w:r>
      <w:r>
        <w:rPr>
          <w:rFonts w:hint="default" w:ascii="Times New Roman" w:hAnsi="Times New Roman" w:cs="Times New Roman"/>
          <w:color w:val="auto"/>
          <w:highlight w:val="none"/>
          <w:lang w:val="en-US" w:eastAsia="zh-CN"/>
        </w:rPr>
        <w:t>管线施工带两侧设置围挡、围护，以减少扬尘扩散；在靠近</w:t>
      </w:r>
      <w:r>
        <w:rPr>
          <w:rFonts w:hint="eastAsia" w:ascii="Times New Roman" w:hAnsi="Times New Roman" w:cs="Times New Roman"/>
          <w:color w:val="auto"/>
          <w:highlight w:val="none"/>
          <w:lang w:val="en-US" w:eastAsia="zh-CN"/>
        </w:rPr>
        <w:t>居民生活区</w:t>
      </w:r>
      <w:r>
        <w:rPr>
          <w:rFonts w:hint="default" w:ascii="Times New Roman" w:hAnsi="Times New Roman" w:cs="Times New Roman"/>
          <w:color w:val="auto"/>
          <w:highlight w:val="none"/>
          <w:lang w:val="en-US" w:eastAsia="zh-CN"/>
        </w:rPr>
        <w:t>的施工现场周围</w:t>
      </w:r>
      <w:r>
        <w:rPr>
          <w:rFonts w:hint="default" w:ascii="Times New Roman" w:hAnsi="Times New Roman" w:cs="Times New Roman"/>
          <w:color w:val="auto"/>
          <w:highlight w:val="none"/>
        </w:rPr>
        <w:t>设置不低于</w:t>
      </w:r>
      <w:r>
        <w:rPr>
          <w:rFonts w:hint="default" w:ascii="Times New Roman" w:hAnsi="Times New Roman" w:cs="Times New Roman"/>
          <w:color w:val="auto"/>
          <w:highlight w:val="none"/>
          <w:lang w:val="en-US" w:eastAsia="zh-CN"/>
        </w:rPr>
        <w:t>1.8</w:t>
      </w:r>
      <w:r>
        <w:rPr>
          <w:rFonts w:hint="default" w:ascii="Times New Roman" w:hAnsi="Times New Roman" w:cs="Times New Roman"/>
          <w:color w:val="auto"/>
          <w:highlight w:val="none"/>
        </w:rPr>
        <w:t>m高的围挡，</w:t>
      </w:r>
      <w:r>
        <w:rPr>
          <w:rFonts w:hint="default" w:ascii="Times New Roman" w:hAnsi="Times New Roman" w:cs="Times New Roman"/>
          <w:color w:val="auto"/>
          <w:highlight w:val="none"/>
          <w:lang w:val="en-US" w:eastAsia="zh-CN"/>
        </w:rPr>
        <w:t>以防止施工扬尘对企业生产生活产生影响。</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）施工期间，随工程进度及时进行已布设管段的闭水试验、回填和植被恢复，减少裸露地面和临时土方堆场。</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）机械尾气</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1）汽车减少怠速时间，避免猛提速等高燃耗操作。</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2）加强施工机械和运输车辆的维修、保养，确保施工机械和运输车辆尾气达标排放。</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评价认为，采取上述措施后，可有效避免项目施工扬尘对大气环境的不利影响，各项措施技术、经济可行。</w:t>
      </w:r>
    </w:p>
    <w:p>
      <w:pPr>
        <w:pStyle w:val="4"/>
        <w:pageBreakBefore w:val="0"/>
        <w:widowControl w:val="0"/>
        <w:kinsoku/>
        <w:wordWrap/>
        <w:overflowPunct/>
        <w:topLinePunct w:val="0"/>
        <w:autoSpaceDE/>
        <w:autoSpaceDN/>
        <w:bidi w:val="0"/>
        <w:adjustRightInd w:val="0"/>
        <w:snapToGrid w:val="0"/>
        <w:spacing w:before="0" w:after="0" w:line="360" w:lineRule="auto"/>
        <w:textAlignment w:val="auto"/>
        <w:rPr>
          <w:rFonts w:hint="default" w:ascii="Times New Roman" w:hAnsi="Times New Roman" w:cs="Times New Roman"/>
          <w:color w:val="auto"/>
          <w:highlight w:val="none"/>
        </w:rPr>
      </w:pPr>
      <w:r>
        <w:rPr>
          <w:rFonts w:hint="eastAsia" w:cs="Times New Roman"/>
          <w:color w:val="auto"/>
          <w:highlight w:val="none"/>
          <w:lang w:val="en-US" w:eastAsia="zh-CN"/>
        </w:rPr>
        <w:t>7</w:t>
      </w:r>
      <w:r>
        <w:rPr>
          <w:rFonts w:hint="default" w:ascii="Times New Roman" w:hAnsi="Times New Roman" w:cs="Times New Roman"/>
          <w:color w:val="auto"/>
          <w:highlight w:val="none"/>
        </w:rPr>
        <w:t>.1.2水污染防治措施</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（1）施工废水</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项目施工废水主要为砂石冲洗水、养护水、场地冲洗水以及机械设备清洗水和管道闭水试验等产生的生产性废水，此类废水悬浮物浓度较高，通过在现场设置沉淀池处理后循环回用，拟采用间歇式自然沉淀的方法去除易沉淀的砂粒。沉砂处理单元采用矩形处理池，每台班末的冲洗废水排入池内，静置沉淀到下一台班末排放，沉淀时间达7小时以上。各单元尺寸可根据施工实际情况确定，污水经沉淀处理后循环利用，禁止施工废水直接</w:t>
      </w:r>
      <w:r>
        <w:rPr>
          <w:rFonts w:hint="default" w:ascii="Times New Roman" w:hAnsi="Times New Roman" w:cs="Times New Roman"/>
          <w:color w:val="auto"/>
          <w:highlight w:val="none"/>
          <w:lang w:val="en-US" w:eastAsia="zh-CN"/>
        </w:rPr>
        <w:t>排放</w:t>
      </w:r>
      <w:r>
        <w:rPr>
          <w:rFonts w:hint="default" w:ascii="Times New Roman" w:hAnsi="Times New Roman" w:cs="Times New Roman"/>
          <w:color w:val="auto"/>
          <w:highlight w:val="none"/>
        </w:rPr>
        <w:t>。</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（2）生活污水</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施工期间，施工现场</w:t>
      </w:r>
      <w:r>
        <w:rPr>
          <w:rFonts w:hint="eastAsia" w:ascii="Times New Roman" w:hAnsi="Times New Roman" w:cs="Times New Roman"/>
          <w:color w:val="auto"/>
          <w:highlight w:val="none"/>
          <w:lang w:val="en-US" w:eastAsia="zh-CN"/>
        </w:rPr>
        <w:t>不设置临时</w:t>
      </w:r>
      <w:r>
        <w:rPr>
          <w:rFonts w:hint="default" w:ascii="Times New Roman" w:hAnsi="Times New Roman" w:cs="Times New Roman"/>
          <w:color w:val="auto"/>
          <w:highlight w:val="none"/>
        </w:rPr>
        <w:t>施工营地，</w:t>
      </w:r>
      <w:r>
        <w:rPr>
          <w:rFonts w:hint="default" w:ascii="Times New Roman" w:hAnsi="Times New Roman" w:eastAsia="宋体" w:cs="Times New Roman"/>
          <w:color w:val="auto"/>
          <w:spacing w:val="-3"/>
          <w:sz w:val="24"/>
          <w:szCs w:val="24"/>
        </w:rPr>
        <w:t>施工期生活污水</w:t>
      </w:r>
      <w:r>
        <w:rPr>
          <w:rFonts w:hint="eastAsia" w:ascii="Times New Roman" w:hAnsi="Times New Roman" w:eastAsia="宋体" w:cs="Times New Roman"/>
          <w:color w:val="auto"/>
          <w:spacing w:val="-3"/>
          <w:sz w:val="24"/>
          <w:szCs w:val="24"/>
          <w:lang w:val="en-US" w:eastAsia="zh-CN"/>
        </w:rPr>
        <w:t>依托现有项目污水系统，生活污水</w:t>
      </w:r>
      <w:r>
        <w:rPr>
          <w:rFonts w:hint="default" w:ascii="Times New Roman" w:hAnsi="Times New Roman" w:eastAsia="宋体" w:cs="Times New Roman"/>
          <w:color w:val="auto"/>
          <w:spacing w:val="-3"/>
          <w:sz w:val="24"/>
          <w:szCs w:val="24"/>
        </w:rPr>
        <w:t>排入</w:t>
      </w:r>
      <w:r>
        <w:rPr>
          <w:rFonts w:hint="eastAsia" w:ascii="Times New Roman" w:hAnsi="Times New Roman" w:eastAsia="宋体" w:cs="Times New Roman"/>
          <w:color w:val="auto"/>
          <w:spacing w:val="-3"/>
          <w:sz w:val="24"/>
          <w:szCs w:val="24"/>
          <w:lang w:val="en-US" w:eastAsia="zh-CN"/>
        </w:rPr>
        <w:t>托里县市政下水</w:t>
      </w:r>
      <w:r>
        <w:rPr>
          <w:rFonts w:hint="default" w:ascii="Times New Roman" w:hAnsi="Times New Roman" w:eastAsia="宋体" w:cs="Times New Roman"/>
          <w:color w:val="auto"/>
          <w:spacing w:val="-3"/>
          <w:sz w:val="24"/>
          <w:szCs w:val="24"/>
        </w:rPr>
        <w:t>管网</w:t>
      </w:r>
      <w:r>
        <w:rPr>
          <w:rFonts w:hint="eastAsia" w:ascii="Times New Roman" w:hAnsi="Times New Roman" w:eastAsia="宋体" w:cs="Times New Roman"/>
          <w:color w:val="auto"/>
          <w:spacing w:val="-3"/>
          <w:sz w:val="24"/>
          <w:szCs w:val="24"/>
          <w:lang w:eastAsia="zh-CN"/>
        </w:rPr>
        <w:t>，</w:t>
      </w:r>
      <w:r>
        <w:rPr>
          <w:rFonts w:hint="eastAsia" w:ascii="Times New Roman" w:hAnsi="Times New Roman" w:eastAsia="宋体" w:cs="Times New Roman"/>
          <w:color w:val="auto"/>
          <w:spacing w:val="-3"/>
          <w:sz w:val="24"/>
          <w:szCs w:val="24"/>
          <w:lang w:val="en-US" w:eastAsia="zh-CN"/>
        </w:rPr>
        <w:t>最终排入托里县污水处理厂</w:t>
      </w:r>
      <w:r>
        <w:rPr>
          <w:rFonts w:hint="default" w:ascii="Times New Roman" w:hAnsi="Times New Roman" w:eastAsia="宋体" w:cs="Times New Roman"/>
          <w:color w:val="auto"/>
          <w:spacing w:val="-3"/>
          <w:sz w:val="24"/>
          <w:szCs w:val="24"/>
        </w:rPr>
        <w:t>。</w:t>
      </w:r>
      <w:r>
        <w:rPr>
          <w:rFonts w:hint="default" w:ascii="Times New Roman" w:hAnsi="Times New Roman" w:cs="Times New Roman"/>
          <w:color w:val="auto"/>
          <w:highlight w:val="none"/>
        </w:rPr>
        <w:t>评价认为，采取上述措施后，可有效避免项目施工活动对水环境的不利影响，各项措施技术、经济可行。</w:t>
      </w:r>
    </w:p>
    <w:p>
      <w:pPr>
        <w:pStyle w:val="4"/>
        <w:pageBreakBefore w:val="0"/>
        <w:widowControl w:val="0"/>
        <w:kinsoku/>
        <w:wordWrap/>
        <w:overflowPunct/>
        <w:topLinePunct w:val="0"/>
        <w:autoSpaceDE/>
        <w:autoSpaceDN/>
        <w:bidi w:val="0"/>
        <w:adjustRightInd w:val="0"/>
        <w:snapToGrid w:val="0"/>
        <w:spacing w:before="0" w:after="0" w:line="360" w:lineRule="auto"/>
        <w:textAlignment w:val="auto"/>
        <w:rPr>
          <w:rFonts w:hint="default" w:ascii="Times New Roman" w:hAnsi="Times New Roman" w:cs="Times New Roman"/>
          <w:color w:val="auto"/>
          <w:highlight w:val="none"/>
        </w:rPr>
      </w:pPr>
      <w:r>
        <w:rPr>
          <w:rFonts w:hint="eastAsia" w:cs="Times New Roman"/>
          <w:color w:val="auto"/>
          <w:highlight w:val="none"/>
          <w:lang w:val="en-US" w:eastAsia="zh-CN"/>
        </w:rPr>
        <w:t>7</w:t>
      </w:r>
      <w:r>
        <w:rPr>
          <w:rFonts w:hint="default" w:ascii="Times New Roman" w:hAnsi="Times New Roman" w:cs="Times New Roman"/>
          <w:color w:val="auto"/>
          <w:highlight w:val="none"/>
        </w:rPr>
        <w:t>.1.3噪声污染防治措施</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改扩建热源工程位于原有热源厂区内；新建供热管网工程位于托里县县城建成区内。</w:t>
      </w:r>
      <w:r>
        <w:rPr>
          <w:rFonts w:hint="eastAsia" w:ascii="宋体" w:hAnsi="宋体" w:eastAsia="宋体" w:cs="宋体"/>
          <w:color w:val="auto"/>
          <w:highlight w:val="none"/>
          <w:lang w:val="en-US" w:eastAsia="zh-CN"/>
        </w:rPr>
        <w:t>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工程施工区域</w:t>
      </w:r>
      <w:r>
        <w:rPr>
          <w:rFonts w:hint="eastAsia" w:ascii="Times New Roman" w:hAnsi="Times New Roman" w:cs="Times New Roman"/>
          <w:color w:val="auto"/>
          <w:kern w:val="0"/>
          <w:sz w:val="24"/>
          <w:highlight w:val="none"/>
          <w:lang w:val="en-US" w:eastAsia="zh-CN"/>
        </w:rPr>
        <w:t>距离最近的敏感点（项目区北侧的</w:t>
      </w:r>
      <w:r>
        <w:rPr>
          <w:rFonts w:hint="eastAsia" w:cs="Times New Roman"/>
          <w:color w:val="auto"/>
          <w:kern w:val="0"/>
          <w:sz w:val="24"/>
          <w:highlight w:val="none"/>
          <w:lang w:val="en-US" w:eastAsia="zh-CN"/>
        </w:rPr>
        <w:t>**</w:t>
      </w:r>
      <w:r>
        <w:rPr>
          <w:rFonts w:hint="eastAsia" w:ascii="Times New Roman" w:hAnsi="Times New Roman" w:cs="Times New Roman"/>
          <w:color w:val="auto"/>
          <w:kern w:val="0"/>
          <w:sz w:val="24"/>
          <w:highlight w:val="none"/>
          <w:lang w:val="en-US" w:eastAsia="zh-CN"/>
        </w:rPr>
        <w:t>）约为150m；</w:t>
      </w:r>
      <w:r>
        <w:rPr>
          <w:rFonts w:hint="eastAsia" w:ascii="Times New Roman" w:hAnsi="Times New Roman" w:eastAsia="宋体" w:cs="Times New Roman"/>
          <w:color w:val="auto"/>
          <w:highlight w:val="none"/>
          <w:lang w:val="en-US" w:eastAsia="zh-CN"/>
        </w:rPr>
        <w:t>新建供热管网工程紧邻居民区。</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施工期噪声</w:t>
      </w:r>
      <w:r>
        <w:rPr>
          <w:rFonts w:hint="default" w:ascii="Times New Roman" w:hAnsi="Times New Roman" w:cs="Times New Roman"/>
          <w:color w:val="auto"/>
          <w:highlight w:val="none"/>
          <w:lang w:val="en-US" w:eastAsia="zh-CN"/>
        </w:rPr>
        <w:t>主要</w:t>
      </w:r>
      <w:r>
        <w:rPr>
          <w:rFonts w:hint="default" w:ascii="Times New Roman" w:hAnsi="Times New Roman" w:cs="Times New Roman"/>
          <w:color w:val="auto"/>
          <w:highlight w:val="none"/>
        </w:rPr>
        <w:t>来自不同的施工阶段所使用的不同施工</w:t>
      </w:r>
      <w:r>
        <w:rPr>
          <w:rFonts w:hint="default" w:ascii="Times New Roman" w:hAnsi="Times New Roman" w:cs="Times New Roman"/>
          <w:color w:val="auto"/>
          <w:highlight w:val="none"/>
          <w:lang w:val="en-US" w:eastAsia="zh-CN"/>
        </w:rPr>
        <w:t>机械产生</w:t>
      </w:r>
      <w:r>
        <w:rPr>
          <w:rFonts w:hint="default" w:ascii="Times New Roman" w:hAnsi="Times New Roman" w:cs="Times New Roman"/>
          <w:color w:val="auto"/>
          <w:highlight w:val="none"/>
        </w:rPr>
        <w:t>的非连续性作业噪声，具有阶段性、临时性和不固定性等特点，因此管理显得尤为重要。施工现场的噪声管理必须执行《建筑施工场界环境噪声排放标准》（GB12523-2011）相关标准的规定，为有效降低施工噪声对周围居民的影响，现就施工期噪声控制措施提出以下要求：</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（1）施工开始前进行公示，与周围</w:t>
      </w:r>
      <w:r>
        <w:rPr>
          <w:rFonts w:hint="eastAsia" w:ascii="Times New Roman" w:hAnsi="Times New Roman" w:cs="Times New Roman"/>
          <w:color w:val="auto"/>
          <w:highlight w:val="none"/>
          <w:lang w:val="en-US" w:eastAsia="zh-CN"/>
        </w:rPr>
        <w:t>居民</w:t>
      </w:r>
      <w:r>
        <w:rPr>
          <w:rFonts w:hint="default" w:ascii="Times New Roman" w:hAnsi="Times New Roman" w:cs="Times New Roman"/>
          <w:color w:val="auto"/>
          <w:highlight w:val="none"/>
        </w:rPr>
        <w:t>进行有效沟通，取得他们的理解，同时建设单位应要求施工单位在现场张贴通告和投诉电话，建设单位在接到投诉电话后及时与当地</w:t>
      </w:r>
      <w:r>
        <w:rPr>
          <w:rFonts w:hint="default" w:ascii="Times New Roman" w:hAnsi="Times New Roman" w:cs="Times New Roman"/>
          <w:color w:val="auto"/>
          <w:highlight w:val="none"/>
          <w:lang w:eastAsia="zh-CN"/>
        </w:rPr>
        <w:t>生态环境部门</w:t>
      </w:r>
      <w:r>
        <w:rPr>
          <w:rFonts w:hint="default" w:ascii="Times New Roman" w:hAnsi="Times New Roman" w:cs="Times New Roman"/>
          <w:color w:val="auto"/>
          <w:highlight w:val="none"/>
        </w:rPr>
        <w:t>联系，以便及时处理各种环境纠纷。</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（2）合理安排施工运输路线，运输车辆路线尽量避开人群积聚地区。</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（3）合理安排施工时间，高噪声设备施工尽量安排在非休息日昼间进行，夜间2</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：00～</w:t>
      </w:r>
      <w:r>
        <w:rPr>
          <w:rFonts w:hint="eastAsia" w:ascii="Times New Roman" w:hAnsi="Times New Roman" w:cs="Times New Roman"/>
          <w:color w:val="auto"/>
          <w:highlight w:val="none"/>
          <w:lang w:val="en-US" w:eastAsia="zh-CN"/>
        </w:rPr>
        <w:t>8</w:t>
      </w:r>
      <w:r>
        <w:rPr>
          <w:rFonts w:hint="default" w:ascii="Times New Roman" w:hAnsi="Times New Roman" w:cs="Times New Roman"/>
          <w:color w:val="auto"/>
          <w:highlight w:val="none"/>
        </w:rPr>
        <w:t>：00禁止高噪声设备施工；如因施工需要必须连续作业的强噪声施工，应首先征得当地环保、城管等主管部门同意，同时做好周边群众解释工作，避免发生扰民纠纷。</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4）尽量采用低噪声机械，工程施工采用的施工机械设备应事先对其常规工作状态下的噪声测量，超过国家标准的机械应禁止入场施工。施工过程中还应经常对设备进行维修保养，避免因使用的设备性能差而使噪声增加的现象发生。</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（5）要求施工单位通过文明施工、加强有效管理，以缓解敲击、人的喊叫等作为施工活动的声源。施工方应该制定合理有效的施工计划，提高工作效率，把施工时间控制在最短范围内。</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（6）施工场地和临时堆场等的位置要远离</w:t>
      </w:r>
      <w:r>
        <w:rPr>
          <w:rFonts w:hint="eastAsia" w:ascii="Times New Roman" w:hAnsi="Times New Roman" w:cs="Times New Roman"/>
          <w:color w:val="auto"/>
          <w:highlight w:val="none"/>
          <w:lang w:val="en-US" w:eastAsia="zh-CN"/>
        </w:rPr>
        <w:t>县城内</w:t>
      </w:r>
      <w:r>
        <w:rPr>
          <w:rFonts w:hint="default" w:ascii="Times New Roman" w:hAnsi="Times New Roman" w:cs="Times New Roman"/>
          <w:color w:val="auto"/>
          <w:highlight w:val="none"/>
          <w:lang w:val="en-US" w:eastAsia="zh-CN"/>
        </w:rPr>
        <w:t>现有</w:t>
      </w:r>
      <w:r>
        <w:rPr>
          <w:rFonts w:hint="eastAsia" w:ascii="Times New Roman" w:hAnsi="Times New Roman" w:cs="Times New Roman"/>
          <w:color w:val="auto"/>
          <w:highlight w:val="none"/>
          <w:lang w:val="en-US" w:eastAsia="zh-CN"/>
        </w:rPr>
        <w:t>居民区</w:t>
      </w:r>
      <w:r>
        <w:rPr>
          <w:rFonts w:hint="default" w:ascii="Times New Roman" w:hAnsi="Times New Roman" w:cs="Times New Roman"/>
          <w:color w:val="auto"/>
          <w:highlight w:val="none"/>
        </w:rPr>
        <w:t>，避免物料运输、装卸产生的噪声对周边</w:t>
      </w:r>
      <w:r>
        <w:rPr>
          <w:rFonts w:hint="eastAsia" w:ascii="Times New Roman" w:hAnsi="Times New Roman" w:cs="Times New Roman"/>
          <w:color w:val="auto"/>
          <w:highlight w:val="none"/>
          <w:lang w:val="en-US" w:eastAsia="zh-CN"/>
        </w:rPr>
        <w:t>居民</w:t>
      </w:r>
      <w:r>
        <w:rPr>
          <w:rFonts w:hint="default" w:ascii="Times New Roman" w:hAnsi="Times New Roman" w:cs="Times New Roman"/>
          <w:color w:val="auto"/>
          <w:highlight w:val="none"/>
          <w:lang w:val="en-US" w:eastAsia="zh-CN"/>
        </w:rPr>
        <w:t>生活产生</w:t>
      </w:r>
      <w:r>
        <w:rPr>
          <w:rFonts w:hint="default" w:ascii="Times New Roman" w:hAnsi="Times New Roman" w:cs="Times New Roman"/>
          <w:color w:val="auto"/>
          <w:highlight w:val="none"/>
        </w:rPr>
        <w:t>扰动。</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（7）管网施工过程中，</w:t>
      </w:r>
      <w:r>
        <w:rPr>
          <w:rFonts w:hint="default" w:ascii="Times New Roman" w:hAnsi="Times New Roman" w:cs="Times New Roman"/>
          <w:color w:val="auto"/>
          <w:highlight w:val="none"/>
        </w:rPr>
        <w:t>在距</w:t>
      </w:r>
      <w:r>
        <w:rPr>
          <w:rFonts w:hint="default" w:ascii="Times New Roman" w:hAnsi="Times New Roman" w:cs="Times New Roman"/>
          <w:color w:val="auto"/>
          <w:highlight w:val="none"/>
          <w:lang w:val="en-US" w:eastAsia="zh-CN"/>
        </w:rPr>
        <w:t>离</w:t>
      </w:r>
      <w:r>
        <w:rPr>
          <w:rFonts w:hint="eastAsia" w:ascii="Times New Roman" w:hAnsi="Times New Roman" w:cs="Times New Roman"/>
          <w:color w:val="auto"/>
          <w:highlight w:val="none"/>
          <w:lang w:val="en-US" w:eastAsia="zh-CN"/>
        </w:rPr>
        <w:t>县城居民</w:t>
      </w:r>
      <w:r>
        <w:rPr>
          <w:rFonts w:hint="default" w:ascii="Times New Roman" w:hAnsi="Times New Roman" w:cs="Times New Roman"/>
          <w:color w:val="auto"/>
          <w:highlight w:val="none"/>
          <w:lang w:val="en-US" w:eastAsia="zh-CN"/>
        </w:rPr>
        <w:t>生活区</w:t>
      </w:r>
      <w:r>
        <w:rPr>
          <w:rFonts w:hint="default" w:ascii="Times New Roman" w:hAnsi="Times New Roman" w:cs="Times New Roman"/>
          <w:color w:val="auto"/>
          <w:highlight w:val="none"/>
        </w:rPr>
        <w:t>较近处施工时，设置</w:t>
      </w:r>
      <w:r>
        <w:rPr>
          <w:rFonts w:hint="default" w:ascii="Times New Roman" w:hAnsi="Times New Roman" w:cs="Times New Roman"/>
          <w:color w:val="auto"/>
          <w:highlight w:val="none"/>
          <w:lang w:val="en-US" w:eastAsia="zh-CN"/>
        </w:rPr>
        <w:t>简易声屏障</w:t>
      </w:r>
      <w:r>
        <w:rPr>
          <w:rFonts w:hint="default" w:ascii="Times New Roman" w:hAnsi="Times New Roman" w:cs="Times New Roman"/>
          <w:color w:val="auto"/>
          <w:highlight w:val="none"/>
        </w:rPr>
        <w:t>，减少噪音对</w:t>
      </w:r>
      <w:r>
        <w:rPr>
          <w:rFonts w:hint="eastAsia" w:ascii="Times New Roman" w:hAnsi="Times New Roman" w:cs="Times New Roman"/>
          <w:color w:val="auto"/>
          <w:highlight w:val="none"/>
          <w:lang w:val="en-US" w:eastAsia="zh-CN"/>
        </w:rPr>
        <w:t>居民</w:t>
      </w:r>
      <w:r>
        <w:rPr>
          <w:rFonts w:hint="default" w:ascii="Times New Roman" w:hAnsi="Times New Roman" w:cs="Times New Roman"/>
          <w:color w:val="auto"/>
          <w:highlight w:val="none"/>
        </w:rPr>
        <w:t>的影响。</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评价认为，采取上述措施后，可有效减轻项目施工噪声对周围环境的影响程度，各项措施技术、经济可行。</w:t>
      </w:r>
    </w:p>
    <w:p>
      <w:pPr>
        <w:pStyle w:val="4"/>
        <w:pageBreakBefore w:val="0"/>
        <w:widowControl w:val="0"/>
        <w:kinsoku/>
        <w:wordWrap/>
        <w:overflowPunct/>
        <w:topLinePunct w:val="0"/>
        <w:autoSpaceDE/>
        <w:autoSpaceDN/>
        <w:bidi w:val="0"/>
        <w:adjustRightInd w:val="0"/>
        <w:snapToGrid w:val="0"/>
        <w:spacing w:before="0" w:after="0" w:line="360" w:lineRule="auto"/>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7</w:t>
      </w:r>
      <w:r>
        <w:rPr>
          <w:rFonts w:hint="default" w:ascii="Times New Roman" w:hAnsi="Times New Roman" w:cs="Times New Roman"/>
          <w:color w:val="auto"/>
          <w:highlight w:val="none"/>
        </w:rPr>
        <w:t>.1.4施工期固体废弃物污染防治措施</w:t>
      </w:r>
    </w:p>
    <w:p>
      <w:pPr>
        <w:pStyle w:val="13"/>
        <w:pageBreakBefore w:val="0"/>
        <w:widowControl w:val="0"/>
        <w:numPr>
          <w:ilvl w:val="0"/>
          <w:numId w:val="5"/>
        </w:numPr>
        <w:kinsoku/>
        <w:wordWrap/>
        <w:overflowPunct/>
        <w:topLinePunct w:val="0"/>
        <w:autoSpaceDE/>
        <w:autoSpaceDN/>
        <w:bidi w:val="0"/>
        <w:adjustRightInd w:val="0"/>
        <w:snapToGrid w:val="0"/>
        <w:spacing w:before="0" w:beforeLines="0" w:after="0" w:afterLines="0" w:line="360" w:lineRule="auto"/>
        <w:ind w:firstLine="476" w:firstLineChars="200"/>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spacing w:val="-1"/>
          <w:highlight w:val="none"/>
          <w:lang w:val="en-US" w:eastAsia="zh-CN"/>
        </w:rPr>
        <w:t>管网工程</w:t>
      </w:r>
      <w:r>
        <w:rPr>
          <w:rFonts w:hint="default" w:ascii="Times New Roman" w:hAnsi="Times New Roman" w:cs="Times New Roman"/>
          <w:color w:val="auto"/>
          <w:spacing w:val="-1"/>
          <w:highlight w:val="none"/>
          <w:lang w:val="en-US" w:eastAsia="zh-CN"/>
        </w:rPr>
        <w:t>弃方</w:t>
      </w:r>
      <w:r>
        <w:rPr>
          <w:rFonts w:hint="eastAsia" w:ascii="Times New Roman" w:hAnsi="Times New Roman" w:cs="Times New Roman"/>
          <w:color w:val="auto"/>
          <w:spacing w:val="-1"/>
          <w:highlight w:val="none"/>
          <w:lang w:val="en-US" w:eastAsia="zh-CN"/>
        </w:rPr>
        <w:t>及表土</w:t>
      </w:r>
      <w:r>
        <w:rPr>
          <w:rFonts w:hint="default" w:ascii="Times New Roman" w:hAnsi="Times New Roman" w:cs="Times New Roman"/>
          <w:color w:val="auto"/>
          <w:highlight w:val="none"/>
        </w:rPr>
        <w:t>：合理安排施工时序，做好剥离表层土保护工作，</w:t>
      </w:r>
      <w:r>
        <w:rPr>
          <w:rFonts w:hint="eastAsia" w:ascii="Times New Roman" w:hAnsi="Times New Roman" w:cs="Times New Roman"/>
          <w:color w:val="auto"/>
          <w:highlight w:val="none"/>
          <w:lang w:val="en-US" w:eastAsia="zh-CN"/>
        </w:rPr>
        <w:t>表土</w:t>
      </w:r>
      <w:r>
        <w:rPr>
          <w:rFonts w:hint="eastAsia" w:ascii="Times New Roman" w:hAnsi="Times New Roman" w:eastAsia="宋体" w:cs="Times New Roman"/>
          <w:color w:val="auto"/>
          <w:sz w:val="24"/>
          <w:szCs w:val="24"/>
          <w:highlight w:val="none"/>
          <w:lang w:val="en-US" w:eastAsia="zh-CN"/>
        </w:rPr>
        <w:t>进行</w:t>
      </w:r>
      <w:r>
        <w:rPr>
          <w:rFonts w:hint="default" w:ascii="Times New Roman" w:hAnsi="Times New Roman" w:cs="Times New Roman"/>
          <w:color w:val="auto"/>
          <w:highlight w:val="none"/>
        </w:rPr>
        <w:t>分类</w:t>
      </w:r>
      <w:r>
        <w:rPr>
          <w:rFonts w:hint="eastAsia" w:ascii="Times New Roman" w:hAnsi="Times New Roman" w:eastAsia="宋体" w:cs="Times New Roman"/>
          <w:color w:val="auto"/>
          <w:sz w:val="24"/>
          <w:szCs w:val="24"/>
          <w:highlight w:val="none"/>
          <w:lang w:val="en-US" w:eastAsia="zh-CN"/>
        </w:rPr>
        <w:t>分层堆放，分层回填</w:t>
      </w:r>
      <w:r>
        <w:rPr>
          <w:rFonts w:hint="default" w:ascii="Times New Roman" w:hAnsi="Times New Roman" w:cs="Times New Roman"/>
          <w:color w:val="auto"/>
          <w:highlight w:val="none"/>
        </w:rPr>
        <w:t>，施工结束后用于临时占地迹地恢复和道路、绿化用土。工程中</w:t>
      </w:r>
      <w:r>
        <w:rPr>
          <w:rFonts w:hint="default" w:ascii="Times New Roman" w:hAnsi="Times New Roman" w:cs="Times New Roman"/>
          <w:color w:val="auto"/>
          <w:highlight w:val="none"/>
          <w:lang w:val="en-US" w:eastAsia="zh-CN"/>
        </w:rPr>
        <w:t>挖方</w:t>
      </w:r>
      <w:r>
        <w:rPr>
          <w:rFonts w:hint="default" w:ascii="Times New Roman" w:hAnsi="Times New Roman" w:cs="Times New Roman"/>
          <w:color w:val="auto"/>
          <w:highlight w:val="none"/>
        </w:rPr>
        <w:t>大部分用于</w:t>
      </w:r>
      <w:r>
        <w:rPr>
          <w:rFonts w:hint="default" w:ascii="Times New Roman" w:hAnsi="Times New Roman" w:cs="Times New Roman"/>
          <w:color w:val="auto"/>
          <w:highlight w:val="none"/>
          <w:lang w:val="en-US" w:eastAsia="zh-CN"/>
        </w:rPr>
        <w:t>厂区基础及</w:t>
      </w:r>
      <w:r>
        <w:rPr>
          <w:rFonts w:hint="default" w:ascii="Times New Roman" w:hAnsi="Times New Roman" w:cs="Times New Roman"/>
          <w:color w:val="auto"/>
          <w:highlight w:val="none"/>
        </w:rPr>
        <w:t>管沟回填，剩余</w:t>
      </w:r>
      <w:r>
        <w:rPr>
          <w:rFonts w:hint="default" w:ascii="Times New Roman" w:hAnsi="Times New Roman" w:cs="Times New Roman"/>
          <w:color w:val="auto"/>
          <w:spacing w:val="-1"/>
          <w:highlight w:val="none"/>
          <w:lang w:val="en-US" w:eastAsia="zh-CN"/>
        </w:rPr>
        <w:t>弃方</w:t>
      </w:r>
      <w:r>
        <w:rPr>
          <w:rFonts w:hint="eastAsia" w:ascii="Times New Roman" w:hAnsi="Times New Roman" w:cs="Times New Roman"/>
          <w:color w:val="auto"/>
          <w:spacing w:val="-1"/>
          <w:highlight w:val="none"/>
          <w:lang w:val="en-US" w:eastAsia="zh-CN"/>
        </w:rPr>
        <w:t>由当地工程公司拉运，用于其他项目铺路。</w:t>
      </w:r>
    </w:p>
    <w:p>
      <w:pPr>
        <w:pStyle w:val="13"/>
        <w:pageBreakBefore w:val="0"/>
        <w:widowControl w:val="0"/>
        <w:numPr>
          <w:ilvl w:val="0"/>
          <w:numId w:val="0"/>
        </w:numPr>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（2）生活垃圾：生活垃圾集中堆放到垃圾桶等临时收集系统，交由当地环卫部门统一处置。</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（3）其他垃圾：水泥袋等可由废旧部门回收，对钢筋、钢板之类的废料，可分类回收，交废物收购站处理。</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（4）施工管理：加强施工管理，做好各类固体废弃物的收集与处置。</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评价认为，采取上述环保措施后，施工期固体废弃物对环境影响较小，各项措施技术、经济可行。</w:t>
      </w:r>
    </w:p>
    <w:p>
      <w:pPr>
        <w:pStyle w:val="4"/>
        <w:keepNext w:val="0"/>
        <w:keepLines w:val="0"/>
        <w:pageBreakBefore w:val="0"/>
        <w:widowControl w:val="0"/>
        <w:kinsoku/>
        <w:wordWrap/>
        <w:overflowPunct/>
        <w:topLinePunct w:val="0"/>
        <w:autoSpaceDE/>
        <w:autoSpaceDN/>
        <w:bidi w:val="0"/>
        <w:adjustRightInd w:val="0"/>
        <w:snapToGrid w:val="0"/>
        <w:spacing w:before="0" w:after="0" w:line="360" w:lineRule="auto"/>
        <w:textAlignment w:val="auto"/>
        <w:rPr>
          <w:rFonts w:hint="default" w:ascii="Times New Roman" w:hAnsi="Times New Roman" w:cs="Times New Roman"/>
          <w:color w:val="auto"/>
          <w:highlight w:val="none"/>
        </w:rPr>
      </w:pPr>
      <w:r>
        <w:rPr>
          <w:rFonts w:hint="eastAsia" w:cs="Times New Roman"/>
          <w:color w:val="auto"/>
          <w:highlight w:val="none"/>
          <w:lang w:val="en-US" w:eastAsia="zh-CN"/>
        </w:rPr>
        <w:t>7</w:t>
      </w:r>
      <w:r>
        <w:rPr>
          <w:rFonts w:hint="default" w:ascii="Times New Roman" w:hAnsi="Times New Roman" w:cs="Times New Roman"/>
          <w:color w:val="auto"/>
          <w:highlight w:val="none"/>
        </w:rPr>
        <w:t>.1.5生态环境保护措施</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eastAsia="zh-CN"/>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1</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严格控制</w:t>
      </w:r>
      <w:r>
        <w:rPr>
          <w:rFonts w:hint="default" w:ascii="Times New Roman" w:hAnsi="Times New Roman" w:cs="Times New Roman"/>
          <w:color w:val="auto"/>
          <w:highlight w:val="none"/>
          <w:lang w:val="en-US" w:eastAsia="zh-CN"/>
        </w:rPr>
        <w:t>污水管线</w:t>
      </w:r>
      <w:r>
        <w:rPr>
          <w:rFonts w:hint="default" w:ascii="Times New Roman" w:hAnsi="Times New Roman" w:cs="Times New Roman"/>
          <w:color w:val="auto"/>
          <w:highlight w:val="none"/>
        </w:rPr>
        <w:t>施工作业区，</w:t>
      </w:r>
      <w:r>
        <w:rPr>
          <w:rFonts w:hint="default" w:ascii="Times New Roman" w:hAnsi="Times New Roman" w:cs="Times New Roman"/>
          <w:color w:val="auto"/>
          <w:highlight w:val="none"/>
          <w:lang w:val="en-US" w:eastAsia="zh-CN"/>
        </w:rPr>
        <w:t>管线施工必须在道路施工红线范围内</w:t>
      </w:r>
      <w:r>
        <w:rPr>
          <w:rFonts w:hint="default" w:ascii="Times New Roman" w:hAnsi="Times New Roman" w:cs="Times New Roman"/>
          <w:color w:val="auto"/>
          <w:highlight w:val="none"/>
          <w:lang w:eastAsia="zh-CN"/>
        </w:rPr>
        <w:t>。</w:t>
      </w:r>
    </w:p>
    <w:p>
      <w:pPr>
        <w:pStyle w:val="13"/>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2</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管沟开挖采用机械开挖，辅以人工开挖方式进行，要求采用分层开挖，分区堆放，全部表土应分层定点堆放并标注清楚，至少地表0.3m厚土层应被视作表土。填埋时，也应分层回填，尽可能保持原有地表植被的生长环境、土壤肥力，以便于</w:t>
      </w:r>
      <w:r>
        <w:rPr>
          <w:rFonts w:hint="default" w:ascii="Times New Roman" w:hAnsi="Times New Roman" w:cs="Times New Roman"/>
          <w:color w:val="auto"/>
          <w:highlight w:val="none"/>
          <w:lang w:val="en-US" w:eastAsia="zh-CN"/>
        </w:rPr>
        <w:t>后期生态恢复</w:t>
      </w:r>
      <w:r>
        <w:rPr>
          <w:rFonts w:hint="default" w:ascii="Times New Roman" w:hAnsi="Times New Roman" w:cs="Times New Roman"/>
          <w:color w:val="auto"/>
          <w:highlight w:val="none"/>
        </w:rPr>
        <w:t>。</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3</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对管网施工沿线设围栏，减少临时占地，土方及时回填</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清运，同时合理安排施工工期，避免雨季进行管网施工，对一段距离内管网集中施工，尽快回填。</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4</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对完工的裸露地面要尽早平整，</w:t>
      </w:r>
      <w:r>
        <w:rPr>
          <w:rFonts w:hint="eastAsia" w:ascii="Times New Roman" w:hAnsi="Times New Roman" w:cs="Times New Roman"/>
          <w:color w:val="auto"/>
          <w:highlight w:val="none"/>
          <w:lang w:val="en-US" w:eastAsia="zh-CN"/>
        </w:rPr>
        <w:t>撒播草种，</w:t>
      </w:r>
      <w:r>
        <w:rPr>
          <w:rFonts w:hint="default" w:ascii="Times New Roman" w:hAnsi="Times New Roman" w:cs="Times New Roman"/>
          <w:color w:val="auto"/>
          <w:highlight w:val="none"/>
        </w:rPr>
        <w:t>及时绿化</w:t>
      </w:r>
      <w:r>
        <w:rPr>
          <w:rFonts w:hint="eastAsia" w:cs="Times New Roman"/>
          <w:color w:val="auto"/>
          <w:highlight w:val="none"/>
          <w:lang w:eastAsia="zh-CN"/>
        </w:rPr>
        <w:t>；</w:t>
      </w:r>
      <w:r>
        <w:rPr>
          <w:rFonts w:hint="eastAsia" w:cs="Times New Roman"/>
          <w:color w:val="auto"/>
          <w:highlight w:val="none"/>
          <w:lang w:val="en-US" w:eastAsia="zh-CN"/>
        </w:rPr>
        <w:t>对绿化带中的植被进行补种。</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5</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施工时间安排上应尽量避开当地雨季和汛期施工。</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6</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施工过程中在地势较高的地区管道的敷设时，应边开挖，边回填，边碾压，边采取挡渣和排水措施。</w:t>
      </w:r>
    </w:p>
    <w:p>
      <w:pPr>
        <w:pStyle w:val="13"/>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7</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管线施工过程中临时土方堆放场应选择较平整的场地，及时回填，并且场地使用后尽快恢复植被。</w:t>
      </w:r>
    </w:p>
    <w:p>
      <w:pPr>
        <w:pStyle w:val="131"/>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8</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管线施工工程施工应分期分区进行，不要全面铺开以缩短单项工期。开挖的裸露面要有防治措施，尽量缩短暴露时间，减少水土流失。</w:t>
      </w:r>
    </w:p>
    <w:p>
      <w:pPr>
        <w:pStyle w:val="131"/>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综上所述，</w:t>
      </w: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施工期在采取上述措施后，可将施工建设带来的不利环境影响降到最小限度</w:t>
      </w:r>
      <w:r>
        <w:rPr>
          <w:rFonts w:hint="eastAsia" w:ascii="Times New Roman" w:hAnsi="Times New Roman" w:cs="Times New Roman"/>
          <w:color w:val="auto"/>
          <w:highlight w:val="none"/>
          <w:lang w:eastAsia="zh-CN"/>
        </w:rPr>
        <w:t>。</w:t>
      </w:r>
    </w:p>
    <w:p>
      <w:pPr>
        <w:pStyle w:val="4"/>
        <w:keepNext w:val="0"/>
        <w:keepLines w:val="0"/>
        <w:pageBreakBefore w:val="0"/>
        <w:widowControl w:val="0"/>
        <w:kinsoku/>
        <w:wordWrap/>
        <w:overflowPunct/>
        <w:topLinePunct w:val="0"/>
        <w:autoSpaceDE/>
        <w:autoSpaceDN/>
        <w:bidi w:val="0"/>
        <w:adjustRightInd w:val="0"/>
        <w:snapToGrid w:val="0"/>
        <w:spacing w:before="0" w:after="0" w:line="360" w:lineRule="auto"/>
        <w:textAlignment w:val="auto"/>
        <w:rPr>
          <w:rFonts w:hint="default" w:ascii="Times New Roman" w:hAnsi="Times New Roman" w:cs="Times New Roman"/>
          <w:color w:val="auto"/>
          <w:highlight w:val="none"/>
        </w:rPr>
      </w:pPr>
      <w:r>
        <w:rPr>
          <w:rFonts w:hint="eastAsia" w:cs="Times New Roman"/>
          <w:color w:val="auto"/>
          <w:highlight w:val="none"/>
          <w:lang w:val="en-US" w:eastAsia="zh-CN"/>
        </w:rPr>
        <w:t>7</w:t>
      </w:r>
      <w:r>
        <w:rPr>
          <w:rFonts w:hint="default" w:ascii="Times New Roman" w:hAnsi="Times New Roman" w:cs="Times New Roman"/>
          <w:color w:val="auto"/>
          <w:highlight w:val="none"/>
        </w:rPr>
        <w:t>.1.</w:t>
      </w:r>
      <w:r>
        <w:rPr>
          <w:rFonts w:hint="eastAsia" w:ascii="Times New Roman" w:hAnsi="Times New Roman" w:cs="Times New Roman"/>
          <w:color w:val="auto"/>
          <w:highlight w:val="none"/>
          <w:lang w:val="en-US" w:eastAsia="zh-CN"/>
        </w:rPr>
        <w:t>6水土流失防治措施</w:t>
      </w: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工程措施</w:t>
      </w: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w:t>
      </w:r>
      <w:r>
        <w:rPr>
          <w:rFonts w:hint="default" w:ascii="Times New Roman" w:hAnsi="Times New Roman" w:eastAsia="宋体" w:cs="Times New Roman"/>
          <w:color w:val="auto"/>
          <w:sz w:val="24"/>
          <w:szCs w:val="24"/>
        </w:rPr>
        <w:t>建设方要做好计划安排，避免大量破土，减少开挖地面裸露时间，避免遭受雨水较长时间的冲刷。施工过程中对临时堆料土方拍实，临时采用彩条布进行遮盖，周边设置袋装填土压盖边角，施工期间采取洒水降尘措施</w:t>
      </w:r>
      <w:r>
        <w:rPr>
          <w:rFonts w:hint="default" w:ascii="Times New Roman" w:hAnsi="Times New Roman" w:eastAsia="宋体" w:cs="Times New Roman"/>
          <w:color w:val="auto"/>
          <w:sz w:val="24"/>
          <w:szCs w:val="24"/>
          <w:highlight w:val="none"/>
          <w:lang w:val="en-US" w:eastAsia="zh-CN"/>
        </w:rPr>
        <w:t>。</w:t>
      </w: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②在施工过程中加强砂、土、石等建筑材料和清场、清基废料的挡护、覆盖</w:t>
      </w:r>
      <w:r>
        <w:rPr>
          <w:rFonts w:hint="default" w:ascii="Times New Roman" w:hAnsi="Times New Roman" w:eastAsia="宋体" w:cs="Times New Roman"/>
          <w:color w:val="auto"/>
          <w:sz w:val="24"/>
          <w:szCs w:val="24"/>
          <w:highlight w:val="none"/>
          <w:lang w:val="en-US" w:eastAsia="zh-CN"/>
        </w:rPr>
        <w:t>，并定期洒水抑尘，根据需求建设临时围挡。</w:t>
      </w: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③合理安排施工进度和施工时序，防止重复开挖和土石方多次倒运，减少裸露面积，缩短裸露时间；土石方工程施工尽量避开暴雨、汛期等恶劣天气施工。</w:t>
      </w: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leftChars="0" w:right="0"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4"/>
          <w:szCs w:val="24"/>
          <w:highlight w:val="none"/>
          <w:lang w:val="en-US" w:eastAsia="zh-CN"/>
        </w:rPr>
        <w:t>④施工过程中产生的</w:t>
      </w:r>
      <w:r>
        <w:rPr>
          <w:rFonts w:hint="default" w:ascii="Times New Roman" w:hAnsi="Times New Roman" w:cs="Times New Roman"/>
          <w:color w:val="auto"/>
          <w:highlight w:val="none"/>
          <w:lang w:val="en-US" w:eastAsia="zh-CN"/>
        </w:rPr>
        <w:t>挖方</w:t>
      </w:r>
      <w:r>
        <w:rPr>
          <w:rFonts w:hint="default" w:ascii="Times New Roman" w:hAnsi="Times New Roman" w:cs="Times New Roman"/>
          <w:color w:val="auto"/>
          <w:highlight w:val="none"/>
        </w:rPr>
        <w:t>大部分用于</w:t>
      </w:r>
      <w:r>
        <w:rPr>
          <w:rFonts w:hint="default" w:ascii="Times New Roman" w:hAnsi="Times New Roman" w:cs="Times New Roman"/>
          <w:color w:val="auto"/>
          <w:highlight w:val="none"/>
          <w:lang w:val="en-US" w:eastAsia="zh-CN"/>
        </w:rPr>
        <w:t>厂区基础及</w:t>
      </w:r>
      <w:r>
        <w:rPr>
          <w:rFonts w:hint="default" w:ascii="Times New Roman" w:hAnsi="Times New Roman" w:cs="Times New Roman"/>
          <w:color w:val="auto"/>
          <w:highlight w:val="none"/>
        </w:rPr>
        <w:t>管沟回填，</w:t>
      </w:r>
      <w:r>
        <w:rPr>
          <w:rFonts w:hint="eastAsia" w:ascii="Times New Roman" w:hAnsi="Times New Roman" w:cs="Times New Roman"/>
          <w:color w:val="auto"/>
          <w:highlight w:val="none"/>
          <w:lang w:val="en-US" w:eastAsia="zh-CN"/>
        </w:rPr>
        <w:t>弃方由当地工程公司拉运，用于其他项目铺路</w:t>
      </w:r>
      <w:r>
        <w:rPr>
          <w:rFonts w:hint="default" w:ascii="Times New Roman" w:hAnsi="Times New Roman" w:cs="Times New Roman"/>
          <w:color w:val="auto"/>
          <w:highlight w:val="none"/>
          <w:lang w:eastAsia="zh-CN"/>
        </w:rPr>
        <w:t>；剩余部分无法回收再利用</w:t>
      </w:r>
      <w:r>
        <w:rPr>
          <w:rFonts w:hint="default" w:ascii="Times New Roman" w:hAnsi="Times New Roman" w:cs="Times New Roman"/>
          <w:color w:val="auto"/>
          <w:highlight w:val="none"/>
        </w:rPr>
        <w:t>建筑垃圾送市政部门指定地点堆存</w:t>
      </w:r>
      <w:r>
        <w:rPr>
          <w:rFonts w:hint="default" w:ascii="Times New Roman" w:hAnsi="Times New Roman" w:cs="Times New Roman"/>
          <w:color w:val="auto"/>
          <w:highlight w:val="none"/>
          <w:lang w:val="en-US" w:eastAsia="zh-CN"/>
        </w:rPr>
        <w:t>。</w:t>
      </w: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⑤施工结束后</w:t>
      </w:r>
      <w:r>
        <w:rPr>
          <w:rFonts w:hint="default" w:ascii="Times New Roman" w:hAnsi="Times New Roman" w:eastAsia="宋体" w:cs="Times New Roman"/>
          <w:color w:val="auto"/>
          <w:sz w:val="24"/>
          <w:szCs w:val="24"/>
          <w:highlight w:val="none"/>
          <w:lang w:eastAsia="zh-CN"/>
        </w:rPr>
        <w:t>临时</w:t>
      </w:r>
      <w:r>
        <w:rPr>
          <w:rFonts w:hint="default" w:ascii="Times New Roman" w:hAnsi="Times New Roman" w:eastAsia="宋体" w:cs="Times New Roman"/>
          <w:color w:val="auto"/>
          <w:sz w:val="24"/>
          <w:szCs w:val="24"/>
          <w:highlight w:val="none"/>
        </w:rPr>
        <w:t>占地内施工设施一律拆除干净</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并对临时占地及时清理，采取场地平整，并进行表土覆盖措施后采取人工植被恢复，</w:t>
      </w:r>
      <w:r>
        <w:rPr>
          <w:rFonts w:hint="default" w:ascii="Times New Roman" w:hAnsi="Times New Roman" w:eastAsia="宋体" w:cs="Times New Roman"/>
          <w:color w:val="auto"/>
          <w:kern w:val="2"/>
          <w:sz w:val="24"/>
          <w:szCs w:val="24"/>
          <w:highlight w:val="none"/>
        </w:rPr>
        <w:t>采用当地常见植被</w:t>
      </w:r>
      <w:r>
        <w:rPr>
          <w:rFonts w:hint="default" w:ascii="Times New Roman" w:hAnsi="Times New Roman" w:eastAsia="宋体" w:cs="Times New Roman"/>
          <w:color w:val="auto"/>
          <w:sz w:val="24"/>
          <w:szCs w:val="24"/>
          <w:highlight w:val="none"/>
          <w:lang w:eastAsia="zh-CN"/>
        </w:rPr>
        <w:t>恢复原有地貌，</w:t>
      </w:r>
      <w:r>
        <w:rPr>
          <w:rFonts w:hint="default" w:ascii="Times New Roman" w:hAnsi="Times New Roman" w:eastAsia="宋体" w:cs="Times New Roman"/>
          <w:color w:val="auto"/>
          <w:sz w:val="24"/>
          <w:szCs w:val="24"/>
          <w:highlight w:val="none"/>
        </w:rPr>
        <w:t>避免地表裸露增加水土流失</w:t>
      </w:r>
      <w:r>
        <w:rPr>
          <w:rFonts w:hint="default" w:ascii="Times New Roman" w:hAnsi="Times New Roman" w:eastAsia="宋体" w:cs="Times New Roman"/>
          <w:color w:val="auto"/>
          <w:sz w:val="24"/>
          <w:szCs w:val="24"/>
          <w:highlight w:val="none"/>
          <w:lang w:val="en-US" w:eastAsia="zh-CN"/>
        </w:rPr>
        <w:t>量。</w:t>
      </w: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管理措施</w:t>
      </w: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为减少工程建设过程产生的水土流失，除了具体的工程措施、植物措施和临时措施以外，还应加强工程施工阶段的管理措施：</w:t>
      </w: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①施工期间对于需要转运利用的临时填筑料应要求施工单位堆放成稳定台体，另外也要求施工单位合理安排施工工序，尽量减少临时堆土的堆放时间。</w:t>
      </w: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w:t>
      </w:r>
      <w:r>
        <w:rPr>
          <w:rFonts w:hint="default" w:ascii="Times New Roman" w:hAnsi="Times New Roman" w:eastAsia="宋体" w:cs="Times New Roman"/>
          <w:color w:val="auto"/>
          <w:sz w:val="24"/>
          <w:szCs w:val="24"/>
          <w:highlight w:val="none"/>
          <w:lang w:val="en-US" w:eastAsia="zh-CN"/>
        </w:rPr>
        <w:t>施工期间应规划施工活动范围，由专人负责严格控制和管理运输车辆及重型机械的行车范围，以防破坏地表植被，引发水土流失。</w:t>
      </w: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③严禁在大风、大雨天气下施工，特别是工程土方开挖、土方回填等作业。</w:t>
      </w: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④在施工场地出入口，竖立保护植被和野生动物的警示牌，以提醒施工作业人员。</w:t>
      </w: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⑤严禁施工材料乱堆、乱放，要划定适宜的建筑材料临时堆放场所，以防对植被破坏范围的扩大。</w:t>
      </w: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⑥教育施工人员保护植被，不随意滥采乱挖区域周边资源植物，严禁将沿线的自然植被作建材使用，加强对项目区周边植被的保护工作。</w:t>
      </w: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⑦施工结束后，要做好施工迹地的恢复工作，使工程建设区的景观与周围环境相协调。</w:t>
      </w:r>
    </w:p>
    <w:p>
      <w:pPr>
        <w:pStyle w:val="3"/>
        <w:bidi w:val="0"/>
        <w:rPr>
          <w:color w:val="auto"/>
          <w:highlight w:val="none"/>
        </w:rPr>
      </w:pPr>
      <w:bookmarkStart w:id="65" w:name="_Toc6961"/>
      <w:r>
        <w:rPr>
          <w:rFonts w:hint="eastAsia"/>
          <w:color w:val="auto"/>
          <w:highlight w:val="none"/>
          <w:lang w:val="en-US" w:eastAsia="zh-CN"/>
        </w:rPr>
        <w:t>7</w:t>
      </w:r>
      <w:r>
        <w:rPr>
          <w:color w:val="auto"/>
          <w:highlight w:val="none"/>
        </w:rPr>
        <w:t>.</w:t>
      </w:r>
      <w:r>
        <w:rPr>
          <w:rFonts w:hint="eastAsia"/>
          <w:color w:val="auto"/>
          <w:highlight w:val="none"/>
          <w:lang w:val="en-US" w:eastAsia="zh-CN"/>
        </w:rPr>
        <w:t>2</w:t>
      </w:r>
      <w:bookmarkStart w:id="66" w:name="_Toc40116518"/>
      <w:r>
        <w:rPr>
          <w:color w:val="auto"/>
          <w:highlight w:val="none"/>
        </w:rPr>
        <w:t>运营期环境影响减缓措施</w:t>
      </w:r>
      <w:bookmarkEnd w:id="65"/>
      <w:bookmarkEnd w:id="66"/>
    </w:p>
    <w:p>
      <w:pPr>
        <w:bidi w:val="0"/>
        <w:rPr>
          <w:color w:val="auto"/>
          <w:highlight w:val="none"/>
        </w:rPr>
      </w:pPr>
      <w:r>
        <w:rPr>
          <w:color w:val="auto"/>
          <w:highlight w:val="none"/>
        </w:rPr>
        <w:t>按照</w:t>
      </w:r>
      <w:r>
        <w:rPr>
          <w:rFonts w:hint="eastAsia"/>
          <w:color w:val="auto"/>
          <w:highlight w:val="none"/>
          <w:lang w:eastAsia="zh-CN"/>
        </w:rPr>
        <w:t>“</w:t>
      </w:r>
      <w:r>
        <w:rPr>
          <w:color w:val="auto"/>
          <w:highlight w:val="none"/>
        </w:rPr>
        <w:t>达标排放</w:t>
      </w:r>
      <w:r>
        <w:rPr>
          <w:rFonts w:hint="eastAsia"/>
          <w:color w:val="auto"/>
          <w:highlight w:val="none"/>
          <w:lang w:eastAsia="zh-CN"/>
        </w:rPr>
        <w:t>”</w:t>
      </w:r>
      <w:r>
        <w:rPr>
          <w:color w:val="auto"/>
          <w:highlight w:val="none"/>
        </w:rPr>
        <w:t>的原则，确保项目生产过程中</w:t>
      </w:r>
      <w:r>
        <w:rPr>
          <w:rFonts w:hint="eastAsia"/>
          <w:color w:val="auto"/>
          <w:highlight w:val="none"/>
          <w:lang w:eastAsia="zh-CN"/>
        </w:rPr>
        <w:t>“</w:t>
      </w:r>
      <w:r>
        <w:rPr>
          <w:color w:val="auto"/>
          <w:highlight w:val="none"/>
        </w:rPr>
        <w:t>三废</w:t>
      </w:r>
      <w:r>
        <w:rPr>
          <w:rFonts w:hint="eastAsia"/>
          <w:color w:val="auto"/>
          <w:highlight w:val="none"/>
          <w:lang w:eastAsia="zh-CN"/>
        </w:rPr>
        <w:t>”</w:t>
      </w:r>
      <w:r>
        <w:rPr>
          <w:color w:val="auto"/>
          <w:highlight w:val="none"/>
        </w:rPr>
        <w:t>污染源和厂界噪声达标排放，积极开展综合利用。在对项目拟采取的环保措施可行性论证的基础上，针对存在的问题提出相应的具体要求或建议。</w:t>
      </w:r>
    </w:p>
    <w:p>
      <w:pPr>
        <w:pStyle w:val="4"/>
        <w:bidi w:val="0"/>
        <w:rPr>
          <w:color w:val="auto"/>
          <w:highlight w:val="none"/>
        </w:rPr>
      </w:pPr>
      <w:r>
        <w:rPr>
          <w:rFonts w:hint="eastAsia"/>
          <w:color w:val="auto"/>
          <w:highlight w:val="none"/>
          <w:lang w:val="en-US" w:eastAsia="zh-CN"/>
        </w:rPr>
        <w:t>7.2.1</w:t>
      </w:r>
      <w:r>
        <w:rPr>
          <w:color w:val="auto"/>
          <w:highlight w:val="none"/>
        </w:rPr>
        <w:t>废气治理措施可行性分析</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本项目设计烟气治理采用</w:t>
      </w:r>
      <w:r>
        <w:rPr>
          <w:rFonts w:hint="eastAsia" w:ascii="Times New Roman" w:hAnsi="Times New Roman" w:eastAsia="宋体" w:cs="Times New Roman"/>
          <w:color w:val="auto"/>
          <w:highlight w:val="none"/>
          <w:lang w:eastAsia="zh-CN"/>
        </w:rPr>
        <w:t>“</w:t>
      </w:r>
      <w:r>
        <w:rPr>
          <w:rFonts w:hint="eastAsia" w:cs="Times New Roman"/>
          <w:color w:val="auto"/>
          <w:highlight w:val="none"/>
          <w:lang w:val="en-US" w:eastAsia="zh-CN"/>
        </w:rPr>
        <w:t>4</w:t>
      </w:r>
      <w:r>
        <w:rPr>
          <w:rFonts w:hint="eastAsia" w:cs="Times New Roman"/>
          <w:color w:val="auto"/>
          <w:sz w:val="24"/>
          <w:lang w:val="en-US" w:eastAsia="zh-CN"/>
        </w:rPr>
        <w:t>台布袋式除尘器+3套石灰-石膏法脱硫（四级喷淋）+</w:t>
      </w:r>
      <w:r>
        <w:rPr>
          <w:rFonts w:hint="eastAsia" w:ascii="Times New Roman" w:hAnsi="Times New Roman" w:cs="Times New Roman"/>
          <w:color w:val="auto"/>
          <w:sz w:val="24"/>
          <w:lang w:val="en-US" w:eastAsia="zh-CN"/>
        </w:rPr>
        <w:t>1套SNCR+NCR法脱销</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工艺，烟气经处理达标后排入1座</w:t>
      </w:r>
      <w:r>
        <w:rPr>
          <w:rFonts w:hint="eastAsia" w:ascii="Times New Roman" w:hAnsi="Times New Roman" w:eastAsia="宋体" w:cs="Times New Roman"/>
          <w:color w:val="auto"/>
          <w:highlight w:val="none"/>
          <w:lang w:val="en-US" w:eastAsia="zh-CN"/>
        </w:rPr>
        <w:t>60</w:t>
      </w:r>
      <w:r>
        <w:rPr>
          <w:rFonts w:ascii="Times New Roman" w:hAnsi="Times New Roman" w:eastAsia="宋体" w:cs="Times New Roman"/>
          <w:color w:val="auto"/>
          <w:highlight w:val="none"/>
        </w:rPr>
        <w:t>m高烟囱高空排放。烟气净化效率为：设计总除尘率不低于99.8%</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脱硫效率不低于9</w:t>
      </w:r>
      <w:r>
        <w:rPr>
          <w:rFonts w:hint="eastAsia" w:ascii="Times New Roman" w:hAnsi="Times New Roman" w:eastAsia="宋体" w:cs="Times New Roman"/>
          <w:color w:val="auto"/>
          <w:highlight w:val="none"/>
          <w:lang w:val="en-US" w:eastAsia="zh-CN"/>
        </w:rPr>
        <w:t>6</w:t>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脱硝效率不低于85%</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汞及其化合物协同脱除效率不低于70%</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同时</w:t>
      </w:r>
      <w:r>
        <w:rPr>
          <w:rFonts w:hint="eastAsia" w:cs="Times New Roman"/>
          <w:color w:val="auto"/>
          <w:highlight w:val="none"/>
          <w:lang w:val="en-US" w:eastAsia="zh-CN"/>
        </w:rPr>
        <w:t>更换</w:t>
      </w:r>
      <w:r>
        <w:rPr>
          <w:rFonts w:ascii="Times New Roman" w:hAnsi="Times New Roman" w:eastAsia="宋体" w:cs="Times New Roman"/>
          <w:color w:val="auto"/>
          <w:highlight w:val="none"/>
        </w:rPr>
        <w:t>烟气在线监测系统一套。</w:t>
      </w:r>
    </w:p>
    <w:p>
      <w:pPr>
        <w:pStyle w:val="5"/>
        <w:bidi w:val="0"/>
        <w:ind w:left="0" w:leftChars="0"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7.2.1.1</w:t>
      </w:r>
      <w:r>
        <w:rPr>
          <w:rFonts w:hint="default" w:ascii="Times New Roman" w:hAnsi="Times New Roman" w:eastAsia="宋体" w:cs="Times New Roman"/>
          <w:color w:val="auto"/>
        </w:rPr>
        <w:t>烟尘治理措施</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目前国内用于锅炉粉尘收集采用的措施主要有多管旋风除尘器、静电除尘器和布袋除尘器三种，本项目针对上述三种除尘方法进行对比分析，选取最适用于本项目的除尘方法。</w:t>
      </w:r>
    </w:p>
    <w:p>
      <w:pPr>
        <w:bidi w:val="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1</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多管旋风除尘器</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①工作原理</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含尘气体由总进气管进入气体分布室，随后进入陶瓷旋风体和导流片之间的环形空隙。导流片使气体由直线运动变为圆周运动，旋转气流的绝大部分沿旋风体自圆筒体呈螺旋形向下，朝锥体流动，含尘气体在旋转过程中产生离心力，将密度大于气体的尘粒甩向筒壁。尘粒在与筒壁接触，便失去惯性力而靠入口速度的动量和向下的重力沿壁面向下落入排灰口进入总灰斗。旋转下降的外旋气流到达锥体下端位时，因圆锥体的收缩即以同样的旋转方向在旋风管轴线方向由下而上继续做螺旋形流动</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净气</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经过陶瓷旋风体排气管进入排气室，由总排气口排出，总排气管可以根据需要放置在侧向或顶部。</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多管旋风除尘技术是国内外运用的成熟技术，是一种特别适合中小型锅炉烟气除尘技术，具有广泛的市场前景。</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②多管旋风除尘器的优点</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a.设备结构简单、造价低，对大于10μm的粉尘有较高的分离效率。</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b.没有传动机构及运动部件，维护、修理方便。</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c.可用于高温含尘烟气的净化，用一般碳钢制造的除尘器可工作在350℃</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内壁衬以耐火材料的除尘器可工作在500℃。</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d.可承受内、外压力。</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e.除尘器敷设耐磨、耐腐蚀内衬后，可用以净化含高腐蚀性粉尘的烟气。</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③多管旋风除尘器的缺点</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a.对细微粉尘基本不起作用，除尘效率相对静电除尘器和布袋除尘器较低，效率在90%左右。</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b.磨损大。</w:t>
      </w:r>
    </w:p>
    <w:p>
      <w:pPr>
        <w:bidi w:val="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静电除尘器</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①工作原理</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静电除尘器的工作原理是利用高压电场使烟气发生电离，气流中的粉尘荷电在电场作用下与气流分离。负极由不同断面形状的金属导线制成，叫放电电极。正极由不同几何形状的金属板制成，叫集尘电极。静电除尘器的性能受粉尘性质、设备构造和烟气流速等三个因素的影响。粉尘的比电阻是评价导电性的指标，它对除尘效率有直接的影响。比电阻过低，尘粒难以保持在集尘电极上，致使其重返气流。比电阻过高，到达集尘电极的尘粒电荷不易放出，在尘层之间形成电压梯度会产生局部击穿和放电现象。这些情况都会造成除尘效率下降。</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②静电除尘器的优点</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a.除尘效率能捕集l</w:t>
      </w:r>
      <w:r>
        <w:rPr>
          <w:rFonts w:hint="eastAsia" w:ascii="Times New Roman" w:hAnsi="Times New Roman" w:eastAsia="宋体" w:cs="Times New Roman"/>
          <w:color w:val="auto"/>
          <w:highlight w:val="none"/>
          <w:lang w:val="en-US" w:eastAsia="zh-CN"/>
        </w:rPr>
        <w:t>n</w:t>
      </w:r>
      <w:r>
        <w:rPr>
          <w:rFonts w:ascii="Times New Roman" w:hAnsi="Times New Roman" w:eastAsia="宋体" w:cs="Times New Roman"/>
          <w:color w:val="auto"/>
          <w:highlight w:val="none"/>
        </w:rPr>
        <w:t>m下的细微粉尘，可控制一个合理的除尘效率。</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b.具有高效低阻的特点，电除尘器压力损失仅100～200Pa。</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c.处理烟气量大，可用于高温</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可高达500℃</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、高压和高湿的场合，能连续运转。</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③静电除尘器的缺点</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a.设备庞大，耗钢多，需高压变电和整流设备，通常高压供电设备的输出峰值电压为70～100KV</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故投资高。</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b.制造、安装和管理的技术水平要求较高、成本高。</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c.对初始浓度大于30g/cm</w:t>
      </w:r>
      <w:r>
        <w:rPr>
          <w:rFonts w:hint="eastAsia" w:ascii="Times New Roman" w:hAnsi="Times New Roman" w:eastAsia="宋体" w:cs="Times New Roman"/>
          <w:color w:val="auto"/>
          <w:highlight w:val="none"/>
          <w:vertAlign w:val="superscript"/>
          <w:lang w:val="en-US" w:eastAsia="zh-CN"/>
        </w:rPr>
        <w:t>3</w:t>
      </w:r>
      <w:r>
        <w:rPr>
          <w:rFonts w:ascii="Times New Roman" w:hAnsi="Times New Roman" w:eastAsia="宋体" w:cs="Times New Roman"/>
          <w:color w:val="auto"/>
          <w:highlight w:val="none"/>
        </w:rPr>
        <w:t>的含尘气体需设置预处理装置。</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d.除尘效率受粉尘比电阻影响大，一般对比电阻小于104～105Q·cm或大于1012～1015Q·cm的粉尘，若不采取一定措施，除尘效率将受到影响。</w:t>
      </w:r>
    </w:p>
    <w:p>
      <w:pPr>
        <w:bidi w:val="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3</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布袋除尘器</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①工作原理</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布袋除尘器是以一定的过滤材料，使含尘气体通过过滤材料来达到分离气体中固体粉尘的一种高效除尘设备。布袋除尘器脉冲的清灰技术和合成纤维滤料的应用，为其进一步发展提供了有利条件。目前，在各种高效除尘设备中，布袋除尘器是最有竞争力的一种。</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②布袋除尘器的优点</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a.除尘效率高，一般在99%以上，对亚微米粒径的细尘有较高的分级效率。</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b.处理风量的范围广，减少大气污染物的排放。</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c.结构简单，维护操作方便。</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d.在保证同样高除尘效率的前提下，造价低于电除尘器。</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e.采用玻璃纤维、聚四氟乙烯、P84等耐高温滤料时，可在200℃以上的高温条件下运行。</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f.对粉尘的特性不敏感，不受粉尘及电阻的影响。</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③布袋除尘器的缺点</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a.除尘器的设计、制造、安装要求高，运行成本较高。</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b.除尘器本体运行阻力较高，一般在1000-2000Pa范围内。</w:t>
      </w:r>
    </w:p>
    <w:p>
      <w:pPr>
        <w:bidi w:val="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4</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本项目除尘器选择</w:t>
      </w:r>
    </w:p>
    <w:p>
      <w:pPr>
        <w:bidi w:val="0"/>
        <w:rPr>
          <w:rFonts w:hint="eastAsia" w:ascii="Times New Roman" w:hAnsi="Times New Roman" w:eastAsia="宋体" w:cs="Times New Roman"/>
          <w:color w:val="auto"/>
          <w:highlight w:val="none"/>
          <w:lang w:val="en-US" w:eastAsia="zh-CN"/>
        </w:rPr>
      </w:pPr>
      <w:r>
        <w:rPr>
          <w:rFonts w:ascii="Times New Roman" w:hAnsi="Times New Roman" w:eastAsia="宋体" w:cs="Times New Roman"/>
          <w:color w:val="auto"/>
          <w:highlight w:val="none"/>
        </w:rPr>
        <w:t>为保证实现烟尘达标排放的前提下，既节约工程投资又提高除尘效率，本项目新</w:t>
      </w:r>
      <w:r>
        <w:rPr>
          <w:rFonts w:hint="eastAsia" w:ascii="Times New Roman" w:hAnsi="Times New Roman" w:eastAsia="宋体" w:cs="Times New Roman"/>
          <w:color w:val="auto"/>
          <w:highlight w:val="none"/>
          <w:lang w:val="en-US" w:eastAsia="zh-CN"/>
        </w:rPr>
        <w:t>增</w:t>
      </w:r>
      <w:r>
        <w:rPr>
          <w:rFonts w:ascii="Times New Roman" w:hAnsi="Times New Roman" w:eastAsia="宋体" w:cs="Times New Roman"/>
          <w:color w:val="auto"/>
          <w:highlight w:val="none"/>
        </w:rPr>
        <w:t>锅炉选择布袋除尘器。</w:t>
      </w:r>
      <w:r>
        <w:rPr>
          <w:rFonts w:hint="eastAsia" w:ascii="Times New Roman" w:hAnsi="Times New Roman" w:eastAsia="宋体" w:cs="Times New Roman"/>
          <w:color w:val="auto"/>
          <w:highlight w:val="none"/>
          <w:lang w:val="en-US" w:eastAsia="zh-CN"/>
        </w:rPr>
        <w:t>且项目原有3台锅炉各配备1台</w:t>
      </w:r>
      <w:r>
        <w:rPr>
          <w:rFonts w:ascii="Times New Roman" w:hAnsi="Times New Roman" w:eastAsia="宋体" w:cs="Times New Roman"/>
          <w:color w:val="auto"/>
          <w:highlight w:val="none"/>
        </w:rPr>
        <w:t>布袋除尘器</w:t>
      </w:r>
      <w:r>
        <w:rPr>
          <w:rFonts w:hint="eastAsia" w:ascii="Times New Roman" w:hAnsi="Times New Roman" w:eastAsia="宋体" w:cs="Times New Roman"/>
          <w:color w:val="auto"/>
          <w:highlight w:val="none"/>
          <w:lang w:eastAsia="zh-CN"/>
        </w:rPr>
        <w:t>。</w:t>
      </w:r>
    </w:p>
    <w:p>
      <w:pPr>
        <w:bidi w:val="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5</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除尘工艺可行性分析</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本项目采用布袋除尘器+脱硫塔协同除尘，总除尘率为99.8%</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烟气通过除尘设备处理后，经工程分析可知，烟尘排放浓度可满足《关于高质量推进实施燃煤锅炉超低排放的意见</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征求意见稿</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》中烟尘≤10mg/m</w:t>
      </w:r>
      <w:r>
        <w:rPr>
          <w:rFonts w:hint="eastAsia" w:ascii="Times New Roman" w:hAnsi="Times New Roman" w:eastAsia="宋体" w:cs="Times New Roman"/>
          <w:color w:val="auto"/>
          <w:highlight w:val="none"/>
          <w:vertAlign w:val="superscript"/>
          <w:lang w:val="en-US" w:eastAsia="zh-CN"/>
        </w:rPr>
        <w:t>3</w:t>
      </w:r>
      <w:r>
        <w:rPr>
          <w:rFonts w:ascii="Times New Roman" w:hAnsi="Times New Roman" w:eastAsia="宋体" w:cs="Times New Roman"/>
          <w:color w:val="auto"/>
          <w:highlight w:val="none"/>
        </w:rPr>
        <w:t>要求。</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根据《排污许可证申请与核发技术规范锅炉》</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HJ953-2018</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中对于工业锅炉烟气推荐的除尘工艺主要为袋式除尘技术、电除尘技术、电袋复合除尘技术、湿式电除尘技术。</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本项目选用袋式除尘工艺，符合《排污许可证申请与核发技术规范锅炉》</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HJ953-2018</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中推荐工艺。</w:t>
      </w:r>
    </w:p>
    <w:p>
      <w:pPr>
        <w:bidi w:val="0"/>
        <w:rPr>
          <w:rFonts w:hint="eastAsia" w:ascii="Times New Roman" w:hAnsi="Times New Roman" w:eastAsia="宋体" w:cs="Times New Roman"/>
          <w:color w:val="auto"/>
          <w:highlight w:val="none"/>
        </w:rPr>
      </w:pPr>
      <w:r>
        <w:rPr>
          <w:rFonts w:ascii="Times New Roman" w:hAnsi="Times New Roman" w:eastAsia="宋体" w:cs="Times New Roman"/>
          <w:color w:val="auto"/>
          <w:highlight w:val="none"/>
        </w:rPr>
        <w:t>由以上分析可知，本项目采用袋式除尘工艺技术可行。</w:t>
      </w:r>
    </w:p>
    <w:p>
      <w:pPr>
        <w:pStyle w:val="5"/>
        <w:bidi w:val="0"/>
        <w:ind w:left="0" w:leftChars="0"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7.2.1.</w:t>
      </w:r>
      <w:r>
        <w:rPr>
          <w:rFonts w:hint="eastAsia" w:ascii="Times New Roman" w:hAnsi="Times New Roman" w:eastAsia="宋体" w:cs="Times New Roman"/>
          <w:color w:val="auto"/>
          <w:lang w:val="en-US" w:eastAsia="zh-CN"/>
        </w:rPr>
        <w:t>2脱硫</w:t>
      </w:r>
      <w:r>
        <w:rPr>
          <w:rFonts w:hint="default" w:ascii="Times New Roman" w:hAnsi="Times New Roman" w:eastAsia="宋体" w:cs="Times New Roman"/>
          <w:color w:val="auto"/>
        </w:rPr>
        <w:t>治理措施</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1</w:t>
      </w:r>
      <w:r>
        <w:rPr>
          <w:rFonts w:hint="eastAsia" w:ascii="Times New Roman" w:hAnsi="Times New Roman" w:eastAsia="宋体" w:cs="Times New Roman"/>
          <w:color w:val="auto"/>
          <w:highlight w:val="none"/>
          <w:lang w:eastAsia="zh-CN"/>
        </w:rPr>
        <w:t>）治理方案比较</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根据《排污许可证申请与核发技术规范锅炉》（HJ953-2018），对于工业锅炉烟气湿法脱硫，推荐的脱硫工艺主要为石灰石/石灰-石膏湿法、双碱法、氧化镁法等。</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①石灰石/石灰-石膏湿法</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采用石灰石或石灰浆液作为脱硫剂，通过控制塔内烟气流速、钙硫摩尔比和液气比等参数，实现脱硫效率90%~99%，SO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排放浓度可控制在25~200mg/m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eastAsia="zh-CN"/>
        </w:rPr>
        <w:t>。</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优点：该技术适用于各种燃料、炉型和容量的锅炉烟气SO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治理，煤种、负荷变化适应性强，对颗粒物和汞及其化合物有协同治理效果；</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缺点：系统阻力和占地面积相对较大。</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②氧化镁法</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采用氢氧化镁浆液或氧化镁熟化形成的氢氧化镁浆液作为脱硫剂，通过控制塔内烟气流速、镁硫摩尔比和液气比等参数，实现脱硫效率90%~99%，SO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排放浓度可控制在25~200mg/m。</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优点：该技术适用于镁矿资源丰富地区各种燃料、炉型和容量的锅炉烟气SO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治理，煤种、负荷变化适应性强；系统阻力小、占地面积小、投资成本低；</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缺点：需考虑脱硫废水处理和脱硫副产物的资源化利用；吸收剂消耗成本高。</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氧化镁法脱硫按脱硫产物的不同，可分为强制氧化法和抑制氧化法。在强制氧化法中，脱硫产物为MgSO</w:t>
      </w:r>
      <w:r>
        <w:rPr>
          <w:rFonts w:hint="eastAsia" w:ascii="Times New Roman" w:hAnsi="Times New Roman" w:eastAsia="宋体" w:cs="Times New Roman"/>
          <w:color w:val="auto"/>
          <w:highlight w:val="none"/>
          <w:vertAlign w:val="subscript"/>
          <w:lang w:val="en-US" w:eastAsia="zh-CN"/>
        </w:rPr>
        <w:t>4</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eastAsia="zh-CN"/>
        </w:rPr>
        <w:t>一般采用直接排放的办法进行处理，在抑制氧化法工艺中，可得到的脱硫产物为MgSO</w:t>
      </w:r>
      <w:r>
        <w:rPr>
          <w:rFonts w:hint="eastAsia" w:ascii="Times New Roman" w:hAnsi="Times New Roman" w:eastAsia="宋体" w:cs="Times New Roman"/>
          <w:color w:val="auto"/>
          <w:highlight w:val="none"/>
          <w:vertAlign w:val="subscript"/>
          <w:lang w:val="en-US" w:eastAsia="zh-CN"/>
        </w:rPr>
        <w:t>3</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eastAsia="zh-CN"/>
        </w:rPr>
        <w:t>经过干燥、焙烧后，可使MgO得到再生：</w:t>
      </w:r>
    </w:p>
    <w:p>
      <w:pPr>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MgSO</w:t>
      </w:r>
      <w:r>
        <w:rPr>
          <w:rFonts w:hint="eastAsia" w:ascii="Times New Roman" w:hAnsi="Times New Roman" w:eastAsia="宋体" w:cs="Times New Roman"/>
          <w:color w:val="auto"/>
          <w:highlight w:val="none"/>
          <w:vertAlign w:val="subscript"/>
          <w:lang w:val="en-US" w:eastAsia="zh-CN"/>
        </w:rPr>
        <w:t>3</w:t>
      </w:r>
      <w:r>
        <w:rPr>
          <w:rFonts w:hint="eastAsia" w:ascii="Times New Roman" w:hAnsi="Times New Roman" w:eastAsia="宋体" w:cs="Times New Roman"/>
          <w:color w:val="auto"/>
          <w:highlight w:val="none"/>
          <w:lang w:eastAsia="zh-CN"/>
        </w:rPr>
        <w:t>=MgO+SO</w:t>
      </w:r>
      <w:r>
        <w:rPr>
          <w:rFonts w:hint="eastAsia" w:ascii="Times New Roman" w:hAnsi="Times New Roman" w:eastAsia="宋体" w:cs="Times New Roman"/>
          <w:color w:val="auto"/>
          <w:highlight w:val="none"/>
          <w:vertAlign w:val="subscript"/>
          <w:lang w:val="en-US" w:eastAsia="zh-CN"/>
        </w:rPr>
        <w:t>2</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对于强制氧化法，由于MgO比较贵，大量MgSO</w:t>
      </w:r>
      <w:r>
        <w:rPr>
          <w:rFonts w:hint="eastAsia" w:ascii="Times New Roman" w:hAnsi="Times New Roman" w:eastAsia="宋体" w:cs="Times New Roman"/>
          <w:color w:val="auto"/>
          <w:highlight w:val="none"/>
          <w:vertAlign w:val="subscript"/>
          <w:lang w:val="en-US" w:eastAsia="zh-CN"/>
        </w:rPr>
        <w:t>4</w:t>
      </w:r>
      <w:r>
        <w:rPr>
          <w:rFonts w:hint="eastAsia" w:ascii="Times New Roman" w:hAnsi="Times New Roman" w:eastAsia="宋体" w:cs="Times New Roman"/>
          <w:color w:val="auto"/>
          <w:highlight w:val="none"/>
          <w:lang w:eastAsia="zh-CN"/>
        </w:rPr>
        <w:t>直接外排对于加大了脱硫成本，另外，大量外排MgSO</w:t>
      </w:r>
      <w:r>
        <w:rPr>
          <w:rFonts w:hint="eastAsia" w:ascii="Times New Roman" w:hAnsi="Times New Roman" w:eastAsia="宋体" w:cs="Times New Roman"/>
          <w:color w:val="auto"/>
          <w:highlight w:val="none"/>
          <w:vertAlign w:val="subscript"/>
          <w:lang w:val="en-US" w:eastAsia="zh-CN"/>
        </w:rPr>
        <w:t>4</w:t>
      </w:r>
      <w:r>
        <w:rPr>
          <w:rFonts w:hint="eastAsia" w:ascii="Times New Roman" w:hAnsi="Times New Roman" w:eastAsia="宋体" w:cs="Times New Roman"/>
          <w:color w:val="auto"/>
          <w:highlight w:val="none"/>
          <w:lang w:eastAsia="zh-CN"/>
        </w:rPr>
        <w:t>的对自然始终是一个隐患。</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对于抑制氧化法而言，由于MgO重复利用大大降低了运行机制成本，也减少了对环境的二次污染，但由于MgSO</w:t>
      </w:r>
      <w:r>
        <w:rPr>
          <w:rFonts w:hint="eastAsia" w:ascii="Times New Roman" w:hAnsi="Times New Roman" w:eastAsia="宋体" w:cs="Times New Roman"/>
          <w:color w:val="auto"/>
          <w:highlight w:val="none"/>
          <w:vertAlign w:val="subscript"/>
          <w:lang w:val="en-US" w:eastAsia="zh-CN"/>
        </w:rPr>
        <w:t>3</w:t>
      </w:r>
      <w:r>
        <w:rPr>
          <w:rFonts w:hint="eastAsia" w:ascii="Times New Roman" w:hAnsi="Times New Roman" w:eastAsia="宋体" w:cs="Times New Roman"/>
          <w:color w:val="auto"/>
          <w:highlight w:val="none"/>
          <w:lang w:eastAsia="zh-CN"/>
        </w:rPr>
        <w:t>的抑制氧化以及它的析出、干燥、焙烧等过程较复杂，增大操作难度，增加了一次投资。</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③双碱法</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采用氢氧化钠或碳酸钠等钠基物质溶液作为脱硫剂，通过控制塔内烟气流速、反应摩尔比、液气比等参数，实现脱硫效率90%~99%，SO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排放浓度控制在25~200mg/m。</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优点：该技术适用于各种燃料、炉型和容量的锅炉烟气SO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治理，吸收剂反应活性高；系统阻力小、占地面积小、投资成本低；</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缺点：应采取有效措施减少可溶盐排放进入大气；吸收剂消耗成本相对较高。</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双碱法是采用钠基脱硫剂进行塔内脱硫，由于钠基脱硫剂碱性强，吸收二氧化硫后反应产物溶解度大，不会造成过饱和结晶，造成结垢堵塞问题。另一方面脱硫产物被排入再生池内用氢氧化钙进行还原再生，再生出的钠基脱硫剂再被打回脱硫塔循环使用。双碱法脱硫工艺降低了投资及运行费用，比较适用于中小型锅炉进行脱硫改造。</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锅炉脱硫工艺对照见表7.2</w:t>
      </w:r>
      <w:r>
        <w:rPr>
          <w:rFonts w:hint="eastAsia" w:cs="Times New Roman"/>
          <w:color w:val="auto"/>
          <w:highlight w:val="none"/>
          <w:lang w:val="en-US" w:eastAsia="zh-CN"/>
        </w:rPr>
        <w:t>.1</w:t>
      </w:r>
      <w:r>
        <w:rPr>
          <w:rFonts w:hint="eastAsia" w:ascii="Times New Roman" w:hAnsi="Times New Roman" w:eastAsia="宋体" w:cs="Times New Roman"/>
          <w:color w:val="auto"/>
          <w:highlight w:val="none"/>
          <w:lang w:eastAsia="zh-CN"/>
        </w:rPr>
        <w:t>-1。</w:t>
      </w:r>
    </w:p>
    <w:p>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eastAsia="宋体" w:cs="Times New Roman"/>
          <w:b/>
          <w:bCs/>
          <w:snapToGrid w:val="0"/>
          <w:color w:val="auto"/>
          <w:kern w:val="0"/>
          <w:sz w:val="21"/>
          <w:szCs w:val="20"/>
          <w:highlight w:val="none"/>
          <w:lang w:val="en-US" w:eastAsia="zh-CN" w:bidi="ar-SA"/>
        </w:rPr>
      </w:pPr>
      <w:r>
        <w:rPr>
          <w:rFonts w:hint="default" w:ascii="Times New Roman" w:hAnsi="Times New Roman" w:eastAsia="宋体" w:cs="Times New Roman"/>
          <w:b/>
          <w:bCs/>
          <w:snapToGrid w:val="0"/>
          <w:color w:val="auto"/>
          <w:kern w:val="0"/>
          <w:sz w:val="21"/>
          <w:szCs w:val="20"/>
          <w:highlight w:val="none"/>
          <w:lang w:val="en-US" w:eastAsia="zh-CN" w:bidi="ar-SA"/>
        </w:rPr>
        <w:t>表7.2</w:t>
      </w:r>
      <w:r>
        <w:rPr>
          <w:rFonts w:hint="eastAsia" w:cs="Times New Roman"/>
          <w:b/>
          <w:bCs/>
          <w:snapToGrid w:val="0"/>
          <w:color w:val="auto"/>
          <w:kern w:val="0"/>
          <w:sz w:val="21"/>
          <w:szCs w:val="20"/>
          <w:highlight w:val="none"/>
          <w:lang w:val="en-US" w:eastAsia="zh-CN" w:bidi="ar-SA"/>
        </w:rPr>
        <w:t>.1</w:t>
      </w:r>
      <w:r>
        <w:rPr>
          <w:rFonts w:hint="default" w:ascii="Times New Roman" w:hAnsi="Times New Roman" w:eastAsia="宋体" w:cs="Times New Roman"/>
          <w:b/>
          <w:bCs/>
          <w:snapToGrid w:val="0"/>
          <w:color w:val="auto"/>
          <w:kern w:val="0"/>
          <w:sz w:val="21"/>
          <w:szCs w:val="20"/>
          <w:highlight w:val="none"/>
          <w:lang w:val="en-US" w:eastAsia="zh-CN" w:bidi="ar-SA"/>
        </w:rPr>
        <w:t xml:space="preserve">-1 </w:t>
      </w:r>
      <w:r>
        <w:rPr>
          <w:rFonts w:hint="eastAsia" w:ascii="Times New Roman" w:hAnsi="Times New Roman" w:eastAsia="宋体" w:cs="Times New Roman"/>
          <w:b/>
          <w:bCs/>
          <w:snapToGrid w:val="0"/>
          <w:color w:val="auto"/>
          <w:kern w:val="0"/>
          <w:sz w:val="21"/>
          <w:szCs w:val="20"/>
          <w:highlight w:val="none"/>
          <w:lang w:val="en-US" w:eastAsia="zh-CN" w:bidi="ar-SA"/>
        </w:rPr>
        <w:t xml:space="preserve"> </w:t>
      </w:r>
      <w:r>
        <w:rPr>
          <w:rFonts w:hint="default" w:ascii="Times New Roman" w:hAnsi="Times New Roman" w:eastAsia="宋体" w:cs="Times New Roman"/>
          <w:b/>
          <w:bCs/>
          <w:snapToGrid w:val="0"/>
          <w:color w:val="auto"/>
          <w:kern w:val="0"/>
          <w:sz w:val="21"/>
          <w:szCs w:val="20"/>
          <w:highlight w:val="none"/>
          <w:lang w:val="en-US" w:eastAsia="zh-CN" w:bidi="ar-SA"/>
        </w:rPr>
        <w:t xml:space="preserve"> 锅炉烟气脱硫工艺比较</w:t>
      </w:r>
    </w:p>
    <w:tbl>
      <w:tblPr>
        <w:tblStyle w:val="66"/>
        <w:tblW w:w="500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00"/>
        <w:gridCol w:w="1699"/>
        <w:gridCol w:w="1749"/>
        <w:gridCol w:w="2273"/>
        <w:gridCol w:w="180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9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
                <w:bCs w:val="0"/>
                <w:color w:val="auto"/>
                <w:kern w:val="0"/>
                <w:sz w:val="21"/>
                <w:szCs w:val="21"/>
                <w:highlight w:val="none"/>
                <w:lang w:val="en-US" w:eastAsia="zh-CN"/>
              </w:rPr>
            </w:pPr>
            <w:r>
              <w:rPr>
                <w:rFonts w:hint="default" w:ascii="Times New Roman" w:hAnsi="Times New Roman" w:eastAsia="宋体" w:cs="Times New Roman"/>
                <w:b/>
                <w:bCs w:val="0"/>
                <w:color w:val="auto"/>
                <w:kern w:val="0"/>
                <w:sz w:val="21"/>
                <w:szCs w:val="21"/>
                <w:highlight w:val="none"/>
                <w:lang w:val="en-US" w:eastAsia="zh-CN"/>
              </w:rPr>
              <w:t>序号</w:t>
            </w:r>
          </w:p>
        </w:tc>
        <w:tc>
          <w:tcPr>
            <w:tcW w:w="1696"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
                <w:bCs w:val="0"/>
                <w:color w:val="auto"/>
                <w:kern w:val="0"/>
                <w:sz w:val="21"/>
                <w:szCs w:val="21"/>
                <w:highlight w:val="none"/>
                <w:lang w:val="en-US" w:eastAsia="zh-CN"/>
              </w:rPr>
            </w:pPr>
            <w:r>
              <w:rPr>
                <w:rFonts w:hint="default" w:ascii="Times New Roman" w:hAnsi="Times New Roman" w:eastAsia="宋体" w:cs="Times New Roman"/>
                <w:b/>
                <w:bCs w:val="0"/>
                <w:color w:val="auto"/>
                <w:kern w:val="0"/>
                <w:sz w:val="21"/>
                <w:szCs w:val="21"/>
                <w:highlight w:val="none"/>
                <w:lang w:val="en-US" w:eastAsia="zh-CN"/>
              </w:rPr>
              <w:t>项目</w:t>
            </w:r>
          </w:p>
        </w:tc>
        <w:tc>
          <w:tcPr>
            <w:tcW w:w="1746"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
                <w:bCs w:val="0"/>
                <w:color w:val="auto"/>
                <w:kern w:val="0"/>
                <w:sz w:val="21"/>
                <w:szCs w:val="21"/>
                <w:highlight w:val="none"/>
                <w:lang w:val="en-US" w:eastAsia="zh-CN"/>
              </w:rPr>
            </w:pPr>
            <w:r>
              <w:rPr>
                <w:rFonts w:hint="default" w:ascii="Times New Roman" w:hAnsi="Times New Roman" w:eastAsia="宋体" w:cs="Times New Roman"/>
                <w:b/>
                <w:bCs w:val="0"/>
                <w:color w:val="auto"/>
                <w:kern w:val="0"/>
                <w:sz w:val="21"/>
                <w:szCs w:val="21"/>
                <w:highlight w:val="none"/>
                <w:lang w:val="en-US" w:eastAsia="zh-CN"/>
              </w:rPr>
              <w:t>双碱法脱硫</w:t>
            </w:r>
          </w:p>
        </w:tc>
        <w:tc>
          <w:tcPr>
            <w:tcW w:w="226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
                <w:bCs w:val="0"/>
                <w:color w:val="auto"/>
                <w:kern w:val="0"/>
                <w:sz w:val="21"/>
                <w:szCs w:val="21"/>
                <w:highlight w:val="none"/>
                <w:lang w:val="en-US" w:eastAsia="zh-CN"/>
              </w:rPr>
            </w:pPr>
            <w:r>
              <w:rPr>
                <w:rFonts w:hint="default" w:ascii="Times New Roman" w:hAnsi="Times New Roman" w:eastAsia="宋体" w:cs="Times New Roman"/>
                <w:b/>
                <w:bCs w:val="0"/>
                <w:color w:val="auto"/>
                <w:kern w:val="0"/>
                <w:sz w:val="21"/>
                <w:szCs w:val="21"/>
                <w:highlight w:val="none"/>
                <w:lang w:val="en-US" w:eastAsia="zh-CN"/>
              </w:rPr>
              <w:t>石灰石/石灰-石膏湿法</w:t>
            </w:r>
          </w:p>
        </w:tc>
        <w:tc>
          <w:tcPr>
            <w:tcW w:w="1802"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
                <w:bCs w:val="0"/>
                <w:color w:val="auto"/>
                <w:kern w:val="0"/>
                <w:sz w:val="21"/>
                <w:szCs w:val="21"/>
                <w:highlight w:val="none"/>
                <w:lang w:val="en-US" w:eastAsia="zh-CN"/>
              </w:rPr>
            </w:pPr>
            <w:r>
              <w:rPr>
                <w:rFonts w:hint="default" w:ascii="Times New Roman" w:hAnsi="Times New Roman" w:eastAsia="宋体" w:cs="Times New Roman"/>
                <w:b/>
                <w:bCs w:val="0"/>
                <w:color w:val="auto"/>
                <w:kern w:val="0"/>
                <w:sz w:val="21"/>
                <w:szCs w:val="21"/>
                <w:highlight w:val="none"/>
                <w:lang w:val="en-US" w:eastAsia="zh-CN"/>
              </w:rPr>
              <w:t>氧化镁法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9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1</w:t>
            </w:r>
          </w:p>
        </w:tc>
        <w:tc>
          <w:tcPr>
            <w:tcW w:w="1696"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技术成熟程度</w:t>
            </w:r>
          </w:p>
        </w:tc>
        <w:tc>
          <w:tcPr>
            <w:tcW w:w="1746"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成熟</w:t>
            </w:r>
          </w:p>
        </w:tc>
        <w:tc>
          <w:tcPr>
            <w:tcW w:w="226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成熟</w:t>
            </w:r>
          </w:p>
        </w:tc>
        <w:tc>
          <w:tcPr>
            <w:tcW w:w="1802"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成熟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9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2</w:t>
            </w:r>
          </w:p>
        </w:tc>
        <w:tc>
          <w:tcPr>
            <w:tcW w:w="1696"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适用煤种</w:t>
            </w:r>
          </w:p>
        </w:tc>
        <w:tc>
          <w:tcPr>
            <w:tcW w:w="1746"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不受含硫量限制</w:t>
            </w:r>
          </w:p>
        </w:tc>
        <w:tc>
          <w:tcPr>
            <w:tcW w:w="226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不受含硫量限制</w:t>
            </w:r>
          </w:p>
        </w:tc>
        <w:tc>
          <w:tcPr>
            <w:tcW w:w="1802"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不受含硫量限制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9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3</w:t>
            </w:r>
          </w:p>
        </w:tc>
        <w:tc>
          <w:tcPr>
            <w:tcW w:w="1696"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应用单机规模</w:t>
            </w:r>
          </w:p>
        </w:tc>
        <w:tc>
          <w:tcPr>
            <w:tcW w:w="1746"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没有限制</w:t>
            </w:r>
          </w:p>
        </w:tc>
        <w:tc>
          <w:tcPr>
            <w:tcW w:w="226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没有限制</w:t>
            </w:r>
          </w:p>
        </w:tc>
        <w:tc>
          <w:tcPr>
            <w:tcW w:w="1802"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没有限制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9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4</w:t>
            </w:r>
          </w:p>
        </w:tc>
        <w:tc>
          <w:tcPr>
            <w:tcW w:w="1696"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能达到的脱硫率</w:t>
            </w:r>
          </w:p>
        </w:tc>
        <w:tc>
          <w:tcPr>
            <w:tcW w:w="1746"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95%以上</w:t>
            </w:r>
          </w:p>
        </w:tc>
        <w:tc>
          <w:tcPr>
            <w:tcW w:w="226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95%以上</w:t>
            </w:r>
          </w:p>
        </w:tc>
        <w:tc>
          <w:tcPr>
            <w:tcW w:w="1802"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90%以上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9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5</w:t>
            </w:r>
          </w:p>
        </w:tc>
        <w:tc>
          <w:tcPr>
            <w:tcW w:w="1696"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吸收剂种类</w:t>
            </w:r>
          </w:p>
        </w:tc>
        <w:tc>
          <w:tcPr>
            <w:tcW w:w="1746"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可溶性钠碱</w:t>
            </w:r>
          </w:p>
        </w:tc>
        <w:tc>
          <w:tcPr>
            <w:tcW w:w="226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石灰石</w:t>
            </w:r>
          </w:p>
        </w:tc>
        <w:tc>
          <w:tcPr>
            <w:tcW w:w="1802"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氢氧化镁浆液或氧化镁熟化形成</w:t>
            </w:r>
          </w:p>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的氢氧化镁浆液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9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6</w:t>
            </w:r>
          </w:p>
        </w:tc>
        <w:tc>
          <w:tcPr>
            <w:tcW w:w="1696"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吸收剂来源</w:t>
            </w:r>
          </w:p>
        </w:tc>
        <w:tc>
          <w:tcPr>
            <w:tcW w:w="1746"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当地可以满足</w:t>
            </w:r>
          </w:p>
        </w:tc>
        <w:tc>
          <w:tcPr>
            <w:tcW w:w="226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当地可以满足</w:t>
            </w:r>
          </w:p>
        </w:tc>
        <w:tc>
          <w:tcPr>
            <w:tcW w:w="1802"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当地难以满足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9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7</w:t>
            </w:r>
          </w:p>
        </w:tc>
        <w:tc>
          <w:tcPr>
            <w:tcW w:w="1696"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副产物种类</w:t>
            </w:r>
          </w:p>
        </w:tc>
        <w:tc>
          <w:tcPr>
            <w:tcW w:w="1746"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石膏浆</w:t>
            </w:r>
          </w:p>
        </w:tc>
        <w:tc>
          <w:tcPr>
            <w:tcW w:w="226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石膏</w:t>
            </w:r>
          </w:p>
        </w:tc>
        <w:tc>
          <w:tcPr>
            <w:tcW w:w="1802"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MgSO</w:t>
            </w:r>
            <w:r>
              <w:rPr>
                <w:rFonts w:hint="eastAsia" w:ascii="Times New Roman" w:hAnsi="Times New Roman" w:eastAsia="宋体" w:cs="Times New Roman"/>
                <w:bCs/>
                <w:color w:val="auto"/>
                <w:kern w:val="0"/>
                <w:sz w:val="21"/>
                <w:szCs w:val="21"/>
                <w:highlight w:val="none"/>
                <w:vertAlign w:val="subscript"/>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9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8</w:t>
            </w:r>
          </w:p>
        </w:tc>
        <w:tc>
          <w:tcPr>
            <w:tcW w:w="1696"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副产物出路</w:t>
            </w:r>
          </w:p>
        </w:tc>
        <w:tc>
          <w:tcPr>
            <w:tcW w:w="1746"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较容易</w:t>
            </w:r>
          </w:p>
        </w:tc>
        <w:tc>
          <w:tcPr>
            <w:tcW w:w="226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可作水泥缓凝剂，如有条件还可进一步利用</w:t>
            </w:r>
          </w:p>
        </w:tc>
        <w:tc>
          <w:tcPr>
            <w:tcW w:w="1802"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较复杂</w:t>
            </w:r>
          </w:p>
        </w:tc>
      </w:tr>
    </w:tbl>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eastAsia="zh-CN"/>
        </w:rPr>
        <w:t>）锅炉脱硫方案选择</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通过上述的比较与新疆各地锅炉房脱硫设备的运行经验，适用于本项目的脱硫工艺为双碱法和石灰石-石膏法，由于双碱法需要控制两种碱液的比例，实际操作中不易控制，效果不好，因此，本项目采用工艺流程更简单的石灰石-石膏法进行脱硫。</w:t>
      </w:r>
    </w:p>
    <w:p>
      <w:pPr>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改扩建前</w:t>
      </w:r>
      <w:r>
        <w:rPr>
          <w:rFonts w:hint="eastAsia" w:ascii="Times New Roman" w:hAnsi="Times New Roman" w:eastAsia="宋体" w:cs="Times New Roman"/>
          <w:color w:val="auto"/>
          <w:highlight w:val="none"/>
          <w:lang w:eastAsia="zh-CN"/>
        </w:rPr>
        <w:t>锅炉脱硫方案</w:t>
      </w:r>
      <w:r>
        <w:rPr>
          <w:rFonts w:hint="eastAsia" w:ascii="Times New Roman" w:hAnsi="Times New Roman" w:eastAsia="宋体" w:cs="Times New Roman"/>
          <w:color w:val="auto"/>
          <w:highlight w:val="none"/>
          <w:lang w:val="en-US" w:eastAsia="zh-CN"/>
        </w:rPr>
        <w:t>为46MW+58MW锅炉设置1台脱硫塔，91MW锅炉单独设置1台脱硫塔，脱硫塔均为三级喷淋，脱硫法均为石灰-石膏法脱硫</w:t>
      </w:r>
      <w:r>
        <w:rPr>
          <w:rFonts w:hint="eastAsia" w:cs="Times New Roman"/>
          <w:color w:val="auto"/>
          <w:highlight w:val="none"/>
          <w:lang w:val="en-US" w:eastAsia="zh-CN"/>
        </w:rPr>
        <w:t>；改扩建后</w:t>
      </w:r>
      <w:r>
        <w:rPr>
          <w:rFonts w:hint="eastAsia" w:ascii="Times New Roman" w:hAnsi="Times New Roman" w:eastAsia="宋体" w:cs="Times New Roman"/>
          <w:color w:val="auto"/>
          <w:highlight w:val="none"/>
          <w:lang w:eastAsia="zh-CN"/>
        </w:rPr>
        <w:t>锅炉脱硫方案</w:t>
      </w:r>
      <w:r>
        <w:rPr>
          <w:rFonts w:hint="eastAsia" w:ascii="Times New Roman" w:hAnsi="Times New Roman" w:eastAsia="宋体" w:cs="Times New Roman"/>
          <w:color w:val="auto"/>
          <w:highlight w:val="none"/>
          <w:lang w:val="en-US" w:eastAsia="zh-CN"/>
        </w:rPr>
        <w:t>为46MW+58MW及91MW锅炉脱硫塔均由三级喷淋升级为四级喷淋，116MW锅炉单独新增1套脱硫塔，脱硫塔为四级喷淋，脱硫法均为石灰-石膏法脱硫</w:t>
      </w:r>
      <w:r>
        <w:rPr>
          <w:rFonts w:hint="eastAsia" w:cs="Times New Roman"/>
          <w:color w:val="auto"/>
          <w:highlight w:val="none"/>
          <w:lang w:val="en-US" w:eastAsia="zh-CN"/>
        </w:rPr>
        <w:t>。</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3</w:t>
      </w:r>
      <w:r>
        <w:rPr>
          <w:rFonts w:hint="eastAsia" w:ascii="Times New Roman" w:hAnsi="Times New Roman" w:eastAsia="宋体" w:cs="Times New Roman"/>
          <w:color w:val="auto"/>
          <w:highlight w:val="none"/>
          <w:lang w:eastAsia="zh-CN"/>
        </w:rPr>
        <w:t>）脱硫工艺可行性分析</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本项目采用石灰做脱硫吸收剂，石灰粉末制成吸收浆液，在吸收塔内，烟气中的SO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与浆液中的Ca（OH）</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以及鼓入的氧化空气进行化学反应生成二水石膏，SO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被脱除。吸收塔排出的石膏浆液经脱水装置脱水后回收。脱硫后的烟气经除雾器去水后进入烟囱排向大气。</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烟气从吸收塔下侧进入，与吸收浆液逆流接触，在塔内Ca（OH）</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与SO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、H</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O进行反应，生成CaSO</w:t>
      </w:r>
      <w:r>
        <w:rPr>
          <w:rFonts w:hint="eastAsia" w:ascii="Times New Roman" w:hAnsi="Times New Roman" w:eastAsia="宋体" w:cs="Times New Roman"/>
          <w:color w:val="auto"/>
          <w:highlight w:val="none"/>
          <w:vertAlign w:val="subscript"/>
          <w:lang w:val="en-US" w:eastAsia="zh-CN"/>
        </w:rPr>
        <w:t>3</w:t>
      </w:r>
      <w:r>
        <w:rPr>
          <w:rFonts w:hint="eastAsia" w:ascii="Times New Roman" w:hAnsi="Times New Roman" w:eastAsia="宋体" w:cs="Times New Roman"/>
          <w:color w:val="auto"/>
          <w:highlight w:val="none"/>
          <w:lang w:eastAsia="zh-CN"/>
        </w:rPr>
        <w:t>·1/2H</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O和CO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eastAsia="zh-CN"/>
        </w:rPr>
        <w:t>对落入吸收塔浆池的CaSO</w:t>
      </w:r>
      <w:r>
        <w:rPr>
          <w:rFonts w:hint="eastAsia" w:ascii="Times New Roman" w:hAnsi="Times New Roman" w:eastAsia="宋体" w:cs="Times New Roman"/>
          <w:color w:val="auto"/>
          <w:highlight w:val="none"/>
          <w:vertAlign w:val="subscript"/>
          <w:lang w:val="en-US" w:eastAsia="zh-CN"/>
        </w:rPr>
        <w:t>3</w:t>
      </w:r>
      <w:r>
        <w:rPr>
          <w:rFonts w:hint="eastAsia" w:ascii="Times New Roman" w:hAnsi="Times New Roman" w:eastAsia="宋体" w:cs="Times New Roman"/>
          <w:color w:val="auto"/>
          <w:highlight w:val="none"/>
          <w:lang w:eastAsia="zh-CN"/>
        </w:rPr>
        <w:t>·1/2H</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O和O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、H</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O再进行氧化反应，得到脱硫副产品二水石膏。</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这两个过程的化学反应方程式如下：</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吸收过程：</w:t>
      </w:r>
    </w:p>
    <w:p>
      <w:pPr>
        <w:bidi w:val="0"/>
        <w:jc w:val="center"/>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Ca（OH）</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+SO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→CaSO</w:t>
      </w:r>
      <w:r>
        <w:rPr>
          <w:rFonts w:hint="eastAsia" w:ascii="Times New Roman" w:hAnsi="Times New Roman" w:eastAsia="宋体" w:cs="Times New Roman"/>
          <w:color w:val="auto"/>
          <w:highlight w:val="none"/>
          <w:vertAlign w:val="subscript"/>
          <w:lang w:val="en-US" w:eastAsia="zh-CN"/>
        </w:rPr>
        <w:t>3</w:t>
      </w:r>
      <w:r>
        <w:rPr>
          <w:rFonts w:hint="eastAsia" w:ascii="Times New Roman" w:hAnsi="Times New Roman" w:eastAsia="宋体" w:cs="Times New Roman"/>
          <w:color w:val="auto"/>
          <w:highlight w:val="none"/>
          <w:lang w:eastAsia="zh-CN"/>
        </w:rPr>
        <w:t>·1/2H</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O+1/2H</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O</w:t>
      </w:r>
    </w:p>
    <w:p>
      <w:pPr>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CaSO</w:t>
      </w:r>
      <w:r>
        <w:rPr>
          <w:rFonts w:hint="eastAsia" w:ascii="Times New Roman" w:hAnsi="Times New Roman" w:eastAsia="宋体" w:cs="Times New Roman"/>
          <w:color w:val="auto"/>
          <w:highlight w:val="none"/>
          <w:vertAlign w:val="subscript"/>
          <w:lang w:val="en-US" w:eastAsia="zh-CN"/>
        </w:rPr>
        <w:t>3</w:t>
      </w:r>
      <w:r>
        <w:rPr>
          <w:rFonts w:hint="eastAsia" w:ascii="Times New Roman" w:hAnsi="Times New Roman" w:eastAsia="宋体" w:cs="Times New Roman"/>
          <w:color w:val="auto"/>
          <w:highlight w:val="none"/>
          <w:lang w:eastAsia="zh-CN"/>
        </w:rPr>
        <w:t>+SO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+1/2H</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O→CaSO</w:t>
      </w:r>
      <w:r>
        <w:rPr>
          <w:rFonts w:hint="eastAsia" w:ascii="Times New Roman" w:hAnsi="Times New Roman" w:eastAsia="宋体" w:cs="Times New Roman"/>
          <w:color w:val="auto"/>
          <w:highlight w:val="none"/>
          <w:vertAlign w:val="subscript"/>
          <w:lang w:val="en-US" w:eastAsia="zh-CN"/>
        </w:rPr>
        <w:t>3</w:t>
      </w:r>
      <w:r>
        <w:rPr>
          <w:rFonts w:hint="eastAsia" w:ascii="Times New Roman" w:hAnsi="Times New Roman" w:eastAsia="宋体" w:cs="Times New Roman"/>
          <w:color w:val="auto"/>
          <w:highlight w:val="none"/>
          <w:lang w:eastAsia="zh-CN"/>
        </w:rPr>
        <w:t>·1/2H</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O+CO</w:t>
      </w:r>
      <w:r>
        <w:rPr>
          <w:rFonts w:hint="eastAsia" w:ascii="Times New Roman" w:hAnsi="Times New Roman" w:eastAsia="宋体" w:cs="Times New Roman"/>
          <w:color w:val="auto"/>
          <w:highlight w:val="none"/>
          <w:vertAlign w:val="subscript"/>
          <w:lang w:val="en-US" w:eastAsia="zh-CN"/>
        </w:rPr>
        <w:t>2</w:t>
      </w:r>
    </w:p>
    <w:p>
      <w:pPr>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CaSO</w:t>
      </w:r>
      <w:r>
        <w:rPr>
          <w:rFonts w:hint="eastAsia" w:ascii="Times New Roman" w:hAnsi="Times New Roman" w:eastAsia="宋体" w:cs="Times New Roman"/>
          <w:color w:val="auto"/>
          <w:highlight w:val="none"/>
          <w:vertAlign w:val="subscript"/>
          <w:lang w:val="en-US" w:eastAsia="zh-CN"/>
        </w:rPr>
        <w:t>3</w:t>
      </w:r>
      <w:r>
        <w:rPr>
          <w:rFonts w:hint="eastAsia" w:ascii="Times New Roman" w:hAnsi="Times New Roman" w:eastAsia="宋体" w:cs="Times New Roman"/>
          <w:color w:val="auto"/>
          <w:highlight w:val="none"/>
          <w:lang w:eastAsia="zh-CN"/>
        </w:rPr>
        <w:t>·1/2H</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O+SO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+1/2H</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O→Ca（HSO</w:t>
      </w:r>
      <w:r>
        <w:rPr>
          <w:rFonts w:hint="eastAsia" w:ascii="Times New Roman" w:hAnsi="Times New Roman" w:eastAsia="宋体" w:cs="Times New Roman"/>
          <w:color w:val="auto"/>
          <w:highlight w:val="none"/>
          <w:vertAlign w:val="subscript"/>
          <w:lang w:val="en-US" w:eastAsia="zh-CN"/>
        </w:rPr>
        <w:t>3</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vertAlign w:val="subscript"/>
          <w:lang w:val="en-US" w:eastAsia="zh-CN"/>
        </w:rPr>
        <w:t>2</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氧化过程</w:t>
      </w:r>
    </w:p>
    <w:p>
      <w:pPr>
        <w:bidi w:val="0"/>
        <w:jc w:val="center"/>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2CaSO</w:t>
      </w:r>
      <w:r>
        <w:rPr>
          <w:rFonts w:hint="eastAsia" w:ascii="Times New Roman" w:hAnsi="Times New Roman" w:eastAsia="宋体" w:cs="Times New Roman"/>
          <w:color w:val="auto"/>
          <w:highlight w:val="none"/>
          <w:vertAlign w:val="subscript"/>
          <w:lang w:val="en-US" w:eastAsia="zh-CN"/>
        </w:rPr>
        <w:t>3</w:t>
      </w:r>
      <w:r>
        <w:rPr>
          <w:rFonts w:hint="eastAsia" w:ascii="Times New Roman" w:hAnsi="Times New Roman" w:eastAsia="宋体" w:cs="Times New Roman"/>
          <w:color w:val="auto"/>
          <w:highlight w:val="none"/>
          <w:lang w:eastAsia="zh-CN"/>
        </w:rPr>
        <w:t>·1/2H</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O+O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+3H</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O→2CaSO</w:t>
      </w:r>
      <w:r>
        <w:rPr>
          <w:rFonts w:hint="eastAsia" w:ascii="Times New Roman" w:hAnsi="Times New Roman" w:eastAsia="宋体" w:cs="Times New Roman"/>
          <w:color w:val="auto"/>
          <w:highlight w:val="none"/>
          <w:vertAlign w:val="subscript"/>
          <w:lang w:val="en-US" w:eastAsia="zh-CN"/>
        </w:rPr>
        <w:t>4</w:t>
      </w:r>
      <w:r>
        <w:rPr>
          <w:rFonts w:hint="eastAsia" w:ascii="Times New Roman" w:hAnsi="Times New Roman" w:eastAsia="宋体" w:cs="Times New Roman"/>
          <w:color w:val="auto"/>
          <w:highlight w:val="none"/>
          <w:lang w:eastAsia="zh-CN"/>
        </w:rPr>
        <w:t>·2H</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O</w:t>
      </w:r>
    </w:p>
    <w:p>
      <w:pPr>
        <w:bidi w:val="0"/>
        <w:jc w:val="center"/>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Ca（HSO</w:t>
      </w:r>
      <w:r>
        <w:rPr>
          <w:rFonts w:hint="eastAsia" w:ascii="Times New Roman" w:hAnsi="Times New Roman" w:eastAsia="宋体" w:cs="Times New Roman"/>
          <w:color w:val="auto"/>
          <w:highlight w:val="none"/>
          <w:vertAlign w:val="subscript"/>
          <w:lang w:val="en-US" w:eastAsia="zh-CN"/>
        </w:rPr>
        <w:t>3</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+1/2O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+H</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O→CaSO</w:t>
      </w:r>
      <w:r>
        <w:rPr>
          <w:rFonts w:hint="eastAsia" w:ascii="Times New Roman" w:hAnsi="Times New Roman" w:eastAsia="宋体" w:cs="Times New Roman"/>
          <w:color w:val="auto"/>
          <w:highlight w:val="none"/>
          <w:vertAlign w:val="subscript"/>
          <w:lang w:val="en-US" w:eastAsia="zh-CN"/>
        </w:rPr>
        <w:t>4</w:t>
      </w:r>
      <w:r>
        <w:rPr>
          <w:rFonts w:hint="eastAsia" w:ascii="Times New Roman" w:hAnsi="Times New Roman" w:eastAsia="宋体" w:cs="Times New Roman"/>
          <w:color w:val="auto"/>
          <w:highlight w:val="none"/>
          <w:lang w:eastAsia="zh-CN"/>
        </w:rPr>
        <w:t>·2H</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O</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吸收塔内浆液pH值应选择在5~8之间，最佳pH值的浆液应控制在5.6，如果pH值低于此值，浆液的吸收能力下降，最终影响到SO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的脱除率；过高则影响浆液浓度造成脱硫塔核心及周边部件堵塞。</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烟气流程是考虑烟气在经过袋式除尘器除尘后，进入引风机，同时由于只有一级湿法烟气进入引风机，引风机带水结垢现象会很微弱，引风机带水结垢情况仍保持改造前的状态。引风机出口烟气再送入湿法脱硫塔进行脱硫，脱硫后的烟气在经过脱硫吸收塔上部的折流板脱水后，通过脱硫塔上部出口烟道进入烟囱达标排放。脱硫塔正压运行，既不会影响脱硫，也不会引起其他方面的相互影响。</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本项目采用石灰石-石膏法脱硫工艺，去除效率可达9</w:t>
      </w:r>
      <w:r>
        <w:rPr>
          <w:rFonts w:hint="eastAsia" w:ascii="Times New Roman" w:hAnsi="Times New Roman" w:eastAsia="宋体" w:cs="Times New Roman"/>
          <w:color w:val="auto"/>
          <w:highlight w:val="none"/>
          <w:lang w:val="en-US" w:eastAsia="zh-CN"/>
        </w:rPr>
        <w:t>6</w:t>
      </w:r>
      <w:r>
        <w:rPr>
          <w:rFonts w:hint="eastAsia" w:ascii="Times New Roman" w:hAnsi="Times New Roman" w:eastAsia="宋体" w:cs="Times New Roman"/>
          <w:color w:val="auto"/>
          <w:highlight w:val="none"/>
          <w:lang w:eastAsia="zh-CN"/>
        </w:rPr>
        <w:t>%。经工程分析可知，烟气经脱硫后SO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排放浓度可满足《关于高质量推进实施燃煤锅炉超低排放的意见（征求意见稿）》中SO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≤35mg/m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eastAsia="zh-CN"/>
        </w:rPr>
        <w:t>要求。</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根据《排污许可证申请与核发技术规范锅炉》（HJ953-2018）中对于工业锅炉烟气推荐的脱硫工艺主要为湿法脱硫（石灰石/石灰-石膏湿法、双碱法、氧化镁法、氨法），干法/半干法脱硫（烟气循环流化床脱硫、喷雾干燥法脱硫）。</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本项目选用石灰石-石膏湿法脱硫工艺，符合《排污许可证申请与核发技术规范锅炉》（HJ953-2018）中推荐工艺。</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由以上分析可知，本项目采用石灰石-石膏湿法脱硫工艺技术可行。</w:t>
      </w:r>
    </w:p>
    <w:p>
      <w:pPr>
        <w:pStyle w:val="5"/>
        <w:bidi w:val="0"/>
        <w:ind w:left="0" w:leftChars="0"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7.2.1.</w:t>
      </w:r>
      <w:r>
        <w:rPr>
          <w:rFonts w:hint="eastAsia" w:ascii="Times New Roman" w:hAnsi="Times New Roman" w:eastAsia="宋体" w:cs="Times New Roman"/>
          <w:color w:val="auto"/>
          <w:lang w:val="en-US" w:eastAsia="zh-CN"/>
        </w:rPr>
        <w:t>3脱硝</w:t>
      </w:r>
      <w:r>
        <w:rPr>
          <w:rFonts w:hint="default" w:ascii="Times New Roman" w:hAnsi="Times New Roman" w:eastAsia="宋体" w:cs="Times New Roman"/>
          <w:color w:val="auto"/>
        </w:rPr>
        <w:t>治理措施</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目前，应用在燃煤锅炉上的成熟烟气脱硝技术主要有选择性催化还原技术（Selective Catalytic Reduction，简称SCR）、选择性非催化还原技术（Selective Non-Catalytic Reduction，简称SNCR），以及SNCR/SCR混合烟气脱硝技术。</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1</w:t>
      </w:r>
      <w:r>
        <w:rPr>
          <w:rFonts w:hint="eastAsia" w:ascii="Times New Roman" w:hAnsi="Times New Roman" w:eastAsia="宋体" w:cs="Times New Roman"/>
          <w:color w:val="auto"/>
          <w:highlight w:val="none"/>
          <w:lang w:eastAsia="zh-CN"/>
        </w:rPr>
        <w:t>）选择性非催化还原技术（SNCR）</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选择性非催化还原法是一种不使用催化剂，在850～1100℃温度范围内还原NOx的方法。以氨水、尿素等作为脱硝还原剂，通过选择合理反应温度区域、氨氮摩尔比等参数，层燃炉和室燃炉脱硝效率可控制在20%~40%，流化床炉脱硝效率可控制在40%~70%。该技术应用于层燃炉、室燃炉和流化床炉时，NOx排放浓度可分别控制在120~200mg/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eastAsia="zh-CN"/>
        </w:rPr>
        <w:t>、120~300mg/m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eastAsia="zh-CN"/>
        </w:rPr>
        <w:t>和90~200mg/m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eastAsia="zh-CN"/>
        </w:rPr>
        <w:t>。</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该技术反应温度通常为800~1100℃，适用于燃煤和燃生物质成型燃料锅炉，占地面积小，投资成本和运行成本较低；宜控制氨逃逸质量浓度低于8mg/m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eastAsia="zh-CN"/>
        </w:rPr>
        <w:t>。</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eastAsia="zh-CN"/>
        </w:rPr>
        <w:t>）选择性催化还原技术（SCR）</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SCR是目前最成熟的烟气脱硝技术，它是一种炉后脱硝方法，最早由日本于20世纪60~70年代后期完成商业运行，是利用还原剂（NH</w:t>
      </w:r>
      <w:r>
        <w:rPr>
          <w:rFonts w:hint="eastAsia" w:ascii="Times New Roman" w:hAnsi="Times New Roman" w:eastAsia="宋体" w:cs="Times New Roman"/>
          <w:color w:val="auto"/>
          <w:highlight w:val="none"/>
          <w:vertAlign w:val="subscript"/>
          <w:lang w:val="en-US" w:eastAsia="zh-CN"/>
        </w:rPr>
        <w:t>3</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eastAsia="zh-CN"/>
        </w:rPr>
        <w:t>尿素）在金属催化剂作用下，选择性地与NOx反应生成N</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和H</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O，而不是被O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氧化，故称为“选择性”。世界上流行的SCR工艺主要分为氨法SCR和尿素法SCR2种。此2种方法都是利用氨对NOx的还原功能，在催化剂的作用下将NOx（主要是NO）还原为N</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和水，还原剂为NH</w:t>
      </w:r>
      <w:r>
        <w:rPr>
          <w:rFonts w:hint="eastAsia" w:ascii="Times New Roman" w:hAnsi="Times New Roman" w:eastAsia="宋体" w:cs="Times New Roman"/>
          <w:color w:val="auto"/>
          <w:highlight w:val="none"/>
          <w:vertAlign w:val="subscript"/>
          <w:lang w:val="en-US" w:eastAsia="zh-CN"/>
        </w:rPr>
        <w:t>3</w:t>
      </w:r>
      <w:r>
        <w:rPr>
          <w:rFonts w:hint="eastAsia" w:ascii="Times New Roman" w:hAnsi="Times New Roman" w:eastAsia="宋体" w:cs="Times New Roman"/>
          <w:color w:val="auto"/>
          <w:highlight w:val="none"/>
          <w:lang w:eastAsia="zh-CN"/>
        </w:rPr>
        <w:t>。</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在SCR中使用的催化剂大多以TiO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为载体，以V</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O</w:t>
      </w:r>
      <w:r>
        <w:rPr>
          <w:rFonts w:hint="eastAsia" w:ascii="Times New Roman" w:hAnsi="Times New Roman" w:eastAsia="宋体" w:cs="Times New Roman"/>
          <w:color w:val="auto"/>
          <w:highlight w:val="none"/>
          <w:lang w:val="en-US" w:eastAsia="zh-CN"/>
        </w:rPr>
        <w:t>s</w:t>
      </w:r>
      <w:r>
        <w:rPr>
          <w:rFonts w:hint="eastAsia" w:ascii="Times New Roman" w:hAnsi="Times New Roman" w:eastAsia="宋体" w:cs="Times New Roman"/>
          <w:color w:val="auto"/>
          <w:highlight w:val="none"/>
          <w:lang w:eastAsia="zh-CN"/>
        </w:rPr>
        <w:t>或V</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O</w:t>
      </w:r>
      <w:r>
        <w:rPr>
          <w:rFonts w:hint="eastAsia" w:ascii="Times New Roman" w:hAnsi="Times New Roman" w:eastAsia="宋体" w:cs="Times New Roman"/>
          <w:color w:val="auto"/>
          <w:highlight w:val="none"/>
          <w:lang w:val="en-US" w:eastAsia="zh-CN"/>
        </w:rPr>
        <w:t>s</w:t>
      </w:r>
      <w:r>
        <w:rPr>
          <w:rFonts w:hint="eastAsia" w:ascii="Times New Roman" w:hAnsi="Times New Roman" w:eastAsia="宋体" w:cs="Times New Roman"/>
          <w:color w:val="auto"/>
          <w:highlight w:val="none"/>
          <w:lang w:eastAsia="zh-CN"/>
        </w:rPr>
        <w:t>-WO</w:t>
      </w:r>
      <w:r>
        <w:rPr>
          <w:rFonts w:hint="eastAsia" w:ascii="Times New Roman" w:hAnsi="Times New Roman" w:eastAsia="宋体" w:cs="Times New Roman"/>
          <w:color w:val="auto"/>
          <w:highlight w:val="none"/>
          <w:vertAlign w:val="subscript"/>
          <w:lang w:eastAsia="zh-CN"/>
        </w:rPr>
        <w:t>3</w:t>
      </w:r>
      <w:r>
        <w:rPr>
          <w:rFonts w:hint="eastAsia" w:ascii="Times New Roman" w:hAnsi="Times New Roman" w:eastAsia="宋体" w:cs="Times New Roman"/>
          <w:color w:val="auto"/>
          <w:highlight w:val="none"/>
          <w:lang w:eastAsia="zh-CN"/>
        </w:rPr>
        <w:t>或V</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O</w:t>
      </w:r>
      <w:r>
        <w:rPr>
          <w:rFonts w:hint="eastAsia" w:ascii="Times New Roman" w:hAnsi="Times New Roman" w:eastAsia="宋体" w:cs="Times New Roman"/>
          <w:color w:val="auto"/>
          <w:highlight w:val="none"/>
          <w:lang w:val="en-US" w:eastAsia="zh-CN"/>
        </w:rPr>
        <w:t>s</w:t>
      </w:r>
      <w:r>
        <w:rPr>
          <w:rFonts w:hint="eastAsia" w:ascii="Times New Roman" w:hAnsi="Times New Roman" w:eastAsia="宋体" w:cs="Times New Roman"/>
          <w:color w:val="auto"/>
          <w:highlight w:val="none"/>
          <w:lang w:eastAsia="zh-CN"/>
        </w:rPr>
        <w:t>-MoO</w:t>
      </w:r>
      <w:r>
        <w:rPr>
          <w:rFonts w:hint="eastAsia" w:ascii="Times New Roman" w:hAnsi="Times New Roman" w:eastAsia="宋体" w:cs="Times New Roman"/>
          <w:color w:val="auto"/>
          <w:highlight w:val="none"/>
          <w:vertAlign w:val="subscript"/>
          <w:lang w:val="en-US" w:eastAsia="zh-CN"/>
        </w:rPr>
        <w:t>3</w:t>
      </w:r>
      <w:r>
        <w:rPr>
          <w:rFonts w:hint="eastAsia" w:ascii="Times New Roman" w:hAnsi="Times New Roman" w:eastAsia="宋体" w:cs="Times New Roman"/>
          <w:color w:val="auto"/>
          <w:highlight w:val="none"/>
          <w:lang w:eastAsia="zh-CN"/>
        </w:rPr>
        <w:t>为活性成分，制成蜂窝式、板式或波纹式三种类型。应用于烟气脱硝中的SCR催化剂可分为高温催化剂（345℃~590℃）、中温催化剂（260℃~380℃）和低温催化剂（80℃~300℃），不同的催化剂适宜的反应温度不同。如果反应温度偏低，催化剂的活性会降低，导致脱硝效率下降，且如果催化剂持续在低温下运行会使催化剂发生永久性损坏；如果反应温度过高，NH</w:t>
      </w:r>
      <w:r>
        <w:rPr>
          <w:rFonts w:hint="eastAsia" w:ascii="Times New Roman" w:hAnsi="Times New Roman" w:eastAsia="宋体" w:cs="Times New Roman"/>
          <w:color w:val="auto"/>
          <w:highlight w:val="none"/>
          <w:vertAlign w:val="subscript"/>
          <w:lang w:val="en-US" w:eastAsia="zh-CN"/>
        </w:rPr>
        <w:t>3</w:t>
      </w:r>
      <w:r>
        <w:rPr>
          <w:rFonts w:hint="eastAsia" w:ascii="Times New Roman" w:hAnsi="Times New Roman" w:eastAsia="宋体" w:cs="Times New Roman"/>
          <w:color w:val="auto"/>
          <w:highlight w:val="none"/>
          <w:lang w:eastAsia="zh-CN"/>
        </w:rPr>
        <w:t>容易被氧化，NOx生成量增加，还会引起催化剂材料的相变，使催化剂的活性退化。</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该技术脱硝效率相对较高，负荷适应性强；系统阻力大、占地面积大、投资成本和运行成本较高；宜控制氨逃逸质量浓度低于2.28mg/m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eastAsia="zh-CN"/>
        </w:rPr>
        <w:t>应控制SO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eastAsia="zh-CN"/>
        </w:rPr>
        <w:t>/SO</w:t>
      </w:r>
      <w:r>
        <w:rPr>
          <w:rFonts w:hint="eastAsia" w:ascii="Times New Roman" w:hAnsi="Times New Roman" w:eastAsia="宋体" w:cs="Times New Roman"/>
          <w:color w:val="auto"/>
          <w:highlight w:val="none"/>
          <w:vertAlign w:val="subscript"/>
          <w:lang w:val="en-US" w:eastAsia="zh-CN"/>
        </w:rPr>
        <w:t>3</w:t>
      </w:r>
      <w:r>
        <w:rPr>
          <w:rFonts w:hint="eastAsia" w:ascii="Times New Roman" w:hAnsi="Times New Roman" w:eastAsia="宋体" w:cs="Times New Roman"/>
          <w:color w:val="auto"/>
          <w:highlight w:val="none"/>
          <w:lang w:eastAsia="zh-CN"/>
        </w:rPr>
        <w:t>转化率低于1%。</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3</w:t>
      </w:r>
      <w:r>
        <w:rPr>
          <w:rFonts w:hint="eastAsia" w:ascii="Times New Roman" w:hAnsi="Times New Roman" w:eastAsia="宋体" w:cs="Times New Roman"/>
          <w:color w:val="auto"/>
          <w:highlight w:val="none"/>
          <w:lang w:eastAsia="zh-CN"/>
        </w:rPr>
        <w:t>）SNCR/SCR混合烟气脱硝技术</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根据工程经验，SNCR技术的脱硝效率一般较低（约20-40%），其氮氧化物排放浓度在150～250mg/m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eastAsia="zh-CN"/>
        </w:rPr>
        <w:t>。SCR脱硝技术效率较高，可以达到70%以上，工艺成熟；但当脱硝器入口处氮氧化物排放浓度在250mg/m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eastAsia="zh-CN"/>
        </w:rPr>
        <w:t>以上时，二氧化氮排放浓度将大于50mg/m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eastAsia="zh-CN"/>
        </w:rPr>
        <w:t>。采用SNCR/SCR混合烟气脱硝技术，通过两级脱硝，可有效地将氮氧化物排放浓度控制在50mg/m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eastAsia="zh-CN"/>
        </w:rPr>
        <w:t>以下。</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4</w:t>
      </w:r>
      <w:r>
        <w:rPr>
          <w:rFonts w:hint="eastAsia" w:ascii="Times New Roman" w:hAnsi="Times New Roman" w:eastAsia="宋体" w:cs="Times New Roman"/>
          <w:color w:val="auto"/>
          <w:highlight w:val="none"/>
          <w:lang w:eastAsia="zh-CN"/>
        </w:rPr>
        <w:t>）脱硝方案选择</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为达到《关于高质量推进实施燃煤锅炉超低排放的意见（征求意见稿）》中超低排放要求，本项目烟气脱硝采用SNCR+SCR联合脱销技术。</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5</w:t>
      </w:r>
      <w:r>
        <w:rPr>
          <w:rFonts w:hint="eastAsia" w:ascii="Times New Roman" w:hAnsi="Times New Roman" w:eastAsia="宋体" w:cs="Times New Roman"/>
          <w:color w:val="auto"/>
          <w:highlight w:val="none"/>
          <w:lang w:eastAsia="zh-CN"/>
        </w:rPr>
        <w:t>）脱硝工艺可行性分析</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本项目采用SNCR+SCR联合法脱硝，NOx去除效率可达85%。经工程分析可知，本项目烟气经脱硝后NOx排放浓度可满足《关于高质量推进实施燃煤锅炉超低排放的意见（征求意见稿）》中NO≤50mg/m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eastAsia="zh-CN"/>
        </w:rPr>
        <w:t>要求。</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根据《排污许可证申请与核发技术规范锅炉》（HJ953-2018）中对于工业锅炉烟气推荐的脱硝工艺主要为低氮燃烧技术、低氮燃烧+SNCR脱硝技术、低氮燃烧+SCR脱硝技术、低氮燃烧+（SNCR-SCR联合）脱硝技术、SNCR脱硝技术、SCR脱硝技术、SNCR-SCR联合脱硝技术。</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本项目选用SNCR+SCR联合脱硝技术，符合《排污许可证申请与核发技术规范锅炉》（HJ953-2018）中推荐工艺。</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由以上分析可知，本项目采用SNCR+SCR联合脱硝工艺技术可行。</w:t>
      </w:r>
    </w:p>
    <w:p>
      <w:pPr>
        <w:pStyle w:val="5"/>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7.2.1.4可行技术符合性分析</w:t>
      </w:r>
    </w:p>
    <w:p>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本项目</w:t>
      </w:r>
      <w:r>
        <w:rPr>
          <w:rFonts w:hint="eastAsia" w:ascii="Times New Roman" w:hAnsi="Times New Roman" w:eastAsia="宋体" w:cs="Times New Roman"/>
          <w:color w:val="auto"/>
          <w:highlight w:val="none"/>
          <w:lang w:eastAsia="zh-CN"/>
        </w:rPr>
        <w:t>锅炉烟气处理措施与《排污许可证申请与核发技术规范锅炉》（HJ953-2018）、《工业锅炉污染防治可行技术指南》（HJ1178-2021）符合性分析见下表。</w:t>
      </w:r>
    </w:p>
    <w:p>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eastAsia="宋体" w:cs="Times New Roman"/>
          <w:b/>
          <w:bCs/>
          <w:snapToGrid w:val="0"/>
          <w:color w:val="auto"/>
          <w:kern w:val="0"/>
          <w:sz w:val="21"/>
          <w:szCs w:val="20"/>
          <w:highlight w:val="none"/>
          <w:lang w:val="en-US" w:eastAsia="zh-CN" w:bidi="ar-SA"/>
        </w:rPr>
      </w:pPr>
      <w:r>
        <w:rPr>
          <w:rFonts w:hint="default" w:ascii="Times New Roman" w:hAnsi="Times New Roman" w:eastAsia="宋体" w:cs="Times New Roman"/>
          <w:b/>
          <w:bCs/>
          <w:snapToGrid w:val="0"/>
          <w:color w:val="auto"/>
          <w:kern w:val="0"/>
          <w:sz w:val="21"/>
          <w:szCs w:val="20"/>
          <w:highlight w:val="none"/>
          <w:lang w:val="en-US" w:eastAsia="zh-CN" w:bidi="ar-SA"/>
        </w:rPr>
        <w:t>表7.2</w:t>
      </w:r>
      <w:r>
        <w:rPr>
          <w:rFonts w:hint="eastAsia" w:cs="Times New Roman"/>
          <w:b/>
          <w:bCs/>
          <w:snapToGrid w:val="0"/>
          <w:color w:val="auto"/>
          <w:kern w:val="0"/>
          <w:sz w:val="21"/>
          <w:szCs w:val="20"/>
          <w:highlight w:val="none"/>
          <w:lang w:val="en-US" w:eastAsia="zh-CN" w:bidi="ar-SA"/>
        </w:rPr>
        <w:t>.1</w:t>
      </w:r>
      <w:r>
        <w:rPr>
          <w:rFonts w:hint="default" w:ascii="Times New Roman" w:hAnsi="Times New Roman" w:eastAsia="宋体" w:cs="Times New Roman"/>
          <w:b/>
          <w:bCs/>
          <w:snapToGrid w:val="0"/>
          <w:color w:val="auto"/>
          <w:kern w:val="0"/>
          <w:sz w:val="21"/>
          <w:szCs w:val="20"/>
          <w:highlight w:val="none"/>
          <w:lang w:val="en-US" w:eastAsia="zh-CN" w:bidi="ar-SA"/>
        </w:rPr>
        <w:t xml:space="preserve">-2 </w:t>
      </w:r>
      <w:r>
        <w:rPr>
          <w:rFonts w:hint="eastAsia" w:ascii="Times New Roman" w:hAnsi="Times New Roman" w:eastAsia="宋体" w:cs="Times New Roman"/>
          <w:b/>
          <w:bCs/>
          <w:snapToGrid w:val="0"/>
          <w:color w:val="auto"/>
          <w:kern w:val="0"/>
          <w:sz w:val="21"/>
          <w:szCs w:val="20"/>
          <w:highlight w:val="none"/>
          <w:lang w:val="en-US" w:eastAsia="zh-CN" w:bidi="ar-SA"/>
        </w:rPr>
        <w:t xml:space="preserve">  </w:t>
      </w:r>
      <w:r>
        <w:rPr>
          <w:rFonts w:hint="default" w:ascii="Times New Roman" w:hAnsi="Times New Roman" w:eastAsia="宋体" w:cs="Times New Roman"/>
          <w:b/>
          <w:bCs/>
          <w:snapToGrid w:val="0"/>
          <w:color w:val="auto"/>
          <w:kern w:val="0"/>
          <w:sz w:val="21"/>
          <w:szCs w:val="20"/>
          <w:highlight w:val="none"/>
          <w:lang w:val="en-US" w:eastAsia="zh-CN" w:bidi="ar-SA"/>
        </w:rPr>
        <w:t>与排污许可规范可行技术符合性分析</w:t>
      </w:r>
    </w:p>
    <w:tbl>
      <w:tblPr>
        <w:tblStyle w:val="66"/>
        <w:tblW w:w="501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63"/>
        <w:gridCol w:w="3874"/>
        <w:gridCol w:w="299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27" w:type="dxa"/>
            <w:gridSpan w:val="2"/>
            <w:vAlign w:val="center"/>
          </w:tcPr>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《排污许可证申请与核发技术规范锅炉》</w:t>
            </w:r>
            <w:r>
              <w:rPr>
                <w:rFonts w:hint="eastAsia" w:ascii="Times New Roman" w:hAnsi="Times New Roman" w:eastAsia="宋体" w:cs="Times New Roman"/>
                <w:bCs/>
                <w:color w:val="auto"/>
                <w:kern w:val="0"/>
                <w:sz w:val="21"/>
                <w:szCs w:val="21"/>
                <w:highlight w:val="none"/>
                <w:lang w:val="en-US" w:eastAsia="zh-CN"/>
              </w:rPr>
              <w:t>（</w:t>
            </w:r>
            <w:r>
              <w:rPr>
                <w:rFonts w:hint="default" w:ascii="Times New Roman" w:hAnsi="Times New Roman" w:eastAsia="宋体" w:cs="Times New Roman"/>
                <w:bCs/>
                <w:color w:val="auto"/>
                <w:kern w:val="0"/>
                <w:sz w:val="21"/>
                <w:szCs w:val="21"/>
                <w:highlight w:val="none"/>
                <w:lang w:val="en-US" w:eastAsia="zh-CN"/>
              </w:rPr>
              <w:t>HJ953-2018</w:t>
            </w:r>
            <w:r>
              <w:rPr>
                <w:rFonts w:hint="eastAsia" w:ascii="Times New Roman" w:hAnsi="Times New Roman" w:eastAsia="宋体" w:cs="Times New Roman"/>
                <w:bCs/>
                <w:color w:val="auto"/>
                <w:kern w:val="0"/>
                <w:sz w:val="21"/>
                <w:szCs w:val="21"/>
                <w:highlight w:val="none"/>
                <w:lang w:val="en-US" w:eastAsia="zh-CN"/>
              </w:rPr>
              <w:t>）</w:t>
            </w:r>
            <w:r>
              <w:rPr>
                <w:rFonts w:hint="default" w:ascii="Times New Roman" w:hAnsi="Times New Roman" w:eastAsia="宋体" w:cs="Times New Roman"/>
                <w:bCs/>
                <w:color w:val="auto"/>
                <w:kern w:val="0"/>
                <w:sz w:val="21"/>
                <w:szCs w:val="21"/>
                <w:highlight w:val="none"/>
                <w:lang w:val="en-US" w:eastAsia="zh-CN"/>
              </w:rPr>
              <w:t>锅炉烟气污染防治可行技术</w:t>
            </w:r>
          </w:p>
        </w:tc>
        <w:tc>
          <w:tcPr>
            <w:tcW w:w="2994" w:type="dxa"/>
            <w:vAlign w:val="center"/>
          </w:tcPr>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本项目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60" w:type="dxa"/>
            <w:vAlign w:val="center"/>
          </w:tcPr>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炉型</w:t>
            </w:r>
          </w:p>
        </w:tc>
        <w:tc>
          <w:tcPr>
            <w:tcW w:w="3867" w:type="dxa"/>
            <w:vAlign w:val="center"/>
          </w:tcPr>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层燃炉、流化床炉、室燃炉</w:t>
            </w:r>
          </w:p>
        </w:tc>
        <w:tc>
          <w:tcPr>
            <w:tcW w:w="2994" w:type="dxa"/>
            <w:vAlign w:val="center"/>
          </w:tcPr>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层燃炉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60" w:type="dxa"/>
            <w:vAlign w:val="center"/>
          </w:tcPr>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二氧化硫</w:t>
            </w:r>
            <w:r>
              <w:rPr>
                <w:rFonts w:hint="eastAsia" w:ascii="Times New Roman" w:hAnsi="Times New Roman" w:eastAsia="宋体" w:cs="Times New Roman"/>
                <w:bCs/>
                <w:color w:val="auto"/>
                <w:kern w:val="0"/>
                <w:sz w:val="21"/>
                <w:szCs w:val="21"/>
                <w:highlight w:val="none"/>
                <w:lang w:val="en-US" w:eastAsia="zh-CN"/>
              </w:rPr>
              <w:t>（</w:t>
            </w:r>
            <w:r>
              <w:rPr>
                <w:rFonts w:hint="default" w:ascii="Times New Roman" w:hAnsi="Times New Roman" w:eastAsia="宋体" w:cs="Times New Roman"/>
                <w:bCs/>
                <w:color w:val="auto"/>
                <w:kern w:val="0"/>
                <w:sz w:val="21"/>
                <w:szCs w:val="21"/>
                <w:highlight w:val="none"/>
                <w:lang w:val="en-US" w:eastAsia="zh-CN"/>
              </w:rPr>
              <w:t>一般地区</w:t>
            </w:r>
            <w:r>
              <w:rPr>
                <w:rFonts w:hint="eastAsia" w:ascii="Times New Roman" w:hAnsi="Times New Roman" w:eastAsia="宋体" w:cs="Times New Roman"/>
                <w:bCs/>
                <w:color w:val="auto"/>
                <w:kern w:val="0"/>
                <w:sz w:val="21"/>
                <w:szCs w:val="21"/>
                <w:highlight w:val="none"/>
                <w:lang w:val="en-US" w:eastAsia="zh-CN"/>
              </w:rPr>
              <w:t>）</w:t>
            </w:r>
          </w:p>
        </w:tc>
        <w:tc>
          <w:tcPr>
            <w:tcW w:w="3867" w:type="dxa"/>
            <w:vAlign w:val="center"/>
          </w:tcPr>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燃用低硫煤、湿法脱硫</w:t>
            </w:r>
            <w:r>
              <w:rPr>
                <w:rFonts w:hint="eastAsia" w:ascii="Times New Roman" w:hAnsi="Times New Roman" w:eastAsia="宋体" w:cs="Times New Roman"/>
                <w:bCs/>
                <w:color w:val="auto"/>
                <w:kern w:val="0"/>
                <w:sz w:val="21"/>
                <w:szCs w:val="21"/>
                <w:highlight w:val="none"/>
                <w:lang w:val="en-US" w:eastAsia="zh-CN"/>
              </w:rPr>
              <w:t>（</w:t>
            </w:r>
            <w:r>
              <w:rPr>
                <w:rFonts w:hint="default" w:ascii="Times New Roman" w:hAnsi="Times New Roman" w:eastAsia="宋体" w:cs="Times New Roman"/>
                <w:bCs/>
                <w:color w:val="auto"/>
                <w:kern w:val="0"/>
                <w:sz w:val="21"/>
                <w:szCs w:val="21"/>
                <w:highlight w:val="none"/>
                <w:lang w:val="en-US" w:eastAsia="zh-CN"/>
              </w:rPr>
              <w:t>石灰石/石灰-石膏湿法、双碱法、氧化镁法、氨法</w:t>
            </w:r>
            <w:r>
              <w:rPr>
                <w:rFonts w:hint="eastAsia" w:ascii="Times New Roman" w:hAnsi="Times New Roman" w:eastAsia="宋体" w:cs="Times New Roman"/>
                <w:bCs/>
                <w:color w:val="auto"/>
                <w:kern w:val="0"/>
                <w:sz w:val="21"/>
                <w:szCs w:val="21"/>
                <w:highlight w:val="none"/>
                <w:lang w:val="en-US" w:eastAsia="zh-CN"/>
              </w:rPr>
              <w:t>）</w:t>
            </w:r>
            <w:r>
              <w:rPr>
                <w:rFonts w:hint="default" w:ascii="Times New Roman" w:hAnsi="Times New Roman" w:eastAsia="宋体" w:cs="Times New Roman"/>
                <w:bCs/>
                <w:color w:val="auto"/>
                <w:kern w:val="0"/>
                <w:sz w:val="21"/>
                <w:szCs w:val="21"/>
                <w:highlight w:val="none"/>
                <w:lang w:val="en-US" w:eastAsia="zh-CN"/>
              </w:rPr>
              <w:t>、干法/半干法脱硫</w:t>
            </w:r>
            <w:r>
              <w:rPr>
                <w:rFonts w:hint="eastAsia" w:ascii="Times New Roman" w:hAnsi="Times New Roman" w:eastAsia="宋体" w:cs="Times New Roman"/>
                <w:bCs/>
                <w:color w:val="auto"/>
                <w:kern w:val="0"/>
                <w:sz w:val="21"/>
                <w:szCs w:val="21"/>
                <w:highlight w:val="none"/>
                <w:lang w:val="en-US" w:eastAsia="zh-CN"/>
              </w:rPr>
              <w:t>（</w:t>
            </w:r>
            <w:r>
              <w:rPr>
                <w:rFonts w:hint="default" w:ascii="Times New Roman" w:hAnsi="Times New Roman" w:eastAsia="宋体" w:cs="Times New Roman"/>
                <w:bCs/>
                <w:color w:val="auto"/>
                <w:kern w:val="0"/>
                <w:sz w:val="21"/>
                <w:szCs w:val="21"/>
                <w:highlight w:val="none"/>
                <w:lang w:val="en-US" w:eastAsia="zh-CN"/>
              </w:rPr>
              <w:t>烟气循环流化床脱硫、喷雾干燥法脱硫</w:t>
            </w:r>
            <w:r>
              <w:rPr>
                <w:rFonts w:hint="eastAsia" w:ascii="Times New Roman" w:hAnsi="Times New Roman" w:eastAsia="宋体" w:cs="Times New Roman"/>
                <w:bCs/>
                <w:color w:val="auto"/>
                <w:kern w:val="0"/>
                <w:sz w:val="21"/>
                <w:szCs w:val="21"/>
                <w:highlight w:val="none"/>
                <w:lang w:val="en-US" w:eastAsia="zh-CN"/>
              </w:rPr>
              <w:t>）</w:t>
            </w:r>
          </w:p>
        </w:tc>
        <w:tc>
          <w:tcPr>
            <w:tcW w:w="2994" w:type="dxa"/>
            <w:vAlign w:val="center"/>
          </w:tcPr>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采用石灰石-石膏湿法脱硫技术，脱硫效率9</w:t>
            </w:r>
            <w:r>
              <w:rPr>
                <w:rFonts w:hint="eastAsia" w:ascii="Times New Roman" w:hAnsi="Times New Roman" w:eastAsia="宋体" w:cs="Times New Roman"/>
                <w:bCs/>
                <w:color w:val="auto"/>
                <w:kern w:val="0"/>
                <w:sz w:val="21"/>
                <w:szCs w:val="21"/>
                <w:highlight w:val="none"/>
                <w:lang w:val="en-US" w:eastAsia="zh-CN"/>
              </w:rPr>
              <w:t>6</w:t>
            </w:r>
            <w:r>
              <w:rPr>
                <w:rFonts w:hint="default" w:ascii="Times New Roman" w:hAnsi="Times New Roman" w:eastAsia="宋体" w:cs="Times New Roman"/>
                <w:bCs/>
                <w:color w:val="auto"/>
                <w:kern w:val="0"/>
                <w:sz w:val="21"/>
                <w:szCs w:val="21"/>
                <w:highlight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60" w:type="dxa"/>
            <w:vAlign w:val="center"/>
          </w:tcPr>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p>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氮氧化物</w:t>
            </w:r>
            <w:r>
              <w:rPr>
                <w:rFonts w:hint="eastAsia" w:ascii="Times New Roman" w:hAnsi="Times New Roman" w:eastAsia="宋体" w:cs="Times New Roman"/>
                <w:bCs/>
                <w:color w:val="auto"/>
                <w:kern w:val="0"/>
                <w:sz w:val="21"/>
                <w:szCs w:val="21"/>
                <w:highlight w:val="none"/>
                <w:lang w:val="en-US" w:eastAsia="zh-CN"/>
              </w:rPr>
              <w:t>（</w:t>
            </w:r>
            <w:r>
              <w:rPr>
                <w:rFonts w:hint="default" w:ascii="Times New Roman" w:hAnsi="Times New Roman" w:eastAsia="宋体" w:cs="Times New Roman"/>
                <w:bCs/>
                <w:color w:val="auto"/>
                <w:kern w:val="0"/>
                <w:sz w:val="21"/>
                <w:szCs w:val="21"/>
                <w:highlight w:val="none"/>
                <w:lang w:val="en-US" w:eastAsia="zh-CN"/>
              </w:rPr>
              <w:t>一般地区</w:t>
            </w:r>
            <w:r>
              <w:rPr>
                <w:rFonts w:hint="eastAsia" w:ascii="Times New Roman" w:hAnsi="Times New Roman" w:eastAsia="宋体" w:cs="Times New Roman"/>
                <w:bCs/>
                <w:color w:val="auto"/>
                <w:kern w:val="0"/>
                <w:sz w:val="21"/>
                <w:szCs w:val="21"/>
                <w:highlight w:val="none"/>
                <w:lang w:val="en-US" w:eastAsia="zh-CN"/>
              </w:rPr>
              <w:t>）</w:t>
            </w:r>
          </w:p>
        </w:tc>
        <w:tc>
          <w:tcPr>
            <w:tcW w:w="3867" w:type="dxa"/>
            <w:vAlign w:val="center"/>
          </w:tcPr>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低氮燃烧技术、低氮燃烧+SNCR脱硝技</w:t>
            </w:r>
          </w:p>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术、低氮燃烧+SCR脱硝技术、低氮燃烧+</w:t>
            </w:r>
          </w:p>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w:t>
            </w:r>
            <w:r>
              <w:rPr>
                <w:rFonts w:hint="default" w:ascii="Times New Roman" w:hAnsi="Times New Roman" w:eastAsia="宋体" w:cs="Times New Roman"/>
                <w:bCs/>
                <w:color w:val="auto"/>
                <w:kern w:val="0"/>
                <w:sz w:val="21"/>
                <w:szCs w:val="21"/>
                <w:highlight w:val="none"/>
                <w:lang w:val="en-US" w:eastAsia="zh-CN"/>
              </w:rPr>
              <w:t>SNCR-SCR联合</w:t>
            </w:r>
            <w:r>
              <w:rPr>
                <w:rFonts w:hint="eastAsia" w:ascii="Times New Roman" w:hAnsi="Times New Roman" w:eastAsia="宋体" w:cs="Times New Roman"/>
                <w:bCs/>
                <w:color w:val="auto"/>
                <w:kern w:val="0"/>
                <w:sz w:val="21"/>
                <w:szCs w:val="21"/>
                <w:highlight w:val="none"/>
                <w:lang w:val="en-US" w:eastAsia="zh-CN"/>
              </w:rPr>
              <w:t>）</w:t>
            </w:r>
            <w:r>
              <w:rPr>
                <w:rFonts w:hint="default" w:ascii="Times New Roman" w:hAnsi="Times New Roman" w:eastAsia="宋体" w:cs="Times New Roman"/>
                <w:bCs/>
                <w:color w:val="auto"/>
                <w:kern w:val="0"/>
                <w:sz w:val="21"/>
                <w:szCs w:val="21"/>
                <w:highlight w:val="none"/>
                <w:lang w:val="en-US" w:eastAsia="zh-CN"/>
              </w:rPr>
              <w:t>脱硝技术、SNCR脱</w:t>
            </w:r>
          </w:p>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硝技术、SCR脱硝技术、SNCR-SCR联合</w:t>
            </w:r>
          </w:p>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脱硝技术</w:t>
            </w:r>
          </w:p>
        </w:tc>
        <w:tc>
          <w:tcPr>
            <w:tcW w:w="2994" w:type="dxa"/>
            <w:vAlign w:val="center"/>
          </w:tcPr>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采用SNCR+SCR联合脱硝技术，脱硝效率85%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60" w:type="dxa"/>
            <w:vAlign w:val="center"/>
          </w:tcPr>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颗粒物</w:t>
            </w:r>
            <w:r>
              <w:rPr>
                <w:rFonts w:hint="eastAsia" w:ascii="Times New Roman" w:hAnsi="Times New Roman" w:eastAsia="宋体" w:cs="Times New Roman"/>
                <w:bCs/>
                <w:color w:val="auto"/>
                <w:kern w:val="0"/>
                <w:sz w:val="21"/>
                <w:szCs w:val="21"/>
                <w:highlight w:val="none"/>
                <w:lang w:val="en-US" w:eastAsia="zh-CN"/>
              </w:rPr>
              <w:t>（</w:t>
            </w:r>
            <w:r>
              <w:rPr>
                <w:rFonts w:hint="default" w:ascii="Times New Roman" w:hAnsi="Times New Roman" w:eastAsia="宋体" w:cs="Times New Roman"/>
                <w:bCs/>
                <w:color w:val="auto"/>
                <w:kern w:val="0"/>
                <w:sz w:val="21"/>
                <w:szCs w:val="21"/>
                <w:highlight w:val="none"/>
                <w:lang w:val="en-US" w:eastAsia="zh-CN"/>
              </w:rPr>
              <w:t>一般地区</w:t>
            </w:r>
            <w:r>
              <w:rPr>
                <w:rFonts w:hint="eastAsia" w:ascii="Times New Roman" w:hAnsi="Times New Roman" w:eastAsia="宋体" w:cs="Times New Roman"/>
                <w:bCs/>
                <w:color w:val="auto"/>
                <w:kern w:val="0"/>
                <w:sz w:val="21"/>
                <w:szCs w:val="21"/>
                <w:highlight w:val="none"/>
                <w:lang w:val="en-US" w:eastAsia="zh-CN"/>
              </w:rPr>
              <w:t>）</w:t>
            </w:r>
          </w:p>
        </w:tc>
        <w:tc>
          <w:tcPr>
            <w:tcW w:w="3867" w:type="dxa"/>
            <w:vAlign w:val="center"/>
          </w:tcPr>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袋式除尘技术、电除尘技术、电袋复合除 尘技术、湿式电除尘技术</w:t>
            </w:r>
          </w:p>
        </w:tc>
        <w:tc>
          <w:tcPr>
            <w:tcW w:w="2994" w:type="dxa"/>
            <w:vAlign w:val="center"/>
          </w:tcPr>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布袋除尘器+脱硫塔协同脱除，除尘效率99.8%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60" w:type="dxa"/>
            <w:vAlign w:val="center"/>
          </w:tcPr>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汞及其化合物</w:t>
            </w:r>
          </w:p>
        </w:tc>
        <w:tc>
          <w:tcPr>
            <w:tcW w:w="3867" w:type="dxa"/>
            <w:vAlign w:val="center"/>
          </w:tcPr>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协同控制</w:t>
            </w:r>
            <w:r>
              <w:rPr>
                <w:rFonts w:hint="eastAsia" w:ascii="Times New Roman" w:hAnsi="Times New Roman" w:eastAsia="宋体" w:cs="Times New Roman"/>
                <w:bCs/>
                <w:color w:val="auto"/>
                <w:kern w:val="0"/>
                <w:sz w:val="21"/>
                <w:szCs w:val="21"/>
                <w:highlight w:val="none"/>
                <w:lang w:val="en-US" w:eastAsia="zh-CN"/>
              </w:rPr>
              <w:t>（</w:t>
            </w:r>
            <w:r>
              <w:rPr>
                <w:rFonts w:hint="default" w:ascii="Times New Roman" w:hAnsi="Times New Roman" w:eastAsia="宋体" w:cs="Times New Roman"/>
                <w:bCs/>
                <w:color w:val="auto"/>
                <w:kern w:val="0"/>
                <w:sz w:val="21"/>
                <w:szCs w:val="21"/>
                <w:highlight w:val="none"/>
                <w:lang w:val="en-US" w:eastAsia="zh-CN"/>
              </w:rPr>
              <w:t>脱硫、脱硝、除尘等污染防治设施在对其设计目标污染物控制的同时兼顾对汞及其化合物的控制</w:t>
            </w:r>
            <w:r>
              <w:rPr>
                <w:rFonts w:hint="eastAsia" w:ascii="Times New Roman" w:hAnsi="Times New Roman" w:eastAsia="宋体" w:cs="Times New Roman"/>
                <w:bCs/>
                <w:color w:val="auto"/>
                <w:kern w:val="0"/>
                <w:sz w:val="21"/>
                <w:szCs w:val="21"/>
                <w:highlight w:val="none"/>
                <w:lang w:val="en-US" w:eastAsia="zh-CN"/>
              </w:rPr>
              <w:t>），</w:t>
            </w:r>
            <w:r>
              <w:rPr>
                <w:rFonts w:hint="default" w:ascii="Times New Roman" w:hAnsi="Times New Roman" w:eastAsia="宋体" w:cs="Times New Roman"/>
                <w:bCs/>
                <w:color w:val="auto"/>
                <w:kern w:val="0"/>
                <w:sz w:val="21"/>
                <w:szCs w:val="21"/>
                <w:highlight w:val="none"/>
                <w:lang w:val="en-US" w:eastAsia="zh-CN"/>
              </w:rPr>
              <w:t>若采用协同控制技术仍未实现达标排放，可采用炉内添加卤化物或烟道喷入活性炭吸附剂等技术</w:t>
            </w:r>
          </w:p>
        </w:tc>
        <w:tc>
          <w:tcPr>
            <w:tcW w:w="2994" w:type="dxa"/>
            <w:vAlign w:val="center"/>
          </w:tcPr>
          <w:p>
            <w:pPr>
              <w:widowControl w:val="0"/>
              <w:kinsoku/>
              <w:overflowPunct/>
              <w:topLinePunct w:val="0"/>
              <w:autoSpaceDE w:val="0"/>
              <w:autoSpaceDN w:val="0"/>
              <w:bidi w:val="0"/>
              <w:adjustRightInd w:val="0"/>
              <w:snapToGrid/>
              <w:spacing w:before="79" w:beforeLines="25" w:beforeAutospacing="0" w:after="79" w:afterLines="25"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协同控制，脱汞效率70%。</w:t>
            </w:r>
          </w:p>
        </w:tc>
      </w:tr>
    </w:tbl>
    <w:p>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eastAsia="宋体" w:cs="Times New Roman"/>
          <w:b/>
          <w:bCs/>
          <w:snapToGrid w:val="0"/>
          <w:color w:val="auto"/>
          <w:kern w:val="0"/>
          <w:sz w:val="21"/>
          <w:szCs w:val="20"/>
          <w:highlight w:val="none"/>
          <w:lang w:val="en-US" w:eastAsia="zh-CN" w:bidi="ar-SA"/>
        </w:rPr>
      </w:pPr>
      <w:r>
        <w:rPr>
          <w:rFonts w:hint="default" w:ascii="Times New Roman" w:hAnsi="Times New Roman" w:eastAsia="宋体" w:cs="Times New Roman"/>
          <w:b/>
          <w:bCs/>
          <w:snapToGrid w:val="0"/>
          <w:color w:val="auto"/>
          <w:kern w:val="0"/>
          <w:sz w:val="21"/>
          <w:szCs w:val="20"/>
          <w:highlight w:val="none"/>
          <w:lang w:val="en-US" w:eastAsia="zh-CN" w:bidi="ar-SA"/>
        </w:rPr>
        <w:t>表7.2</w:t>
      </w:r>
      <w:r>
        <w:rPr>
          <w:rFonts w:hint="eastAsia" w:cs="Times New Roman"/>
          <w:b/>
          <w:bCs/>
          <w:snapToGrid w:val="0"/>
          <w:color w:val="auto"/>
          <w:kern w:val="0"/>
          <w:sz w:val="21"/>
          <w:szCs w:val="20"/>
          <w:highlight w:val="none"/>
          <w:lang w:val="en-US" w:eastAsia="zh-CN" w:bidi="ar-SA"/>
        </w:rPr>
        <w:t>.1</w:t>
      </w:r>
      <w:r>
        <w:rPr>
          <w:rFonts w:hint="default" w:ascii="Times New Roman" w:hAnsi="Times New Roman" w:eastAsia="宋体" w:cs="Times New Roman"/>
          <w:b/>
          <w:bCs/>
          <w:snapToGrid w:val="0"/>
          <w:color w:val="auto"/>
          <w:kern w:val="0"/>
          <w:sz w:val="21"/>
          <w:szCs w:val="20"/>
          <w:highlight w:val="none"/>
          <w:lang w:val="en-US" w:eastAsia="zh-CN" w:bidi="ar-SA"/>
        </w:rPr>
        <w:t>-3</w:t>
      </w:r>
      <w:r>
        <w:rPr>
          <w:rFonts w:hint="eastAsia" w:ascii="Times New Roman" w:hAnsi="Times New Roman" w:eastAsia="宋体" w:cs="Times New Roman"/>
          <w:b/>
          <w:bCs/>
          <w:snapToGrid w:val="0"/>
          <w:color w:val="auto"/>
          <w:kern w:val="0"/>
          <w:sz w:val="21"/>
          <w:szCs w:val="20"/>
          <w:highlight w:val="none"/>
          <w:lang w:val="en-US" w:eastAsia="zh-CN" w:bidi="ar-SA"/>
        </w:rPr>
        <w:t xml:space="preserve">   </w:t>
      </w:r>
      <w:r>
        <w:rPr>
          <w:rFonts w:hint="default" w:ascii="Times New Roman" w:hAnsi="Times New Roman" w:eastAsia="宋体" w:cs="Times New Roman"/>
          <w:b/>
          <w:bCs/>
          <w:snapToGrid w:val="0"/>
          <w:color w:val="auto"/>
          <w:kern w:val="0"/>
          <w:sz w:val="21"/>
          <w:szCs w:val="20"/>
          <w:highlight w:val="none"/>
          <w:lang w:val="en-US" w:eastAsia="zh-CN" w:bidi="ar-SA"/>
        </w:rPr>
        <w:t>与工业锅炉污染防治可行技术指南符合性分析</w:t>
      </w:r>
    </w:p>
    <w:tbl>
      <w:tblPr>
        <w:tblStyle w:val="66"/>
        <w:tblW w:w="500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61"/>
        <w:gridCol w:w="3938"/>
        <w:gridCol w:w="29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89" w:type="dxa"/>
            <w:gridSpan w:val="2"/>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《工业锅炉污染防治可行技术指南》</w:t>
            </w:r>
            <w:r>
              <w:rPr>
                <w:rFonts w:hint="eastAsia" w:ascii="Times New Roman" w:hAnsi="Times New Roman" w:eastAsia="宋体" w:cs="Times New Roman"/>
                <w:bCs/>
                <w:color w:val="auto"/>
                <w:kern w:val="0"/>
                <w:sz w:val="21"/>
                <w:szCs w:val="21"/>
                <w:highlight w:val="none"/>
                <w:lang w:val="en-US" w:eastAsia="zh-CN"/>
              </w:rPr>
              <w:t>（</w:t>
            </w:r>
            <w:r>
              <w:rPr>
                <w:rFonts w:hint="default" w:ascii="Times New Roman" w:hAnsi="Times New Roman" w:eastAsia="宋体" w:cs="Times New Roman"/>
                <w:bCs/>
                <w:color w:val="auto"/>
                <w:kern w:val="0"/>
                <w:sz w:val="21"/>
                <w:szCs w:val="21"/>
                <w:highlight w:val="none"/>
                <w:lang w:val="en-US" w:eastAsia="zh-CN"/>
              </w:rPr>
              <w:t>HJ1178-2021</w:t>
            </w:r>
            <w:r>
              <w:rPr>
                <w:rFonts w:hint="eastAsia" w:ascii="Times New Roman" w:hAnsi="Times New Roman" w:eastAsia="宋体" w:cs="Times New Roman"/>
                <w:bCs/>
                <w:color w:val="auto"/>
                <w:kern w:val="0"/>
                <w:sz w:val="21"/>
                <w:szCs w:val="21"/>
                <w:highlight w:val="none"/>
                <w:lang w:val="en-US" w:eastAsia="zh-CN"/>
              </w:rPr>
              <w:t>）</w:t>
            </w:r>
            <w:r>
              <w:rPr>
                <w:rFonts w:hint="default" w:ascii="Times New Roman" w:hAnsi="Times New Roman" w:eastAsia="宋体" w:cs="Times New Roman"/>
                <w:bCs/>
                <w:color w:val="auto"/>
                <w:kern w:val="0"/>
                <w:sz w:val="21"/>
                <w:szCs w:val="21"/>
                <w:highlight w:val="none"/>
                <w:lang w:val="en-US" w:eastAsia="zh-CN"/>
              </w:rPr>
              <w:t>锅炉烟气污染防治可行技术</w:t>
            </w:r>
          </w:p>
        </w:tc>
        <w:tc>
          <w:tcPr>
            <w:tcW w:w="2921"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本项目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5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颗粒物</w:t>
            </w:r>
          </w:p>
        </w:tc>
        <w:tc>
          <w:tcPr>
            <w:tcW w:w="3931"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干式电除尘、袋式除尘、湿式电除尘、电袋符合除尘</w:t>
            </w:r>
          </w:p>
        </w:tc>
        <w:tc>
          <w:tcPr>
            <w:tcW w:w="2921"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布袋除尘器+脱硫塔协同脱除，除尘效率99.8%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5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二氧化硫</w:t>
            </w:r>
          </w:p>
        </w:tc>
        <w:tc>
          <w:tcPr>
            <w:tcW w:w="3931"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石灰石/石灰-石膏湿法、镁法脱硫、钠碱法 脱硫、烟气循环流化床法、炉内脱硫技术</w:t>
            </w:r>
          </w:p>
        </w:tc>
        <w:tc>
          <w:tcPr>
            <w:tcW w:w="2921"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采用石灰石-石膏湿法脱硫技术，脱硫效率</w:t>
            </w:r>
            <w:r>
              <w:rPr>
                <w:rFonts w:hint="eastAsia" w:ascii="Times New Roman" w:hAnsi="Times New Roman" w:eastAsia="宋体" w:cs="Times New Roman"/>
                <w:bCs/>
                <w:color w:val="auto"/>
                <w:kern w:val="0"/>
                <w:sz w:val="21"/>
                <w:szCs w:val="21"/>
                <w:highlight w:val="none"/>
                <w:lang w:val="en-US" w:eastAsia="zh-CN"/>
              </w:rPr>
              <w:t>96</w:t>
            </w:r>
            <w:r>
              <w:rPr>
                <w:rFonts w:hint="default" w:ascii="Times New Roman" w:hAnsi="Times New Roman" w:eastAsia="宋体" w:cs="Times New Roman"/>
                <w:bCs/>
                <w:color w:val="auto"/>
                <w:kern w:val="0"/>
                <w:sz w:val="21"/>
                <w:szCs w:val="21"/>
                <w:highlight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58"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氮氧化物</w:t>
            </w:r>
          </w:p>
        </w:tc>
        <w:tc>
          <w:tcPr>
            <w:tcW w:w="3931"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低氮燃烧技术、低氮燃烧+SNCR脱硝技术、低氮燃烧+SCR脱硝技术、低氮燃烧+</w:t>
            </w:r>
            <w:r>
              <w:rPr>
                <w:rFonts w:hint="eastAsia" w:ascii="Times New Roman" w:hAnsi="Times New Roman" w:eastAsia="宋体" w:cs="Times New Roman"/>
                <w:bCs/>
                <w:color w:val="auto"/>
                <w:kern w:val="0"/>
                <w:sz w:val="21"/>
                <w:szCs w:val="21"/>
                <w:highlight w:val="none"/>
                <w:lang w:val="en-US" w:eastAsia="zh-CN"/>
              </w:rPr>
              <w:t>（</w:t>
            </w:r>
            <w:r>
              <w:rPr>
                <w:rFonts w:hint="default" w:ascii="Times New Roman" w:hAnsi="Times New Roman" w:eastAsia="宋体" w:cs="Times New Roman"/>
                <w:bCs/>
                <w:color w:val="auto"/>
                <w:kern w:val="0"/>
                <w:sz w:val="21"/>
                <w:szCs w:val="21"/>
                <w:highlight w:val="none"/>
                <w:lang w:val="en-US" w:eastAsia="zh-CN"/>
              </w:rPr>
              <w:t>SNCR-SCR联合</w:t>
            </w:r>
            <w:r>
              <w:rPr>
                <w:rFonts w:hint="eastAsia" w:ascii="Times New Roman" w:hAnsi="Times New Roman" w:eastAsia="宋体" w:cs="Times New Roman"/>
                <w:bCs/>
                <w:color w:val="auto"/>
                <w:kern w:val="0"/>
                <w:sz w:val="21"/>
                <w:szCs w:val="21"/>
                <w:highlight w:val="none"/>
                <w:lang w:val="en-US" w:eastAsia="zh-CN"/>
              </w:rPr>
              <w:t>）</w:t>
            </w:r>
            <w:r>
              <w:rPr>
                <w:rFonts w:hint="default" w:ascii="Times New Roman" w:hAnsi="Times New Roman" w:eastAsia="宋体" w:cs="Times New Roman"/>
                <w:bCs/>
                <w:color w:val="auto"/>
                <w:kern w:val="0"/>
                <w:sz w:val="21"/>
                <w:szCs w:val="21"/>
                <w:highlight w:val="none"/>
                <w:lang w:val="en-US" w:eastAsia="zh-CN"/>
              </w:rPr>
              <w:t>脱硝技术、SNCR脱</w:t>
            </w:r>
          </w:p>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硝技术、SCR脱硝技术、SNCR-SCR联合硝技术</w:t>
            </w:r>
          </w:p>
        </w:tc>
        <w:tc>
          <w:tcPr>
            <w:tcW w:w="2921" w:type="dxa"/>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采用SNCR+SCR联合脱硝技术，脱硝效率85%</w:t>
            </w:r>
          </w:p>
        </w:tc>
      </w:tr>
    </w:tbl>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综上本项目废气处理措施符合《排污许可证申请与核发技术规范锅炉》（HJ953-2018）及《工业锅炉污染防治可行技术指南》（HJ1178-2021）推荐可行性技术，因此项目废气处理措施可行。</w:t>
      </w:r>
    </w:p>
    <w:p>
      <w:pPr>
        <w:pStyle w:val="5"/>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7.2.1.5烟囱合理性分析</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本项目锅炉烟气采取高空排放方式，沿用原有项目烟囱，高度为60m，出口直径2.5m。改扩建后锅炉总装机容量311MW，《锅炉大气污染物排放标准》（GB13271-2014）中规定锅炉房烟囱最低允许高度见表7.2</w:t>
      </w:r>
      <w:r>
        <w:rPr>
          <w:rFonts w:hint="eastAsia" w:cs="Times New Roman"/>
          <w:color w:val="auto"/>
          <w:highlight w:val="none"/>
          <w:lang w:val="en-US" w:eastAsia="zh-CN"/>
        </w:rPr>
        <w:t>.1</w:t>
      </w:r>
      <w:r>
        <w:rPr>
          <w:rFonts w:hint="eastAsia" w:ascii="Times New Roman" w:hAnsi="Times New Roman" w:eastAsia="宋体" w:cs="Times New Roman"/>
          <w:color w:val="auto"/>
          <w:highlight w:val="none"/>
          <w:lang w:val="en-US" w:eastAsia="zh-CN"/>
        </w:rPr>
        <w:t>-4。</w:t>
      </w:r>
    </w:p>
    <w:p>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eastAsia="宋体" w:cs="Times New Roman"/>
          <w:b/>
          <w:bCs/>
          <w:snapToGrid w:val="0"/>
          <w:color w:val="auto"/>
          <w:kern w:val="0"/>
          <w:sz w:val="21"/>
          <w:szCs w:val="20"/>
          <w:highlight w:val="none"/>
          <w:lang w:val="en-US" w:eastAsia="zh-CN" w:bidi="ar-SA"/>
        </w:rPr>
      </w:pPr>
      <w:r>
        <w:rPr>
          <w:rFonts w:hint="default" w:ascii="Times New Roman" w:hAnsi="Times New Roman" w:eastAsia="宋体" w:cs="Times New Roman"/>
          <w:b/>
          <w:bCs/>
          <w:snapToGrid w:val="0"/>
          <w:color w:val="auto"/>
          <w:kern w:val="0"/>
          <w:sz w:val="21"/>
          <w:szCs w:val="20"/>
          <w:highlight w:val="none"/>
          <w:lang w:val="en-US" w:eastAsia="zh-CN" w:bidi="ar-SA"/>
        </w:rPr>
        <w:t>表7.2</w:t>
      </w:r>
      <w:r>
        <w:rPr>
          <w:rFonts w:hint="eastAsia" w:cs="Times New Roman"/>
          <w:b/>
          <w:bCs/>
          <w:snapToGrid w:val="0"/>
          <w:color w:val="auto"/>
          <w:kern w:val="0"/>
          <w:sz w:val="21"/>
          <w:szCs w:val="20"/>
          <w:highlight w:val="none"/>
          <w:lang w:val="en-US" w:eastAsia="zh-CN" w:bidi="ar-SA"/>
        </w:rPr>
        <w:t>.1</w:t>
      </w:r>
      <w:r>
        <w:rPr>
          <w:rFonts w:hint="default" w:ascii="Times New Roman" w:hAnsi="Times New Roman" w:eastAsia="宋体" w:cs="Times New Roman"/>
          <w:b/>
          <w:bCs/>
          <w:snapToGrid w:val="0"/>
          <w:color w:val="auto"/>
          <w:kern w:val="0"/>
          <w:sz w:val="21"/>
          <w:szCs w:val="20"/>
          <w:highlight w:val="none"/>
          <w:lang w:val="en-US" w:eastAsia="zh-CN" w:bidi="ar-SA"/>
        </w:rPr>
        <w:t>-4   锅炉房烟囱最低允许排放高度    单位</w:t>
      </w:r>
      <w:r>
        <w:rPr>
          <w:rFonts w:hint="eastAsia" w:ascii="Times New Roman" w:hAnsi="Times New Roman" w:eastAsia="宋体" w:cs="Times New Roman"/>
          <w:b/>
          <w:bCs/>
          <w:snapToGrid w:val="0"/>
          <w:color w:val="auto"/>
          <w:kern w:val="0"/>
          <w:sz w:val="21"/>
          <w:szCs w:val="20"/>
          <w:highlight w:val="none"/>
          <w:lang w:val="en-US" w:eastAsia="zh-CN" w:bidi="ar-SA"/>
        </w:rPr>
        <w:t>（m）</w:t>
      </w:r>
    </w:p>
    <w:tbl>
      <w:tblPr>
        <w:tblStyle w:val="66"/>
        <w:tblW w:w="500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80"/>
        <w:gridCol w:w="1056"/>
        <w:gridCol w:w="704"/>
        <w:gridCol w:w="1085"/>
        <w:gridCol w:w="1104"/>
        <w:gridCol w:w="890"/>
        <w:gridCol w:w="978"/>
        <w:gridCol w:w="63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jc w:val="center"/>
        </w:trPr>
        <w:tc>
          <w:tcPr>
            <w:tcW w:w="1876" w:type="dxa"/>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锅炉房总装机容量</w:t>
            </w:r>
          </w:p>
        </w:tc>
        <w:tc>
          <w:tcPr>
            <w:tcW w:w="1054"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MW</w:t>
            </w:r>
          </w:p>
        </w:tc>
        <w:tc>
          <w:tcPr>
            <w:tcW w:w="70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&lt;0.7</w:t>
            </w:r>
          </w:p>
        </w:tc>
        <w:tc>
          <w:tcPr>
            <w:tcW w:w="1083"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0.7-&lt;1.4</w:t>
            </w:r>
          </w:p>
        </w:tc>
        <w:tc>
          <w:tcPr>
            <w:tcW w:w="110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1.4-&lt;2.8</w:t>
            </w:r>
          </w:p>
        </w:tc>
        <w:tc>
          <w:tcPr>
            <w:tcW w:w="888"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2.8-&lt;7</w:t>
            </w:r>
          </w:p>
        </w:tc>
        <w:tc>
          <w:tcPr>
            <w:tcW w:w="97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7-&lt;14</w:t>
            </w:r>
          </w:p>
        </w:tc>
        <w:tc>
          <w:tcPr>
            <w:tcW w:w="62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876"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p>
        </w:tc>
        <w:tc>
          <w:tcPr>
            <w:tcW w:w="1054"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t/h</w:t>
            </w:r>
          </w:p>
        </w:tc>
        <w:tc>
          <w:tcPr>
            <w:tcW w:w="70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&lt;1</w:t>
            </w:r>
          </w:p>
        </w:tc>
        <w:tc>
          <w:tcPr>
            <w:tcW w:w="1083"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1-&lt;2</w:t>
            </w:r>
          </w:p>
        </w:tc>
        <w:tc>
          <w:tcPr>
            <w:tcW w:w="110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2-&lt;4</w:t>
            </w:r>
          </w:p>
        </w:tc>
        <w:tc>
          <w:tcPr>
            <w:tcW w:w="888"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4-&lt;10</w:t>
            </w:r>
          </w:p>
        </w:tc>
        <w:tc>
          <w:tcPr>
            <w:tcW w:w="97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10-&lt;20</w:t>
            </w:r>
          </w:p>
        </w:tc>
        <w:tc>
          <w:tcPr>
            <w:tcW w:w="62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930" w:type="dxa"/>
            <w:gridSpan w:val="2"/>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烟囱最低允许高度</w:t>
            </w:r>
            <w:r>
              <w:rPr>
                <w:rFonts w:hint="eastAsia" w:ascii="Times New Roman" w:hAnsi="Times New Roman" w:eastAsia="宋体" w:cs="Times New Roman"/>
                <w:bCs/>
                <w:color w:val="auto"/>
                <w:kern w:val="0"/>
                <w:sz w:val="21"/>
                <w:szCs w:val="21"/>
                <w:highlight w:val="none"/>
                <w:lang w:val="en-US" w:eastAsia="zh-CN"/>
              </w:rPr>
              <w:t>（m）</w:t>
            </w:r>
          </w:p>
        </w:tc>
        <w:tc>
          <w:tcPr>
            <w:tcW w:w="70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20</w:t>
            </w:r>
          </w:p>
        </w:tc>
        <w:tc>
          <w:tcPr>
            <w:tcW w:w="1083"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25</w:t>
            </w:r>
          </w:p>
        </w:tc>
        <w:tc>
          <w:tcPr>
            <w:tcW w:w="110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30</w:t>
            </w:r>
          </w:p>
        </w:tc>
        <w:tc>
          <w:tcPr>
            <w:tcW w:w="888"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35</w:t>
            </w:r>
          </w:p>
        </w:tc>
        <w:tc>
          <w:tcPr>
            <w:tcW w:w="97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40</w:t>
            </w:r>
          </w:p>
        </w:tc>
        <w:tc>
          <w:tcPr>
            <w:tcW w:w="62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240" w:lineRule="auto"/>
              <w:ind w:firstLine="0" w:firstLineChars="0"/>
              <w:jc w:val="center"/>
              <w:textAlignment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45</w:t>
            </w:r>
          </w:p>
        </w:tc>
      </w:tr>
    </w:tbl>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根据要求烟囱高度不得低于45m，且高出200m范围内最高建筑物3m以上。根据现场调查，项目区周围200m范围最高建筑最高为</w:t>
      </w:r>
      <w:r>
        <w:rPr>
          <w:rFonts w:hint="eastAsia" w:cs="Times New Roman"/>
          <w:color w:val="auto"/>
          <w:highlight w:val="none"/>
          <w:lang w:val="en-US" w:eastAsia="zh-CN"/>
        </w:rPr>
        <w:t>20</w:t>
      </w:r>
      <w:r>
        <w:rPr>
          <w:rFonts w:hint="eastAsia" w:ascii="Times New Roman" w:hAnsi="Times New Roman" w:eastAsia="宋体" w:cs="Times New Roman"/>
          <w:color w:val="auto"/>
          <w:highlight w:val="none"/>
          <w:lang w:val="en-US" w:eastAsia="zh-CN"/>
        </w:rPr>
        <w:t>m，本项目排气筒高度为60m，排气筒高度符合《锅炉大气污染物排放标准》（GB13271-2014）要求。</w:t>
      </w:r>
    </w:p>
    <w:p>
      <w:pPr>
        <w:pStyle w:val="5"/>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7.2.1.6烟气排放连续监测系统</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烟气排放连续监测系统是为保护环境对烟气排放浓度和排放总量进行控制而设计的烟气排放连续监测CEMS系统。系统监测参数能够涵盖SO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val="en-US" w:eastAsia="zh-CN"/>
        </w:rPr>
        <w:t>、CO</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lang w:val="en-US" w:eastAsia="zh-CN"/>
        </w:rPr>
        <w:t>、CO、NOx、烟尘、流量、温度、压力、湿度等。</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根据《锅炉大气污染物排放标准》（GB13271-2014）中5.1.4条要求：20t/h及以上蒸汽锅炉和14MW及以上热水锅炉应安装污染物排放自动监控设备，与环保部门的监控中心联网，并保证设备正常运行，按有关法律和《污染源自动监控管理办法》的规定执行。”。</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现状烟囱排气口处安装在线监测设备一套，并与塔城地区生态环境局联网，由于现状该烟气排放连续监测CEMS系统设备已部分老化，出现校准周期过长等问题，所以，根据建设单位提供信息，本次改扩建将拆除现有的烟气排放连续监测CEMS系统，更换一套烟气排放连续监测CEMS系统，已满足改扩建后锅炉烟气在线监测要求，烟气排放连续监测系统能够及时反应烟囱排放的燃煤烟气情况，有效实施对污染物排放的监控，保证烟气的长期稳定达标排放。满足《锅炉大气污染物排放标准》（GB13271-2014）中5.1.4条要求。</w:t>
      </w:r>
    </w:p>
    <w:p>
      <w:pPr>
        <w:pStyle w:val="5"/>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7.2.1.7无组织粉尘控制措施</w:t>
      </w:r>
    </w:p>
    <w:p>
      <w:pPr>
        <w:numPr>
          <w:ilvl w:val="0"/>
          <w:numId w:val="0"/>
        </w:numPr>
        <w:bidi w:val="0"/>
        <w:ind w:firstLine="480" w:firstLineChars="20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（1）</w:t>
      </w:r>
      <w:r>
        <w:rPr>
          <w:rFonts w:hint="eastAsia" w:ascii="Times New Roman" w:hAnsi="Times New Roman" w:eastAsia="宋体" w:cs="Times New Roman"/>
          <w:color w:val="auto"/>
          <w:highlight w:val="none"/>
          <w:lang w:val="en-US" w:eastAsia="zh-CN"/>
        </w:rPr>
        <w:t>堆场扬尘：本项目依托现有工程储煤场、灰库和渣仓。现有灰库、渣仓为全封闭，</w:t>
      </w:r>
      <w:r>
        <w:rPr>
          <w:rFonts w:hint="eastAsia" w:cs="Times New Roman"/>
          <w:color w:val="auto"/>
          <w:highlight w:val="none"/>
          <w:lang w:val="en-US" w:eastAsia="zh-CN"/>
        </w:rPr>
        <w:t>装卸</w:t>
      </w:r>
      <w:r>
        <w:rPr>
          <w:rFonts w:hint="eastAsia" w:ascii="Times New Roman" w:hAnsi="Times New Roman" w:eastAsia="宋体" w:cs="Times New Roman"/>
          <w:color w:val="auto"/>
          <w:highlight w:val="none"/>
          <w:lang w:val="en-US" w:eastAsia="zh-CN"/>
        </w:rPr>
        <w:t>灰、渣时进行洒水抑尘；现有储煤场设置有防风抑尘网，并采取洒水抑尘；输煤上煤为全封闭式廊道。采取措施后，无组织粉尘对外环境影响较小。</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（2）车辆运输扬尘：场内运输道路定时洒水降尘，采取措施后，无组织粉尘对外环境影响较小。</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（3）无组织粉尘控制措施技术可行性分析：</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根据《工业料堆场扬尘整治规范》（DB65/T4061-2017），结合所在区域属性、料场占地规模及年平均风速，确定本项目堆煤场为I类料场。本项目灰库、渣仓为全封闭，</w:t>
      </w:r>
      <w:r>
        <w:rPr>
          <w:rFonts w:hint="eastAsia" w:cs="Times New Roman"/>
          <w:color w:val="auto"/>
          <w:highlight w:val="none"/>
          <w:lang w:val="en-US" w:eastAsia="zh-CN"/>
        </w:rPr>
        <w:t>装卸</w:t>
      </w:r>
      <w:r>
        <w:rPr>
          <w:rFonts w:hint="eastAsia" w:ascii="Times New Roman" w:hAnsi="Times New Roman" w:eastAsia="宋体" w:cs="Times New Roman"/>
          <w:color w:val="auto"/>
          <w:highlight w:val="none"/>
          <w:lang w:val="en-US" w:eastAsia="zh-CN"/>
        </w:rPr>
        <w:t>灰、渣时进行洒水抑尘；现有储煤场设置有防风抑尘网，并采取洒水抑尘；输煤上煤为全封闭式廊道。符合《工业料堆场扬尘整治规范》（DB65/T4061-2017）</w:t>
      </w:r>
      <w:r>
        <w:rPr>
          <w:rFonts w:hint="eastAsia" w:cs="Times New Roman"/>
          <w:color w:val="auto"/>
          <w:highlight w:val="none"/>
          <w:lang w:val="en-US" w:eastAsia="zh-CN"/>
        </w:rPr>
        <w:t>、</w:t>
      </w:r>
      <w:r>
        <w:rPr>
          <w:rFonts w:hint="eastAsia" w:ascii="Times New Roman" w:hAnsi="Times New Roman" w:eastAsia="宋体" w:cs="Times New Roman"/>
          <w:color w:val="auto"/>
          <w:highlight w:val="none"/>
          <w:lang w:val="en-US" w:eastAsia="zh-CN"/>
        </w:rPr>
        <w:t>《工业锅炉污染防治可行技术指南》（HJ1178-2021）中相关措施要求。</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由以上分析可知，本项目采取的无组织粉尘控制措施技术可行。</w:t>
      </w:r>
    </w:p>
    <w:p>
      <w:pPr>
        <w:pStyle w:val="4"/>
        <w:bidi w:val="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7.2.2废水污染防治措施</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本次改扩建工程不新增劳动定员，由原锅炉房的职工人员进行调整，不新增生活污水。废水主要为锅炉排污水+软化处理废水。</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（1）本项目锅炉排污水+软化处理废水部分回用于脱硫系统用水、除渣系统用水和煤场、渣场喷洒降尘用水，剩余未利用完的废水排入市政排水管网。</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（2）地下水污染防护措施</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为保护该区地下水，采取以下保护措施：</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在生产运行过程中强化监控手段，定期检查，杜绝厂区内有事故性排放点源的存在，减少环境风险，同时严防污水的跑、冒、滴、漏，杜绝污水的外溢现象，保护项目区地下水资源。</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通过上述措施，正常工况下本项目对地下水环境影响较小。</w:t>
      </w:r>
    </w:p>
    <w:p>
      <w:pPr>
        <w:bidi w:val="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（3）废水排放依托可行性</w:t>
      </w:r>
    </w:p>
    <w:p>
      <w:pPr>
        <w:keepNext w:val="0"/>
        <w:keepLines w:val="0"/>
        <w:pageBreakBefore w:val="0"/>
        <w:widowControl/>
        <w:numPr>
          <w:ilvl w:val="0"/>
          <w:numId w:val="0"/>
        </w:numPr>
        <w:suppressLineNumbers w:val="0"/>
        <w:tabs>
          <w:tab w:val="center" w:pos="3972"/>
        </w:tabs>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本项目锅炉排污水、软水制备废水排入市政下水管网，</w:t>
      </w:r>
      <w:r>
        <w:rPr>
          <w:rFonts w:hint="eastAsia" w:ascii="Times New Roman" w:hAnsi="Times New Roman" w:eastAsia="宋体" w:cs="Times New Roman"/>
          <w:b w:val="0"/>
          <w:bCs/>
          <w:color w:val="auto"/>
          <w:sz w:val="24"/>
          <w:highlight w:val="none"/>
          <w:lang w:val="en-US" w:eastAsia="zh-CN"/>
        </w:rPr>
        <w:t>最终排入</w:t>
      </w:r>
      <w:r>
        <w:rPr>
          <w:rFonts w:hint="eastAsia" w:cs="Times New Roman"/>
          <w:b w:val="0"/>
          <w:bCs/>
          <w:color w:val="auto"/>
          <w:sz w:val="24"/>
          <w:highlight w:val="none"/>
          <w:lang w:val="en-US" w:eastAsia="zh-CN"/>
        </w:rPr>
        <w:t>托里县</w:t>
      </w:r>
      <w:r>
        <w:rPr>
          <w:rFonts w:hint="eastAsia" w:ascii="Times New Roman" w:hAnsi="Times New Roman" w:eastAsia="宋体" w:cs="Times New Roman"/>
          <w:b w:val="0"/>
          <w:bCs/>
          <w:color w:val="auto"/>
          <w:sz w:val="24"/>
          <w:highlight w:val="none"/>
          <w:lang w:val="en-US" w:eastAsia="zh-CN"/>
        </w:rPr>
        <w:t>污水处理厂。</w:t>
      </w:r>
    </w:p>
    <w:p>
      <w:pPr>
        <w:keepNext w:val="0"/>
        <w:keepLines w:val="0"/>
        <w:pageBreakBefore w:val="0"/>
        <w:widowControl/>
        <w:numPr>
          <w:ilvl w:val="0"/>
          <w:numId w:val="0"/>
        </w:numPr>
        <w:suppressLineNumbers w:val="0"/>
        <w:tabs>
          <w:tab w:val="center" w:pos="3972"/>
        </w:tabs>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eastAsia" w:cs="Times New Roman"/>
          <w:b w:val="0"/>
          <w:bCs/>
          <w:color w:val="auto"/>
          <w:sz w:val="24"/>
          <w:highlight w:val="none"/>
          <w:lang w:val="en-US" w:eastAsia="zh-CN"/>
        </w:rPr>
        <w:t>托里县</w:t>
      </w:r>
      <w:r>
        <w:rPr>
          <w:rFonts w:hint="eastAsia" w:ascii="Times New Roman" w:hAnsi="Times New Roman" w:eastAsia="宋体" w:cs="Times New Roman"/>
          <w:b w:val="0"/>
          <w:bCs/>
          <w:color w:val="auto"/>
          <w:sz w:val="24"/>
          <w:highlight w:val="none"/>
          <w:lang w:val="en-US" w:eastAsia="zh-CN"/>
        </w:rPr>
        <w:t>污水处理厂隶属于托里县供排水公司运营，位于托里县S</w:t>
      </w:r>
      <w:r>
        <w:rPr>
          <w:rFonts w:hint="eastAsia" w:cs="Times New Roman"/>
          <w:b w:val="0"/>
          <w:bCs/>
          <w:color w:val="auto"/>
          <w:sz w:val="24"/>
          <w:highlight w:val="none"/>
          <w:lang w:val="en-US" w:eastAsia="zh-CN"/>
        </w:rPr>
        <w:t>2</w:t>
      </w:r>
      <w:r>
        <w:rPr>
          <w:rFonts w:hint="eastAsia" w:ascii="Times New Roman" w:hAnsi="Times New Roman" w:eastAsia="宋体" w:cs="Times New Roman"/>
          <w:b w:val="0"/>
          <w:bCs/>
          <w:color w:val="auto"/>
          <w:sz w:val="24"/>
          <w:highlight w:val="none"/>
          <w:lang w:val="en-US" w:eastAsia="zh-CN"/>
        </w:rPr>
        <w:t>21省道8公里路西侧，地理坐标为</w:t>
      </w:r>
      <w:r>
        <w:rPr>
          <w:rFonts w:hint="eastAsia" w:cs="Times New Roman"/>
          <w:color w:val="auto"/>
          <w:sz w:val="24"/>
          <w:szCs w:val="24"/>
          <w:lang w:val="en-US" w:eastAsia="zh-CN"/>
        </w:rPr>
        <w:t>**</w:t>
      </w:r>
      <w:r>
        <w:rPr>
          <w:rFonts w:hint="eastAsia" w:ascii="Times New Roman" w:hAnsi="Times New Roman" w:eastAsia="宋体" w:cs="Times New Roman"/>
          <w:b w:val="0"/>
          <w:bCs/>
          <w:color w:val="auto"/>
          <w:sz w:val="24"/>
          <w:highlight w:val="none"/>
          <w:lang w:val="en-US" w:eastAsia="zh-CN"/>
        </w:rPr>
        <w:t>。</w:t>
      </w:r>
    </w:p>
    <w:p>
      <w:pPr>
        <w:keepNext w:val="0"/>
        <w:keepLines w:val="0"/>
        <w:pageBreakBefore w:val="0"/>
        <w:widowControl/>
        <w:numPr>
          <w:ilvl w:val="0"/>
          <w:numId w:val="0"/>
        </w:numPr>
        <w:suppressLineNumbers w:val="0"/>
        <w:tabs>
          <w:tab w:val="center" w:pos="3972"/>
        </w:tabs>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auto"/>
          <w:kern w:val="0"/>
          <w:sz w:val="24"/>
          <w:szCs w:val="24"/>
          <w:lang w:val="en-US" w:eastAsia="zh-CN" w:bidi="ar"/>
        </w:rPr>
      </w:pPr>
      <w:r>
        <w:rPr>
          <w:rFonts w:hint="eastAsia" w:ascii="Times New Roman" w:hAnsi="Times New Roman" w:eastAsia="宋体" w:cs="Times New Roman"/>
          <w:b w:val="0"/>
          <w:bCs w:val="0"/>
          <w:color w:val="auto"/>
          <w:kern w:val="0"/>
          <w:sz w:val="24"/>
          <w:szCs w:val="24"/>
          <w:lang w:val="en-US" w:eastAsia="zh-CN" w:bidi="ar"/>
        </w:rPr>
        <w:t>环保手续：托里县污水处理厂占地面积约400亩，</w:t>
      </w:r>
      <w:r>
        <w:rPr>
          <w:rFonts w:hint="eastAsia" w:ascii="Times New Roman" w:hAnsi="Times New Roman" w:eastAsia="宋体" w:cs="Times New Roman"/>
          <w:b w:val="0"/>
          <w:bCs/>
          <w:color w:val="auto"/>
          <w:sz w:val="24"/>
          <w:highlight w:val="none"/>
          <w:lang w:val="en-US" w:eastAsia="zh-CN"/>
        </w:rPr>
        <w:t>始建于2014年，2019年进行提标改造，托里县污水处理厂提标改造工程于2019年4月底完成工程整体竣工验收，2019年通过竣工环境保护验收，项目通过将原有的氧化塘工艺进行改造，构建曝气沉砂池、改良AAO生化池、反应沉淀池等构筑物，出水水质达到国家一级A标准，使之成为具备三级处理工艺的现代化污水处理厂。</w:t>
      </w:r>
      <w:r>
        <w:rPr>
          <w:rFonts w:hint="default" w:ascii="Times New Roman" w:hAnsi="Times New Roman" w:eastAsia="宋体" w:cs="Times New Roman"/>
          <w:color w:val="auto"/>
          <w:sz w:val="24"/>
          <w:szCs w:val="24"/>
          <w:highlight w:val="none"/>
        </w:rPr>
        <w:t>从</w:t>
      </w:r>
      <w:r>
        <w:rPr>
          <w:rFonts w:hint="eastAsia" w:ascii="Times New Roman" w:hAnsi="Times New Roman" w:eastAsia="宋体" w:cs="Times New Roman"/>
          <w:color w:val="auto"/>
          <w:sz w:val="24"/>
          <w:szCs w:val="24"/>
          <w:highlight w:val="none"/>
          <w:lang w:val="en-US" w:eastAsia="zh-CN"/>
        </w:rPr>
        <w:t>该污水处理厂环保手续</w:t>
      </w:r>
      <w:r>
        <w:rPr>
          <w:rFonts w:hint="default" w:ascii="Times New Roman" w:hAnsi="Times New Roman" w:eastAsia="宋体" w:cs="Times New Roman"/>
          <w:color w:val="auto"/>
          <w:sz w:val="24"/>
          <w:szCs w:val="24"/>
          <w:highlight w:val="none"/>
        </w:rPr>
        <w:t>上分析，项目废水排入</w:t>
      </w:r>
      <w:r>
        <w:rPr>
          <w:rFonts w:hint="eastAsia" w:cs="Times New Roman"/>
          <w:b w:val="0"/>
          <w:bCs/>
          <w:color w:val="auto"/>
          <w:sz w:val="24"/>
          <w:highlight w:val="none"/>
          <w:lang w:val="en-US" w:eastAsia="zh-CN"/>
        </w:rPr>
        <w:t>托里县</w:t>
      </w:r>
      <w:r>
        <w:rPr>
          <w:rFonts w:hint="eastAsia" w:ascii="Times New Roman" w:hAnsi="Times New Roman" w:eastAsia="宋体" w:cs="Times New Roman"/>
          <w:b w:val="0"/>
          <w:bCs/>
          <w:color w:val="auto"/>
          <w:sz w:val="24"/>
          <w:highlight w:val="none"/>
          <w:lang w:val="en-US" w:eastAsia="zh-CN"/>
        </w:rPr>
        <w:t>污水处理厂</w:t>
      </w:r>
      <w:r>
        <w:rPr>
          <w:rFonts w:hint="default" w:ascii="Times New Roman" w:hAnsi="Times New Roman" w:eastAsia="宋体" w:cs="Times New Roman"/>
          <w:color w:val="auto"/>
          <w:sz w:val="24"/>
          <w:szCs w:val="24"/>
          <w:highlight w:val="none"/>
        </w:rPr>
        <w:t>处理是可行的。</w:t>
      </w:r>
    </w:p>
    <w:p>
      <w:pPr>
        <w:keepNext w:val="0"/>
        <w:keepLines w:val="0"/>
        <w:pageBreakBefore w:val="0"/>
        <w:widowControl/>
        <w:numPr>
          <w:ilvl w:val="0"/>
          <w:numId w:val="0"/>
        </w:numPr>
        <w:suppressLineNumbers w:val="0"/>
        <w:tabs>
          <w:tab w:val="center" w:pos="3972"/>
        </w:tabs>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auto"/>
          <w:kern w:val="0"/>
          <w:sz w:val="24"/>
          <w:szCs w:val="24"/>
          <w:lang w:val="en-US" w:eastAsia="zh-CN" w:bidi="ar"/>
        </w:rPr>
      </w:pPr>
      <w:r>
        <w:rPr>
          <w:rFonts w:hint="eastAsia" w:ascii="Times New Roman" w:hAnsi="Times New Roman" w:eastAsia="宋体" w:cs="Times New Roman"/>
          <w:b w:val="0"/>
          <w:bCs w:val="0"/>
          <w:color w:val="auto"/>
          <w:kern w:val="0"/>
          <w:sz w:val="24"/>
          <w:szCs w:val="24"/>
          <w:lang w:val="en-US" w:eastAsia="zh-CN" w:bidi="ar"/>
        </w:rPr>
        <w:t>收水范围：</w:t>
      </w:r>
      <w:r>
        <w:rPr>
          <w:rFonts w:hint="eastAsia" w:ascii="Times New Roman" w:hAnsi="Times New Roman" w:eastAsia="宋体" w:cs="Times New Roman"/>
          <w:color w:val="auto"/>
          <w:sz w:val="24"/>
          <w:szCs w:val="24"/>
          <w:lang w:val="zh-CN"/>
        </w:rPr>
        <w:t>本项目位于新疆塔城地区托里县文化路以北，多拉特路以西</w:t>
      </w:r>
      <w:r>
        <w:rPr>
          <w:rFonts w:hint="default" w:ascii="Times New Roman" w:hAnsi="Times New Roman" w:eastAsia="宋体" w:cs="Times New Roman"/>
          <w:color w:val="auto"/>
          <w:sz w:val="24"/>
          <w:szCs w:val="24"/>
          <w:highlight w:val="none"/>
        </w:rPr>
        <w:t>，属于</w:t>
      </w:r>
      <w:r>
        <w:rPr>
          <w:rFonts w:hint="eastAsia" w:cs="Times New Roman"/>
          <w:b w:val="0"/>
          <w:bCs/>
          <w:color w:val="auto"/>
          <w:sz w:val="24"/>
          <w:highlight w:val="none"/>
          <w:lang w:val="en-US" w:eastAsia="zh-CN"/>
        </w:rPr>
        <w:t>托里县</w:t>
      </w:r>
      <w:r>
        <w:rPr>
          <w:rFonts w:hint="eastAsia" w:ascii="Times New Roman" w:hAnsi="Times New Roman" w:eastAsia="宋体" w:cs="Times New Roman"/>
          <w:b w:val="0"/>
          <w:bCs/>
          <w:color w:val="auto"/>
          <w:sz w:val="24"/>
          <w:highlight w:val="none"/>
          <w:lang w:val="en-US" w:eastAsia="zh-CN"/>
        </w:rPr>
        <w:t>污水处理厂</w:t>
      </w:r>
      <w:r>
        <w:rPr>
          <w:rFonts w:hint="default" w:ascii="Times New Roman" w:hAnsi="Times New Roman" w:eastAsia="宋体" w:cs="Times New Roman"/>
          <w:color w:val="auto"/>
          <w:sz w:val="24"/>
          <w:szCs w:val="24"/>
          <w:highlight w:val="none"/>
        </w:rPr>
        <w:t>收水范围，项目周边污水管网已铺设到位，从接管范围上分析，项目废水排入</w:t>
      </w:r>
      <w:r>
        <w:rPr>
          <w:rFonts w:hint="eastAsia" w:cs="Times New Roman"/>
          <w:b w:val="0"/>
          <w:bCs/>
          <w:color w:val="auto"/>
          <w:sz w:val="24"/>
          <w:highlight w:val="none"/>
          <w:lang w:val="en-US" w:eastAsia="zh-CN"/>
        </w:rPr>
        <w:t>托里县</w:t>
      </w:r>
      <w:r>
        <w:rPr>
          <w:rFonts w:hint="eastAsia" w:ascii="Times New Roman" w:hAnsi="Times New Roman" w:eastAsia="宋体" w:cs="Times New Roman"/>
          <w:b w:val="0"/>
          <w:bCs/>
          <w:color w:val="auto"/>
          <w:sz w:val="24"/>
          <w:highlight w:val="none"/>
          <w:lang w:val="en-US" w:eastAsia="zh-CN"/>
        </w:rPr>
        <w:t>污水处理厂</w:t>
      </w:r>
      <w:r>
        <w:rPr>
          <w:rFonts w:hint="default" w:ascii="Times New Roman" w:hAnsi="Times New Roman" w:eastAsia="宋体" w:cs="Times New Roman"/>
          <w:color w:val="auto"/>
          <w:sz w:val="24"/>
          <w:szCs w:val="24"/>
          <w:highlight w:val="none"/>
        </w:rPr>
        <w:t>处理是可行的。</w:t>
      </w:r>
    </w:p>
    <w:p>
      <w:pPr>
        <w:keepNext w:val="0"/>
        <w:keepLines w:val="0"/>
        <w:pageBreakBefore w:val="0"/>
        <w:widowControl/>
        <w:numPr>
          <w:ilvl w:val="0"/>
          <w:numId w:val="0"/>
        </w:numPr>
        <w:suppressLineNumbers w:val="0"/>
        <w:tabs>
          <w:tab w:val="center" w:pos="3972"/>
        </w:tabs>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auto"/>
          <w:kern w:val="0"/>
          <w:sz w:val="24"/>
          <w:szCs w:val="24"/>
          <w:lang w:val="en-US" w:eastAsia="zh-CN" w:bidi="ar"/>
        </w:rPr>
      </w:pPr>
      <w:r>
        <w:rPr>
          <w:rFonts w:hint="eastAsia" w:ascii="Times New Roman" w:hAnsi="Times New Roman" w:eastAsia="宋体" w:cs="Times New Roman"/>
          <w:b w:val="0"/>
          <w:bCs w:val="0"/>
          <w:color w:val="auto"/>
          <w:kern w:val="0"/>
          <w:sz w:val="24"/>
          <w:szCs w:val="24"/>
          <w:lang w:val="en-US" w:eastAsia="zh-CN" w:bidi="ar"/>
        </w:rPr>
        <w:t>余量：污水处理厂设计处理规模为8000</w:t>
      </w:r>
      <w:r>
        <w:rPr>
          <w:rFonts w:hint="default" w:ascii="Times New Roman" w:hAnsi="Times New Roman" w:eastAsia="宋体" w:cs="Times New Roman"/>
          <w:b w:val="0"/>
          <w:bCs w:val="0"/>
          <w:color w:val="auto"/>
          <w:kern w:val="0"/>
          <w:sz w:val="24"/>
          <w:szCs w:val="24"/>
          <w:lang w:val="en-US" w:eastAsia="zh-CN" w:bidi="ar"/>
        </w:rPr>
        <w:t>m</w:t>
      </w:r>
      <w:r>
        <w:rPr>
          <w:rFonts w:hint="default" w:ascii="Times New Roman" w:hAnsi="Times New Roman" w:eastAsia="宋体" w:cs="Times New Roman"/>
          <w:b w:val="0"/>
          <w:bCs w:val="0"/>
          <w:color w:val="auto"/>
          <w:kern w:val="0"/>
          <w:sz w:val="24"/>
          <w:szCs w:val="24"/>
          <w:vertAlign w:val="superscript"/>
          <w:lang w:val="en-US" w:eastAsia="zh-CN" w:bidi="ar"/>
        </w:rPr>
        <w:t>3</w:t>
      </w:r>
      <w:r>
        <w:rPr>
          <w:rFonts w:hint="default" w:ascii="Times New Roman" w:hAnsi="Times New Roman" w:eastAsia="宋体" w:cs="Times New Roman"/>
          <w:b w:val="0"/>
          <w:bCs w:val="0"/>
          <w:color w:val="auto"/>
          <w:kern w:val="0"/>
          <w:sz w:val="24"/>
          <w:szCs w:val="24"/>
          <w:lang w:val="en-US" w:eastAsia="zh-CN" w:bidi="ar"/>
        </w:rPr>
        <w:t>/d</w:t>
      </w:r>
      <w:r>
        <w:rPr>
          <w:rFonts w:hint="eastAsia" w:ascii="Times New Roman" w:hAnsi="Times New Roman" w:eastAsia="宋体" w:cs="Times New Roman"/>
          <w:b w:val="0"/>
          <w:bCs w:val="0"/>
          <w:color w:val="auto"/>
          <w:kern w:val="0"/>
          <w:sz w:val="24"/>
          <w:szCs w:val="24"/>
          <w:lang w:val="en-US" w:eastAsia="zh-CN" w:bidi="ar"/>
        </w:rPr>
        <w:t>，实际处理量约为6000m</w:t>
      </w:r>
      <w:r>
        <w:rPr>
          <w:rFonts w:hint="eastAsia" w:cs="Times New Roman"/>
          <w:b w:val="0"/>
          <w:bCs w:val="0"/>
          <w:color w:val="auto"/>
          <w:kern w:val="0"/>
          <w:sz w:val="24"/>
          <w:szCs w:val="24"/>
          <w:vertAlign w:val="superscript"/>
          <w:lang w:val="en-US" w:eastAsia="zh-CN" w:bidi="ar"/>
        </w:rPr>
        <w:t>3</w:t>
      </w:r>
      <w:r>
        <w:rPr>
          <w:rFonts w:hint="eastAsia" w:ascii="Times New Roman" w:hAnsi="Times New Roman" w:eastAsia="宋体" w:cs="Times New Roman"/>
          <w:b w:val="0"/>
          <w:bCs w:val="0"/>
          <w:color w:val="auto"/>
          <w:kern w:val="0"/>
          <w:sz w:val="24"/>
          <w:szCs w:val="24"/>
          <w:lang w:val="en-US" w:eastAsia="zh-CN" w:bidi="ar"/>
        </w:rPr>
        <w:t>/d，本项目废水总排放量为</w:t>
      </w:r>
      <w:r>
        <w:rPr>
          <w:rFonts w:hint="eastAsia" w:cs="Times New Roman"/>
          <w:color w:val="auto"/>
          <w:kern w:val="0"/>
          <w:sz w:val="24"/>
          <w:szCs w:val="24"/>
          <w:highlight w:val="none"/>
          <w:lang w:val="en-US" w:eastAsia="zh-CN" w:bidi="ar-SA"/>
        </w:rPr>
        <w:t>57.2</w:t>
      </w:r>
      <w:r>
        <w:rPr>
          <w:rFonts w:hint="eastAsia" w:ascii="Times New Roman" w:hAnsi="Times New Roman" w:eastAsia="宋体" w:cs="Times New Roman"/>
          <w:b w:val="0"/>
          <w:bCs w:val="0"/>
          <w:color w:val="auto"/>
          <w:kern w:val="0"/>
          <w:sz w:val="24"/>
          <w:szCs w:val="24"/>
          <w:lang w:val="en-US" w:eastAsia="zh-CN" w:bidi="ar"/>
        </w:rPr>
        <w:t>m</w:t>
      </w:r>
      <w:r>
        <w:rPr>
          <w:rFonts w:hint="eastAsia" w:ascii="Times New Roman" w:hAnsi="Times New Roman" w:eastAsia="宋体" w:cs="Times New Roman"/>
          <w:b w:val="0"/>
          <w:bCs w:val="0"/>
          <w:color w:val="auto"/>
          <w:kern w:val="0"/>
          <w:sz w:val="24"/>
          <w:szCs w:val="24"/>
          <w:vertAlign w:val="superscript"/>
          <w:lang w:val="en-US" w:eastAsia="zh-CN" w:bidi="ar"/>
        </w:rPr>
        <w:t>3</w:t>
      </w:r>
      <w:r>
        <w:rPr>
          <w:rFonts w:hint="eastAsia" w:ascii="Times New Roman" w:hAnsi="Times New Roman" w:eastAsia="宋体" w:cs="Times New Roman"/>
          <w:b w:val="0"/>
          <w:bCs w:val="0"/>
          <w:color w:val="auto"/>
          <w:kern w:val="0"/>
          <w:sz w:val="24"/>
          <w:szCs w:val="24"/>
          <w:lang w:val="en-US" w:eastAsia="zh-CN" w:bidi="ar"/>
        </w:rPr>
        <w:t>/d，</w:t>
      </w:r>
      <w:r>
        <w:rPr>
          <w:rFonts w:hint="default" w:ascii="Times New Roman" w:hAnsi="Times New Roman" w:eastAsia="宋体" w:cs="Times New Roman"/>
          <w:b w:val="0"/>
          <w:bCs w:val="0"/>
          <w:color w:val="auto"/>
          <w:kern w:val="0"/>
          <w:sz w:val="24"/>
          <w:szCs w:val="24"/>
          <w:lang w:val="en-US" w:eastAsia="zh-CN" w:bidi="ar"/>
        </w:rPr>
        <w:t>本项目污水排放对污水处理厂冲击较小。</w:t>
      </w:r>
      <w:r>
        <w:rPr>
          <w:rFonts w:hint="default" w:ascii="Times New Roman" w:hAnsi="Times New Roman" w:eastAsia="宋体" w:cs="Times New Roman"/>
          <w:color w:val="auto"/>
          <w:sz w:val="24"/>
          <w:szCs w:val="24"/>
          <w:highlight w:val="none"/>
        </w:rPr>
        <w:t>从</w:t>
      </w:r>
      <w:r>
        <w:rPr>
          <w:rFonts w:hint="eastAsia" w:ascii="Times New Roman" w:hAnsi="Times New Roman" w:eastAsia="宋体" w:cs="Times New Roman"/>
          <w:color w:val="auto"/>
          <w:sz w:val="24"/>
          <w:szCs w:val="24"/>
          <w:highlight w:val="none"/>
          <w:lang w:val="en-US" w:eastAsia="zh-CN"/>
        </w:rPr>
        <w:t>该污水处理厂余量</w:t>
      </w:r>
      <w:r>
        <w:rPr>
          <w:rFonts w:hint="default" w:ascii="Times New Roman" w:hAnsi="Times New Roman" w:eastAsia="宋体" w:cs="Times New Roman"/>
          <w:color w:val="auto"/>
          <w:sz w:val="24"/>
          <w:szCs w:val="24"/>
          <w:highlight w:val="none"/>
        </w:rPr>
        <w:t>上分析，项目废水排入</w:t>
      </w:r>
      <w:r>
        <w:rPr>
          <w:rFonts w:hint="eastAsia" w:cs="Times New Roman"/>
          <w:b w:val="0"/>
          <w:bCs/>
          <w:color w:val="auto"/>
          <w:sz w:val="24"/>
          <w:highlight w:val="none"/>
          <w:lang w:val="en-US" w:eastAsia="zh-CN"/>
        </w:rPr>
        <w:t>托里县</w:t>
      </w:r>
      <w:r>
        <w:rPr>
          <w:rFonts w:hint="eastAsia" w:ascii="Times New Roman" w:hAnsi="Times New Roman" w:eastAsia="宋体" w:cs="Times New Roman"/>
          <w:b w:val="0"/>
          <w:bCs/>
          <w:color w:val="auto"/>
          <w:sz w:val="24"/>
          <w:highlight w:val="none"/>
          <w:lang w:val="en-US" w:eastAsia="zh-CN"/>
        </w:rPr>
        <w:t>污水处理厂</w:t>
      </w:r>
      <w:r>
        <w:rPr>
          <w:rFonts w:hint="default" w:ascii="Times New Roman" w:hAnsi="Times New Roman" w:eastAsia="宋体" w:cs="Times New Roman"/>
          <w:color w:val="auto"/>
          <w:sz w:val="24"/>
          <w:szCs w:val="24"/>
          <w:highlight w:val="none"/>
        </w:rPr>
        <w:t>处理是可行的。</w:t>
      </w:r>
    </w:p>
    <w:p>
      <w:pPr>
        <w:keepNext w:val="0"/>
        <w:keepLines w:val="0"/>
        <w:pageBreakBefore w:val="0"/>
        <w:widowControl/>
        <w:numPr>
          <w:ilvl w:val="0"/>
          <w:numId w:val="0"/>
        </w:numPr>
        <w:suppressLineNumbers w:val="0"/>
        <w:tabs>
          <w:tab w:val="center" w:pos="3972"/>
        </w:tabs>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b w:val="0"/>
          <w:bCs w:val="0"/>
          <w:color w:val="auto"/>
          <w:kern w:val="0"/>
          <w:sz w:val="24"/>
          <w:szCs w:val="24"/>
          <w:lang w:val="en-US" w:eastAsia="zh-CN" w:bidi="ar"/>
        </w:rPr>
        <w:t>水质：本项目废水主要有</w:t>
      </w:r>
      <w:r>
        <w:rPr>
          <w:rFonts w:hint="eastAsia" w:ascii="Times New Roman" w:hAnsi="Times New Roman" w:eastAsia="宋体" w:cs="Times New Roman"/>
          <w:color w:val="auto"/>
          <w:kern w:val="0"/>
          <w:sz w:val="24"/>
          <w:szCs w:val="24"/>
          <w:highlight w:val="none"/>
          <w:lang w:val="en-US" w:eastAsia="zh-CN" w:bidi="ar"/>
        </w:rPr>
        <w:t>锅炉排污水、软水制备废水，废水水质简单。本项目废水排放不会对该污水处理厂的正常运行产生冲击负荷，不影响其水质稳定达标排放。因此，从水质上说，废水接管是可行的。</w:t>
      </w:r>
    </w:p>
    <w:p>
      <w:pPr>
        <w:keepNext w:val="0"/>
        <w:keepLines w:val="0"/>
        <w:pageBreakBefore w:val="0"/>
        <w:widowControl/>
        <w:numPr>
          <w:ilvl w:val="0"/>
          <w:numId w:val="0"/>
        </w:numPr>
        <w:suppressLineNumbers w:val="0"/>
        <w:tabs>
          <w:tab w:val="center" w:pos="3972"/>
        </w:tabs>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auto"/>
          <w:kern w:val="0"/>
          <w:sz w:val="24"/>
          <w:szCs w:val="24"/>
          <w:lang w:val="en-US" w:eastAsia="zh-CN" w:bidi="ar"/>
        </w:rPr>
      </w:pPr>
      <w:r>
        <w:rPr>
          <w:rFonts w:hint="eastAsia" w:ascii="Times New Roman" w:hAnsi="Times New Roman" w:eastAsia="宋体" w:cs="Times New Roman"/>
          <w:b w:val="0"/>
          <w:bCs w:val="0"/>
          <w:color w:val="auto"/>
          <w:kern w:val="0"/>
          <w:sz w:val="24"/>
          <w:szCs w:val="24"/>
          <w:lang w:val="en-US" w:eastAsia="zh-CN" w:bidi="ar"/>
        </w:rPr>
        <w:t>综上所述</w:t>
      </w:r>
      <w:r>
        <w:rPr>
          <w:rFonts w:hint="default" w:ascii="Times New Roman" w:hAnsi="Times New Roman" w:eastAsia="宋体" w:cs="Times New Roman"/>
          <w:b w:val="0"/>
          <w:bCs w:val="0"/>
          <w:color w:val="auto"/>
          <w:kern w:val="0"/>
          <w:sz w:val="24"/>
          <w:szCs w:val="24"/>
          <w:lang w:val="en-US" w:eastAsia="zh-CN" w:bidi="ar"/>
        </w:rPr>
        <w:t>，本项目</w:t>
      </w:r>
      <w:r>
        <w:rPr>
          <w:rFonts w:hint="eastAsia" w:ascii="Times New Roman" w:hAnsi="Times New Roman" w:eastAsia="宋体" w:cs="Times New Roman"/>
          <w:b w:val="0"/>
          <w:bCs w:val="0"/>
          <w:color w:val="auto"/>
          <w:kern w:val="0"/>
          <w:sz w:val="24"/>
          <w:szCs w:val="24"/>
          <w:lang w:val="en-US" w:eastAsia="zh-CN" w:bidi="ar"/>
        </w:rPr>
        <w:t>废水</w:t>
      </w:r>
      <w:r>
        <w:rPr>
          <w:rFonts w:hint="default" w:ascii="Times New Roman" w:hAnsi="Times New Roman" w:eastAsia="宋体" w:cs="Times New Roman"/>
          <w:b w:val="0"/>
          <w:bCs w:val="0"/>
          <w:color w:val="auto"/>
          <w:kern w:val="0"/>
          <w:sz w:val="24"/>
          <w:szCs w:val="24"/>
          <w:lang w:val="en-US" w:eastAsia="zh-CN" w:bidi="ar"/>
        </w:rPr>
        <w:t>排入</w:t>
      </w:r>
      <w:r>
        <w:rPr>
          <w:rFonts w:hint="eastAsia" w:cs="Times New Roman"/>
          <w:b w:val="0"/>
          <w:bCs/>
          <w:color w:val="auto"/>
          <w:sz w:val="24"/>
          <w:highlight w:val="none"/>
          <w:lang w:val="en-US" w:eastAsia="zh-CN"/>
        </w:rPr>
        <w:t>托里县</w:t>
      </w:r>
      <w:r>
        <w:rPr>
          <w:rFonts w:hint="eastAsia" w:ascii="Times New Roman" w:hAnsi="Times New Roman" w:eastAsia="宋体" w:cs="Times New Roman"/>
          <w:b w:val="0"/>
          <w:bCs/>
          <w:color w:val="auto"/>
          <w:sz w:val="24"/>
          <w:highlight w:val="none"/>
          <w:lang w:val="en-US" w:eastAsia="zh-CN"/>
        </w:rPr>
        <w:t>污水处理厂</w:t>
      </w:r>
      <w:r>
        <w:rPr>
          <w:rFonts w:hint="eastAsia" w:ascii="Times New Roman" w:hAnsi="Times New Roman" w:eastAsia="宋体" w:cs="Times New Roman"/>
          <w:b w:val="0"/>
          <w:bCs w:val="0"/>
          <w:color w:val="auto"/>
          <w:kern w:val="0"/>
          <w:sz w:val="24"/>
          <w:szCs w:val="24"/>
          <w:lang w:val="en-US" w:eastAsia="zh-CN" w:bidi="ar"/>
        </w:rPr>
        <w:t>是</w:t>
      </w:r>
      <w:r>
        <w:rPr>
          <w:rFonts w:hint="default" w:ascii="Times New Roman" w:hAnsi="Times New Roman" w:eastAsia="宋体" w:cs="Times New Roman"/>
          <w:b w:val="0"/>
          <w:bCs w:val="0"/>
          <w:color w:val="auto"/>
          <w:kern w:val="0"/>
          <w:sz w:val="24"/>
          <w:szCs w:val="24"/>
          <w:lang w:val="en-US" w:eastAsia="zh-CN" w:bidi="ar"/>
        </w:rPr>
        <w:t>可行</w:t>
      </w:r>
      <w:r>
        <w:rPr>
          <w:rFonts w:hint="eastAsia" w:ascii="Times New Roman" w:hAnsi="Times New Roman" w:eastAsia="宋体" w:cs="Times New Roman"/>
          <w:b w:val="0"/>
          <w:bCs w:val="0"/>
          <w:color w:val="auto"/>
          <w:kern w:val="0"/>
          <w:sz w:val="24"/>
          <w:szCs w:val="24"/>
          <w:lang w:val="en-US" w:eastAsia="zh-CN" w:bidi="ar"/>
        </w:rPr>
        <w:t>的</w:t>
      </w:r>
      <w:r>
        <w:rPr>
          <w:rFonts w:hint="default" w:ascii="Times New Roman" w:hAnsi="Times New Roman" w:eastAsia="宋体" w:cs="Times New Roman"/>
          <w:b w:val="0"/>
          <w:bCs w:val="0"/>
          <w:color w:val="auto"/>
          <w:kern w:val="0"/>
          <w:sz w:val="24"/>
          <w:szCs w:val="24"/>
          <w:lang w:val="en-US" w:eastAsia="zh-CN" w:bidi="ar"/>
        </w:rPr>
        <w:t>。</w:t>
      </w:r>
    </w:p>
    <w:p>
      <w:pPr>
        <w:pStyle w:val="4"/>
        <w:bidi w:val="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7.2.3噪声污染防治措施</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本项目锅炉房的噪声源主要为鼓风机、引风机、循环水泵以及原料运输、装卸过程产生的噪声，声压级在75～110dB</w:t>
      </w:r>
      <w:r>
        <w:rPr>
          <w:rFonts w:hint="eastAsia" w:cs="Times New Roman"/>
          <w:color w:val="auto"/>
          <w:highlight w:val="none"/>
          <w:lang w:val="en-US" w:eastAsia="zh-CN"/>
        </w:rPr>
        <w:t>（</w:t>
      </w:r>
      <w:r>
        <w:rPr>
          <w:rFonts w:hint="eastAsia" w:ascii="Times New Roman" w:hAnsi="Times New Roman" w:eastAsia="宋体" w:cs="Times New Roman"/>
          <w:color w:val="auto"/>
          <w:highlight w:val="none"/>
          <w:lang w:val="en-US" w:eastAsia="zh-CN"/>
        </w:rPr>
        <w:t>A</w:t>
      </w:r>
      <w:r>
        <w:rPr>
          <w:rFonts w:hint="eastAsia" w:cs="Times New Roman"/>
          <w:color w:val="auto"/>
          <w:highlight w:val="none"/>
          <w:lang w:val="en-US" w:eastAsia="zh-CN"/>
        </w:rPr>
        <w:t>）</w:t>
      </w:r>
      <w:r>
        <w:rPr>
          <w:rFonts w:hint="eastAsia" w:ascii="Times New Roman" w:hAnsi="Times New Roman" w:eastAsia="宋体" w:cs="Times New Roman"/>
          <w:color w:val="auto"/>
          <w:highlight w:val="none"/>
          <w:lang w:val="en-US" w:eastAsia="zh-CN"/>
        </w:rPr>
        <w:t>之间。拟采取的噪声防治措施有：</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（1）选用性能优良的低噪设备，从源头上降低噪声源强，控制噪声水平。</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（2）在风机进、出风口加装消音器，在风机底座、水泵基础加装减震装置，接管处加装减震喉管，有效地降低噪声源的声压级和设备震动。</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（3）将风机、水泵、空压机等高噪声设备置于单独的设备间内，关闭门窗，采取隔音措施进一步消音降噪。</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（4）进场运输车辆减速慢行，禁止鸣笛。</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（5）在锅炉排汽口安装高效排汽消声器，在送风机吸风口装设导流装置，在管道设计中，注意防振、防冲击，加防振垫，以减轻振动噪声；在汽水流速较高的管道接口，搞好密封、加垫能起到隔声作用。</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（6）加强厂区绿化，建立绿篱和林带，即可美化环境、又可吸收噪声，减污染。</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上述降噪措施是目前工业生产中噪声控制中常用和通用技术，成熟可靠，效果明显。另外本项目现有热源厂四周建有围墙及绿化带，也能起到良好的隔声效果。</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采取上述控制措施后，再经距离衰减，预测结果表明，锅炉房厂界噪声可以达到《工业企业厂界环境噪声排放标准》（GB12348-2008）2类标准要求，噪声源对周围环境敏感点的贡献值较小，区域声环境可维持现状水平，不会产生噪声扰民现象。因此，本评价认为本项目采取的噪声防治措施可行。</w:t>
      </w:r>
    </w:p>
    <w:p>
      <w:pPr>
        <w:pStyle w:val="4"/>
        <w:bidi w:val="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7.2.4固废污染防治措施</w:t>
      </w:r>
    </w:p>
    <w:p>
      <w:pPr>
        <w:pageBreakBefore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（1）</w:t>
      </w:r>
      <w:r>
        <w:rPr>
          <w:rFonts w:hint="eastAsia" w:ascii="Times New Roman" w:hAnsi="Times New Roman" w:eastAsia="宋体" w:cs="Times New Roman"/>
          <w:color w:val="auto"/>
          <w:highlight w:val="none"/>
          <w:lang w:val="en-US" w:eastAsia="zh-CN"/>
        </w:rPr>
        <w:t>处置措施</w:t>
      </w:r>
    </w:p>
    <w:p>
      <w:pPr>
        <w:pageBreakBefore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b w:val="0"/>
          <w:bCs w:val="0"/>
          <w:color w:val="auto"/>
          <w:kern w:val="0"/>
          <w:sz w:val="24"/>
          <w:szCs w:val="24"/>
          <w:lang w:val="en-US" w:eastAsia="zh-CN" w:bidi="ar-SA"/>
        </w:rPr>
      </w:pPr>
      <w:r>
        <w:rPr>
          <w:rFonts w:hint="default" w:ascii="Times New Roman" w:hAnsi="Times New Roman" w:eastAsia="宋体" w:cs="Times New Roman"/>
          <w:color w:val="auto"/>
          <w:sz w:val="24"/>
          <w:szCs w:val="24"/>
          <w:highlight w:val="none"/>
          <w:lang w:val="en-US" w:eastAsia="zh-CN"/>
        </w:rPr>
        <w:t>本项目产生的固体废物主要</w:t>
      </w:r>
      <w:r>
        <w:rPr>
          <w:rFonts w:hint="default" w:ascii="Times New Roman" w:hAnsi="Times New Roman" w:eastAsia="宋体" w:cs="Times New Roman"/>
          <w:b w:val="0"/>
          <w:bCs w:val="0"/>
          <w:color w:val="auto"/>
          <w:kern w:val="0"/>
          <w:sz w:val="24"/>
          <w:szCs w:val="24"/>
          <w:lang w:val="en-US" w:eastAsia="zh-CN" w:bidi="ar-SA"/>
        </w:rPr>
        <w:t>有一般</w:t>
      </w:r>
      <w:r>
        <w:rPr>
          <w:rFonts w:hint="eastAsia" w:ascii="Times New Roman" w:hAnsi="Times New Roman" w:eastAsia="宋体" w:cs="Times New Roman"/>
          <w:b w:val="0"/>
          <w:bCs w:val="0"/>
          <w:color w:val="auto"/>
          <w:kern w:val="0"/>
          <w:sz w:val="24"/>
          <w:szCs w:val="24"/>
          <w:lang w:val="en-US" w:eastAsia="zh-CN" w:bidi="ar-SA"/>
        </w:rPr>
        <w:t>工业</w:t>
      </w:r>
      <w:r>
        <w:rPr>
          <w:rFonts w:hint="default" w:ascii="Times New Roman" w:hAnsi="Times New Roman" w:eastAsia="宋体" w:cs="Times New Roman"/>
          <w:b w:val="0"/>
          <w:bCs w:val="0"/>
          <w:color w:val="auto"/>
          <w:kern w:val="0"/>
          <w:sz w:val="24"/>
          <w:szCs w:val="24"/>
          <w:lang w:val="en-US" w:eastAsia="zh-CN" w:bidi="ar-SA"/>
        </w:rPr>
        <w:t>固废</w:t>
      </w:r>
      <w:r>
        <w:rPr>
          <w:rFonts w:hint="eastAsia" w:ascii="Times New Roman" w:hAnsi="Times New Roman" w:eastAsia="宋体" w:cs="Times New Roman"/>
          <w:b w:val="0"/>
          <w:bCs w:val="0"/>
          <w:color w:val="auto"/>
          <w:kern w:val="0"/>
          <w:sz w:val="24"/>
          <w:szCs w:val="24"/>
          <w:lang w:val="en-US" w:eastAsia="zh-CN" w:bidi="ar-SA"/>
        </w:rPr>
        <w:t>、</w:t>
      </w:r>
      <w:r>
        <w:rPr>
          <w:rFonts w:hint="default" w:ascii="Times New Roman" w:hAnsi="Times New Roman" w:eastAsia="宋体" w:cs="Times New Roman"/>
          <w:b w:val="0"/>
          <w:bCs w:val="0"/>
          <w:color w:val="auto"/>
          <w:kern w:val="0"/>
          <w:sz w:val="24"/>
          <w:szCs w:val="24"/>
          <w:lang w:val="en-US" w:eastAsia="zh-CN" w:bidi="ar-SA"/>
        </w:rPr>
        <w:t>危险废物</w:t>
      </w:r>
      <w:r>
        <w:rPr>
          <w:rFonts w:hint="eastAsia" w:ascii="Times New Roman" w:hAnsi="Times New Roman" w:eastAsia="宋体" w:cs="Times New Roman"/>
          <w:b w:val="0"/>
          <w:bCs w:val="0"/>
          <w:color w:val="auto"/>
          <w:kern w:val="0"/>
          <w:sz w:val="24"/>
          <w:szCs w:val="24"/>
          <w:lang w:val="en-US" w:eastAsia="zh-CN" w:bidi="ar-SA"/>
        </w:rPr>
        <w:t>。</w:t>
      </w:r>
    </w:p>
    <w:p>
      <w:pPr>
        <w:spacing w:line="360" w:lineRule="auto"/>
        <w:ind w:firstLine="480" w:firstLineChars="20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b w:val="0"/>
          <w:bCs w:val="0"/>
          <w:color w:val="auto"/>
          <w:kern w:val="0"/>
          <w:sz w:val="24"/>
          <w:szCs w:val="24"/>
          <w:lang w:val="en-US" w:eastAsia="zh-CN" w:bidi="ar-SA"/>
        </w:rPr>
        <w:t>一般</w:t>
      </w:r>
      <w:r>
        <w:rPr>
          <w:rFonts w:hint="eastAsia" w:ascii="Times New Roman" w:hAnsi="Times New Roman" w:eastAsia="宋体" w:cs="Times New Roman"/>
          <w:b w:val="0"/>
          <w:bCs w:val="0"/>
          <w:color w:val="auto"/>
          <w:kern w:val="0"/>
          <w:sz w:val="24"/>
          <w:szCs w:val="24"/>
          <w:lang w:val="en-US" w:eastAsia="zh-CN" w:bidi="ar-SA"/>
        </w:rPr>
        <w:t>工业</w:t>
      </w:r>
      <w:r>
        <w:rPr>
          <w:rFonts w:hint="default" w:ascii="Times New Roman" w:hAnsi="Times New Roman" w:eastAsia="宋体" w:cs="Times New Roman"/>
          <w:b w:val="0"/>
          <w:bCs w:val="0"/>
          <w:color w:val="auto"/>
          <w:kern w:val="0"/>
          <w:sz w:val="24"/>
          <w:szCs w:val="24"/>
          <w:lang w:val="en-US" w:eastAsia="zh-CN" w:bidi="ar-SA"/>
        </w:rPr>
        <w:t>固废</w:t>
      </w:r>
      <w:r>
        <w:rPr>
          <w:rFonts w:hint="eastAsia" w:ascii="Times New Roman" w:hAnsi="Times New Roman" w:eastAsia="宋体" w:cs="Times New Roman"/>
          <w:b w:val="0"/>
          <w:bCs w:val="0"/>
          <w:color w:val="auto"/>
          <w:kern w:val="0"/>
          <w:sz w:val="24"/>
          <w:szCs w:val="24"/>
          <w:lang w:val="en-US" w:eastAsia="zh-CN" w:bidi="ar-SA"/>
        </w:rPr>
        <w:t>包括脱硫石膏（S1）、除尘灰（S3）、废旧布袋（S4）、炉渣（S5）、废离子交换树脂（S6）、废包装袋（S7）；</w:t>
      </w:r>
      <w:r>
        <w:rPr>
          <w:rFonts w:hint="default" w:ascii="Times New Roman" w:hAnsi="Times New Roman" w:eastAsia="宋体" w:cs="Times New Roman"/>
          <w:b w:val="0"/>
          <w:bCs w:val="0"/>
          <w:color w:val="auto"/>
          <w:kern w:val="0"/>
          <w:sz w:val="24"/>
          <w:szCs w:val="24"/>
          <w:lang w:val="en-US" w:eastAsia="zh-CN" w:bidi="ar-SA"/>
        </w:rPr>
        <w:t>危险废物</w:t>
      </w:r>
      <w:r>
        <w:rPr>
          <w:rFonts w:hint="eastAsia" w:ascii="Times New Roman" w:hAnsi="Times New Roman" w:eastAsia="宋体" w:cs="Times New Roman"/>
          <w:b w:val="0"/>
          <w:bCs w:val="0"/>
          <w:color w:val="auto"/>
          <w:kern w:val="0"/>
          <w:sz w:val="24"/>
          <w:szCs w:val="24"/>
          <w:lang w:val="en-US" w:eastAsia="zh-CN" w:bidi="ar-SA"/>
        </w:rPr>
        <w:t>包括废催化剂（S2）。</w:t>
      </w:r>
    </w:p>
    <w:p>
      <w:pPr>
        <w:spacing w:line="360" w:lineRule="auto"/>
        <w:ind w:firstLine="480" w:firstLineChars="20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（1）脱硫石膏（S1）</w:t>
      </w:r>
    </w:p>
    <w:p>
      <w:pPr>
        <w:spacing w:line="360" w:lineRule="auto"/>
        <w:ind w:firstLine="480" w:firstLineChars="20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脱硫石膏外售给托里县盛世工贸有限公司用于制砖，作为建筑材料使用</w:t>
      </w:r>
      <w:r>
        <w:rPr>
          <w:rFonts w:hint="eastAsia" w:ascii="Times New Roman" w:hAnsi="Times New Roman" w:eastAsia="宋体" w:cs="Times New Roman"/>
          <w:color w:val="auto"/>
          <w:highlight w:val="none"/>
          <w:lang w:val="en-US" w:eastAsia="zh-CN"/>
        </w:rPr>
        <w:t>。</w:t>
      </w:r>
    </w:p>
    <w:p>
      <w:pPr>
        <w:spacing w:line="360" w:lineRule="auto"/>
        <w:ind w:firstLine="480" w:firstLineChars="20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r>
        <w:rPr>
          <w:rFonts w:hint="eastAsia" w:ascii="Times New Roman" w:hAnsi="Times New Roman" w:eastAsia="宋体" w:cs="Times New Roman"/>
          <w:b w:val="0"/>
          <w:bCs w:val="0"/>
          <w:color w:val="auto"/>
          <w:kern w:val="0"/>
          <w:sz w:val="24"/>
          <w:szCs w:val="24"/>
          <w:lang w:val="en-US" w:eastAsia="zh-CN" w:bidi="ar-SA"/>
        </w:rPr>
        <w:t>催化剂（S2）</w:t>
      </w:r>
    </w:p>
    <w:p>
      <w:pPr>
        <w:spacing w:line="360" w:lineRule="auto"/>
        <w:ind w:firstLine="480" w:firstLineChars="20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更换后由有危废处置资质的单位上门回收处置</w:t>
      </w:r>
      <w:r>
        <w:rPr>
          <w:rFonts w:hint="eastAsia" w:cs="Times New Roman"/>
          <w:color w:val="auto"/>
          <w:highlight w:val="none"/>
          <w:lang w:val="en-US" w:eastAsia="zh-CN"/>
        </w:rPr>
        <w:t>，不在厂区内暂存</w:t>
      </w:r>
      <w:r>
        <w:rPr>
          <w:rFonts w:hint="eastAsia" w:ascii="Times New Roman" w:hAnsi="Times New Roman" w:eastAsia="宋体" w:cs="Times New Roman"/>
          <w:color w:val="auto"/>
          <w:highlight w:val="none"/>
          <w:lang w:val="en-US" w:eastAsia="zh-CN"/>
        </w:rPr>
        <w:t>。</w:t>
      </w:r>
    </w:p>
    <w:p>
      <w:pPr>
        <w:spacing w:line="360" w:lineRule="auto"/>
        <w:ind w:firstLine="480" w:firstLineChars="20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（3）除尘灰（S3）</w:t>
      </w:r>
    </w:p>
    <w:p>
      <w:pPr>
        <w:spacing w:line="360" w:lineRule="auto"/>
        <w:ind w:firstLine="480" w:firstLineChars="20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除尘灰</w:t>
      </w:r>
      <w:r>
        <w:rPr>
          <w:rFonts w:hint="default" w:ascii="Times New Roman" w:hAnsi="Times New Roman" w:eastAsia="宋体" w:cs="Times New Roman"/>
          <w:color w:val="auto"/>
          <w:highlight w:val="none"/>
          <w:lang w:val="en-US" w:eastAsia="zh-CN"/>
        </w:rPr>
        <w:t>外售给托里县盛世工贸有限公司用于制砖，作为建筑材料使用</w:t>
      </w:r>
      <w:r>
        <w:rPr>
          <w:rFonts w:hint="eastAsia" w:ascii="Times New Roman" w:hAnsi="Times New Roman" w:eastAsia="宋体" w:cs="Times New Roman"/>
          <w:color w:val="auto"/>
          <w:highlight w:val="none"/>
          <w:lang w:val="en-US" w:eastAsia="zh-CN"/>
        </w:rPr>
        <w:t>。</w:t>
      </w:r>
    </w:p>
    <w:p>
      <w:pPr>
        <w:spacing w:line="360" w:lineRule="auto"/>
        <w:ind w:firstLine="480" w:firstLineChars="20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w:t>
      </w:r>
      <w:r>
        <w:rPr>
          <w:rFonts w:hint="eastAsia" w:ascii="Times New Roman" w:hAnsi="Times New Roman" w:eastAsia="宋体" w:cs="Times New Roman"/>
          <w:b w:val="0"/>
          <w:bCs w:val="0"/>
          <w:color w:val="auto"/>
          <w:kern w:val="0"/>
          <w:sz w:val="24"/>
          <w:szCs w:val="24"/>
          <w:lang w:val="en-US" w:eastAsia="zh-CN" w:bidi="ar-SA"/>
        </w:rPr>
        <w:t>废旧布袋</w:t>
      </w:r>
      <w:r>
        <w:rPr>
          <w:rFonts w:hint="eastAsia" w:ascii="Times New Roman" w:hAnsi="Times New Roman" w:eastAsia="宋体" w:cs="Times New Roman"/>
          <w:color w:val="auto"/>
          <w:highlight w:val="none"/>
          <w:lang w:val="en-US" w:eastAsia="zh-CN"/>
        </w:rPr>
        <w:t>（S4）</w:t>
      </w:r>
    </w:p>
    <w:p>
      <w:pPr>
        <w:spacing w:line="360" w:lineRule="auto"/>
        <w:ind w:firstLine="480" w:firstLineChars="200"/>
        <w:rPr>
          <w:rFonts w:hint="eastAsia" w:ascii="Times New Roman" w:hAnsi="Times New Roman" w:cs="Times New Roman"/>
          <w:color w:val="auto"/>
          <w:highlight w:val="none"/>
        </w:rPr>
      </w:pPr>
      <w:r>
        <w:rPr>
          <w:rFonts w:hint="eastAsia" w:cs="Times New Roman"/>
          <w:color w:val="auto"/>
          <w:highlight w:val="none"/>
          <w:lang w:val="en-US" w:eastAsia="zh-CN"/>
        </w:rPr>
        <w:t>更换后由</w:t>
      </w:r>
      <w:r>
        <w:rPr>
          <w:rFonts w:hint="eastAsia" w:ascii="Times New Roman" w:hAnsi="Times New Roman" w:cs="Times New Roman"/>
          <w:color w:val="auto"/>
          <w:highlight w:val="none"/>
          <w:lang w:val="en-US" w:eastAsia="zh-CN"/>
        </w:rPr>
        <w:t>厂家回收处理</w:t>
      </w:r>
      <w:r>
        <w:rPr>
          <w:rFonts w:hint="eastAsia" w:cs="Times New Roman"/>
          <w:color w:val="auto"/>
          <w:highlight w:val="none"/>
          <w:lang w:val="en-US" w:eastAsia="zh-CN"/>
        </w:rPr>
        <w:t>。</w:t>
      </w:r>
    </w:p>
    <w:p>
      <w:pPr>
        <w:spacing w:line="360" w:lineRule="auto"/>
        <w:ind w:firstLine="480" w:firstLineChars="200"/>
        <w:rPr>
          <w:rFonts w:hint="eastAsia" w:ascii="Times New Roman" w:hAnsi="Times New Roman" w:cs="Times New Roman"/>
          <w:color w:val="auto"/>
          <w:highlight w:val="none"/>
        </w:rPr>
      </w:pPr>
      <w:r>
        <w:rPr>
          <w:rFonts w:hint="eastAsia" w:ascii="Times New Roman" w:hAnsi="Times New Roman" w:eastAsia="宋体" w:cs="Times New Roman"/>
          <w:color w:val="auto"/>
          <w:highlight w:val="none"/>
          <w:lang w:val="en-US" w:eastAsia="zh-CN"/>
        </w:rPr>
        <w:t>（5）</w:t>
      </w:r>
      <w:r>
        <w:rPr>
          <w:rFonts w:hint="eastAsia" w:ascii="Times New Roman" w:hAnsi="Times New Roman" w:eastAsia="宋体" w:cs="Times New Roman"/>
          <w:b w:val="0"/>
          <w:bCs w:val="0"/>
          <w:color w:val="auto"/>
          <w:kern w:val="0"/>
          <w:sz w:val="24"/>
          <w:szCs w:val="24"/>
          <w:lang w:val="en-US" w:eastAsia="zh-CN" w:bidi="ar-SA"/>
        </w:rPr>
        <w:t>炉渣（S5）</w:t>
      </w:r>
    </w:p>
    <w:p>
      <w:pPr>
        <w:spacing w:line="360" w:lineRule="auto"/>
        <w:ind w:firstLine="480" w:firstLineChars="200"/>
        <w:rPr>
          <w:rFonts w:hint="eastAsia" w:ascii="Times New Roman" w:hAnsi="Times New Roman" w:cs="Times New Roman"/>
          <w:color w:val="auto"/>
          <w:highlight w:val="none"/>
        </w:rPr>
      </w:pPr>
      <w:r>
        <w:rPr>
          <w:rFonts w:hint="eastAsia" w:ascii="Times New Roman" w:hAnsi="Times New Roman" w:eastAsia="宋体" w:cs="Times New Roman"/>
          <w:b w:val="0"/>
          <w:bCs w:val="0"/>
          <w:color w:val="auto"/>
          <w:kern w:val="0"/>
          <w:sz w:val="24"/>
          <w:szCs w:val="24"/>
          <w:lang w:val="en-US" w:eastAsia="zh-CN" w:bidi="ar-SA"/>
        </w:rPr>
        <w:t>炉渣</w:t>
      </w:r>
      <w:r>
        <w:rPr>
          <w:rFonts w:hint="eastAsia" w:ascii="Times New Roman" w:hAnsi="Times New Roman" w:cs="Times New Roman"/>
          <w:color w:val="auto"/>
          <w:highlight w:val="none"/>
          <w:lang w:val="en-US" w:eastAsia="zh-CN"/>
        </w:rPr>
        <w:t>外售给托里县盛世工贸有限公司用于制砖，作为建筑材料使用</w:t>
      </w:r>
      <w:r>
        <w:rPr>
          <w:rFonts w:hint="eastAsia" w:cs="Times New Roman"/>
          <w:color w:val="auto"/>
          <w:highlight w:val="none"/>
          <w:lang w:val="en-US" w:eastAsia="zh-CN"/>
        </w:rPr>
        <w:t>。</w:t>
      </w:r>
    </w:p>
    <w:p>
      <w:pPr>
        <w:spacing w:line="360" w:lineRule="auto"/>
        <w:ind w:firstLine="480" w:firstLineChars="200"/>
        <w:rPr>
          <w:rFonts w:hint="eastAsia" w:ascii="Times New Roman" w:hAnsi="Times New Roman" w:cs="Times New Roman"/>
          <w:color w:val="auto"/>
          <w:highlight w:val="none"/>
        </w:rPr>
      </w:pPr>
      <w:r>
        <w:rPr>
          <w:rFonts w:hint="eastAsia" w:ascii="Times New Roman" w:hAnsi="Times New Roman" w:eastAsia="宋体" w:cs="Times New Roman"/>
          <w:color w:val="auto"/>
          <w:highlight w:val="none"/>
          <w:lang w:val="en-US" w:eastAsia="zh-CN"/>
        </w:rPr>
        <w:t>（6）</w:t>
      </w:r>
      <w:r>
        <w:rPr>
          <w:rFonts w:hint="eastAsia" w:ascii="Times New Roman" w:hAnsi="Times New Roman" w:eastAsia="宋体" w:cs="Times New Roman"/>
          <w:b w:val="0"/>
          <w:bCs w:val="0"/>
          <w:color w:val="auto"/>
          <w:kern w:val="0"/>
          <w:sz w:val="24"/>
          <w:szCs w:val="24"/>
          <w:lang w:val="en-US" w:eastAsia="zh-CN" w:bidi="ar-SA"/>
        </w:rPr>
        <w:t>废离子交换树脂（S6）</w:t>
      </w:r>
    </w:p>
    <w:p>
      <w:pPr>
        <w:spacing w:line="360" w:lineRule="auto"/>
        <w:ind w:firstLine="480" w:firstLineChars="200"/>
        <w:rPr>
          <w:rFonts w:hint="eastAsia" w:ascii="Times New Roman" w:hAnsi="Times New Roman" w:cs="Times New Roman"/>
          <w:color w:val="auto"/>
          <w:highlight w:val="none"/>
        </w:rPr>
      </w:pPr>
      <w:r>
        <w:rPr>
          <w:rFonts w:hint="eastAsia" w:ascii="Times New Roman" w:hAnsi="Times New Roman" w:eastAsia="宋体" w:cs="Times New Roman"/>
          <w:b w:val="0"/>
          <w:bCs w:val="0"/>
          <w:color w:val="auto"/>
          <w:kern w:val="0"/>
          <w:sz w:val="24"/>
          <w:szCs w:val="24"/>
          <w:lang w:val="en-US" w:eastAsia="zh-CN" w:bidi="ar-SA"/>
        </w:rPr>
        <w:t>废离子交换树脂</w:t>
      </w:r>
      <w:r>
        <w:rPr>
          <w:rFonts w:hint="eastAsia" w:cs="Times New Roman"/>
          <w:color w:val="auto"/>
          <w:highlight w:val="none"/>
          <w:lang w:val="en-US" w:eastAsia="zh-CN"/>
        </w:rPr>
        <w:t>更换后由</w:t>
      </w:r>
      <w:r>
        <w:rPr>
          <w:rFonts w:hint="eastAsia" w:ascii="Times New Roman" w:hAnsi="Times New Roman" w:cs="Times New Roman"/>
          <w:color w:val="auto"/>
          <w:highlight w:val="none"/>
          <w:lang w:val="en-US" w:eastAsia="zh-CN"/>
        </w:rPr>
        <w:t>厂家回收处理</w:t>
      </w:r>
      <w:r>
        <w:rPr>
          <w:rFonts w:hint="eastAsia" w:cs="Times New Roman"/>
          <w:color w:val="auto"/>
          <w:highlight w:val="none"/>
          <w:lang w:val="en-US" w:eastAsia="zh-CN"/>
        </w:rPr>
        <w:t>。</w:t>
      </w:r>
    </w:p>
    <w:p>
      <w:pPr>
        <w:spacing w:line="360" w:lineRule="auto"/>
        <w:ind w:firstLine="480" w:firstLineChars="200"/>
        <w:rPr>
          <w:rFonts w:hint="eastAsia" w:ascii="Times New Roman" w:hAnsi="Times New Roman" w:cs="Times New Roman"/>
          <w:color w:val="auto"/>
          <w:highlight w:val="none"/>
        </w:rPr>
      </w:pPr>
      <w:r>
        <w:rPr>
          <w:rFonts w:hint="eastAsia" w:ascii="Times New Roman" w:hAnsi="Times New Roman" w:eastAsia="宋体" w:cs="Times New Roman"/>
          <w:color w:val="auto"/>
          <w:highlight w:val="none"/>
          <w:lang w:val="en-US" w:eastAsia="zh-CN"/>
        </w:rPr>
        <w:t>（7）</w:t>
      </w:r>
      <w:r>
        <w:rPr>
          <w:rFonts w:hint="eastAsia" w:ascii="Times New Roman" w:hAnsi="Times New Roman" w:eastAsia="宋体" w:cs="Times New Roman"/>
          <w:b w:val="0"/>
          <w:bCs w:val="0"/>
          <w:color w:val="auto"/>
          <w:kern w:val="0"/>
          <w:sz w:val="24"/>
          <w:szCs w:val="24"/>
          <w:lang w:val="en-US" w:eastAsia="zh-CN" w:bidi="ar-SA"/>
        </w:rPr>
        <w:t>废包装袋（S7）</w:t>
      </w:r>
    </w:p>
    <w:p>
      <w:pPr>
        <w:spacing w:line="360" w:lineRule="auto"/>
        <w:ind w:firstLine="480" w:firstLineChars="200"/>
        <w:rPr>
          <w:rFonts w:hint="eastAsia" w:ascii="Times New Roman" w:hAnsi="Times New Roman" w:cs="Times New Roman"/>
          <w:color w:val="auto"/>
          <w:highlight w:val="none"/>
        </w:rPr>
      </w:pPr>
      <w:r>
        <w:rPr>
          <w:rFonts w:hint="eastAsia" w:ascii="Times New Roman" w:hAnsi="Times New Roman" w:eastAsia="宋体" w:cs="Times New Roman"/>
          <w:b w:val="0"/>
          <w:bCs w:val="0"/>
          <w:color w:val="auto"/>
          <w:kern w:val="0"/>
          <w:sz w:val="24"/>
          <w:szCs w:val="24"/>
          <w:lang w:val="en-US" w:eastAsia="zh-CN" w:bidi="ar-SA"/>
        </w:rPr>
        <w:t>废包装袋</w:t>
      </w:r>
      <w:r>
        <w:rPr>
          <w:rFonts w:hint="eastAsia" w:cs="Times New Roman"/>
          <w:color w:val="auto"/>
          <w:highlight w:val="none"/>
          <w:lang w:val="en-US" w:eastAsia="zh-CN"/>
        </w:rPr>
        <w:t>由</w:t>
      </w:r>
      <w:r>
        <w:rPr>
          <w:rFonts w:hint="eastAsia" w:ascii="Times New Roman" w:hAnsi="Times New Roman" w:cs="Times New Roman"/>
          <w:color w:val="auto"/>
          <w:highlight w:val="none"/>
          <w:lang w:val="en-US" w:eastAsia="zh-CN"/>
        </w:rPr>
        <w:t>厂家回收处理</w:t>
      </w:r>
      <w:r>
        <w:rPr>
          <w:rFonts w:hint="eastAsia" w:cs="Times New Roman"/>
          <w:color w:val="auto"/>
          <w:highlight w:val="none"/>
          <w:lang w:val="en-US" w:eastAsia="zh-CN"/>
        </w:rPr>
        <w:t>。</w:t>
      </w:r>
    </w:p>
    <w:p>
      <w:pPr>
        <w:bidi w:val="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根据</w:t>
      </w:r>
      <w:r>
        <w:rPr>
          <w:rFonts w:hint="eastAsia" w:ascii="Times New Roman" w:hAnsi="Times New Roman" w:eastAsia="宋体" w:cs="Times New Roman"/>
          <w:color w:val="auto"/>
          <w:highlight w:val="none"/>
          <w:lang w:val="en-US" w:eastAsia="zh-CN"/>
        </w:rPr>
        <w:t>《工业锅炉污染防治可行技术指南》（HJ1178-2021），</w:t>
      </w:r>
      <w:r>
        <w:rPr>
          <w:rFonts w:hint="default" w:ascii="Times New Roman" w:hAnsi="Times New Roman" w:eastAsia="宋体" w:cs="Times New Roman"/>
          <w:b w:val="0"/>
          <w:bCs w:val="0"/>
          <w:color w:val="auto"/>
          <w:kern w:val="0"/>
          <w:sz w:val="24"/>
          <w:szCs w:val="24"/>
          <w:lang w:val="en-US" w:eastAsia="zh-CN" w:bidi="ar-SA"/>
        </w:rPr>
        <w:t>一般</w:t>
      </w:r>
      <w:r>
        <w:rPr>
          <w:rFonts w:hint="eastAsia" w:ascii="Times New Roman" w:hAnsi="Times New Roman" w:eastAsia="宋体" w:cs="Times New Roman"/>
          <w:b w:val="0"/>
          <w:bCs w:val="0"/>
          <w:color w:val="auto"/>
          <w:kern w:val="0"/>
          <w:sz w:val="24"/>
          <w:szCs w:val="24"/>
          <w:lang w:val="en-US" w:eastAsia="zh-CN" w:bidi="ar-SA"/>
        </w:rPr>
        <w:t>工业</w:t>
      </w:r>
      <w:r>
        <w:rPr>
          <w:rFonts w:hint="default" w:ascii="Times New Roman" w:hAnsi="Times New Roman" w:eastAsia="宋体" w:cs="Times New Roman"/>
          <w:b w:val="0"/>
          <w:bCs w:val="0"/>
          <w:color w:val="auto"/>
          <w:kern w:val="0"/>
          <w:sz w:val="24"/>
          <w:szCs w:val="24"/>
          <w:lang w:val="en-US" w:eastAsia="zh-CN" w:bidi="ar-SA"/>
        </w:rPr>
        <w:t>固废宜优先资源化利用，不能资源化时应按照GB18599规定处置</w:t>
      </w:r>
      <w:r>
        <w:rPr>
          <w:rFonts w:hint="eastAsia" w:ascii="Times New Roman" w:hAnsi="Times New Roman" w:eastAsia="宋体" w:cs="Times New Roman"/>
          <w:b w:val="0"/>
          <w:bCs w:val="0"/>
          <w:color w:val="auto"/>
          <w:kern w:val="0"/>
          <w:sz w:val="24"/>
          <w:szCs w:val="24"/>
          <w:lang w:val="en-US" w:eastAsia="zh-CN" w:bidi="ar-SA"/>
        </w:rPr>
        <w:t>；</w:t>
      </w:r>
      <w:r>
        <w:rPr>
          <w:rFonts w:hint="default" w:ascii="Times New Roman" w:hAnsi="Times New Roman" w:eastAsia="宋体" w:cs="Times New Roman"/>
          <w:b w:val="0"/>
          <w:bCs w:val="0"/>
          <w:color w:val="auto"/>
          <w:kern w:val="0"/>
          <w:sz w:val="24"/>
          <w:szCs w:val="24"/>
          <w:lang w:val="en-US" w:eastAsia="zh-CN" w:bidi="ar-SA"/>
        </w:rPr>
        <w:t>危险废物</w:t>
      </w:r>
      <w:r>
        <w:rPr>
          <w:rFonts w:hint="eastAsia" w:ascii="Times New Roman" w:hAnsi="Times New Roman" w:eastAsia="宋体" w:cs="Times New Roman"/>
          <w:b w:val="0"/>
          <w:bCs w:val="0"/>
          <w:color w:val="auto"/>
          <w:kern w:val="0"/>
          <w:sz w:val="24"/>
          <w:szCs w:val="24"/>
          <w:lang w:val="en-US" w:eastAsia="zh-CN" w:bidi="ar-SA"/>
        </w:rPr>
        <w:t>或鉴定后为</w:t>
      </w:r>
      <w:r>
        <w:rPr>
          <w:rFonts w:hint="default" w:ascii="Times New Roman" w:hAnsi="Times New Roman" w:eastAsia="宋体" w:cs="Times New Roman"/>
          <w:b w:val="0"/>
          <w:bCs w:val="0"/>
          <w:color w:val="auto"/>
          <w:kern w:val="0"/>
          <w:sz w:val="24"/>
          <w:szCs w:val="24"/>
          <w:lang w:val="en-US" w:eastAsia="zh-CN" w:bidi="ar-SA"/>
        </w:rPr>
        <w:t>危险废物</w:t>
      </w:r>
      <w:r>
        <w:rPr>
          <w:rFonts w:hint="eastAsia" w:ascii="Times New Roman" w:hAnsi="Times New Roman" w:eastAsia="宋体" w:cs="Times New Roman"/>
          <w:b w:val="0"/>
          <w:bCs w:val="0"/>
          <w:color w:val="auto"/>
          <w:kern w:val="0"/>
          <w:sz w:val="24"/>
          <w:szCs w:val="24"/>
          <w:lang w:val="en-US" w:eastAsia="zh-CN" w:bidi="ar-SA"/>
        </w:rPr>
        <w:t>的</w:t>
      </w:r>
      <w:r>
        <w:rPr>
          <w:rFonts w:hint="default" w:ascii="Times New Roman" w:hAnsi="Times New Roman" w:eastAsia="宋体" w:cs="Times New Roman"/>
          <w:b w:val="0"/>
          <w:bCs w:val="0"/>
          <w:color w:val="auto"/>
          <w:kern w:val="0"/>
          <w:sz w:val="24"/>
          <w:szCs w:val="24"/>
          <w:lang w:val="en-US" w:eastAsia="zh-CN" w:bidi="ar-SA"/>
        </w:rPr>
        <w:t>应委托有资质单位处理</w:t>
      </w:r>
      <w:r>
        <w:rPr>
          <w:rFonts w:hint="eastAsia" w:ascii="Times New Roman" w:hAnsi="Times New Roman" w:eastAsia="宋体" w:cs="Times New Roman"/>
          <w:b w:val="0"/>
          <w:bCs w:val="0"/>
          <w:color w:val="auto"/>
          <w:kern w:val="0"/>
          <w:sz w:val="24"/>
          <w:szCs w:val="24"/>
          <w:lang w:val="en-US" w:eastAsia="zh-CN" w:bidi="ar-SA"/>
        </w:rPr>
        <w:t>。综上，本项目</w:t>
      </w:r>
      <w:r>
        <w:rPr>
          <w:rFonts w:hint="default" w:ascii="Times New Roman" w:hAnsi="Times New Roman" w:eastAsia="宋体" w:cs="Times New Roman"/>
          <w:b w:val="0"/>
          <w:bCs w:val="0"/>
          <w:color w:val="auto"/>
          <w:kern w:val="0"/>
          <w:sz w:val="24"/>
          <w:szCs w:val="24"/>
          <w:lang w:val="en-US" w:eastAsia="zh-CN" w:bidi="ar-SA"/>
        </w:rPr>
        <w:t>一般</w:t>
      </w:r>
      <w:r>
        <w:rPr>
          <w:rFonts w:hint="eastAsia" w:ascii="Times New Roman" w:hAnsi="Times New Roman" w:eastAsia="宋体" w:cs="Times New Roman"/>
          <w:b w:val="0"/>
          <w:bCs w:val="0"/>
          <w:color w:val="auto"/>
          <w:kern w:val="0"/>
          <w:sz w:val="24"/>
          <w:szCs w:val="24"/>
          <w:lang w:val="en-US" w:eastAsia="zh-CN" w:bidi="ar-SA"/>
        </w:rPr>
        <w:t>工业</w:t>
      </w:r>
      <w:r>
        <w:rPr>
          <w:rFonts w:hint="default" w:ascii="Times New Roman" w:hAnsi="Times New Roman" w:eastAsia="宋体" w:cs="Times New Roman"/>
          <w:b w:val="0"/>
          <w:bCs w:val="0"/>
          <w:color w:val="auto"/>
          <w:kern w:val="0"/>
          <w:sz w:val="24"/>
          <w:szCs w:val="24"/>
          <w:lang w:val="en-US" w:eastAsia="zh-CN" w:bidi="ar-SA"/>
        </w:rPr>
        <w:t>固废</w:t>
      </w:r>
      <w:r>
        <w:rPr>
          <w:rFonts w:hint="eastAsia" w:ascii="Times New Roman" w:hAnsi="Times New Roman" w:eastAsia="宋体" w:cs="Times New Roman"/>
          <w:b w:val="0"/>
          <w:bCs w:val="0"/>
          <w:color w:val="auto"/>
          <w:kern w:val="0"/>
          <w:sz w:val="24"/>
          <w:szCs w:val="24"/>
          <w:lang w:val="en-US" w:eastAsia="zh-CN" w:bidi="ar-SA"/>
        </w:rPr>
        <w:t>实现了</w:t>
      </w:r>
      <w:r>
        <w:rPr>
          <w:rFonts w:hint="default" w:ascii="Times New Roman" w:hAnsi="Times New Roman" w:eastAsia="宋体" w:cs="Times New Roman"/>
          <w:b w:val="0"/>
          <w:bCs w:val="0"/>
          <w:color w:val="auto"/>
          <w:kern w:val="0"/>
          <w:sz w:val="24"/>
          <w:szCs w:val="24"/>
          <w:lang w:val="en-US" w:eastAsia="zh-CN" w:bidi="ar-SA"/>
        </w:rPr>
        <w:t>资源化利用</w:t>
      </w:r>
      <w:r>
        <w:rPr>
          <w:rFonts w:hint="eastAsia" w:ascii="Times New Roman" w:hAnsi="Times New Roman" w:eastAsia="宋体" w:cs="Times New Roman"/>
          <w:b w:val="0"/>
          <w:bCs w:val="0"/>
          <w:color w:val="auto"/>
          <w:kern w:val="0"/>
          <w:sz w:val="24"/>
          <w:szCs w:val="24"/>
          <w:lang w:val="en-US" w:eastAsia="zh-CN" w:bidi="ar-SA"/>
        </w:rPr>
        <w:t>，</w:t>
      </w:r>
      <w:r>
        <w:rPr>
          <w:rFonts w:hint="default" w:ascii="Times New Roman" w:hAnsi="Times New Roman" w:eastAsia="宋体" w:cs="Times New Roman"/>
          <w:b w:val="0"/>
          <w:bCs w:val="0"/>
          <w:color w:val="auto"/>
          <w:kern w:val="0"/>
          <w:sz w:val="24"/>
          <w:szCs w:val="24"/>
          <w:lang w:val="en-US" w:eastAsia="zh-CN" w:bidi="ar-SA"/>
        </w:rPr>
        <w:t>危险废物委托有资质单位</w:t>
      </w:r>
      <w:r>
        <w:rPr>
          <w:rFonts w:hint="eastAsia" w:cs="Times New Roman"/>
          <w:b w:val="0"/>
          <w:bCs w:val="0"/>
          <w:color w:val="auto"/>
          <w:kern w:val="0"/>
          <w:sz w:val="24"/>
          <w:szCs w:val="24"/>
          <w:lang w:val="en-US" w:eastAsia="zh-CN" w:bidi="ar-SA"/>
        </w:rPr>
        <w:t>上门回收</w:t>
      </w:r>
      <w:r>
        <w:rPr>
          <w:rFonts w:hint="default" w:ascii="Times New Roman" w:hAnsi="Times New Roman" w:eastAsia="宋体" w:cs="Times New Roman"/>
          <w:b w:val="0"/>
          <w:bCs w:val="0"/>
          <w:color w:val="auto"/>
          <w:kern w:val="0"/>
          <w:sz w:val="24"/>
          <w:szCs w:val="24"/>
          <w:lang w:val="en-US" w:eastAsia="zh-CN" w:bidi="ar-SA"/>
        </w:rPr>
        <w:t>处理</w:t>
      </w:r>
      <w:r>
        <w:rPr>
          <w:rFonts w:hint="eastAsia" w:ascii="Times New Roman" w:hAnsi="Times New Roman" w:eastAsia="宋体" w:cs="Times New Roman"/>
          <w:b w:val="0"/>
          <w:bCs w:val="0"/>
          <w:color w:val="auto"/>
          <w:kern w:val="0"/>
          <w:sz w:val="24"/>
          <w:szCs w:val="24"/>
          <w:lang w:val="en-US" w:eastAsia="zh-CN" w:bidi="ar-SA"/>
        </w:rPr>
        <w:t>，因此，本项目的固废处置措施符合</w:t>
      </w:r>
      <w:r>
        <w:rPr>
          <w:rFonts w:hint="eastAsia" w:ascii="Times New Roman" w:hAnsi="Times New Roman" w:eastAsia="宋体" w:cs="Times New Roman"/>
          <w:color w:val="auto"/>
          <w:highlight w:val="none"/>
          <w:lang w:val="en-US" w:eastAsia="zh-CN"/>
        </w:rPr>
        <w:t>《工业锅炉污染防治可行技术指南》（HJ1178-2021）中相关措施要求，处置措施合理可行。</w:t>
      </w:r>
    </w:p>
    <w:p>
      <w:pPr>
        <w:spacing w:line="360" w:lineRule="auto"/>
        <w:ind w:firstLine="480" w:firstLineChars="20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（2）其他</w:t>
      </w:r>
    </w:p>
    <w:p>
      <w:pPr>
        <w:spacing w:line="360" w:lineRule="auto"/>
        <w:ind w:firstLine="480" w:firstLineChars="20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本项目产生的脱硫石膏依托现有工程灰渣场暂存；除尘灰及</w:t>
      </w:r>
      <w:r>
        <w:rPr>
          <w:rFonts w:hint="eastAsia" w:ascii="Times New Roman" w:hAnsi="Times New Roman" w:eastAsia="宋体" w:cs="Times New Roman"/>
          <w:b w:val="0"/>
          <w:bCs w:val="0"/>
          <w:color w:val="auto"/>
          <w:kern w:val="0"/>
          <w:sz w:val="24"/>
          <w:szCs w:val="24"/>
          <w:lang w:val="en-US" w:eastAsia="zh-CN" w:bidi="ar-SA"/>
        </w:rPr>
        <w:t>炉渣</w:t>
      </w:r>
      <w:r>
        <w:rPr>
          <w:rFonts w:hint="eastAsia" w:ascii="Times New Roman" w:hAnsi="Times New Roman" w:eastAsia="宋体" w:cs="Times New Roman"/>
          <w:color w:val="auto"/>
          <w:highlight w:val="none"/>
          <w:lang w:val="en-US" w:eastAsia="zh-CN"/>
        </w:rPr>
        <w:t>依托现有灰库、渣仓。</w:t>
      </w:r>
    </w:p>
    <w:p>
      <w:pPr>
        <w:spacing w:line="360" w:lineRule="auto"/>
        <w:ind w:firstLine="480" w:firstLineChars="20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现有灰渣场位于储煤场内，并设置有喷淋洒水设施；</w:t>
      </w:r>
      <w:r>
        <w:rPr>
          <w:rFonts w:hint="eastAsia"/>
          <w:color w:val="auto"/>
          <w:highlight w:val="none"/>
          <w:lang w:eastAsia="zh-CN"/>
        </w:rPr>
        <w:t>此外，本工程在厂区灰渣场等区域地面已采取了防渗措施，并且在厂区内各种可能外排污染物的大型设备等设施周边地面进行了防渗处理，其渗透系数均小于10</w:t>
      </w:r>
      <w:r>
        <w:rPr>
          <w:rFonts w:hint="eastAsia"/>
          <w:color w:val="auto"/>
          <w:highlight w:val="none"/>
          <w:vertAlign w:val="superscript"/>
          <w:lang w:eastAsia="zh-CN"/>
        </w:rPr>
        <w:t>-12</w:t>
      </w:r>
      <w:r>
        <w:rPr>
          <w:rFonts w:hint="eastAsia"/>
          <w:color w:val="auto"/>
          <w:highlight w:val="none"/>
          <w:lang w:eastAsia="zh-CN"/>
        </w:rPr>
        <w:t>cm/s。这些措施有效地保证了在雨水冲刷情况下，冲刷雨水可以通过排水明沟排出。同时，厂区也设置了雨水、排水系统并做好相应的防渗措施。对于厂内临时固体废物堆存场所，也进行了有效的渗漏处理。</w:t>
      </w:r>
      <w:r>
        <w:rPr>
          <w:rFonts w:hint="eastAsia" w:ascii="Times New Roman" w:hAnsi="Times New Roman" w:eastAsia="宋体" w:cs="Times New Roman"/>
          <w:color w:val="auto"/>
          <w:highlight w:val="none"/>
          <w:lang w:val="en-US" w:eastAsia="zh-CN"/>
        </w:rPr>
        <w:t>灰渣场采取的措施满足《一般工业固体废物贮存和填埋污染控制标准》（GB18599-2020）中相关要求。</w:t>
      </w:r>
    </w:p>
    <w:p>
      <w:pPr>
        <w:spacing w:line="360" w:lineRule="auto"/>
        <w:ind w:firstLine="480" w:firstLineChars="20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在灰渣、脱硫</w:t>
      </w:r>
      <w:r>
        <w:rPr>
          <w:rFonts w:hint="eastAsia" w:ascii="Times New Roman" w:hAnsi="Times New Roman" w:eastAsia="宋体" w:cs="Times New Roman"/>
          <w:color w:val="auto"/>
          <w:highlight w:val="none"/>
          <w:lang w:val="en-US" w:eastAsia="zh-CN"/>
        </w:rPr>
        <w:t>石膏</w:t>
      </w:r>
      <w:r>
        <w:rPr>
          <w:rFonts w:hint="eastAsia" w:ascii="Times New Roman" w:hAnsi="Times New Roman" w:eastAsia="宋体" w:cs="Times New Roman"/>
          <w:color w:val="auto"/>
          <w:highlight w:val="none"/>
          <w:lang w:eastAsia="zh-CN"/>
        </w:rPr>
        <w:t>和原料煤的拉运过程中，要求运送车辆按照《大气污染防治法》的要求采取密闭措施，以避免沿途洒落造成的二次污染。</w:t>
      </w:r>
    </w:p>
    <w:p>
      <w:pPr>
        <w:spacing w:line="360" w:lineRule="auto"/>
        <w:ind w:firstLine="480" w:firstLineChars="20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对于危险废物的运输和转移，应根据《危险废物收集、贮存、运输技术规范》（HJ2025-2012）中要求。</w:t>
      </w:r>
    </w:p>
    <w:p>
      <w:pPr>
        <w:spacing w:line="360" w:lineRule="auto"/>
        <w:ind w:firstLine="480" w:firstLineChars="20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现有工程除尘灰产生量为1607.484t/d，改扩建后除尘灰量为4505.07t/d；现有工程炉渣产生量为5866.348t/d，改扩建后炉渣量为23229.943t/d；现有工程脱硫石膏产生量为1163.97t/d，改扩建后脱硫石膏量为1360.34t/d。现有工程灰渣约15天清运一次，本次改扩建后，本环评要求灰渣应至少10天清运一次，因此，</w:t>
      </w:r>
    </w:p>
    <w:p>
      <w:pPr>
        <w:spacing w:line="360" w:lineRule="auto"/>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灰渣场所储存量可满足本项目需求，故依托可行。</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snapToGrid/>
          <w:color w:val="auto"/>
          <w:kern w:val="2"/>
          <w:sz w:val="24"/>
          <w:szCs w:val="24"/>
          <w:lang w:val="en-US" w:eastAsia="zh-CN"/>
        </w:rPr>
        <w:t>综上所述，</w:t>
      </w:r>
      <w:r>
        <w:rPr>
          <w:rFonts w:hint="eastAsia" w:ascii="Times New Roman" w:hAnsi="Times New Roman" w:eastAsia="宋体" w:cs="Times New Roman"/>
          <w:b w:val="0"/>
          <w:bCs w:val="0"/>
          <w:color w:val="auto"/>
          <w:kern w:val="0"/>
          <w:sz w:val="24"/>
          <w:szCs w:val="24"/>
          <w:lang w:val="en-US" w:eastAsia="zh-CN" w:bidi="ar"/>
        </w:rPr>
        <w:t>本项目</w:t>
      </w:r>
      <w:r>
        <w:rPr>
          <w:rFonts w:hint="eastAsia" w:ascii="Times New Roman" w:hAnsi="Times New Roman" w:eastAsia="宋体" w:cs="Times New Roman"/>
          <w:b w:val="0"/>
          <w:bCs w:val="0"/>
          <w:snapToGrid/>
          <w:color w:val="auto"/>
          <w:kern w:val="2"/>
          <w:sz w:val="24"/>
          <w:szCs w:val="24"/>
          <w:lang w:val="en-US" w:eastAsia="zh-CN"/>
        </w:rPr>
        <w:t>运营期</w:t>
      </w:r>
      <w:r>
        <w:rPr>
          <w:rFonts w:hint="default" w:ascii="Times New Roman" w:hAnsi="Times New Roman" w:eastAsia="宋体" w:cs="Times New Roman"/>
          <w:b w:val="0"/>
          <w:bCs w:val="0"/>
          <w:snapToGrid/>
          <w:color w:val="auto"/>
          <w:kern w:val="2"/>
          <w:sz w:val="24"/>
          <w:szCs w:val="24"/>
          <w:lang w:val="en-US" w:eastAsia="zh-CN"/>
        </w:rPr>
        <w:t>固体废物</w:t>
      </w:r>
      <w:r>
        <w:rPr>
          <w:rFonts w:hint="eastAsia" w:ascii="Times New Roman" w:hAnsi="Times New Roman" w:eastAsia="宋体" w:cs="Times New Roman"/>
          <w:b w:val="0"/>
          <w:bCs w:val="0"/>
          <w:color w:val="auto"/>
          <w:kern w:val="0"/>
          <w:sz w:val="24"/>
          <w:szCs w:val="24"/>
          <w:lang w:val="en-US" w:eastAsia="zh-CN" w:bidi="ar"/>
        </w:rPr>
        <w:t>从产生、贮存、转运、处置形成“闭环”，</w:t>
      </w:r>
      <w:r>
        <w:rPr>
          <w:rFonts w:hint="default" w:ascii="Times New Roman" w:hAnsi="Times New Roman" w:eastAsia="宋体" w:cs="Times New Roman"/>
          <w:b w:val="0"/>
          <w:bCs w:val="0"/>
          <w:snapToGrid/>
          <w:color w:val="auto"/>
          <w:kern w:val="2"/>
          <w:sz w:val="24"/>
          <w:szCs w:val="24"/>
          <w:lang w:val="en-US" w:eastAsia="zh-CN"/>
        </w:rPr>
        <w:t>固体废物</w:t>
      </w:r>
      <w:r>
        <w:rPr>
          <w:rFonts w:hint="eastAsia" w:ascii="Times New Roman" w:hAnsi="Times New Roman" w:eastAsia="宋体" w:cs="Times New Roman"/>
          <w:b w:val="0"/>
          <w:bCs w:val="0"/>
          <w:snapToGrid/>
          <w:color w:val="auto"/>
          <w:kern w:val="2"/>
          <w:sz w:val="24"/>
          <w:szCs w:val="24"/>
          <w:lang w:val="en-US" w:eastAsia="zh-CN"/>
        </w:rPr>
        <w:t>得到了</w:t>
      </w:r>
      <w:r>
        <w:rPr>
          <w:rFonts w:hint="default" w:ascii="Times New Roman" w:hAnsi="Times New Roman" w:eastAsia="宋体" w:cs="Times New Roman"/>
          <w:b w:val="0"/>
          <w:bCs w:val="0"/>
          <w:snapToGrid/>
          <w:color w:val="auto"/>
          <w:kern w:val="2"/>
          <w:sz w:val="24"/>
          <w:szCs w:val="24"/>
          <w:lang w:val="en-US" w:eastAsia="zh-CN"/>
        </w:rPr>
        <w:t>合理处置，对周围环境影响较小。</w:t>
      </w:r>
    </w:p>
    <w:p>
      <w:pPr>
        <w:pStyle w:val="4"/>
        <w:bidi w:val="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7.2.5土壤污染防治措施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napToGrid/>
          <w:color w:val="auto"/>
          <w:kern w:val="2"/>
          <w:sz w:val="24"/>
          <w:szCs w:val="24"/>
          <w:highlight w:val="none"/>
          <w:lang w:eastAsia="zh-CN"/>
        </w:rPr>
      </w:pPr>
      <w:r>
        <w:rPr>
          <w:rFonts w:hint="eastAsia" w:ascii="Times New Roman" w:hAnsi="Times New Roman" w:eastAsia="宋体" w:cs="Times New Roman"/>
          <w:snapToGrid/>
          <w:color w:val="auto"/>
          <w:kern w:val="2"/>
          <w:sz w:val="24"/>
          <w:szCs w:val="24"/>
          <w:highlight w:val="none"/>
          <w:lang w:eastAsia="zh-CN"/>
        </w:rPr>
        <w:t>（1）土壤环境质量现状保障</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napToGrid/>
          <w:color w:val="auto"/>
          <w:kern w:val="2"/>
          <w:sz w:val="24"/>
          <w:szCs w:val="24"/>
          <w:highlight w:val="none"/>
          <w:lang w:eastAsia="zh-CN"/>
        </w:rPr>
      </w:pPr>
      <w:r>
        <w:rPr>
          <w:rFonts w:hint="eastAsia" w:ascii="Times New Roman" w:hAnsi="Times New Roman" w:eastAsia="宋体" w:cs="Times New Roman"/>
          <w:snapToGrid/>
          <w:color w:val="auto"/>
          <w:kern w:val="2"/>
          <w:sz w:val="24"/>
          <w:szCs w:val="24"/>
          <w:highlight w:val="none"/>
          <w:lang w:eastAsia="zh-CN"/>
        </w:rPr>
        <w:t>根据土壤现状评价，各监测点土壤45项监测因子满足土壤环境质量评价执行《土壤环境质量标准建设用地土壤污染风险管控标准》（GB36600-2018）第二类用地筛选值标准。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napToGrid/>
          <w:color w:val="auto"/>
          <w:kern w:val="2"/>
          <w:sz w:val="24"/>
          <w:szCs w:val="24"/>
          <w:highlight w:val="none"/>
          <w:lang w:eastAsia="zh-CN"/>
        </w:rPr>
      </w:pPr>
      <w:r>
        <w:rPr>
          <w:rFonts w:hint="eastAsia" w:ascii="Times New Roman" w:hAnsi="Times New Roman" w:eastAsia="宋体" w:cs="Times New Roman"/>
          <w:snapToGrid/>
          <w:color w:val="auto"/>
          <w:kern w:val="2"/>
          <w:sz w:val="24"/>
          <w:szCs w:val="24"/>
          <w:highlight w:val="none"/>
          <w:lang w:eastAsia="zh-CN"/>
        </w:rPr>
        <w:t>（2）源头控制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napToGrid/>
          <w:color w:val="auto"/>
          <w:kern w:val="2"/>
          <w:sz w:val="24"/>
          <w:szCs w:val="24"/>
          <w:highlight w:val="none"/>
          <w:lang w:eastAsia="zh-CN"/>
        </w:rPr>
      </w:pPr>
      <w:r>
        <w:rPr>
          <w:rFonts w:hint="eastAsia" w:ascii="Times New Roman" w:hAnsi="Times New Roman" w:eastAsia="宋体" w:cs="Times New Roman"/>
          <w:snapToGrid/>
          <w:color w:val="auto"/>
          <w:kern w:val="2"/>
          <w:sz w:val="24"/>
          <w:szCs w:val="24"/>
          <w:highlight w:val="none"/>
          <w:lang w:eastAsia="zh-CN"/>
        </w:rPr>
        <w:t>拟建项目土壤影响类型主要为大气沉降影响及垂直入渗影响，因此项目源头控制措施分别针对大气沉降及垂直入渗展开。</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napToGrid/>
          <w:color w:val="auto"/>
          <w:kern w:val="2"/>
          <w:sz w:val="24"/>
          <w:szCs w:val="24"/>
          <w:highlight w:val="none"/>
          <w:lang w:eastAsia="zh-CN"/>
        </w:rPr>
      </w:pPr>
      <w:r>
        <w:rPr>
          <w:rFonts w:hint="eastAsia" w:ascii="Times New Roman" w:hAnsi="Times New Roman" w:eastAsia="宋体" w:cs="Times New Roman"/>
          <w:snapToGrid/>
          <w:color w:val="auto"/>
          <w:kern w:val="2"/>
          <w:sz w:val="24"/>
          <w:szCs w:val="24"/>
          <w:highlight w:val="none"/>
          <w:lang w:eastAsia="zh-CN"/>
        </w:rPr>
        <w:t>①大气沉降影响源头控制措施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napToGrid/>
          <w:color w:val="auto"/>
          <w:kern w:val="2"/>
          <w:sz w:val="24"/>
          <w:szCs w:val="24"/>
          <w:highlight w:val="none"/>
          <w:lang w:eastAsia="zh-CN"/>
        </w:rPr>
      </w:pPr>
      <w:r>
        <w:rPr>
          <w:rFonts w:hint="eastAsia" w:ascii="Times New Roman" w:hAnsi="Times New Roman" w:eastAsia="宋体" w:cs="Times New Roman"/>
          <w:snapToGrid/>
          <w:color w:val="auto"/>
          <w:kern w:val="2"/>
          <w:sz w:val="24"/>
          <w:szCs w:val="24"/>
          <w:highlight w:val="none"/>
          <w:lang w:eastAsia="zh-CN"/>
        </w:rPr>
        <w:t>为防止大气沉降影响，尽可能从源头控制降尘产生。为减少施工废气对周围环境的不利影响，在对施工场地进行围挡后，还需采取严格的防尘措施，具体如下：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napToGrid/>
          <w:color w:val="auto"/>
          <w:kern w:val="2"/>
          <w:sz w:val="24"/>
          <w:szCs w:val="24"/>
          <w:highlight w:val="none"/>
          <w:lang w:eastAsia="zh-CN"/>
        </w:rPr>
      </w:pPr>
      <w:r>
        <w:rPr>
          <w:rFonts w:hint="eastAsia" w:ascii="Times New Roman" w:hAnsi="Times New Roman" w:eastAsia="宋体" w:cs="Times New Roman"/>
          <w:snapToGrid/>
          <w:color w:val="auto"/>
          <w:kern w:val="2"/>
          <w:sz w:val="24"/>
          <w:szCs w:val="24"/>
          <w:highlight w:val="none"/>
          <w:lang w:eastAsia="zh-CN"/>
        </w:rPr>
        <w:t>施工期降尘源头控制：严格执行关于建筑施工扬尘污染的相关规定，确保施工现场100%围蔽，工地砂土100%覆盖，工地路面100%硬地化，拆除工程100%洒水压尘，出工地车辆100%冲净车轮车身，暂不开发的场地100%绿化。以最大程度的降低扬尘对周围环境的影响，使其场界扬尘排放浓度满足《大气污染物综合排放标准》（GB16297-1996）的相关规定要求。</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napToGrid/>
          <w:color w:val="auto"/>
          <w:kern w:val="2"/>
          <w:sz w:val="24"/>
          <w:szCs w:val="24"/>
          <w:highlight w:val="none"/>
          <w:lang w:eastAsia="zh-CN"/>
        </w:rPr>
      </w:pPr>
      <w:r>
        <w:rPr>
          <w:rFonts w:hint="eastAsia" w:ascii="Times New Roman" w:hAnsi="Times New Roman" w:eastAsia="宋体" w:cs="Times New Roman"/>
          <w:snapToGrid/>
          <w:color w:val="auto"/>
          <w:kern w:val="2"/>
          <w:sz w:val="24"/>
          <w:szCs w:val="24"/>
          <w:highlight w:val="none"/>
          <w:lang w:eastAsia="zh-CN"/>
        </w:rPr>
        <w:t>安排施工场地定期洒水抑尘，对运载建筑材料和建筑垃圾的车辆加盖篷布减少散落，车辆行驶应按规定路线进行。建筑垃圾及开挖土方应集中堆放，上覆防尘网，缩小粉尘影响范围，及时回填，减少粉尘影响时间。降低施工机械操作过程中的落差；堆放、装卸、运输易产生扬尘污染的物料（建筑材料、建筑垃圾等）时，应当采取遮盖、封闭、洒水等措施，防止扬尘污染；材料仓库和临时材料堆放场应防止物料散漏污染。仓库四周应有疏水沟系，防止雨水浸湿以及水流引起污染。</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napToGrid/>
          <w:color w:val="auto"/>
          <w:kern w:val="2"/>
          <w:sz w:val="24"/>
          <w:szCs w:val="24"/>
          <w:highlight w:val="none"/>
          <w:lang w:eastAsia="zh-CN"/>
        </w:rPr>
      </w:pPr>
      <w:r>
        <w:rPr>
          <w:rFonts w:hint="eastAsia" w:ascii="Times New Roman" w:hAnsi="Times New Roman" w:eastAsia="宋体" w:cs="Times New Roman"/>
          <w:snapToGrid/>
          <w:color w:val="auto"/>
          <w:kern w:val="2"/>
          <w:sz w:val="24"/>
          <w:szCs w:val="24"/>
          <w:highlight w:val="none"/>
          <w:lang w:eastAsia="zh-CN"/>
        </w:rPr>
        <w:t>运营期废气控制措施：对生产废气经过集中收集处理后达标排放。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napToGrid/>
          <w:color w:val="auto"/>
          <w:kern w:val="2"/>
          <w:sz w:val="24"/>
          <w:szCs w:val="24"/>
          <w:highlight w:val="none"/>
          <w:lang w:eastAsia="zh-CN"/>
        </w:rPr>
      </w:pPr>
      <w:r>
        <w:rPr>
          <w:rFonts w:hint="eastAsia" w:ascii="宋体" w:hAnsi="宋体" w:eastAsia="宋体" w:cs="宋体"/>
          <w:snapToGrid/>
          <w:color w:val="auto"/>
          <w:kern w:val="2"/>
          <w:sz w:val="24"/>
          <w:szCs w:val="24"/>
          <w:highlight w:val="none"/>
          <w:lang w:eastAsia="zh-CN"/>
        </w:rPr>
        <w:t>②</w:t>
      </w:r>
      <w:r>
        <w:rPr>
          <w:rFonts w:hint="eastAsia" w:ascii="Times New Roman" w:hAnsi="Times New Roman" w:eastAsia="宋体" w:cs="Times New Roman"/>
          <w:snapToGrid/>
          <w:color w:val="auto"/>
          <w:kern w:val="2"/>
          <w:sz w:val="24"/>
          <w:szCs w:val="24"/>
          <w:highlight w:val="none"/>
          <w:lang w:eastAsia="zh-CN"/>
        </w:rPr>
        <w:t>其他源头控制措施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napToGrid/>
          <w:color w:val="auto"/>
          <w:kern w:val="2"/>
          <w:sz w:val="24"/>
          <w:szCs w:val="24"/>
          <w:highlight w:val="none"/>
          <w:lang w:eastAsia="zh-CN"/>
        </w:rPr>
      </w:pPr>
      <w:r>
        <w:rPr>
          <w:rFonts w:hint="eastAsia" w:ascii="Times New Roman" w:hAnsi="Times New Roman" w:eastAsia="宋体" w:cs="Times New Roman"/>
          <w:snapToGrid/>
          <w:color w:val="auto"/>
          <w:kern w:val="2"/>
          <w:sz w:val="24"/>
          <w:szCs w:val="24"/>
          <w:highlight w:val="none"/>
          <w:lang w:eastAsia="zh-CN"/>
        </w:rPr>
        <w:t>项目对产生的废水进行合理的治理和综合利用，以先进工艺、管道、设备、污水储存，尽可能从源头上减少可能污染物产生；严格按照国家相关规范要求，对工艺、管道、设备、污水储存及处理构筑物采取相应的措施，以防止和降低可能污染物的跑、冒、滴、漏，将废水泄漏的环境风险事故降低到最低程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napToGrid/>
          <w:color w:val="auto"/>
          <w:kern w:val="2"/>
          <w:sz w:val="24"/>
          <w:szCs w:val="24"/>
          <w:highlight w:val="none"/>
          <w:lang w:eastAsia="zh-CN"/>
        </w:rPr>
      </w:pPr>
      <w:r>
        <w:rPr>
          <w:rFonts w:hint="eastAsia" w:ascii="Times New Roman" w:hAnsi="Times New Roman" w:eastAsia="宋体" w:cs="Times New Roman"/>
          <w:snapToGrid/>
          <w:color w:val="auto"/>
          <w:kern w:val="2"/>
          <w:sz w:val="24"/>
          <w:szCs w:val="24"/>
          <w:highlight w:val="none"/>
          <w:lang w:eastAsia="zh-CN"/>
        </w:rPr>
        <w:t>建立有关规章制度和岗位责任制。制定风险预警方案，设立应急设施减少环境污染影响。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napToGrid/>
          <w:color w:val="auto"/>
          <w:kern w:val="2"/>
          <w:sz w:val="24"/>
          <w:szCs w:val="24"/>
          <w:highlight w:val="none"/>
          <w:lang w:eastAsia="zh-CN"/>
        </w:rPr>
      </w:pPr>
      <w:r>
        <w:rPr>
          <w:rFonts w:hint="eastAsia" w:ascii="Times New Roman" w:hAnsi="Times New Roman" w:eastAsia="宋体" w:cs="Times New Roman"/>
          <w:snapToGrid/>
          <w:color w:val="auto"/>
          <w:kern w:val="2"/>
          <w:sz w:val="24"/>
          <w:szCs w:val="24"/>
          <w:highlight w:val="none"/>
          <w:lang w:eastAsia="zh-CN"/>
        </w:rPr>
        <w:t>（3）过程防控等防控措施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napToGrid/>
          <w:color w:val="auto"/>
          <w:kern w:val="2"/>
          <w:sz w:val="24"/>
          <w:szCs w:val="24"/>
          <w:highlight w:val="none"/>
          <w:lang w:eastAsia="zh-CN"/>
        </w:rPr>
      </w:pPr>
      <w:r>
        <w:rPr>
          <w:rFonts w:hint="eastAsia" w:ascii="Times New Roman" w:hAnsi="Times New Roman" w:eastAsia="宋体" w:cs="Times New Roman"/>
          <w:snapToGrid/>
          <w:color w:val="auto"/>
          <w:kern w:val="2"/>
          <w:sz w:val="24"/>
          <w:szCs w:val="24"/>
          <w:highlight w:val="none"/>
          <w:lang w:eastAsia="zh-CN"/>
        </w:rPr>
        <w:t>拟建项目为土壤污染型项目，根据《环境影响评价技术导则土壤环境（试行）》（HJ964-2018）过程控制措施，结合本项目污染特征。拟建项目拟采取如下过程控制措施。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napToGrid/>
          <w:color w:val="auto"/>
          <w:kern w:val="2"/>
          <w:sz w:val="24"/>
          <w:szCs w:val="24"/>
          <w:highlight w:val="none"/>
          <w:lang w:eastAsia="zh-CN"/>
        </w:rPr>
      </w:pPr>
      <w:r>
        <w:rPr>
          <w:rFonts w:hint="eastAsia" w:ascii="Times New Roman" w:hAnsi="Times New Roman" w:eastAsia="宋体" w:cs="Times New Roman"/>
          <w:snapToGrid/>
          <w:color w:val="auto"/>
          <w:kern w:val="2"/>
          <w:sz w:val="24"/>
          <w:szCs w:val="24"/>
          <w:highlight w:val="none"/>
          <w:lang w:eastAsia="zh-CN"/>
        </w:rPr>
        <w:t>①占地范围内应采取绿化措施，以种植具有较强吸附能力的植物为主。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napToGrid/>
          <w:color w:val="auto"/>
          <w:kern w:val="2"/>
          <w:sz w:val="24"/>
          <w:szCs w:val="24"/>
          <w:highlight w:val="none"/>
          <w:lang w:eastAsia="zh-CN"/>
        </w:rPr>
      </w:pPr>
      <w:r>
        <w:rPr>
          <w:rFonts w:hint="eastAsia" w:ascii="Times New Roman" w:hAnsi="Times New Roman" w:eastAsia="宋体" w:cs="Times New Roman"/>
          <w:snapToGrid/>
          <w:color w:val="auto"/>
          <w:kern w:val="2"/>
          <w:sz w:val="24"/>
          <w:szCs w:val="24"/>
          <w:highlight w:val="none"/>
          <w:lang w:eastAsia="zh-CN"/>
        </w:rPr>
        <w:t>②针对地面漫流影响的，过程控制措施应根据建设项目所在地的地形特点优化地面布局，生产装置和储罐区设置围堰，以防止土壤环境污染。</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napToGrid/>
          <w:color w:val="auto"/>
          <w:kern w:val="2"/>
          <w:sz w:val="24"/>
          <w:szCs w:val="24"/>
          <w:highlight w:val="none"/>
          <w:lang w:eastAsia="zh-CN"/>
        </w:rPr>
      </w:pPr>
      <w:r>
        <w:rPr>
          <w:rFonts w:hint="eastAsia" w:ascii="Times New Roman" w:hAnsi="Times New Roman" w:eastAsia="宋体" w:cs="Times New Roman"/>
          <w:snapToGrid/>
          <w:color w:val="auto"/>
          <w:kern w:val="2"/>
          <w:sz w:val="24"/>
          <w:szCs w:val="24"/>
          <w:highlight w:val="none"/>
          <w:lang w:eastAsia="zh-CN"/>
        </w:rPr>
        <w:t>③涉及入渗途径影响的，应根据相关标准规范要求，对设备设施采取相应的防渗措施，以防止土壤环境污染。</w:t>
      </w:r>
    </w:p>
    <w:p>
      <w:pPr>
        <w:bidi w:val="0"/>
        <w:rPr>
          <w:color w:val="auto"/>
          <w:highlight w:val="none"/>
        </w:rPr>
      </w:pPr>
    </w:p>
    <w:p>
      <w:pPr>
        <w:bidi w:val="0"/>
        <w:rPr>
          <w:color w:val="auto"/>
          <w:highlight w:val="none"/>
        </w:rPr>
      </w:pPr>
    </w:p>
    <w:p>
      <w:pPr>
        <w:bidi w:val="0"/>
        <w:rPr>
          <w:color w:val="auto"/>
          <w:highlight w:val="none"/>
        </w:rPr>
      </w:pPr>
    </w:p>
    <w:p>
      <w:pPr>
        <w:bidi w:val="0"/>
        <w:rPr>
          <w:color w:val="auto"/>
          <w:highlight w:val="none"/>
        </w:rPr>
      </w:pPr>
    </w:p>
    <w:p>
      <w:pPr>
        <w:bidi w:val="0"/>
        <w:rPr>
          <w:color w:val="auto"/>
          <w:highlight w:val="none"/>
        </w:rPr>
        <w:sectPr>
          <w:pgSz w:w="11906" w:h="16839"/>
          <w:pgMar w:top="1440" w:right="1800" w:bottom="1440" w:left="1800" w:header="1020" w:footer="1077" w:gutter="0"/>
          <w:pgBorders>
            <w:top w:val="none" w:sz="0" w:space="0"/>
            <w:left w:val="none" w:sz="0" w:space="0"/>
            <w:bottom w:val="none" w:sz="0" w:space="0"/>
            <w:right w:val="none" w:sz="0" w:space="0"/>
          </w:pgBorders>
          <w:pgNumType w:fmt="decimal"/>
          <w:cols w:space="720" w:num="1"/>
        </w:sectPr>
      </w:pPr>
    </w:p>
    <w:p>
      <w:pPr>
        <w:pStyle w:val="2"/>
        <w:keepNext w:val="0"/>
        <w:keepLines w:val="0"/>
        <w:pageBreakBefore w:val="0"/>
        <w:widowControl w:val="0"/>
        <w:kinsoku/>
        <w:wordWrap/>
        <w:overflowPunct/>
        <w:autoSpaceDE/>
        <w:autoSpaceDN/>
        <w:bidi w:val="0"/>
        <w:adjustRightInd w:val="0"/>
        <w:snapToGrid w:val="0"/>
        <w:spacing w:beforeLines="0" w:afterLines="0"/>
        <w:textAlignment w:val="auto"/>
        <w:rPr>
          <w:color w:val="auto"/>
          <w:highlight w:val="none"/>
        </w:rPr>
      </w:pPr>
      <w:bookmarkStart w:id="67" w:name="_Toc205"/>
      <w:r>
        <w:rPr>
          <w:rFonts w:hint="eastAsia"/>
          <w:color w:val="auto"/>
          <w:highlight w:val="none"/>
          <w:lang w:val="en-US" w:eastAsia="zh-CN"/>
        </w:rPr>
        <w:t>8</w:t>
      </w:r>
      <w:r>
        <w:rPr>
          <w:color w:val="auto"/>
          <w:highlight w:val="none"/>
        </w:rPr>
        <w:t>环境影响经济损益分析</w:t>
      </w:r>
      <w:bookmarkEnd w:id="67"/>
    </w:p>
    <w:p>
      <w:pPr>
        <w:pStyle w:val="3"/>
        <w:keepNext w:val="0"/>
        <w:keepLines w:val="0"/>
        <w:pageBreakBefore w:val="0"/>
        <w:widowControl w:val="0"/>
        <w:kinsoku/>
        <w:wordWrap/>
        <w:overflowPunct/>
        <w:autoSpaceDE/>
        <w:autoSpaceDN/>
        <w:bidi w:val="0"/>
        <w:adjustRightInd w:val="0"/>
        <w:snapToGrid w:val="0"/>
        <w:textAlignment w:val="auto"/>
        <w:rPr>
          <w:rFonts w:hint="eastAsia" w:ascii="Times New Roman" w:hAnsi="Times New Roman" w:eastAsia="宋体" w:cs="Times New Roman"/>
          <w:color w:val="auto"/>
          <w:highlight w:val="none"/>
          <w:lang w:val="en-US" w:eastAsia="zh-CN"/>
        </w:rPr>
      </w:pPr>
      <w:bookmarkStart w:id="68" w:name="_Toc7516"/>
      <w:r>
        <w:rPr>
          <w:rFonts w:hint="eastAsia" w:ascii="Times New Roman" w:hAnsi="Times New Roman" w:eastAsia="宋体" w:cs="Times New Roman"/>
          <w:color w:val="auto"/>
          <w:highlight w:val="none"/>
          <w:lang w:val="en-US" w:eastAsia="zh-CN"/>
        </w:rPr>
        <w:t>8.1社会效益分析</w:t>
      </w:r>
      <w:bookmarkEnd w:id="68"/>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投运后，为托里县的基础建设奠定了坚实地基础，同时也为托里县经济的全面腾飞创造了条件，对托里县社会的稳定发展起到了积极地作用。工程在促进合理利用土地，提高公众健康水平，缓解交通运输等方面作出了贡献。</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（1）促进当地的经济发展</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本项目的建设，为托里县的基础设施建设做出了贡献，促进了托里县的经济发展。</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（2）提高公众健康水平</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环境污染对居民人体健康水平关系密切。尤其是大气污染程度对公众的呼吸系统疾病、恶性肿瘤、心血管疾病的发病率成正比，本项目以高架源排放污染物，可使区域内环境空气质量得到有效控制。</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综上所述，本项目建成投运后，对当地大气环境有一定改善作用，虽然工程本身对环境有一定负效益，但其对该区域的环境质量影响较小。本项目的建设有良好的经济效益和社会效益。</w:t>
      </w:r>
    </w:p>
    <w:p>
      <w:pPr>
        <w:pStyle w:val="3"/>
        <w:keepNext w:val="0"/>
        <w:keepLines w:val="0"/>
        <w:pageBreakBefore w:val="0"/>
        <w:widowControl w:val="0"/>
        <w:kinsoku/>
        <w:wordWrap/>
        <w:overflowPunct/>
        <w:autoSpaceDE/>
        <w:autoSpaceDN/>
        <w:bidi w:val="0"/>
        <w:adjustRightInd w:val="0"/>
        <w:snapToGrid w:val="0"/>
        <w:textAlignment w:val="auto"/>
        <w:rPr>
          <w:rFonts w:hint="eastAsia" w:ascii="Times New Roman" w:hAnsi="Times New Roman" w:eastAsia="宋体" w:cs="Times New Roman"/>
          <w:color w:val="auto"/>
          <w:highlight w:val="none"/>
          <w:lang w:val="en-US" w:eastAsia="zh-CN"/>
        </w:rPr>
      </w:pPr>
      <w:bookmarkStart w:id="69" w:name="_Toc27192"/>
      <w:r>
        <w:rPr>
          <w:rFonts w:hint="eastAsia" w:ascii="Times New Roman" w:hAnsi="Times New Roman" w:eastAsia="宋体" w:cs="Times New Roman"/>
          <w:color w:val="auto"/>
          <w:highlight w:val="none"/>
          <w:lang w:val="en-US" w:eastAsia="zh-CN"/>
        </w:rPr>
        <w:t>8.2经济效益分析</w:t>
      </w:r>
      <w:bookmarkEnd w:id="69"/>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从经济分析结论可以看出，本项目能够达到良好收益。项目建成后可以减少分散小锅炉房用地，减少大气及环境污染，改善居民生活环境，提高人民健康水平，社会效益、环境及国民效益经济效益较好。因此，本项目经济上是可行的。</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属于城市基础设施建设项目，为城市公众提供长期基本生活服务产品，项目投资和运营都缺少竞争性，收费水平以政府定价为主，其效益要体现在城市经济和社会发展上，财务盈利能力较低。因此，需要国家地方政府在政策上和财政上给予支持和倾斜，为项目创造良好的外部环境和经济条件，使项目早日实施，发挥其深远的社会效益，实现收支平衡，形成良性循环。</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建设项目环保措施主要是体现国家环保政策，贯彻“总量控制”、“达标排放”污染控制原则，达到保护环境的目的。通过相应的污染防治措施，本项目产生的锅炉烟气等可以实现达标排放，生产废水部分回用部分排入市政排水管网，厂界及敏感点噪声达标，环境效益较明显。</w:t>
      </w:r>
    </w:p>
    <w:p>
      <w:pPr>
        <w:pStyle w:val="3"/>
        <w:keepNext w:val="0"/>
        <w:keepLines w:val="0"/>
        <w:pageBreakBefore w:val="0"/>
        <w:widowControl w:val="0"/>
        <w:kinsoku/>
        <w:wordWrap/>
        <w:overflowPunct/>
        <w:autoSpaceDE/>
        <w:autoSpaceDN/>
        <w:bidi w:val="0"/>
        <w:adjustRightInd w:val="0"/>
        <w:snapToGrid w:val="0"/>
        <w:textAlignment w:val="auto"/>
        <w:rPr>
          <w:rFonts w:hint="eastAsia" w:ascii="Times New Roman" w:hAnsi="Times New Roman" w:eastAsia="宋体" w:cs="Times New Roman"/>
          <w:color w:val="auto"/>
          <w:highlight w:val="none"/>
          <w:lang w:val="en-US" w:eastAsia="zh-CN"/>
        </w:rPr>
      </w:pPr>
      <w:bookmarkStart w:id="70" w:name="_Toc15356"/>
      <w:r>
        <w:rPr>
          <w:rFonts w:hint="eastAsia" w:ascii="Times New Roman" w:hAnsi="Times New Roman" w:eastAsia="宋体" w:cs="Times New Roman"/>
          <w:color w:val="auto"/>
          <w:highlight w:val="none"/>
          <w:lang w:val="en-US" w:eastAsia="zh-CN"/>
        </w:rPr>
        <w:t>8.3环保投资及环境效益分析</w:t>
      </w:r>
      <w:bookmarkEnd w:id="70"/>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环保投资是与治理预防污染有关的基建工程投资。它既包括治理污染保护环 境的设施费用，又包括既为生产所需又为治理污染服务，但主要目的是为改善环 境质量的设施费用。</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本项目总投资</w:t>
      </w:r>
      <w:r>
        <w:rPr>
          <w:rFonts w:hint="eastAsia" w:ascii="Times New Roman" w:hAnsi="Times New Roman" w:eastAsia="宋体" w:cs="Times New Roman"/>
          <w:color w:val="auto"/>
          <w:sz w:val="24"/>
          <w:szCs w:val="24"/>
          <w:lang w:val="en-US" w:eastAsia="zh-CN"/>
        </w:rPr>
        <w:t>15000.0</w:t>
      </w:r>
      <w:r>
        <w:rPr>
          <w:rFonts w:hint="eastAsia" w:ascii="Times New Roman" w:hAnsi="Times New Roman" w:eastAsia="宋体" w:cs="Times New Roman"/>
          <w:color w:val="auto"/>
          <w:highlight w:val="none"/>
          <w:lang w:val="en-US" w:eastAsia="zh-CN"/>
        </w:rPr>
        <w:t>万元，环保投资为</w:t>
      </w:r>
      <w:r>
        <w:rPr>
          <w:rFonts w:hint="eastAsia" w:cs="Times New Roman"/>
          <w:color w:val="auto"/>
          <w:highlight w:val="none"/>
          <w:lang w:val="en-US" w:eastAsia="zh-CN"/>
        </w:rPr>
        <w:t>815</w:t>
      </w:r>
      <w:r>
        <w:rPr>
          <w:rFonts w:hint="eastAsia" w:ascii="Times New Roman" w:hAnsi="Times New Roman" w:eastAsia="宋体" w:cs="Times New Roman"/>
          <w:color w:val="auto"/>
          <w:highlight w:val="none"/>
          <w:lang w:val="en-US" w:eastAsia="zh-CN"/>
        </w:rPr>
        <w:t>.0万元，工程环保投资占总投资的5.</w:t>
      </w:r>
      <w:r>
        <w:rPr>
          <w:rFonts w:hint="eastAsia" w:cs="Times New Roman"/>
          <w:color w:val="auto"/>
          <w:highlight w:val="none"/>
          <w:lang w:val="en-US" w:eastAsia="zh-CN"/>
        </w:rPr>
        <w:t>43</w:t>
      </w:r>
      <w:r>
        <w:rPr>
          <w:rFonts w:hint="eastAsia" w:ascii="Times New Roman" w:hAnsi="Times New Roman" w:eastAsia="宋体" w:cs="Times New Roman"/>
          <w:color w:val="auto"/>
          <w:highlight w:val="none"/>
          <w:lang w:val="en-US" w:eastAsia="zh-CN"/>
        </w:rPr>
        <w:t>%。环保投资估算见表8.3-1。</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表8.3-1   建设项目环保投资一览表</w:t>
      </w:r>
    </w:p>
    <w:tbl>
      <w:tblPr>
        <w:tblStyle w:val="66"/>
        <w:tblW w:w="501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72"/>
        <w:gridCol w:w="3478"/>
        <w:gridCol w:w="1126"/>
        <w:gridCol w:w="1411"/>
        <w:gridCol w:w="125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jc w:val="center"/>
        </w:trPr>
        <w:tc>
          <w:tcPr>
            <w:tcW w:w="1071"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项目</w:t>
            </w:r>
          </w:p>
        </w:tc>
        <w:tc>
          <w:tcPr>
            <w:tcW w:w="3474"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eastAsia" w:ascii="Times New Roman" w:hAnsi="Times New Roman" w:eastAsia="宋体" w:cs="Times New Roman"/>
                <w:b/>
                <w:bCs/>
                <w:color w:val="auto"/>
                <w:spacing w:val="0"/>
                <w:sz w:val="21"/>
                <w:szCs w:val="21"/>
                <w:highlight w:val="none"/>
                <w:lang w:eastAsia="zh-CN"/>
              </w:rPr>
            </w:pPr>
            <w:r>
              <w:rPr>
                <w:rFonts w:hint="default" w:ascii="Times New Roman" w:hAnsi="Times New Roman" w:cs="Times New Roman"/>
                <w:b/>
                <w:bCs/>
                <w:color w:val="auto"/>
                <w:spacing w:val="0"/>
                <w:sz w:val="21"/>
                <w:szCs w:val="21"/>
                <w:highlight w:val="none"/>
              </w:rPr>
              <w:t>环保设施</w:t>
            </w:r>
          </w:p>
        </w:tc>
        <w:tc>
          <w:tcPr>
            <w:tcW w:w="1125"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数量/规模</w:t>
            </w:r>
          </w:p>
        </w:tc>
        <w:tc>
          <w:tcPr>
            <w:tcW w:w="1409"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eastAsia" w:ascii="Times New Roman" w:hAnsi="Times New Roman" w:eastAsia="宋体" w:cs="Times New Roman"/>
                <w:b/>
                <w:bCs/>
                <w:color w:val="auto"/>
                <w:spacing w:val="0"/>
                <w:sz w:val="21"/>
                <w:szCs w:val="21"/>
                <w:highlight w:val="none"/>
                <w:lang w:eastAsia="zh-CN"/>
              </w:rPr>
            </w:pPr>
            <w:r>
              <w:rPr>
                <w:rFonts w:hint="default" w:ascii="Times New Roman" w:hAnsi="Times New Roman" w:cs="Times New Roman"/>
                <w:b/>
                <w:bCs/>
                <w:color w:val="auto"/>
                <w:spacing w:val="0"/>
                <w:sz w:val="21"/>
                <w:szCs w:val="21"/>
                <w:highlight w:val="none"/>
              </w:rPr>
              <w:t>投资</w:t>
            </w:r>
            <w:r>
              <w:rPr>
                <w:rFonts w:hint="eastAsia" w:cs="Times New Roman"/>
                <w:b/>
                <w:bCs/>
                <w:color w:val="auto"/>
                <w:spacing w:val="0"/>
                <w:sz w:val="21"/>
                <w:szCs w:val="21"/>
                <w:highlight w:val="none"/>
                <w:lang w:eastAsia="zh-CN"/>
              </w:rPr>
              <w:t>（</w:t>
            </w:r>
            <w:r>
              <w:rPr>
                <w:rFonts w:hint="default" w:ascii="Times New Roman" w:hAnsi="Times New Roman" w:cs="Times New Roman"/>
                <w:b/>
                <w:bCs/>
                <w:color w:val="auto"/>
                <w:spacing w:val="0"/>
                <w:sz w:val="21"/>
                <w:szCs w:val="21"/>
                <w:highlight w:val="none"/>
              </w:rPr>
              <w:t>万元</w:t>
            </w:r>
            <w:r>
              <w:rPr>
                <w:rFonts w:hint="eastAsia" w:cs="Times New Roman"/>
                <w:b/>
                <w:bCs/>
                <w:color w:val="auto"/>
                <w:spacing w:val="0"/>
                <w:sz w:val="21"/>
                <w:szCs w:val="21"/>
                <w:highlight w:val="none"/>
                <w:lang w:eastAsia="zh-CN"/>
              </w:rPr>
              <w:t>）</w:t>
            </w:r>
          </w:p>
        </w:tc>
        <w:tc>
          <w:tcPr>
            <w:tcW w:w="1258"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71" w:type="dxa"/>
            <w:vMerge w:val="restart"/>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eastAsia" w:cs="Times New Roman"/>
                <w:color w:val="auto"/>
                <w:spacing w:val="0"/>
                <w:sz w:val="21"/>
                <w:szCs w:val="21"/>
                <w:highlight w:val="none"/>
                <w:lang w:val="en-US" w:eastAsia="zh-CN"/>
              </w:rPr>
              <w:t>废气</w:t>
            </w:r>
            <w:r>
              <w:rPr>
                <w:rFonts w:hint="eastAsia" w:ascii="Times New Roman" w:hAnsi="Times New Roman" w:cs="Times New Roman"/>
                <w:color w:val="auto"/>
                <w:spacing w:val="0"/>
                <w:sz w:val="21"/>
                <w:szCs w:val="21"/>
                <w:highlight w:val="none"/>
                <w:lang w:val="en-US" w:eastAsia="zh-CN"/>
              </w:rPr>
              <w:t>治理</w:t>
            </w:r>
          </w:p>
        </w:tc>
        <w:tc>
          <w:tcPr>
            <w:tcW w:w="3474"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布袋除尘器</w:t>
            </w:r>
          </w:p>
        </w:tc>
        <w:tc>
          <w:tcPr>
            <w:tcW w:w="1125"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eastAsia"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rPr>
              <w:t>1</w:t>
            </w:r>
            <w:r>
              <w:rPr>
                <w:rFonts w:hint="eastAsia" w:cs="Times New Roman"/>
                <w:color w:val="auto"/>
                <w:spacing w:val="0"/>
                <w:sz w:val="21"/>
                <w:szCs w:val="21"/>
                <w:highlight w:val="none"/>
                <w:lang w:val="en-US" w:eastAsia="zh-CN"/>
              </w:rPr>
              <w:t>台</w:t>
            </w:r>
          </w:p>
        </w:tc>
        <w:tc>
          <w:tcPr>
            <w:tcW w:w="1409"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50.0</w:t>
            </w:r>
          </w:p>
        </w:tc>
        <w:tc>
          <w:tcPr>
            <w:tcW w:w="1258"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71" w:type="dxa"/>
            <w:vMerge w:val="continue"/>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p>
        </w:tc>
        <w:tc>
          <w:tcPr>
            <w:tcW w:w="3474"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石灰-石膏法脱硫系统</w:t>
            </w:r>
          </w:p>
        </w:tc>
        <w:tc>
          <w:tcPr>
            <w:tcW w:w="1125"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1套</w:t>
            </w:r>
          </w:p>
        </w:tc>
        <w:tc>
          <w:tcPr>
            <w:tcW w:w="1409"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100.0</w:t>
            </w:r>
          </w:p>
        </w:tc>
        <w:tc>
          <w:tcPr>
            <w:tcW w:w="1258"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lang w:val="en-US"/>
              </w:rPr>
            </w:pPr>
            <w:r>
              <w:rPr>
                <w:rFonts w:hint="default" w:ascii="Times New Roman" w:hAnsi="Times New Roman" w:cs="Times New Roman"/>
                <w:color w:val="auto"/>
                <w:spacing w:val="0"/>
                <w:sz w:val="21"/>
                <w:szCs w:val="21"/>
                <w:highlight w:val="none"/>
                <w:lang w:val="en-US" w:eastAsia="zh-CN"/>
              </w:rPr>
              <w:t>改造</w:t>
            </w:r>
            <w:r>
              <w:rPr>
                <w:rFonts w:hint="eastAsia" w:cs="Times New Roman"/>
                <w:color w:val="auto"/>
                <w:spacing w:val="0"/>
                <w:sz w:val="21"/>
                <w:szCs w:val="21"/>
                <w:highlight w:val="none"/>
                <w:lang w:val="en-US" w:eastAsia="zh-CN"/>
              </w:rPr>
              <w:t>及</w:t>
            </w:r>
            <w:r>
              <w:rPr>
                <w:rFonts w:hint="default" w:ascii="Times New Roman" w:hAnsi="Times New Roman" w:cs="Times New Roman"/>
                <w:color w:val="auto"/>
                <w:spacing w:val="0"/>
                <w:sz w:val="21"/>
                <w:szCs w:val="21"/>
                <w:highlight w:val="none"/>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71" w:type="dxa"/>
            <w:vMerge w:val="continue"/>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p>
        </w:tc>
        <w:tc>
          <w:tcPr>
            <w:tcW w:w="3474"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SNCR+SCR联合脱硝系统</w:t>
            </w:r>
          </w:p>
        </w:tc>
        <w:tc>
          <w:tcPr>
            <w:tcW w:w="1125"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1套</w:t>
            </w:r>
          </w:p>
        </w:tc>
        <w:tc>
          <w:tcPr>
            <w:tcW w:w="1409"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100.0</w:t>
            </w:r>
          </w:p>
        </w:tc>
        <w:tc>
          <w:tcPr>
            <w:tcW w:w="1258"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lang w:val="en-US" w:eastAsia="zh-CN"/>
              </w:rPr>
              <w:t>改造</w:t>
            </w:r>
            <w:r>
              <w:rPr>
                <w:rFonts w:hint="eastAsia" w:cs="Times New Roman"/>
                <w:color w:val="auto"/>
                <w:spacing w:val="0"/>
                <w:sz w:val="21"/>
                <w:szCs w:val="21"/>
                <w:highlight w:val="none"/>
                <w:lang w:val="en-US" w:eastAsia="zh-CN"/>
              </w:rPr>
              <w:t>及</w:t>
            </w:r>
            <w:r>
              <w:rPr>
                <w:rFonts w:hint="default" w:ascii="Times New Roman" w:hAnsi="Times New Roman" w:cs="Times New Roman"/>
                <w:color w:val="auto"/>
                <w:spacing w:val="0"/>
                <w:sz w:val="21"/>
                <w:szCs w:val="21"/>
                <w:highlight w:val="none"/>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71" w:type="dxa"/>
            <w:vMerge w:val="continue"/>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p>
        </w:tc>
        <w:tc>
          <w:tcPr>
            <w:tcW w:w="3474"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eastAsia" w:cs="Times New Roman"/>
                <w:color w:val="auto"/>
                <w:sz w:val="21"/>
                <w:szCs w:val="21"/>
                <w:lang w:val="en-US" w:eastAsia="zh-CN"/>
              </w:rPr>
              <w:t>全封闭式输煤廊道</w:t>
            </w:r>
          </w:p>
        </w:tc>
        <w:tc>
          <w:tcPr>
            <w:tcW w:w="1125"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w:t>
            </w:r>
          </w:p>
        </w:tc>
        <w:tc>
          <w:tcPr>
            <w:tcW w:w="1409"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50.0</w:t>
            </w:r>
          </w:p>
        </w:tc>
        <w:tc>
          <w:tcPr>
            <w:tcW w:w="1258"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改造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71" w:type="dxa"/>
            <w:vMerge w:val="continue"/>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p>
        </w:tc>
        <w:tc>
          <w:tcPr>
            <w:tcW w:w="3474"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eastAsia"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rPr>
              <w:t>灰</w:t>
            </w:r>
            <w:r>
              <w:rPr>
                <w:rFonts w:hint="eastAsia" w:cs="Times New Roman"/>
                <w:color w:val="auto"/>
                <w:spacing w:val="0"/>
                <w:sz w:val="21"/>
                <w:szCs w:val="21"/>
                <w:highlight w:val="none"/>
                <w:lang w:val="en-US" w:eastAsia="zh-CN"/>
              </w:rPr>
              <w:t>库</w:t>
            </w:r>
          </w:p>
        </w:tc>
        <w:tc>
          <w:tcPr>
            <w:tcW w:w="1125"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1座</w:t>
            </w:r>
          </w:p>
        </w:tc>
        <w:tc>
          <w:tcPr>
            <w:tcW w:w="1409"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w:t>
            </w:r>
          </w:p>
        </w:tc>
        <w:tc>
          <w:tcPr>
            <w:tcW w:w="1258"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依托现有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71" w:type="dxa"/>
            <w:vMerge w:val="continue"/>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p>
        </w:tc>
        <w:tc>
          <w:tcPr>
            <w:tcW w:w="3474"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eastAsia"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渣仓</w:t>
            </w:r>
          </w:p>
        </w:tc>
        <w:tc>
          <w:tcPr>
            <w:tcW w:w="1125"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1座</w:t>
            </w:r>
          </w:p>
        </w:tc>
        <w:tc>
          <w:tcPr>
            <w:tcW w:w="1409"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w:t>
            </w:r>
          </w:p>
        </w:tc>
        <w:tc>
          <w:tcPr>
            <w:tcW w:w="1258"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依托现有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71" w:type="dxa"/>
            <w:vMerge w:val="continue"/>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p>
        </w:tc>
        <w:tc>
          <w:tcPr>
            <w:tcW w:w="3474"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lang w:val="en-US"/>
              </w:rPr>
            </w:pPr>
            <w:r>
              <w:rPr>
                <w:rFonts w:hint="eastAsia" w:cs="Times New Roman"/>
                <w:color w:val="auto"/>
                <w:spacing w:val="0"/>
                <w:sz w:val="21"/>
                <w:szCs w:val="21"/>
                <w:highlight w:val="none"/>
                <w:lang w:val="en-US" w:eastAsia="zh-CN"/>
              </w:rPr>
              <w:t>渣场</w:t>
            </w:r>
          </w:p>
        </w:tc>
        <w:tc>
          <w:tcPr>
            <w:tcW w:w="1125"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1座</w:t>
            </w:r>
          </w:p>
        </w:tc>
        <w:tc>
          <w:tcPr>
            <w:tcW w:w="1409"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w:t>
            </w:r>
          </w:p>
        </w:tc>
        <w:tc>
          <w:tcPr>
            <w:tcW w:w="1258"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依托现有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71"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噪声治理</w:t>
            </w:r>
          </w:p>
        </w:tc>
        <w:tc>
          <w:tcPr>
            <w:tcW w:w="3474"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降噪、隔声、消声、减震</w:t>
            </w:r>
          </w:p>
        </w:tc>
        <w:tc>
          <w:tcPr>
            <w:tcW w:w="1125"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1套</w:t>
            </w:r>
          </w:p>
        </w:tc>
        <w:tc>
          <w:tcPr>
            <w:tcW w:w="1409"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rPr>
              <w:t>10</w:t>
            </w:r>
            <w:r>
              <w:rPr>
                <w:rFonts w:hint="eastAsia" w:cs="Times New Roman"/>
                <w:color w:val="auto"/>
                <w:spacing w:val="0"/>
                <w:sz w:val="21"/>
                <w:szCs w:val="21"/>
                <w:highlight w:val="none"/>
                <w:lang w:val="en-US" w:eastAsia="zh-CN"/>
              </w:rPr>
              <w:t>.0</w:t>
            </w:r>
          </w:p>
        </w:tc>
        <w:tc>
          <w:tcPr>
            <w:tcW w:w="1258"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71" w:type="dxa"/>
            <w:vMerge w:val="restart"/>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环保管理</w:t>
            </w:r>
          </w:p>
        </w:tc>
        <w:tc>
          <w:tcPr>
            <w:tcW w:w="3474"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en-US" w:eastAsia="zh-CN"/>
              </w:rPr>
              <w:t>烟气排放连续监测系统（CEMS）</w:t>
            </w:r>
          </w:p>
        </w:tc>
        <w:tc>
          <w:tcPr>
            <w:tcW w:w="1125"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1套</w:t>
            </w:r>
          </w:p>
        </w:tc>
        <w:tc>
          <w:tcPr>
            <w:tcW w:w="1409"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500.0</w:t>
            </w:r>
          </w:p>
        </w:tc>
        <w:tc>
          <w:tcPr>
            <w:tcW w:w="1258"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eastAsia"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拆除原有后</w:t>
            </w:r>
          </w:p>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eastAsia" w:cs="Times New Roman"/>
                <w:color w:val="auto"/>
                <w:spacing w:val="0"/>
                <w:sz w:val="21"/>
                <w:szCs w:val="21"/>
                <w:highlight w:val="none"/>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71" w:type="dxa"/>
            <w:vMerge w:val="continue"/>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p>
        </w:tc>
        <w:tc>
          <w:tcPr>
            <w:tcW w:w="3474" w:type="dxa"/>
            <w:tcBorders>
              <w:tl2br w:val="nil"/>
              <w:tr2bl w:val="nil"/>
            </w:tcBorders>
            <w:vAlign w:val="center"/>
          </w:tcPr>
          <w:p>
            <w:pPr>
              <w:keepNext w:val="0"/>
              <w:keepLines w:val="0"/>
              <w:pageBreakBefore w:val="0"/>
              <w:widowControl w:val="0"/>
              <w:kinsoku/>
              <w:wordWrap w:val="0"/>
              <w:overflowPunct/>
              <w:topLinePunct w:val="0"/>
              <w:autoSpaceDE/>
              <w:autoSpaceDN/>
              <w:bidi w:val="0"/>
              <w:adjustRightInd/>
              <w:snapToGrid/>
              <w:spacing w:line="300" w:lineRule="exact"/>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排污口规范化</w:t>
            </w:r>
          </w:p>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eastAsia" w:ascii="Times New Roman" w:hAnsi="Times New Roman" w:cs="Times New Roman"/>
                <w:color w:val="auto"/>
                <w:sz w:val="21"/>
                <w:szCs w:val="21"/>
                <w:lang w:val="en-US" w:eastAsia="zh-CN"/>
              </w:rPr>
              <w:t>（标识标牌等规范化排污口建设）</w:t>
            </w:r>
          </w:p>
        </w:tc>
        <w:tc>
          <w:tcPr>
            <w:tcW w:w="1125"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w:t>
            </w:r>
          </w:p>
        </w:tc>
        <w:tc>
          <w:tcPr>
            <w:tcW w:w="1409"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5.0</w:t>
            </w:r>
          </w:p>
        </w:tc>
        <w:tc>
          <w:tcPr>
            <w:tcW w:w="1258"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71"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合计</w:t>
            </w:r>
          </w:p>
        </w:tc>
        <w:tc>
          <w:tcPr>
            <w:tcW w:w="4599" w:type="dxa"/>
            <w:gridSpan w:val="2"/>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w:t>
            </w:r>
          </w:p>
        </w:tc>
        <w:tc>
          <w:tcPr>
            <w:tcW w:w="1409"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815.0</w:t>
            </w:r>
          </w:p>
        </w:tc>
        <w:tc>
          <w:tcPr>
            <w:tcW w:w="1258" w:type="dxa"/>
            <w:tcBorders>
              <w:tl2br w:val="nil"/>
              <w:tr2bl w:val="nil"/>
            </w:tcBorders>
            <w:vAlign w:val="center"/>
          </w:tcPr>
          <w:p>
            <w:pPr>
              <w:pageBreakBefore w:val="0"/>
              <w:widowControl w:val="0"/>
              <w:kinsoku/>
              <w:overflowPunct/>
              <w:topLinePunct w:val="0"/>
              <w:bidi w:val="0"/>
              <w:spacing w:line="360" w:lineRule="exact"/>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w:t>
            </w:r>
          </w:p>
        </w:tc>
      </w:tr>
    </w:tbl>
    <w:p>
      <w:pPr>
        <w:spacing w:line="360" w:lineRule="auto"/>
        <w:ind w:firstLine="480" w:firstLineChars="20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环境效益集中体现在对生产中污染物的排放控制、资源的集中合理利用等方面，并且还能做到废物的综合利用，不仅可以减少企业在资源方面的投入，更重要的是减少了污染物对周围环境的影响，并且可以做到达标排放。</w:t>
      </w:r>
    </w:p>
    <w:p>
      <w:pPr>
        <w:spacing w:line="360" w:lineRule="auto"/>
        <w:ind w:firstLine="480" w:firstLineChars="20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环保投资主要包括废气源头控制、固体废物综合利用等环境工程投资，投资重点符合项目的特点，在这些环境保护措施充分实施后，生产过程的污染物排放将会大大地减少，将大量的污染消化在生产过程中，外排废物的环境污染风险也将会大大地降低，使项目建设的环境正效益最大化，较好地控制本项目对环境的污染和影响程度，其环境影响则在允许范围之内。</w:t>
      </w:r>
    </w:p>
    <w:p>
      <w:pPr>
        <w:spacing w:line="360" w:lineRule="auto"/>
        <w:ind w:firstLine="480" w:firstLineChars="20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综上所述，建设项目如认真落实本环评提出的各项环境保护措施，保证项目的环境可行性，将具有较为良好的社会效益、经济效益。此外，应当注意在生产过程中加强设备的管理、职工培训、严格操作规程，保证生产设备和环保设施的正常运行，确保环境保护要求的防治措施得到实施。这样，本项目的环境经济效益才能达到预期的效果。</w:t>
      </w:r>
    </w:p>
    <w:p>
      <w:pPr>
        <w:pStyle w:val="2"/>
        <w:keepLines w:val="0"/>
        <w:pageBreakBefore w:val="0"/>
        <w:widowControl w:val="0"/>
        <w:kinsoku/>
        <w:wordWrap/>
        <w:overflowPunct/>
        <w:topLinePunct w:val="0"/>
        <w:autoSpaceDE/>
        <w:autoSpaceDN/>
        <w:bidi w:val="0"/>
        <w:adjustRightInd w:val="0"/>
        <w:snapToGrid w:val="0"/>
        <w:spacing w:beforeLines="0" w:afterLines="0"/>
        <w:textAlignment w:val="auto"/>
        <w:rPr>
          <w:color w:val="auto"/>
          <w:highlight w:val="none"/>
        </w:rPr>
      </w:pPr>
      <w:bookmarkStart w:id="71" w:name="_Toc32210"/>
      <w:r>
        <w:rPr>
          <w:rFonts w:hint="eastAsia"/>
          <w:color w:val="auto"/>
          <w:highlight w:val="none"/>
          <w:lang w:val="en-US" w:eastAsia="zh-CN"/>
        </w:rPr>
        <w:t>9</w:t>
      </w:r>
      <w:r>
        <w:rPr>
          <w:color w:val="auto"/>
          <w:highlight w:val="none"/>
        </w:rPr>
        <w:t>环境管理与监测计划</w:t>
      </w:r>
      <w:bookmarkEnd w:id="71"/>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了贯彻执行国家和地方环境保护法律、法规、政策与标准，及时掌握和了解污染控制措施的效果，以及项目所在区域环境质量的变化情况，更好地监控环保设施的运行情况，协调与地方环保职能部门和其它有关部门的工作，同时保证企业生产管理和环境管理的正常运作，建立环境管理体系与监测制度是非常必要和重要的。</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管理体系与监测机构的建立能够帮助企业及早发现问题，使企业在发展生产的同时节约能源、降低原材料消耗，控制污染物排放量，减轻污染物排放对环境产生的影响，为企业创造更好的经济效益和环境效益，树立良好的社会形象。</w:t>
      </w:r>
    </w:p>
    <w:p>
      <w:pPr>
        <w:pStyle w:val="3"/>
        <w:keepLines w:val="0"/>
        <w:pageBreakBefore w:val="0"/>
        <w:widowControl w:val="0"/>
        <w:tabs>
          <w:tab w:val="left" w:pos="1302"/>
        </w:tabs>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highlight w:val="none"/>
        </w:rPr>
      </w:pPr>
      <w:bookmarkStart w:id="72" w:name="_Toc12893"/>
      <w:bookmarkStart w:id="73" w:name="_Toc1778"/>
      <w:bookmarkStart w:id="74" w:name="_Toc267"/>
      <w:bookmarkStart w:id="75" w:name="_Toc120780873"/>
      <w:bookmarkStart w:id="76" w:name="_Toc120776833"/>
      <w:bookmarkStart w:id="77" w:name="_Toc123015356"/>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.1环境管理</w:t>
      </w:r>
      <w:bookmarkEnd w:id="72"/>
      <w:bookmarkEnd w:id="73"/>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企业环境管理的基本任务是以保护环境为目标，清洁生产为手段，发展生产与经济效益为目的，可以促进企业的生产管理、物资管理和技术管理，使资源、能源得到充分利用，降低企业能耗、物耗，减少污染物排放总量，起到保护环境，改善企业与周围群众的关系，同时也使企业达到提高经济效益的目的。</w:t>
      </w:r>
    </w:p>
    <w:p>
      <w:pPr>
        <w:pStyle w:val="4"/>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highlight w:val="none"/>
        </w:rPr>
      </w:pPr>
      <w:bookmarkStart w:id="78" w:name="_Toc17222637"/>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.1.1环境管理机构及人员要求</w:t>
      </w:r>
      <w:bookmarkEnd w:id="78"/>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托里县住房和城乡建设局必须设置由厂长负责的环境保护管理机构，从上到下建立起环境目标责任制、岗位责任制，负责本厂的环境管理工作，负责对托里县住房和城乡建设局内环境保护实行统一的监督管理，并对托里县住房和城乡建设局所在区域环境质量全面负责，接受上级环境保护行政部门的监督、检查和指导。托里县住房和城乡建设局应配备专职环境管理人员，负责环保设施正常运行管理、污染监测及污染事故的应急处理。</w:t>
      </w:r>
    </w:p>
    <w:p>
      <w:pPr>
        <w:pStyle w:val="4"/>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highlight w:val="none"/>
        </w:rPr>
      </w:pPr>
      <w:bookmarkStart w:id="79" w:name="_Toc123015357"/>
      <w:bookmarkStart w:id="80" w:name="_Toc120780874"/>
      <w:bookmarkStart w:id="81" w:name="_Toc120776834"/>
      <w:bookmarkStart w:id="82" w:name="_Toc17222638"/>
      <w:bookmarkStart w:id="83" w:name="_Toc2470"/>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.1.2环境管理</w:t>
      </w:r>
      <w:bookmarkEnd w:id="79"/>
      <w:bookmarkEnd w:id="80"/>
      <w:bookmarkEnd w:id="81"/>
      <w:r>
        <w:rPr>
          <w:rFonts w:hint="default" w:ascii="Times New Roman" w:hAnsi="Times New Roman" w:eastAsia="宋体" w:cs="Times New Roman"/>
          <w:color w:val="auto"/>
          <w:highlight w:val="none"/>
        </w:rPr>
        <w:t>机构职能</w:t>
      </w:r>
      <w:bookmarkEnd w:id="82"/>
      <w:bookmarkEnd w:id="83"/>
    </w:p>
    <w:bookmarkEnd w:id="74"/>
    <w:bookmarkEnd w:id="75"/>
    <w:bookmarkEnd w:id="76"/>
    <w:bookmarkEnd w:id="77"/>
    <w:p>
      <w:pPr>
        <w:pStyle w:val="5"/>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.1.2.1施工期环境</w:t>
      </w:r>
      <w:r>
        <w:rPr>
          <w:rFonts w:hint="default" w:ascii="Times New Roman" w:hAnsi="Times New Roman" w:eastAsia="宋体" w:cs="Times New Roman"/>
          <w:color w:val="auto"/>
          <w:highlight w:val="none"/>
          <w:lang w:val="en-US" w:eastAsia="zh-CN"/>
        </w:rPr>
        <w:t>保护</w:t>
      </w:r>
      <w:r>
        <w:rPr>
          <w:rFonts w:hint="default" w:ascii="Times New Roman" w:hAnsi="Times New Roman" w:eastAsia="宋体" w:cs="Times New Roman"/>
          <w:color w:val="auto"/>
          <w:highlight w:val="none"/>
          <w:lang w:eastAsia="zh-CN"/>
        </w:rPr>
        <w:t>管理</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52" w:firstLineChars="200"/>
        <w:textAlignment w:val="auto"/>
        <w:rPr>
          <w:rFonts w:hint="default" w:ascii="Times New Roman" w:hAnsi="Times New Roman" w:eastAsia="宋体" w:cs="Times New Roman"/>
          <w:color w:val="auto"/>
          <w:spacing w:val="-7"/>
          <w:highlight w:val="none"/>
          <w:lang w:eastAsia="zh-CN"/>
        </w:rPr>
      </w:pPr>
      <w:r>
        <w:rPr>
          <w:rFonts w:hint="default" w:ascii="Times New Roman" w:hAnsi="Times New Roman" w:eastAsia="宋体" w:cs="Times New Roman"/>
          <w:color w:val="auto"/>
          <w:spacing w:val="-7"/>
          <w:highlight w:val="none"/>
          <w:lang w:eastAsia="zh-CN"/>
        </w:rPr>
        <w:t>（</w:t>
      </w:r>
      <w:r>
        <w:rPr>
          <w:rFonts w:hint="default" w:ascii="Times New Roman" w:hAnsi="Times New Roman" w:eastAsia="宋体" w:cs="Times New Roman"/>
          <w:color w:val="auto"/>
          <w:spacing w:val="-7"/>
          <w:highlight w:val="none"/>
          <w:lang w:val="en-US" w:eastAsia="zh-CN"/>
        </w:rPr>
        <w:t>1</w:t>
      </w:r>
      <w:r>
        <w:rPr>
          <w:rFonts w:hint="default" w:ascii="Times New Roman" w:hAnsi="Times New Roman" w:eastAsia="宋体" w:cs="Times New Roman"/>
          <w:color w:val="auto"/>
          <w:spacing w:val="-7"/>
          <w:highlight w:val="none"/>
          <w:lang w:eastAsia="zh-CN"/>
        </w:rPr>
        <w:t>）施工期环境管理要求</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为加强施工现场管理，防止施工扬尘污染和施工噪声扰民，本评价对项目施工期环境管理机构设置及其职责如下要求：</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1）建设单位应配备1名具有环保专业知识的技术人员，专职或兼职负责施工期的环境保护工作，其主要职责如下：</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①根据国家及地方政策有关施工管理条例和施工操作规范，结合项目特点，制定施工环境管理条例，为施工单位的施工活动提出具体要求；</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②监督、检查施工单位对条例的执行情况；</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③受理对施工过程中的环境保护意见，并及时与施工单位协商解决；</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④参与有关环境纠纷和污染事故的调查处理工作。</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2）施工单位设置1名专职或兼职环境保护人员，其主要职责为：</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①按建设单位和环境影响评价要求制定文明施工计划，向当地环保行政部分提交施工阶段环境保护报告。内容应包括：工程进度、主要施工内容及方法、造成的环境影响评述以及减缓环境影响措施的落实情况；</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②与业主单位环保人员一同制定</w:t>
      </w:r>
      <w:r>
        <w:rPr>
          <w:rFonts w:hint="default" w:ascii="Times New Roman" w:hAnsi="Times New Roman" w:eastAsia="宋体" w:cs="Times New Roman"/>
          <w:color w:val="auto"/>
          <w:highlight w:val="none"/>
          <w:lang w:eastAsia="zh-CN"/>
        </w:rPr>
        <w:t>本项目</w:t>
      </w:r>
      <w:r>
        <w:rPr>
          <w:rFonts w:hint="default" w:ascii="Times New Roman" w:hAnsi="Times New Roman" w:eastAsia="宋体" w:cs="Times New Roman"/>
          <w:color w:val="auto"/>
          <w:highlight w:val="none"/>
        </w:rPr>
        <w:t>施工环境管理条例；</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③定期检查施工环境管理条例实施情况，并督促有关人员进行整改；</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④定期听取</w:t>
      </w:r>
      <w:r>
        <w:rPr>
          <w:rFonts w:hint="default" w:ascii="Times New Roman" w:hAnsi="Times New Roman" w:eastAsia="宋体" w:cs="Times New Roman"/>
          <w:color w:val="auto"/>
          <w:highlight w:val="none"/>
          <w:lang w:eastAsia="zh-CN"/>
        </w:rPr>
        <w:t>生态环境部门</w:t>
      </w:r>
      <w:r>
        <w:rPr>
          <w:rFonts w:hint="default" w:ascii="Times New Roman" w:hAnsi="Times New Roman" w:eastAsia="宋体" w:cs="Times New Roman"/>
          <w:color w:val="auto"/>
          <w:highlight w:val="none"/>
        </w:rPr>
        <w:t>、建设单位和周围居民对施工污染影响的意见，以便进一步加强文明施工。</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）施工期环境监理要求</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监理范围为：</w:t>
      </w:r>
      <w:r>
        <w:rPr>
          <w:rFonts w:hint="eastAsia" w:ascii="宋体" w:hAnsi="宋体" w:eastAsia="宋体" w:cs="宋体"/>
          <w:color w:val="auto"/>
          <w:highlight w:val="none"/>
          <w:lang w:val="en-US" w:eastAsia="zh-CN"/>
        </w:rPr>
        <w:t>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w:t>
      </w:r>
      <w:r>
        <w:rPr>
          <w:rFonts w:hint="default" w:ascii="Times New Roman" w:hAnsi="Times New Roman" w:eastAsia="宋体" w:cs="Times New Roman"/>
          <w:color w:val="auto"/>
          <w:highlight w:val="none"/>
        </w:rPr>
        <w:t>占地区域、</w:t>
      </w:r>
      <w:r>
        <w:rPr>
          <w:rFonts w:hint="eastAsia" w:ascii="宋体" w:hAnsi="宋体" w:eastAsia="宋体" w:cs="宋体"/>
          <w:color w:val="auto"/>
          <w:highlight w:val="none"/>
          <w:lang w:val="en-US" w:eastAsia="zh-CN"/>
        </w:rPr>
        <w:t>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w:t>
      </w:r>
      <w:r>
        <w:rPr>
          <w:rFonts w:hint="default" w:ascii="Times New Roman" w:hAnsi="Times New Roman" w:eastAsia="宋体" w:cs="Times New Roman"/>
          <w:color w:val="auto"/>
          <w:highlight w:val="none"/>
        </w:rPr>
        <w:t>厂界外延200m范围、临时占地区域及</w:t>
      </w:r>
      <w:r>
        <w:rPr>
          <w:rFonts w:hint="default" w:ascii="Times New Roman" w:hAnsi="Times New Roman" w:eastAsia="宋体" w:cs="Times New Roman"/>
          <w:color w:val="auto"/>
          <w:highlight w:val="none"/>
          <w:lang w:val="en-US" w:eastAsia="zh-CN"/>
        </w:rPr>
        <w:t>新建供热管网工程</w:t>
      </w:r>
      <w:r>
        <w:rPr>
          <w:rFonts w:hint="default" w:ascii="Times New Roman" w:hAnsi="Times New Roman" w:eastAsia="宋体" w:cs="Times New Roman"/>
          <w:color w:val="auto"/>
          <w:highlight w:val="none"/>
        </w:rPr>
        <w:t>沿线，主要包括</w:t>
      </w:r>
      <w:r>
        <w:rPr>
          <w:rFonts w:hint="eastAsia" w:ascii="宋体" w:hAnsi="宋体" w:eastAsia="宋体" w:cs="宋体"/>
          <w:color w:val="auto"/>
          <w:highlight w:val="none"/>
          <w:lang w:val="en-US" w:eastAsia="zh-CN"/>
        </w:rPr>
        <w:t>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w:t>
      </w:r>
      <w:r>
        <w:rPr>
          <w:rFonts w:hint="default" w:ascii="Times New Roman" w:hAnsi="Times New Roman" w:eastAsia="宋体" w:cs="Times New Roman"/>
          <w:color w:val="auto"/>
          <w:highlight w:val="none"/>
        </w:rPr>
        <w:t>、临时工程的施工现场、施工便道、临时堆场、各类施工设施以及主要运输道路。</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监理内容包括生态保护、水土保持、地质灾害防治、绿化、污染物防治</w:t>
      </w:r>
      <w:r>
        <w:rPr>
          <w:rFonts w:hint="eastAsia" w:ascii="Times New Roman" w:hAnsi="Times New Roman" w:eastAsia="宋体" w:cs="Times New Roman"/>
          <w:color w:val="auto"/>
          <w:highlight w:val="none"/>
          <w:lang w:val="en-US" w:eastAsia="zh-CN"/>
        </w:rPr>
        <w:t>设施的建设</w:t>
      </w:r>
      <w:r>
        <w:rPr>
          <w:rFonts w:hint="default" w:ascii="Times New Roman" w:hAnsi="Times New Roman" w:eastAsia="宋体" w:cs="Times New Roman"/>
          <w:color w:val="auto"/>
          <w:highlight w:val="none"/>
        </w:rPr>
        <w:t>等环境保护工作的所有方面。</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本环评要求，本项目</w:t>
      </w:r>
      <w:r>
        <w:rPr>
          <w:rFonts w:hint="default" w:ascii="Times New Roman" w:hAnsi="Times New Roman" w:eastAsia="宋体" w:cs="Times New Roman"/>
          <w:color w:val="auto"/>
          <w:highlight w:val="none"/>
          <w:lang w:eastAsia="zh-CN"/>
        </w:rPr>
        <w:t>施工期环境监理</w:t>
      </w:r>
      <w:r>
        <w:rPr>
          <w:rFonts w:hint="eastAsia" w:ascii="Times New Roman" w:hAnsi="Times New Roman" w:eastAsia="宋体" w:cs="Times New Roman"/>
          <w:color w:val="auto"/>
          <w:highlight w:val="none"/>
          <w:lang w:val="en-US" w:eastAsia="zh-CN"/>
        </w:rPr>
        <w:t>期间，监理人员应重点关注本项目的污染</w:t>
      </w:r>
      <w:r>
        <w:rPr>
          <w:rFonts w:hint="default" w:ascii="Times New Roman" w:hAnsi="Times New Roman" w:eastAsia="宋体" w:cs="Times New Roman"/>
          <w:color w:val="auto"/>
          <w:highlight w:val="none"/>
        </w:rPr>
        <w:t>污染物防治</w:t>
      </w:r>
      <w:r>
        <w:rPr>
          <w:rFonts w:hint="eastAsia" w:ascii="Times New Roman" w:hAnsi="Times New Roman" w:eastAsia="宋体" w:cs="Times New Roman"/>
          <w:color w:val="auto"/>
          <w:highlight w:val="none"/>
          <w:lang w:val="en-US" w:eastAsia="zh-CN"/>
        </w:rPr>
        <w:t>设施的建设内容，如本项目布袋式除尘器的安装，石灰-石膏法脱硫及SNCR-SCR法脱硝系统的改造，确保锅炉废气</w:t>
      </w:r>
      <w:r>
        <w:rPr>
          <w:rFonts w:hint="default" w:ascii="Times New Roman" w:hAnsi="Times New Roman" w:eastAsia="宋体" w:cs="Times New Roman"/>
          <w:color w:val="auto"/>
          <w:highlight w:val="none"/>
        </w:rPr>
        <w:t>污染物防治</w:t>
      </w:r>
      <w:r>
        <w:rPr>
          <w:rFonts w:hint="eastAsia" w:ascii="Times New Roman" w:hAnsi="Times New Roman" w:eastAsia="宋体" w:cs="Times New Roman"/>
          <w:color w:val="auto"/>
          <w:highlight w:val="none"/>
          <w:lang w:val="en-US" w:eastAsia="zh-CN"/>
        </w:rPr>
        <w:t>设施能够达到设计要求，满足后期正常运行。对于新建供热管网</w:t>
      </w:r>
      <w:r>
        <w:rPr>
          <w:rFonts w:hint="eastAsia" w:cs="Times New Roman"/>
          <w:color w:val="auto"/>
          <w:highlight w:val="none"/>
          <w:lang w:val="en-US" w:eastAsia="zh-CN"/>
        </w:rPr>
        <w:t>工程，应重点关注施工过程中临建围挡设施，弃土堆存及去向，</w:t>
      </w:r>
      <w:r>
        <w:rPr>
          <w:rFonts w:hint="eastAsia" w:ascii="Times New Roman" w:hAnsi="Times New Roman" w:eastAsia="宋体" w:cs="Times New Roman"/>
          <w:color w:val="auto"/>
          <w:highlight w:val="none"/>
          <w:lang w:val="en-US" w:eastAsia="zh-CN"/>
        </w:rPr>
        <w:t>并纳入环境监理报告。</w:t>
      </w:r>
    </w:p>
    <w:p>
      <w:pPr>
        <w:pStyle w:val="13"/>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环境监理工作职责</w:t>
      </w:r>
    </w:p>
    <w:p>
      <w:pPr>
        <w:pStyle w:val="13"/>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①监理人员应严格地履行监理职责，切实起到监督管理的作用，使现场各施工工艺应采取的各项环境保护措施得到有效实施，确保环境保护工作的有效实施。</w:t>
      </w:r>
    </w:p>
    <w:p>
      <w:pPr>
        <w:pStyle w:val="13"/>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lang w:val="en-US" w:eastAsia="zh-CN"/>
        </w:rPr>
        <w:t>做</w:t>
      </w:r>
      <w:r>
        <w:rPr>
          <w:rFonts w:hint="default" w:ascii="Times New Roman" w:hAnsi="Times New Roman" w:eastAsia="宋体" w:cs="Times New Roman"/>
          <w:color w:val="auto"/>
          <w:highlight w:val="none"/>
        </w:rPr>
        <w:t>好环境保护法律、法规宣传贯彻工作，提高全体参建人员的环境保护意识，使其自觉参与做好环境保护工作。</w:t>
      </w:r>
    </w:p>
    <w:p>
      <w:pPr>
        <w:pStyle w:val="13"/>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③制定阶段性环境监理验收规划，对单位工程竣工进行环境监理验收，做到工程竣工后环保手续齐全，资料完整。</w:t>
      </w:r>
    </w:p>
    <w:p>
      <w:pPr>
        <w:pStyle w:val="13"/>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④对未招标的建设项目在合同中签署环境保护合同条款，审核其施工组织设计中环境保护内容，施工组织设计中增加环境保护章节并且内容要具体。</w:t>
      </w:r>
    </w:p>
    <w:p>
      <w:pPr>
        <w:pStyle w:val="13"/>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360" w:lineRule="auto"/>
        <w:ind w:left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val="en-US" w:eastAsia="zh-CN"/>
        </w:rPr>
        <w:t>施工期环境监理计划</w:t>
      </w:r>
    </w:p>
    <w:p>
      <w:pPr>
        <w:pStyle w:val="13"/>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本项目施工期环境监理计划见表</w:t>
      </w:r>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lang w:val="en-US" w:eastAsia="zh-CN"/>
        </w:rPr>
        <w:t>.1</w:t>
      </w:r>
      <w:r>
        <w:rPr>
          <w:rFonts w:hint="eastAsia" w:cs="Times New Roman"/>
          <w:color w:val="auto"/>
          <w:highlight w:val="none"/>
          <w:lang w:val="en-US" w:eastAsia="zh-CN"/>
        </w:rPr>
        <w:t>.2</w:t>
      </w:r>
      <w:r>
        <w:rPr>
          <w:rFonts w:hint="default" w:ascii="Times New Roman" w:hAnsi="Times New Roman" w:eastAsia="宋体" w:cs="Times New Roman"/>
          <w:color w:val="auto"/>
          <w:highlight w:val="none"/>
          <w:lang w:val="en-US" w:eastAsia="zh-CN"/>
        </w:rPr>
        <w:t>-1。</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eastAsia" w:ascii="Times New Roman" w:hAnsi="Times New Roman" w:cs="Times New Roman"/>
          <w:b/>
          <w:bCs/>
          <w:color w:val="auto"/>
          <w:sz w:val="21"/>
          <w:szCs w:val="21"/>
          <w:highlight w:val="none"/>
          <w:lang w:val="en-US" w:eastAsia="zh-CN"/>
        </w:rPr>
        <w:t>9</w:t>
      </w:r>
      <w:r>
        <w:rPr>
          <w:rFonts w:hint="default" w:ascii="Times New Roman" w:hAnsi="Times New Roman" w:cs="Times New Roman"/>
          <w:b/>
          <w:bCs/>
          <w:color w:val="auto"/>
          <w:sz w:val="21"/>
          <w:szCs w:val="21"/>
          <w:highlight w:val="none"/>
        </w:rPr>
        <w:t>.1</w:t>
      </w:r>
      <w:r>
        <w:rPr>
          <w:rFonts w:hint="eastAsia" w:cs="Times New Roman"/>
          <w:b/>
          <w:bCs/>
          <w:color w:val="auto"/>
          <w:sz w:val="21"/>
          <w:szCs w:val="21"/>
          <w:highlight w:val="none"/>
          <w:lang w:val="en-US" w:eastAsia="zh-CN"/>
        </w:rPr>
        <w:t>.2</w:t>
      </w:r>
      <w:r>
        <w:rPr>
          <w:rFonts w:hint="default" w:ascii="Times New Roman" w:hAnsi="Times New Roman" w:cs="Times New Roman"/>
          <w:b/>
          <w:bCs/>
          <w:color w:val="auto"/>
          <w:sz w:val="21"/>
          <w:szCs w:val="21"/>
          <w:highlight w:val="none"/>
        </w:rPr>
        <w:t xml:space="preserve">-1 </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cs="Times New Roman"/>
          <w:b/>
          <w:bCs/>
          <w:color w:val="auto"/>
          <w:sz w:val="21"/>
          <w:szCs w:val="21"/>
          <w:highlight w:val="none"/>
        </w:rPr>
        <w:t>施工期环境</w:t>
      </w:r>
      <w:r>
        <w:rPr>
          <w:rFonts w:hint="default" w:ascii="Times New Roman" w:hAnsi="Times New Roman" w:cs="Times New Roman"/>
          <w:b/>
          <w:bCs/>
          <w:color w:val="auto"/>
          <w:sz w:val="21"/>
          <w:szCs w:val="21"/>
          <w:highlight w:val="none"/>
          <w:lang w:val="en-US" w:eastAsia="zh-CN"/>
        </w:rPr>
        <w:t>监理</w:t>
      </w:r>
      <w:r>
        <w:rPr>
          <w:rFonts w:hint="default" w:ascii="Times New Roman" w:hAnsi="Times New Roman" w:cs="Times New Roman"/>
          <w:b/>
          <w:bCs/>
          <w:color w:val="auto"/>
          <w:sz w:val="21"/>
          <w:szCs w:val="21"/>
          <w:highlight w:val="none"/>
        </w:rPr>
        <w:t>计划</w:t>
      </w:r>
    </w:p>
    <w:tbl>
      <w:tblPr>
        <w:tblStyle w:val="33"/>
        <w:tblW w:w="500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75"/>
        <w:gridCol w:w="5211"/>
        <w:gridCol w:w="969"/>
        <w:gridCol w:w="96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6"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环境问题</w:t>
            </w:r>
          </w:p>
        </w:tc>
        <w:tc>
          <w:tcPr>
            <w:tcW w:w="3130"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采取或将采取的行劝及管理要点</w:t>
            </w:r>
          </w:p>
        </w:tc>
        <w:tc>
          <w:tcPr>
            <w:tcW w:w="582"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实施</w:t>
            </w:r>
          </w:p>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机构</w:t>
            </w:r>
          </w:p>
        </w:tc>
        <w:tc>
          <w:tcPr>
            <w:tcW w:w="581"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center"/>
              <w:textAlignment w:val="auto"/>
              <w:rPr>
                <w:rFonts w:hint="default" w:ascii="Times New Roman" w:hAnsi="Times New Roman" w:cs="Times New Roman"/>
                <w:b/>
                <w:bCs/>
                <w:color w:val="auto"/>
                <w:sz w:val="21"/>
                <w:szCs w:val="21"/>
                <w:highlight w:val="none"/>
                <w:lang w:eastAsia="zh-CN"/>
              </w:rPr>
            </w:pPr>
            <w:r>
              <w:rPr>
                <w:rFonts w:hint="default" w:ascii="Times New Roman" w:hAnsi="Times New Roman" w:cs="Times New Roman"/>
                <w:b/>
                <w:bCs/>
                <w:color w:val="auto"/>
                <w:sz w:val="21"/>
                <w:szCs w:val="21"/>
                <w:highlight w:val="none"/>
                <w:lang w:eastAsia="zh-CN"/>
              </w:rPr>
              <w:t>监管</w:t>
            </w:r>
          </w:p>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机构</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6"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center"/>
              <w:textAlignment w:val="auto"/>
              <w:rPr>
                <w:rFonts w:hint="default" w:ascii="Times New Roman" w:hAnsi="Times New Roman" w:cs="Times New Roman"/>
                <w:color w:val="auto"/>
                <w:sz w:val="21"/>
                <w:szCs w:val="21"/>
                <w:highlight w:val="none"/>
              </w:rPr>
            </w:pPr>
          </w:p>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扬尘/空气污染</w:t>
            </w:r>
          </w:p>
        </w:tc>
        <w:tc>
          <w:tcPr>
            <w:tcW w:w="3130"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left"/>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施工期间适时洒水，</w:t>
            </w:r>
            <w:r>
              <w:rPr>
                <w:rFonts w:hint="default" w:ascii="Times New Roman" w:hAnsi="Times New Roman" w:cs="Times New Roman"/>
                <w:color w:val="auto"/>
                <w:sz w:val="21"/>
                <w:szCs w:val="21"/>
                <w:highlight w:val="none"/>
                <w:lang w:val="en-US" w:eastAsia="zh-CN"/>
              </w:rPr>
              <w:t>物料遮盖</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施工边界建立围挡，</w:t>
            </w:r>
            <w:r>
              <w:rPr>
                <w:rFonts w:hint="default" w:ascii="Times New Roman" w:hAnsi="Times New Roman" w:cs="Times New Roman"/>
                <w:color w:val="auto"/>
                <w:sz w:val="21"/>
                <w:szCs w:val="21"/>
                <w:highlight w:val="none"/>
              </w:rPr>
              <w:t>以防起尘。</w:t>
            </w:r>
          </w:p>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2</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运输建材的车辆需加以覆盖，以减少撒落。</w:t>
            </w:r>
          </w:p>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3</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应在施工区域及下风向监测大气污染物（以TSP计），</w:t>
            </w:r>
            <w:r>
              <w:rPr>
                <w:rFonts w:ascii="宋体" w:hAnsi="宋体" w:eastAsia="宋体" w:cs="宋体"/>
                <w:color w:val="auto"/>
                <w:spacing w:val="-1"/>
                <w:sz w:val="21"/>
                <w:szCs w:val="21"/>
              </w:rPr>
              <w:t>发现超标应及时采取有效措施</w:t>
            </w:r>
            <w:r>
              <w:rPr>
                <w:rFonts w:hint="eastAsia" w:ascii="宋体" w:hAnsi="宋体" w:cs="宋体"/>
                <w:color w:val="auto"/>
                <w:spacing w:val="-1"/>
                <w:sz w:val="21"/>
                <w:szCs w:val="21"/>
                <w:lang w:eastAsia="zh-CN"/>
              </w:rPr>
              <w:t>。</w:t>
            </w:r>
          </w:p>
        </w:tc>
        <w:tc>
          <w:tcPr>
            <w:tcW w:w="582"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施工单位</w:t>
            </w:r>
          </w:p>
        </w:tc>
        <w:tc>
          <w:tcPr>
            <w:tcW w:w="581" w:type="pct"/>
            <w:vMerge w:val="restar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塔城地区</w:t>
            </w:r>
            <w:r>
              <w:rPr>
                <w:rFonts w:hint="default" w:ascii="Times New Roman" w:hAnsi="Times New Roman" w:cs="Times New Roman"/>
                <w:color w:val="auto"/>
                <w:sz w:val="21"/>
                <w:szCs w:val="21"/>
                <w:highlight w:val="none"/>
                <w:lang w:val="en-US" w:eastAsia="zh-CN"/>
              </w:rPr>
              <w:t>生态环境局</w:t>
            </w:r>
            <w:r>
              <w:rPr>
                <w:rFonts w:hint="eastAsia" w:ascii="Times New Roman" w:hAnsi="Times New Roman" w:cs="Times New Roman"/>
                <w:color w:val="auto"/>
                <w:sz w:val="21"/>
                <w:szCs w:val="21"/>
                <w:highlight w:val="none"/>
                <w:lang w:val="en-US" w:eastAsia="zh-CN"/>
              </w:rPr>
              <w:t>托里</w:t>
            </w:r>
            <w:r>
              <w:rPr>
                <w:rFonts w:hint="default" w:ascii="Times New Roman" w:hAnsi="Times New Roman" w:cs="Times New Roman"/>
                <w:color w:val="auto"/>
                <w:sz w:val="21"/>
                <w:szCs w:val="21"/>
                <w:highlight w:val="none"/>
                <w:lang w:val="en-US" w:eastAsia="zh-CN"/>
              </w:rPr>
              <w:t>县分</w:t>
            </w:r>
            <w:r>
              <w:rPr>
                <w:rFonts w:hint="default" w:ascii="Times New Roman" w:hAnsi="Times New Roman" w:cs="Times New Roman"/>
                <w:color w:val="auto"/>
                <w:sz w:val="21"/>
                <w:szCs w:val="21"/>
                <w:highlight w:val="none"/>
                <w:lang w:eastAsia="zh-CN"/>
              </w:rPr>
              <w:t>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6"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水污染</w:t>
            </w:r>
          </w:p>
        </w:tc>
        <w:tc>
          <w:tcPr>
            <w:tcW w:w="3130"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施工营地及施工管理区需生活垃圾集中堆放场地，</w:t>
            </w:r>
            <w:r>
              <w:rPr>
                <w:rFonts w:hint="eastAsia" w:cs="Times New Roman"/>
                <w:color w:val="auto"/>
                <w:sz w:val="21"/>
                <w:szCs w:val="21"/>
                <w:highlight w:val="none"/>
                <w:lang w:val="en-US" w:eastAsia="zh-CN"/>
              </w:rPr>
              <w:t>生活污水依托现有厂区内生活污水设施，</w:t>
            </w:r>
            <w:r>
              <w:rPr>
                <w:rFonts w:hint="default" w:ascii="Times New Roman" w:hAnsi="Times New Roman" w:cs="Times New Roman"/>
                <w:color w:val="auto"/>
                <w:sz w:val="21"/>
                <w:szCs w:val="21"/>
                <w:highlight w:val="none"/>
              </w:rPr>
              <w:t>使生活污水、生活垃圾集中处理</w:t>
            </w:r>
            <w:r>
              <w:rPr>
                <w:rFonts w:hint="eastAsia" w:ascii="Times New Roman" w:hAnsi="Times New Roman" w:cs="Times New Roman"/>
                <w:color w:val="auto"/>
                <w:sz w:val="21"/>
                <w:szCs w:val="21"/>
                <w:highlight w:val="none"/>
                <w:lang w:eastAsia="zh-CN"/>
              </w:rPr>
              <w:t>；</w:t>
            </w:r>
          </w:p>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加强施工人员环境意识教育，严禁将废油、施工垃圾抛入</w:t>
            </w:r>
            <w:r>
              <w:rPr>
                <w:rFonts w:hint="default" w:ascii="Times New Roman" w:hAnsi="Times New Roman" w:cs="Times New Roman"/>
                <w:color w:val="auto"/>
                <w:sz w:val="21"/>
                <w:szCs w:val="21"/>
                <w:highlight w:val="none"/>
                <w:lang w:val="en-US" w:eastAsia="zh-CN"/>
              </w:rPr>
              <w:t>防洪渠道</w:t>
            </w:r>
            <w:r>
              <w:rPr>
                <w:rFonts w:hint="default" w:ascii="Times New Roman" w:hAnsi="Times New Roman" w:cs="Times New Roman"/>
                <w:color w:val="auto"/>
                <w:sz w:val="21"/>
                <w:szCs w:val="21"/>
                <w:highlight w:val="none"/>
                <w:lang w:eastAsia="zh-CN"/>
              </w:rPr>
              <w:t>。</w:t>
            </w:r>
          </w:p>
        </w:tc>
        <w:tc>
          <w:tcPr>
            <w:tcW w:w="582"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施工单位</w:t>
            </w:r>
          </w:p>
        </w:tc>
        <w:tc>
          <w:tcPr>
            <w:tcW w:w="581"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6"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3130"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严格执行工业企业噪声标准，防止施工工人受噪声侵害，对靠近高噪声源的工人进行劳动保护，并限制工作时间。</w:t>
            </w:r>
          </w:p>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加强对机械和车辆的维修，使它们保持较低的噪声。</w:t>
            </w:r>
          </w:p>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3</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应在施工区域监测噪声（以L</w:t>
            </w:r>
            <w:r>
              <w:rPr>
                <w:rFonts w:hint="eastAsia" w:ascii="Times New Roman" w:hAnsi="Times New Roman" w:cs="Times New Roman"/>
                <w:color w:val="auto"/>
                <w:sz w:val="21"/>
                <w:szCs w:val="21"/>
                <w:highlight w:val="none"/>
                <w:vertAlign w:val="subscript"/>
                <w:lang w:val="en-US" w:eastAsia="zh-CN"/>
              </w:rPr>
              <w:t>Aeq</w:t>
            </w:r>
            <w:r>
              <w:rPr>
                <w:rFonts w:hint="eastAsia" w:ascii="Times New Roman" w:hAnsi="Times New Roman" w:cs="Times New Roman"/>
                <w:color w:val="auto"/>
                <w:sz w:val="21"/>
                <w:szCs w:val="21"/>
                <w:highlight w:val="none"/>
                <w:lang w:val="en-US" w:eastAsia="zh-CN"/>
              </w:rPr>
              <w:t>计），</w:t>
            </w:r>
            <w:r>
              <w:rPr>
                <w:rFonts w:ascii="宋体" w:hAnsi="宋体" w:eastAsia="宋体" w:cs="宋体"/>
                <w:color w:val="auto"/>
                <w:spacing w:val="-1"/>
                <w:sz w:val="21"/>
                <w:szCs w:val="21"/>
              </w:rPr>
              <w:t>发现超标应及时采取有效措施</w:t>
            </w:r>
            <w:r>
              <w:rPr>
                <w:rFonts w:hint="eastAsia" w:ascii="宋体" w:hAnsi="宋体" w:cs="宋体"/>
                <w:color w:val="auto"/>
                <w:spacing w:val="-1"/>
                <w:sz w:val="21"/>
                <w:szCs w:val="21"/>
                <w:lang w:eastAsia="zh-CN"/>
              </w:rPr>
              <w:t>。</w:t>
            </w:r>
          </w:p>
        </w:tc>
        <w:tc>
          <w:tcPr>
            <w:tcW w:w="582"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施工单位</w:t>
            </w:r>
          </w:p>
        </w:tc>
        <w:tc>
          <w:tcPr>
            <w:tcW w:w="581"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6"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生态环境</w:t>
            </w:r>
          </w:p>
        </w:tc>
        <w:tc>
          <w:tcPr>
            <w:tcW w:w="3130"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left"/>
              <w:textAlignment w:val="auto"/>
              <w:rPr>
                <w:rFonts w:hint="default"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对施工期临时占地，应将原有土地表层堆在一旁，待施工完毕，将这些熟土再推平，恢复到土地表层，以利于绿化</w:t>
            </w:r>
            <w:r>
              <w:rPr>
                <w:rFonts w:hint="default" w:ascii="Times New Roman" w:hAnsi="Times New Roman" w:cs="Times New Roman"/>
                <w:color w:val="auto"/>
                <w:sz w:val="21"/>
                <w:szCs w:val="21"/>
                <w:highlight w:val="none"/>
                <w:lang w:eastAsia="zh-CN"/>
              </w:rPr>
              <w:t>。</w:t>
            </w:r>
          </w:p>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left"/>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2</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在场区平整过程中做到边取土边平整，有计划取土，及时平整</w:t>
            </w:r>
            <w:r>
              <w:rPr>
                <w:rFonts w:hint="default" w:ascii="Times New Roman" w:hAnsi="Times New Roman" w:cs="Times New Roman"/>
                <w:color w:val="auto"/>
                <w:sz w:val="21"/>
                <w:szCs w:val="21"/>
                <w:highlight w:val="none"/>
                <w:lang w:eastAsia="zh-CN"/>
              </w:rPr>
              <w:t>。</w:t>
            </w:r>
          </w:p>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3</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在主体工程完成后及时对厂区进行绿化</w:t>
            </w:r>
            <w:r>
              <w:rPr>
                <w:rFonts w:hint="default" w:ascii="Times New Roman" w:hAnsi="Times New Roman" w:cs="Times New Roman"/>
                <w:color w:val="auto"/>
                <w:sz w:val="21"/>
                <w:szCs w:val="21"/>
                <w:highlight w:val="none"/>
                <w:lang w:eastAsia="zh-CN"/>
              </w:rPr>
              <w:t>。</w:t>
            </w:r>
          </w:p>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4</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pacing w:val="-1"/>
                <w:sz w:val="21"/>
                <w:szCs w:val="21"/>
                <w:highlight w:val="none"/>
              </w:rPr>
              <w:t>加强施工人员的环境保护教育，严禁随意排放废物</w:t>
            </w:r>
            <w:r>
              <w:rPr>
                <w:rFonts w:hint="default" w:ascii="Times New Roman" w:hAnsi="Times New Roman" w:eastAsia="宋体" w:cs="Times New Roman"/>
                <w:color w:val="auto"/>
                <w:sz w:val="21"/>
                <w:szCs w:val="21"/>
                <w:highlight w:val="none"/>
              </w:rPr>
              <w:t>和破坏植被。</w:t>
            </w:r>
          </w:p>
        </w:tc>
        <w:tc>
          <w:tcPr>
            <w:tcW w:w="582"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施工单位</w:t>
            </w:r>
          </w:p>
        </w:tc>
        <w:tc>
          <w:tcPr>
            <w:tcW w:w="581"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6"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事故风险</w:t>
            </w:r>
          </w:p>
        </w:tc>
        <w:tc>
          <w:tcPr>
            <w:tcW w:w="3130"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为保证施工安全，在施工期临时道路上应安装有效照明设备和安全信号。</w:t>
            </w:r>
          </w:p>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在施工期间，采用有效的安全和警告措施，以减少事故发生率。</w:t>
            </w:r>
          </w:p>
        </w:tc>
        <w:tc>
          <w:tcPr>
            <w:tcW w:w="582"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施工单位</w:t>
            </w:r>
          </w:p>
        </w:tc>
        <w:tc>
          <w:tcPr>
            <w:tcW w:w="581"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highlight w:val="none"/>
              </w:rPr>
            </w:pPr>
          </w:p>
        </w:tc>
      </w:tr>
    </w:tbl>
    <w:p>
      <w:pPr>
        <w:pStyle w:val="5"/>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9</w:t>
      </w:r>
      <w:r>
        <w:rPr>
          <w:rFonts w:hint="default" w:ascii="Times New Roman" w:hAnsi="Times New Roman" w:cs="Times New Roman"/>
          <w:color w:val="auto"/>
          <w:highlight w:val="none"/>
        </w:rPr>
        <w:t>.1.2.2运营期环境保护管理</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（1）环境管理机构</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根据国家有关规定要求，为切实加强环境保护工作，搞好全场污染源的监控，环境保护管理应采取厂长负责制，并配备专职或兼职环保管理人员1~2人，负责项目的环保工作。</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（2）环境管理的职责及工作内容</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①贯彻执行《中华人民共和国环境保护法》及其有关法律、法规，按国家的环保政策、环境标准及环境监测要求，指定环境管理规章制度，并监督执行；</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②掌握本企业各污染源治理措施工艺、设备、运行及维护等资料，掌握废物综合利用情况，建立污染控制管理档案及管理台账；</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③制定生产过程中各项污染物排放指标以及环保设施的运行参数，并定期考核统计；</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④推广应用先进的环保技术和经验，组织开展环保专业技术培训，搞好环境保护的宣传工作，提高全场人员的环境保护意识；</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⑤监督项目环保设施的安装、调试等工作，坚持</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三同时</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原则，保证环保设施的设计、施工、运行与主体工程同时进行；</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⑥组织开展本单位环境保护专业技术培训，提高人员素质；</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⑦认真落实企业污染物排放总量控制指标，解决落实过程出现的问题。</w:t>
      </w:r>
    </w:p>
    <w:p>
      <w:pPr>
        <w:pStyle w:val="4"/>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highlight w:val="none"/>
        </w:rPr>
      </w:pPr>
      <w:bookmarkStart w:id="84" w:name="_Toc17222640"/>
      <w:bookmarkStart w:id="85" w:name="_Toc11063"/>
      <w:r>
        <w:rPr>
          <w:rFonts w:hint="eastAsia" w:ascii="Times New Roman" w:hAnsi="Times New Roman" w:cs="Times New Roman"/>
          <w:color w:val="auto"/>
          <w:highlight w:val="none"/>
          <w:lang w:val="en-US" w:eastAsia="zh-CN"/>
        </w:rPr>
        <w:t>9</w:t>
      </w:r>
      <w:r>
        <w:rPr>
          <w:rFonts w:hint="default" w:ascii="Times New Roman" w:hAnsi="Times New Roman" w:cs="Times New Roman"/>
          <w:color w:val="auto"/>
          <w:highlight w:val="none"/>
        </w:rPr>
        <w:t>.1.3环境管理制度</w:t>
      </w:r>
      <w:bookmarkEnd w:id="84"/>
      <w:bookmarkEnd w:id="85"/>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（1）贯彻执行</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三同时</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制度</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项目建设过程中必须认真贯彻执行</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三同时</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制度。建设单位必须确保防治污染及其它公害的设施与主体工程同时设计、同时施工、同时投入运行，项目竣工后，根据《建设项目竣工环境保护验收暂行办法》，建设项目竣工后建设单位自主开展环境保护验收及相关监督管理。</w:t>
      </w:r>
    </w:p>
    <w:p>
      <w:pPr>
        <w:pStyle w:val="13"/>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排污</w:t>
      </w:r>
      <w:r>
        <w:rPr>
          <w:rFonts w:hint="default" w:ascii="Times New Roman" w:hAnsi="Times New Roman" w:cs="Times New Roman"/>
          <w:color w:val="auto"/>
          <w:highlight w:val="none"/>
          <w:lang w:val="en-US" w:eastAsia="zh-CN"/>
        </w:rPr>
        <w:t>许可证</w:t>
      </w:r>
      <w:r>
        <w:rPr>
          <w:rFonts w:hint="eastAsia" w:ascii="Times New Roman" w:hAnsi="Times New Roman" w:cs="Times New Roman"/>
          <w:color w:val="auto"/>
          <w:highlight w:val="none"/>
          <w:lang w:val="en-US" w:eastAsia="zh-CN"/>
        </w:rPr>
        <w:t>制度</w:t>
      </w:r>
    </w:p>
    <w:p>
      <w:pPr>
        <w:pStyle w:val="13"/>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360" w:lineRule="auto"/>
        <w:ind w:left="0" w:leftChars="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按照国家和地方环境保护规定，托里县住房和城乡建设局应及时向当地环境保护主管部门</w:t>
      </w:r>
      <w:r>
        <w:rPr>
          <w:rFonts w:hint="default" w:ascii="Times New Roman" w:hAnsi="Times New Roman" w:cs="Times New Roman"/>
          <w:color w:val="auto"/>
          <w:highlight w:val="none"/>
          <w:lang w:val="en-US" w:eastAsia="zh-CN"/>
        </w:rPr>
        <w:t>申请领取排污许可证</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经</w:t>
      </w:r>
      <w:r>
        <w:rPr>
          <w:rFonts w:hint="default" w:ascii="Times New Roman" w:hAnsi="Times New Roman" w:cs="Times New Roman"/>
          <w:color w:val="auto"/>
          <w:highlight w:val="none"/>
          <w:lang w:eastAsia="zh-CN"/>
        </w:rPr>
        <w:t>生态环境部门</w:t>
      </w:r>
      <w:r>
        <w:rPr>
          <w:rFonts w:hint="default" w:ascii="Times New Roman" w:hAnsi="Times New Roman" w:cs="Times New Roman"/>
          <w:color w:val="auto"/>
          <w:highlight w:val="none"/>
        </w:rPr>
        <w:t>批准后，</w:t>
      </w:r>
      <w:r>
        <w:rPr>
          <w:rFonts w:hint="default" w:ascii="Times New Roman" w:hAnsi="Times New Roman" w:cs="Times New Roman"/>
          <w:color w:val="auto"/>
          <w:highlight w:val="none"/>
          <w:lang w:val="en-US" w:eastAsia="zh-CN"/>
        </w:rPr>
        <w:t>按排污许可证要求排污</w:t>
      </w:r>
      <w:r>
        <w:rPr>
          <w:rFonts w:hint="default" w:ascii="Times New Roman" w:hAnsi="Times New Roman" w:cs="Times New Roman"/>
          <w:color w:val="auto"/>
          <w:highlight w:val="none"/>
        </w:rPr>
        <w:t>。</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（3）环保设施运行管理制度</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建立环保设施定期检查制度和污染治理措施岗位责任制，实行污染治理岗位运行记录制度，以确保污染治理设施稳定高效运行。当生产运行设施及污染治理设施发生故障时，应及时组织抢修，并根据实际情况采取相应措施（包括减产和停止生产），防止污染事故的发生。</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（4）建立</w:t>
      </w:r>
      <w:r>
        <w:rPr>
          <w:rFonts w:hint="default" w:ascii="Times New Roman" w:hAnsi="Times New Roman" w:eastAsia="宋体" w:cs="Times New Roman"/>
          <w:color w:val="auto"/>
          <w:highlight w:val="none"/>
        </w:rPr>
        <w:t>托里县住房和城乡建设局</w:t>
      </w:r>
      <w:r>
        <w:rPr>
          <w:rFonts w:hint="default" w:ascii="Times New Roman" w:hAnsi="Times New Roman" w:cs="Times New Roman"/>
          <w:color w:val="auto"/>
          <w:highlight w:val="none"/>
        </w:rPr>
        <w:t>环保档案</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托里县住房和城乡建设局</w:t>
      </w:r>
      <w:r>
        <w:rPr>
          <w:rFonts w:hint="default" w:ascii="Times New Roman" w:hAnsi="Times New Roman" w:cs="Times New Roman"/>
          <w:color w:val="auto"/>
          <w:highlight w:val="none"/>
        </w:rPr>
        <w:t>应对废气、</w:t>
      </w:r>
      <w:r>
        <w:rPr>
          <w:rFonts w:hint="eastAsia" w:ascii="Times New Roman" w:hAnsi="Times New Roman" w:cs="Times New Roman"/>
          <w:color w:val="auto"/>
          <w:highlight w:val="none"/>
          <w:lang w:val="en-US" w:eastAsia="zh-CN"/>
        </w:rPr>
        <w:t>废水、</w:t>
      </w:r>
      <w:r>
        <w:rPr>
          <w:rFonts w:hint="default" w:ascii="Times New Roman" w:hAnsi="Times New Roman" w:cs="Times New Roman"/>
          <w:color w:val="auto"/>
          <w:highlight w:val="none"/>
        </w:rPr>
        <w:t>厂界</w:t>
      </w:r>
      <w:r>
        <w:rPr>
          <w:rFonts w:hint="eastAsia" w:ascii="Times New Roman" w:hAnsi="Times New Roman" w:cs="Times New Roman"/>
          <w:color w:val="auto"/>
          <w:highlight w:val="none"/>
          <w:lang w:val="en-US" w:eastAsia="zh-CN"/>
        </w:rPr>
        <w:t>及敏感点</w:t>
      </w:r>
      <w:r>
        <w:rPr>
          <w:rFonts w:hint="default" w:ascii="Times New Roman" w:hAnsi="Times New Roman" w:cs="Times New Roman"/>
          <w:color w:val="auto"/>
          <w:highlight w:val="none"/>
        </w:rPr>
        <w:t>噪声进行定期监测，建立污染源档案，发现污染物非正常排放时，应分析原因并及时采取相应措施，以控制污染影响的范围和程度。</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5</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信息公开</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排污企业应按照《企业事业单位环境信息公开办法》（部令第31号）要求，依法通过网站、企业事业单位环境信息公开平台或者当地报刊等便于公众知晓的方式公开环境信息，企业环境信息公开采取自愿公开与强制公开相结合。</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国家鼓励企业事业单位自愿公开有利于保护生态、防治污染、履行社会环境责任的相关信息。企业可通过网站公示信息、编制环保白皮书等方式向公众发布本企业的环境信息。</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（6）污染源自动监控管理</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本项目在锅炉废气进、出口设置有自动监控装置。排污单位自行运行污染源自动监控设施的，应当保证其正常运行。由取得环境污染治理设施运营资质的单位运行污染源自动监控设施的，排污单位应当配合、监督运营单位正常运行；运营单位应当保证污染源自动监控设施正常运行。污染源自动监控设施的生产者、销售者以及排污单位和运营单位应当接受和配合监督检查机构的现场监督检查，并按照要求提供相关技术资料。</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污染源自动监控设施发生故障不能正常使用的，排污单位或者运营单位应当在发生故障后12小时内向有管辖权的监督检查机构报告，并及时检修，保证在5个工作日内恢复正常运行。停运期间，排污单位或者运营单位应当按照有关规定和技术规范，采用手工监测等方式，对污染物排放状况进行监测，并报送监测数据。</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7</w:t>
      </w:r>
      <w:r>
        <w:rPr>
          <w:rFonts w:hint="default" w:ascii="Times New Roman" w:hAnsi="Times New Roman" w:cs="Times New Roman"/>
          <w:color w:val="auto"/>
          <w:highlight w:val="none"/>
        </w:rPr>
        <w:t>）奖惩制度</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本次评价要求，</w:t>
      </w:r>
      <w:r>
        <w:rPr>
          <w:rFonts w:hint="default" w:ascii="Times New Roman" w:hAnsi="Times New Roman" w:eastAsia="宋体" w:cs="Times New Roman"/>
          <w:color w:val="auto"/>
          <w:highlight w:val="none"/>
        </w:rPr>
        <w:t>托里县住房和城乡建设局</w:t>
      </w:r>
      <w:r>
        <w:rPr>
          <w:rFonts w:hint="default" w:ascii="Times New Roman" w:hAnsi="Times New Roman" w:cs="Times New Roman"/>
          <w:color w:val="auto"/>
          <w:highlight w:val="none"/>
        </w:rPr>
        <w:t>在运行过程中应严格按照相关文件要求，制定完善管理制度，建立健全运行管理体系；加强职工培训，具备合格的运行操作和管理技能。</w:t>
      </w:r>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托里县住房和城乡建设局</w:t>
      </w:r>
      <w:r>
        <w:rPr>
          <w:rFonts w:hint="default" w:ascii="Times New Roman" w:hAnsi="Times New Roman" w:cs="Times New Roman"/>
          <w:color w:val="auto"/>
          <w:highlight w:val="none"/>
        </w:rPr>
        <w:t>应建立环保工作奖惩制度，对保护和改善厂区环境成绩显著的车间、个人应给予表彰和奖励。对违反环境保护条款规定并造成污染事故的车间或个人，应视情节轻重给予批评教育和处罚。</w:t>
      </w:r>
    </w:p>
    <w:p>
      <w:pPr>
        <w:pStyle w:val="3"/>
        <w:keepLines w:val="0"/>
        <w:pageBreakBefore w:val="0"/>
        <w:widowControl w:val="0"/>
        <w:kinsoku/>
        <w:wordWrap/>
        <w:overflowPunct/>
        <w:autoSpaceDE/>
        <w:autoSpaceDN/>
        <w:bidi w:val="0"/>
        <w:adjustRightInd w:val="0"/>
        <w:snapToGrid w:val="0"/>
        <w:textAlignment w:val="auto"/>
        <w:rPr>
          <w:color w:val="auto"/>
          <w:highlight w:val="none"/>
        </w:rPr>
      </w:pPr>
      <w:bookmarkStart w:id="86" w:name="_Toc2118"/>
      <w:r>
        <w:rPr>
          <w:rFonts w:hint="eastAsia"/>
          <w:color w:val="auto"/>
          <w:highlight w:val="none"/>
          <w:lang w:val="en-US" w:eastAsia="zh-CN"/>
        </w:rPr>
        <w:t>9</w:t>
      </w:r>
      <w:r>
        <w:rPr>
          <w:color w:val="auto"/>
          <w:highlight w:val="none"/>
        </w:rPr>
        <w:t>.2环境监测计划</w:t>
      </w:r>
      <w:bookmarkEnd w:id="86"/>
    </w:p>
    <w:p>
      <w:pPr>
        <w:pStyle w:val="4"/>
        <w:keepLines w:val="0"/>
        <w:pageBreakBefore w:val="0"/>
        <w:widowControl w:val="0"/>
        <w:kinsoku/>
        <w:wordWrap/>
        <w:overflowPunct/>
        <w:autoSpaceDE/>
        <w:autoSpaceDN/>
        <w:bidi w:val="0"/>
        <w:adjustRightInd w:val="0"/>
        <w:snapToGrid w:val="0"/>
        <w:textAlignment w:val="auto"/>
        <w:rPr>
          <w:color w:val="auto"/>
          <w:highlight w:val="none"/>
        </w:rPr>
      </w:pPr>
      <w:r>
        <w:rPr>
          <w:rFonts w:hint="eastAsia"/>
          <w:color w:val="auto"/>
          <w:highlight w:val="none"/>
          <w:lang w:val="en-US" w:eastAsia="zh-CN"/>
        </w:rPr>
        <w:t>9</w:t>
      </w:r>
      <w:r>
        <w:rPr>
          <w:color w:val="auto"/>
          <w:highlight w:val="none"/>
        </w:rPr>
        <w:t>.2.1环境监测的意义</w:t>
      </w:r>
    </w:p>
    <w:p>
      <w:pPr>
        <w:keepLines w:val="0"/>
        <w:pageBreakBefore w:val="0"/>
        <w:widowControl w:val="0"/>
        <w:kinsoku/>
        <w:wordWrap/>
        <w:overflowPunct/>
        <w:autoSpaceDE/>
        <w:autoSpaceDN/>
        <w:bidi w:val="0"/>
        <w:adjustRightInd w:val="0"/>
        <w:snapToGrid w:val="0"/>
        <w:ind w:firstLine="480" w:firstLineChars="200"/>
        <w:textAlignment w:val="auto"/>
        <w:rPr>
          <w:color w:val="auto"/>
          <w:highlight w:val="none"/>
        </w:rPr>
      </w:pPr>
      <w:r>
        <w:rPr>
          <w:color w:val="auto"/>
          <w:highlight w:val="none"/>
        </w:rPr>
        <w:t>环境监测（包括污染源监测）是企业环境保护的重要组成部分，也是企业的一项规范化制度。通过环境监测，进行数据整理分析，建立监测档案，可为污染源治理，掌握污染物排放变化规律提供依据，为上级环保部门进行区域环境规划、管理执法提供依据。同时，环境监测也是企业实现污染物总量控制，做到稳定达标排放的重要保证手段之一。</w:t>
      </w:r>
    </w:p>
    <w:p>
      <w:pPr>
        <w:pStyle w:val="4"/>
        <w:keepLines w:val="0"/>
        <w:pageBreakBefore w:val="0"/>
        <w:widowControl w:val="0"/>
        <w:kinsoku/>
        <w:wordWrap/>
        <w:overflowPunct/>
        <w:autoSpaceDE/>
        <w:autoSpaceDN/>
        <w:bidi w:val="0"/>
        <w:adjustRightInd w:val="0"/>
        <w:snapToGrid w:val="0"/>
        <w:textAlignment w:val="auto"/>
        <w:rPr>
          <w:color w:val="auto"/>
          <w:highlight w:val="none"/>
        </w:rPr>
      </w:pPr>
      <w:r>
        <w:rPr>
          <w:rFonts w:hint="eastAsia"/>
          <w:color w:val="auto"/>
          <w:highlight w:val="none"/>
          <w:lang w:val="en-US" w:eastAsia="zh-CN"/>
        </w:rPr>
        <w:t>9</w:t>
      </w:r>
      <w:r>
        <w:rPr>
          <w:color w:val="auto"/>
          <w:highlight w:val="none"/>
        </w:rPr>
        <w:t>.2.2环境监测工作</w:t>
      </w:r>
    </w:p>
    <w:p>
      <w:pPr>
        <w:keepLines w:val="0"/>
        <w:pageBreakBefore w:val="0"/>
        <w:widowControl w:val="0"/>
        <w:kinsoku/>
        <w:wordWrap/>
        <w:overflowPunct/>
        <w:autoSpaceDE/>
        <w:autoSpaceDN/>
        <w:bidi w:val="0"/>
        <w:adjustRightInd w:val="0"/>
        <w:snapToGrid w:val="0"/>
        <w:ind w:firstLine="480" w:firstLineChars="200"/>
        <w:textAlignment w:val="auto"/>
        <w:rPr>
          <w:rFonts w:hint="eastAsia" w:eastAsia="宋体"/>
          <w:color w:val="auto"/>
          <w:highlight w:val="none"/>
          <w:lang w:eastAsia="zh-CN"/>
        </w:rPr>
      </w:pPr>
      <w:r>
        <w:rPr>
          <w:color w:val="auto"/>
          <w:highlight w:val="none"/>
        </w:rPr>
        <w:t>根据《排污单位自行监测技术指南总则》（HJ 819-2017）相关规定，排污单位应按照最新的监测方案开展监测活动，可根据自身条件和能力，利用自有人员、场所和设备进行自行监测；也可委托其他有资质</w:t>
      </w:r>
      <w:r>
        <w:rPr>
          <w:rFonts w:hint="eastAsia"/>
          <w:color w:val="auto"/>
          <w:highlight w:val="none"/>
          <w:lang w:eastAsia="zh-CN"/>
        </w:rPr>
        <w:t>的</w:t>
      </w:r>
      <w:r>
        <w:rPr>
          <w:color w:val="auto"/>
          <w:highlight w:val="none"/>
        </w:rPr>
        <w:t>检（监）测机构代其开 展自行监测。排污单位应建立自行监测质量管理制度，按照相关技术规范要求做 好监测质量保证与质量控制，记录好与监测有关的数据，按照规定进行保存并依 据《企业事业单位环境信息公开办法》（环境保护部令第31号）、《国家重点 监控企业自行监测及信息公开办法（试行）》（环发[2013]81号）要求向社会公开监测结果。非重点排污单位的信息公开要求</w:t>
      </w:r>
      <w:r>
        <w:rPr>
          <w:rFonts w:hint="eastAsia"/>
          <w:color w:val="auto"/>
          <w:highlight w:val="none"/>
          <w:lang w:eastAsia="zh-CN"/>
        </w:rPr>
        <w:t>由</w:t>
      </w:r>
      <w:r>
        <w:rPr>
          <w:color w:val="auto"/>
          <w:highlight w:val="none"/>
        </w:rPr>
        <w:t>地方环境保护主管部门确定</w:t>
      </w:r>
      <w:r>
        <w:rPr>
          <w:rFonts w:hint="eastAsia"/>
          <w:color w:val="auto"/>
          <w:highlight w:val="none"/>
          <w:lang w:eastAsia="zh-CN"/>
        </w:rPr>
        <w:t>。</w:t>
      </w:r>
    </w:p>
    <w:p>
      <w:pPr>
        <w:pStyle w:val="4"/>
        <w:keepLines w:val="0"/>
        <w:pageBreakBefore w:val="0"/>
        <w:widowControl w:val="0"/>
        <w:kinsoku/>
        <w:wordWrap/>
        <w:overflowPunct/>
        <w:autoSpaceDE/>
        <w:autoSpaceDN/>
        <w:bidi w:val="0"/>
        <w:adjustRightInd w:val="0"/>
        <w:snapToGrid w:val="0"/>
        <w:textAlignment w:val="auto"/>
        <w:rPr>
          <w:color w:val="auto"/>
          <w:highlight w:val="none"/>
        </w:rPr>
      </w:pPr>
      <w:r>
        <w:rPr>
          <w:rFonts w:hint="eastAsia"/>
          <w:color w:val="auto"/>
          <w:highlight w:val="none"/>
          <w:lang w:val="en-US" w:eastAsia="zh-CN"/>
        </w:rPr>
        <w:t>9</w:t>
      </w:r>
      <w:r>
        <w:rPr>
          <w:color w:val="auto"/>
          <w:highlight w:val="none"/>
        </w:rPr>
        <w:t>.2.3</w:t>
      </w:r>
      <w:bookmarkStart w:id="87" w:name="_Toc322801806"/>
      <w:r>
        <w:rPr>
          <w:rFonts w:hint="eastAsia"/>
          <w:color w:val="auto"/>
          <w:highlight w:val="none"/>
          <w:lang w:val="en-US" w:eastAsia="zh-CN"/>
        </w:rPr>
        <w:t>环境监测</w:t>
      </w:r>
      <w:r>
        <w:rPr>
          <w:color w:val="auto"/>
          <w:highlight w:val="none"/>
        </w:rPr>
        <w:t>计划</w:t>
      </w:r>
      <w:bookmarkEnd w:id="87"/>
    </w:p>
    <w:p>
      <w:pPr>
        <w:pStyle w:val="13"/>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w:t>
      </w:r>
      <w:r>
        <w:rPr>
          <w:rFonts w:hint="eastAsia" w:ascii="Times New Roman" w:hAnsi="Times New Roman" w:eastAsia="宋体" w:cs="Times New Roman"/>
          <w:color w:val="auto"/>
          <w:kern w:val="2"/>
          <w:sz w:val="24"/>
          <w:szCs w:val="24"/>
          <w:highlight w:val="none"/>
          <w:lang w:val="en-US" w:eastAsia="zh-CN" w:bidi="ar-SA"/>
        </w:rPr>
        <w:t>《排污许可证申请与核发技术规范 总则》（HJ942-2018）、</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排污许可证申请与核发技术规范 锅炉</w:t>
      </w:r>
      <w:r>
        <w:rPr>
          <w:rFonts w:hint="default" w:ascii="Times New Roman" w:hAnsi="Times New Roman" w:eastAsia="宋体" w:cs="Times New Roman"/>
          <w:color w:val="auto"/>
          <w:kern w:val="2"/>
          <w:sz w:val="24"/>
          <w:szCs w:val="24"/>
          <w:highlight w:val="none"/>
          <w:lang w:val="en-US" w:eastAsia="zh-CN" w:bidi="ar-SA"/>
        </w:rPr>
        <w:t>》（HJ9</w:t>
      </w:r>
      <w:r>
        <w:rPr>
          <w:rFonts w:hint="eastAsia" w:ascii="Times New Roman" w:hAnsi="Times New Roman" w:eastAsia="宋体" w:cs="Times New Roman"/>
          <w:color w:val="auto"/>
          <w:kern w:val="2"/>
          <w:sz w:val="24"/>
          <w:szCs w:val="24"/>
          <w:highlight w:val="none"/>
          <w:lang w:val="en-US" w:eastAsia="zh-CN" w:bidi="ar-SA"/>
        </w:rPr>
        <w:t>53</w:t>
      </w:r>
      <w:r>
        <w:rPr>
          <w:rFonts w:hint="default" w:ascii="Times New Roman" w:hAnsi="Times New Roman" w:eastAsia="宋体" w:cs="Times New Roman"/>
          <w:color w:val="auto"/>
          <w:kern w:val="2"/>
          <w:sz w:val="24"/>
          <w:szCs w:val="24"/>
          <w:highlight w:val="none"/>
          <w:lang w:val="en-US" w:eastAsia="zh-CN" w:bidi="ar-SA"/>
        </w:rPr>
        <w:t>-2018）、《排污单位自行监测技术指南 总则》（HJ819-2017）</w:t>
      </w:r>
      <w:r>
        <w:rPr>
          <w:rFonts w:hint="eastAsia" w:ascii="Times New Roman" w:hAnsi="Times New Roman" w:eastAsia="宋体" w:cs="Times New Roman"/>
          <w:color w:val="auto"/>
          <w:kern w:val="2"/>
          <w:sz w:val="24"/>
          <w:szCs w:val="24"/>
          <w:highlight w:val="none"/>
          <w:lang w:val="en-US" w:eastAsia="zh-CN" w:bidi="ar-SA"/>
        </w:rPr>
        <w:t>、《排污单位自行监测技术指南 火力发电及锅炉》（HJ820-2017）</w:t>
      </w:r>
      <w:r>
        <w:rPr>
          <w:rFonts w:hint="default" w:ascii="Times New Roman" w:hAnsi="Times New Roman" w:eastAsia="宋体" w:cs="Times New Roman"/>
          <w:color w:val="auto"/>
          <w:kern w:val="2"/>
          <w:sz w:val="24"/>
          <w:szCs w:val="24"/>
          <w:highlight w:val="none"/>
          <w:lang w:val="en-US" w:eastAsia="zh-CN" w:bidi="ar-SA"/>
        </w:rPr>
        <w:t>，本项目废气、</w:t>
      </w:r>
      <w:r>
        <w:rPr>
          <w:rFonts w:hint="eastAsia" w:ascii="Times New Roman" w:hAnsi="Times New Roman" w:eastAsia="宋体" w:cs="Times New Roman"/>
          <w:color w:val="auto"/>
          <w:kern w:val="2"/>
          <w:sz w:val="24"/>
          <w:szCs w:val="24"/>
          <w:highlight w:val="none"/>
          <w:lang w:val="en-US" w:eastAsia="zh-CN" w:bidi="ar-SA"/>
        </w:rPr>
        <w:t>噪声</w:t>
      </w:r>
      <w:r>
        <w:rPr>
          <w:rFonts w:hint="default" w:ascii="Times New Roman" w:hAnsi="Times New Roman" w:eastAsia="宋体" w:cs="Times New Roman"/>
          <w:color w:val="auto"/>
          <w:kern w:val="2"/>
          <w:sz w:val="24"/>
          <w:szCs w:val="24"/>
          <w:highlight w:val="none"/>
          <w:lang w:val="en-US" w:eastAsia="zh-CN" w:bidi="ar-SA"/>
        </w:rPr>
        <w:t>污染源监测计划见表</w:t>
      </w:r>
      <w:r>
        <w:rPr>
          <w:rFonts w:hint="eastAsia" w:cs="Times New Roman"/>
          <w:color w:val="auto"/>
          <w:kern w:val="2"/>
          <w:sz w:val="24"/>
          <w:szCs w:val="24"/>
          <w:highlight w:val="none"/>
          <w:lang w:val="en-US" w:eastAsia="zh-CN" w:bidi="ar-SA"/>
        </w:rPr>
        <w:t>9</w:t>
      </w:r>
      <w:r>
        <w:rPr>
          <w:rFonts w:hint="default" w:ascii="Times New Roman" w:hAnsi="Times New Roman" w:eastAsia="宋体" w:cs="Times New Roman"/>
          <w:color w:val="auto"/>
          <w:kern w:val="2"/>
          <w:sz w:val="24"/>
          <w:szCs w:val="24"/>
          <w:highlight w:val="none"/>
          <w:lang w:val="en-US" w:eastAsia="zh-CN" w:bidi="ar-SA"/>
        </w:rPr>
        <w:t>.2</w:t>
      </w:r>
      <w:r>
        <w:rPr>
          <w:rFonts w:hint="eastAsia" w:cs="Times New Roman"/>
          <w:color w:val="auto"/>
          <w:kern w:val="2"/>
          <w:sz w:val="24"/>
          <w:szCs w:val="24"/>
          <w:highlight w:val="none"/>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-1。</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highlight w:val="none"/>
        </w:rPr>
      </w:pPr>
      <w:r>
        <w:rPr>
          <w:rFonts w:hint="eastAsia"/>
          <w:b/>
          <w:bCs/>
          <w:color w:val="auto"/>
          <w:sz w:val="21"/>
          <w:szCs w:val="21"/>
          <w:highlight w:val="none"/>
          <w:lang w:val="zh-CN"/>
        </w:rPr>
        <w:t>表</w:t>
      </w:r>
      <w:r>
        <w:rPr>
          <w:rFonts w:hint="eastAsia"/>
          <w:b/>
          <w:bCs/>
          <w:color w:val="auto"/>
          <w:sz w:val="21"/>
          <w:szCs w:val="21"/>
          <w:highlight w:val="none"/>
          <w:lang w:val="en-US" w:eastAsia="zh-CN"/>
        </w:rPr>
        <w:t>9.2.3-1</w:t>
      </w:r>
      <w:r>
        <w:rPr>
          <w:rFonts w:hint="eastAsia"/>
          <w:b/>
          <w:bCs/>
          <w:color w:val="auto"/>
          <w:sz w:val="21"/>
          <w:szCs w:val="21"/>
          <w:highlight w:val="none"/>
          <w:lang w:val="zh-CN"/>
        </w:rPr>
        <w:t xml:space="preserve">   </w:t>
      </w:r>
      <w:r>
        <w:rPr>
          <w:b/>
          <w:bCs/>
          <w:color w:val="auto"/>
          <w:sz w:val="21"/>
          <w:szCs w:val="21"/>
          <w:highlight w:val="none"/>
        </w:rPr>
        <w:t xml:space="preserve"> 污染源自行监测计划一览表</w:t>
      </w:r>
    </w:p>
    <w:tbl>
      <w:tblPr>
        <w:tblStyle w:val="66"/>
        <w:tblW w:w="501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73"/>
        <w:gridCol w:w="632"/>
        <w:gridCol w:w="557"/>
        <w:gridCol w:w="848"/>
        <w:gridCol w:w="971"/>
        <w:gridCol w:w="737"/>
        <w:gridCol w:w="1000"/>
        <w:gridCol w:w="2297"/>
        <w:gridCol w:w="8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bCs/>
                <w:color w:val="auto"/>
                <w:sz w:val="21"/>
                <w:szCs w:val="21"/>
                <w:highlight w:val="none"/>
              </w:rPr>
            </w:pPr>
            <w:r>
              <w:rPr>
                <w:rFonts w:hint="default"/>
                <w:b/>
                <w:bCs/>
                <w:color w:val="auto"/>
                <w:sz w:val="21"/>
                <w:szCs w:val="21"/>
                <w:highlight w:val="none"/>
              </w:rPr>
              <w:t>分类</w:t>
            </w:r>
          </w:p>
        </w:tc>
        <w:tc>
          <w:tcPr>
            <w:tcW w:w="6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bCs/>
                <w:color w:val="auto"/>
                <w:sz w:val="21"/>
                <w:szCs w:val="21"/>
                <w:highlight w:val="none"/>
              </w:rPr>
            </w:pPr>
            <w:r>
              <w:rPr>
                <w:rFonts w:hint="default"/>
                <w:b/>
                <w:bCs/>
                <w:color w:val="auto"/>
                <w:sz w:val="21"/>
                <w:szCs w:val="21"/>
                <w:highlight w:val="none"/>
              </w:rPr>
              <w:t>检测对象</w:t>
            </w:r>
          </w:p>
        </w:tc>
        <w:tc>
          <w:tcPr>
            <w:tcW w:w="5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bCs/>
                <w:color w:val="auto"/>
                <w:sz w:val="21"/>
                <w:szCs w:val="21"/>
                <w:highlight w:val="none"/>
              </w:rPr>
            </w:pPr>
            <w:r>
              <w:rPr>
                <w:rFonts w:hint="default"/>
                <w:b/>
                <w:bCs/>
                <w:color w:val="auto"/>
                <w:sz w:val="21"/>
                <w:szCs w:val="21"/>
                <w:highlight w:val="none"/>
              </w:rPr>
              <w:t>污染源</w:t>
            </w:r>
          </w:p>
        </w:tc>
        <w:tc>
          <w:tcPr>
            <w:tcW w:w="8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bCs/>
                <w:color w:val="auto"/>
                <w:sz w:val="21"/>
                <w:szCs w:val="21"/>
                <w:highlight w:val="none"/>
              </w:rPr>
            </w:pPr>
            <w:r>
              <w:rPr>
                <w:rFonts w:hint="default"/>
                <w:b/>
                <w:bCs/>
                <w:color w:val="auto"/>
                <w:sz w:val="21"/>
                <w:szCs w:val="21"/>
                <w:highlight w:val="none"/>
              </w:rPr>
              <w:t>监测项目</w:t>
            </w:r>
          </w:p>
        </w:tc>
        <w:tc>
          <w:tcPr>
            <w:tcW w:w="9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bCs/>
                <w:color w:val="auto"/>
                <w:sz w:val="21"/>
                <w:szCs w:val="21"/>
                <w:highlight w:val="none"/>
              </w:rPr>
            </w:pPr>
            <w:r>
              <w:rPr>
                <w:rFonts w:hint="default"/>
                <w:b/>
                <w:bCs/>
                <w:color w:val="auto"/>
                <w:sz w:val="21"/>
                <w:szCs w:val="21"/>
                <w:highlight w:val="none"/>
              </w:rPr>
              <w:t>监测位置</w:t>
            </w:r>
          </w:p>
        </w:tc>
        <w:tc>
          <w:tcPr>
            <w:tcW w:w="7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bCs/>
                <w:color w:val="auto"/>
                <w:sz w:val="21"/>
                <w:szCs w:val="21"/>
                <w:highlight w:val="none"/>
              </w:rPr>
            </w:pPr>
            <w:r>
              <w:rPr>
                <w:rFonts w:hint="default"/>
                <w:b/>
                <w:bCs/>
                <w:color w:val="auto"/>
                <w:sz w:val="21"/>
                <w:szCs w:val="21"/>
                <w:highlight w:val="none"/>
              </w:rPr>
              <w:t>采样频次</w:t>
            </w:r>
          </w:p>
        </w:tc>
        <w:tc>
          <w:tcPr>
            <w:tcW w:w="9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bCs/>
                <w:color w:val="auto"/>
                <w:sz w:val="21"/>
                <w:szCs w:val="21"/>
                <w:highlight w:val="none"/>
              </w:rPr>
            </w:pPr>
            <w:r>
              <w:rPr>
                <w:rFonts w:hint="default"/>
                <w:b/>
                <w:bCs/>
                <w:color w:val="auto"/>
                <w:sz w:val="21"/>
                <w:szCs w:val="21"/>
                <w:highlight w:val="none"/>
              </w:rPr>
              <w:t>监测单位</w:t>
            </w:r>
          </w:p>
        </w:tc>
        <w:tc>
          <w:tcPr>
            <w:tcW w:w="22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bCs/>
                <w:color w:val="auto"/>
                <w:sz w:val="21"/>
                <w:szCs w:val="21"/>
                <w:highlight w:val="none"/>
              </w:rPr>
            </w:pPr>
            <w:r>
              <w:rPr>
                <w:rFonts w:hint="default"/>
                <w:b/>
                <w:bCs/>
                <w:color w:val="auto"/>
                <w:sz w:val="21"/>
                <w:szCs w:val="21"/>
                <w:highlight w:val="none"/>
              </w:rPr>
              <w:t>执行排放标准</w:t>
            </w:r>
          </w:p>
        </w:tc>
        <w:tc>
          <w:tcPr>
            <w:tcW w:w="8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bCs/>
                <w:color w:val="auto"/>
                <w:sz w:val="21"/>
                <w:szCs w:val="21"/>
                <w:highlight w:val="none"/>
              </w:rPr>
            </w:pPr>
            <w:r>
              <w:rPr>
                <w:b/>
                <w:bCs/>
                <w:color w:val="auto"/>
                <w:sz w:val="21"/>
                <w:szCs w:val="21"/>
                <w:highlight w:val="none"/>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废气</w:t>
            </w:r>
          </w:p>
        </w:tc>
        <w:tc>
          <w:tcPr>
            <w:tcW w:w="631"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有组织排</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放</w:t>
            </w:r>
          </w:p>
        </w:tc>
        <w:tc>
          <w:tcPr>
            <w:tcW w:w="55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锅炉燃烧烟气</w:t>
            </w:r>
          </w:p>
        </w:tc>
        <w:tc>
          <w:tcPr>
            <w:tcW w:w="847"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eastAsia"/>
                <w:color w:val="auto"/>
                <w:sz w:val="21"/>
                <w:szCs w:val="21"/>
                <w:highlight w:val="none"/>
                <w:lang w:val="en-US" w:eastAsia="zh-CN"/>
              </w:rPr>
              <w:t>颗粒物</w:t>
            </w:r>
            <w:r>
              <w:rPr>
                <w:rFonts w:hint="default"/>
                <w:color w:val="auto"/>
                <w:sz w:val="21"/>
                <w:szCs w:val="21"/>
                <w:highlight w:val="none"/>
              </w:rPr>
              <w:t>、SO</w:t>
            </w:r>
            <w:r>
              <w:rPr>
                <w:rFonts w:hint="eastAsia"/>
                <w:color w:val="auto"/>
                <w:sz w:val="21"/>
                <w:szCs w:val="21"/>
                <w:highlight w:val="none"/>
                <w:vertAlign w:val="subscript"/>
                <w:lang w:val="en-US" w:eastAsia="zh-CN"/>
              </w:rPr>
              <w:t>2</w:t>
            </w:r>
            <w:r>
              <w:rPr>
                <w:rFonts w:hint="default"/>
                <w:color w:val="auto"/>
                <w:sz w:val="21"/>
                <w:szCs w:val="21"/>
                <w:highlight w:val="none"/>
              </w:rPr>
              <w:t>、NO</w:t>
            </w:r>
            <w:r>
              <w:rPr>
                <w:rFonts w:hint="eastAsia"/>
                <w:color w:val="auto"/>
                <w:sz w:val="21"/>
                <w:szCs w:val="21"/>
                <w:highlight w:val="none"/>
                <w:vertAlign w:val="subscript"/>
                <w:lang w:val="en-US" w:eastAsia="zh-CN"/>
              </w:rPr>
              <w:t>X</w:t>
            </w:r>
          </w:p>
        </w:tc>
        <w:tc>
          <w:tcPr>
            <w:tcW w:w="97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21"/>
                <w:szCs w:val="21"/>
                <w:highlight w:val="none"/>
                <w:lang w:val="en-US" w:eastAsia="zh-CN"/>
              </w:rPr>
            </w:pPr>
            <w:r>
              <w:rPr>
                <w:rFonts w:hint="default"/>
                <w:color w:val="auto"/>
                <w:sz w:val="21"/>
                <w:szCs w:val="21"/>
                <w:highlight w:val="none"/>
              </w:rPr>
              <w:t>排气筒</w:t>
            </w:r>
            <w:r>
              <w:rPr>
                <w:rFonts w:hint="eastAsia"/>
                <w:color w:val="auto"/>
                <w:sz w:val="21"/>
                <w:szCs w:val="21"/>
                <w:highlight w:val="none"/>
                <w:lang w:val="en-US" w:eastAsia="zh-CN"/>
              </w:rPr>
              <w:t>垂直部分监测口</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w:t>
            </w:r>
            <w:r>
              <w:rPr>
                <w:rFonts w:hint="eastAsia"/>
                <w:color w:val="auto"/>
                <w:sz w:val="21"/>
                <w:szCs w:val="21"/>
                <w:highlight w:val="none"/>
                <w:lang w:val="en-US" w:eastAsia="zh-CN"/>
              </w:rPr>
              <w:t>DA001</w:t>
            </w:r>
            <w:r>
              <w:rPr>
                <w:rFonts w:hint="eastAsia"/>
                <w:color w:val="auto"/>
                <w:sz w:val="21"/>
                <w:szCs w:val="21"/>
                <w:highlight w:val="none"/>
                <w:lang w:eastAsia="zh-CN"/>
              </w:rPr>
              <w:t>）</w:t>
            </w:r>
          </w:p>
        </w:tc>
        <w:tc>
          <w:tcPr>
            <w:tcW w:w="1735"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连续在线监测装置，并与生态环境部门联网</w:t>
            </w:r>
          </w:p>
        </w:tc>
        <w:tc>
          <w:tcPr>
            <w:tcW w:w="229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《关于高质量推进实施燃煤锅炉超低排放的意见</w:t>
            </w:r>
            <w:r>
              <w:rPr>
                <w:rFonts w:hint="eastAsia"/>
                <w:color w:val="auto"/>
                <w:sz w:val="21"/>
                <w:szCs w:val="21"/>
                <w:highlight w:val="none"/>
                <w:lang w:eastAsia="zh-CN"/>
              </w:rPr>
              <w:t>（</w:t>
            </w:r>
            <w:r>
              <w:rPr>
                <w:rFonts w:hint="default"/>
                <w:color w:val="auto"/>
                <w:sz w:val="21"/>
                <w:szCs w:val="21"/>
                <w:highlight w:val="none"/>
              </w:rPr>
              <w:t>征求意见稿</w:t>
            </w:r>
            <w:r>
              <w:rPr>
                <w:rFonts w:hint="eastAsia"/>
                <w:color w:val="auto"/>
                <w:sz w:val="21"/>
                <w:szCs w:val="21"/>
                <w:highlight w:val="none"/>
                <w:lang w:eastAsia="zh-CN"/>
              </w:rPr>
              <w:t>）</w:t>
            </w:r>
            <w:r>
              <w:rPr>
                <w:rFonts w:hint="default"/>
                <w:color w:val="auto"/>
                <w:sz w:val="21"/>
                <w:szCs w:val="21"/>
                <w:highlight w:val="none"/>
              </w:rPr>
              <w:t>》中要求：氮氧化合物指标≤50mg/m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w:t>
            </w:r>
            <w:r>
              <w:rPr>
                <w:rFonts w:hint="default"/>
                <w:color w:val="auto"/>
                <w:sz w:val="21"/>
                <w:szCs w:val="21"/>
                <w:highlight w:val="none"/>
              </w:rPr>
              <w:t>二氧化硫指标≤35mg/m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，颗粒物</w:t>
            </w:r>
            <w:r>
              <w:rPr>
                <w:rFonts w:hint="default"/>
                <w:color w:val="auto"/>
                <w:sz w:val="21"/>
                <w:szCs w:val="21"/>
                <w:highlight w:val="none"/>
              </w:rPr>
              <w:t>指标≤10mg/m</w:t>
            </w:r>
            <w:r>
              <w:rPr>
                <w:rFonts w:hint="eastAsia"/>
                <w:color w:val="auto"/>
                <w:sz w:val="21"/>
                <w:szCs w:val="21"/>
                <w:highlight w:val="none"/>
                <w:vertAlign w:val="superscript"/>
                <w:lang w:val="en-US" w:eastAsia="zh-CN"/>
              </w:rPr>
              <w:t>3</w:t>
            </w:r>
          </w:p>
        </w:tc>
        <w:tc>
          <w:tcPr>
            <w:tcW w:w="8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在线</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监测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p>
        </w:tc>
        <w:tc>
          <w:tcPr>
            <w:tcW w:w="63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p>
        </w:tc>
        <w:tc>
          <w:tcPr>
            <w:tcW w:w="55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p>
        </w:tc>
        <w:tc>
          <w:tcPr>
            <w:tcW w:w="84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p>
        </w:tc>
        <w:tc>
          <w:tcPr>
            <w:tcW w:w="97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p>
        </w:tc>
        <w:tc>
          <w:tcPr>
            <w:tcW w:w="7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1次/季度</w:t>
            </w:r>
          </w:p>
        </w:tc>
        <w:tc>
          <w:tcPr>
            <w:tcW w:w="9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有资质监测单位</w:t>
            </w:r>
          </w:p>
        </w:tc>
        <w:tc>
          <w:tcPr>
            <w:tcW w:w="22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p>
        </w:tc>
        <w:tc>
          <w:tcPr>
            <w:tcW w:w="8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1"/>
                <w:szCs w:val="21"/>
                <w:highlight w:val="none"/>
                <w:lang w:val="en-US" w:eastAsia="zh-CN"/>
              </w:rPr>
            </w:pPr>
            <w:r>
              <w:rPr>
                <w:color w:val="auto"/>
                <w:sz w:val="21"/>
                <w:szCs w:val="21"/>
                <w:highlight w:val="none"/>
              </w:rPr>
              <w:t>进行人工</w:t>
            </w:r>
            <w:r>
              <w:rPr>
                <w:rFonts w:hint="eastAsia"/>
                <w:color w:val="auto"/>
                <w:sz w:val="21"/>
                <w:szCs w:val="21"/>
                <w:highlight w:val="none"/>
                <w:lang w:val="en-US" w:eastAsia="zh-CN"/>
              </w:rPr>
              <w:t>实测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p>
        </w:tc>
        <w:tc>
          <w:tcPr>
            <w:tcW w:w="63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p>
        </w:tc>
        <w:tc>
          <w:tcPr>
            <w:tcW w:w="55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p>
        </w:tc>
        <w:tc>
          <w:tcPr>
            <w:tcW w:w="8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汞及其化合物、</w:t>
            </w:r>
            <w:r>
              <w:rPr>
                <w:rFonts w:hint="eastAsia"/>
                <w:color w:val="auto"/>
                <w:sz w:val="21"/>
                <w:szCs w:val="21"/>
                <w:highlight w:val="none"/>
                <w:lang w:val="en-US" w:eastAsia="zh-CN"/>
              </w:rPr>
              <w:t>林格曼</w:t>
            </w:r>
            <w:r>
              <w:rPr>
                <w:rFonts w:hint="default"/>
                <w:color w:val="auto"/>
                <w:sz w:val="21"/>
                <w:szCs w:val="21"/>
                <w:highlight w:val="none"/>
              </w:rPr>
              <w:t>黑度</w:t>
            </w:r>
          </w:p>
        </w:tc>
        <w:tc>
          <w:tcPr>
            <w:tcW w:w="9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21"/>
                <w:szCs w:val="21"/>
                <w:highlight w:val="none"/>
                <w:lang w:val="en-US" w:eastAsia="zh-CN"/>
              </w:rPr>
            </w:pPr>
            <w:r>
              <w:rPr>
                <w:rFonts w:hint="default"/>
                <w:color w:val="auto"/>
                <w:sz w:val="21"/>
                <w:szCs w:val="21"/>
                <w:highlight w:val="none"/>
              </w:rPr>
              <w:t>排气筒</w:t>
            </w:r>
            <w:r>
              <w:rPr>
                <w:rFonts w:hint="eastAsia"/>
                <w:color w:val="auto"/>
                <w:sz w:val="21"/>
                <w:szCs w:val="21"/>
                <w:highlight w:val="none"/>
                <w:lang w:val="en-US" w:eastAsia="zh-CN"/>
              </w:rPr>
              <w:t>垂直部分监测口</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eastAsia"/>
                <w:color w:val="auto"/>
                <w:sz w:val="21"/>
                <w:szCs w:val="21"/>
                <w:highlight w:val="none"/>
                <w:lang w:eastAsia="zh-CN"/>
              </w:rPr>
              <w:t>（</w:t>
            </w:r>
            <w:r>
              <w:rPr>
                <w:rFonts w:hint="eastAsia"/>
                <w:color w:val="auto"/>
                <w:sz w:val="21"/>
                <w:szCs w:val="21"/>
                <w:highlight w:val="none"/>
                <w:lang w:val="en-US" w:eastAsia="zh-CN"/>
              </w:rPr>
              <w:t>DA001</w:t>
            </w:r>
            <w:r>
              <w:rPr>
                <w:rFonts w:hint="eastAsia"/>
                <w:color w:val="auto"/>
                <w:sz w:val="21"/>
                <w:szCs w:val="21"/>
                <w:highlight w:val="none"/>
                <w:lang w:eastAsia="zh-CN"/>
              </w:rPr>
              <w:t>）</w:t>
            </w:r>
          </w:p>
        </w:tc>
        <w:tc>
          <w:tcPr>
            <w:tcW w:w="7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1次/季度</w:t>
            </w:r>
          </w:p>
        </w:tc>
        <w:tc>
          <w:tcPr>
            <w:tcW w:w="9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有资质监测单位</w:t>
            </w:r>
          </w:p>
        </w:tc>
        <w:tc>
          <w:tcPr>
            <w:tcW w:w="22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1"/>
                <w:szCs w:val="21"/>
                <w:highlight w:val="none"/>
                <w:lang w:eastAsia="zh-CN"/>
              </w:rPr>
            </w:pPr>
            <w:r>
              <w:rPr>
                <w:rFonts w:hint="default"/>
                <w:color w:val="auto"/>
                <w:sz w:val="21"/>
                <w:szCs w:val="21"/>
                <w:highlight w:val="none"/>
              </w:rPr>
              <w:t>《锅炉大气污染物排放标准》</w:t>
            </w:r>
            <w:r>
              <w:rPr>
                <w:rFonts w:hint="eastAsia"/>
                <w:color w:val="auto"/>
                <w:sz w:val="21"/>
                <w:szCs w:val="21"/>
                <w:highlight w:val="none"/>
                <w:lang w:eastAsia="zh-CN"/>
              </w:rPr>
              <w:t>（</w:t>
            </w:r>
            <w:r>
              <w:rPr>
                <w:rFonts w:hint="default"/>
                <w:color w:val="auto"/>
                <w:sz w:val="21"/>
                <w:szCs w:val="21"/>
                <w:highlight w:val="none"/>
              </w:rPr>
              <w:t>GB13271-2014</w:t>
            </w:r>
            <w:r>
              <w:rPr>
                <w:rFonts w:hint="eastAsia"/>
                <w:color w:val="auto"/>
                <w:sz w:val="21"/>
                <w:szCs w:val="21"/>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1"/>
                <w:szCs w:val="21"/>
                <w:highlight w:val="none"/>
                <w:lang w:eastAsia="zh-CN"/>
              </w:rPr>
            </w:pPr>
            <w:r>
              <w:rPr>
                <w:rFonts w:hint="default"/>
                <w:color w:val="auto"/>
                <w:sz w:val="21"/>
                <w:szCs w:val="21"/>
                <w:highlight w:val="none"/>
              </w:rPr>
              <w:t>表2标准</w:t>
            </w:r>
            <w:r>
              <w:rPr>
                <w:rFonts w:hint="eastAsia"/>
                <w:color w:val="auto"/>
                <w:sz w:val="21"/>
                <w:szCs w:val="21"/>
                <w:highlight w:val="none"/>
                <w:lang w:eastAsia="zh-CN"/>
              </w:rPr>
              <w:t>（</w:t>
            </w:r>
            <w:r>
              <w:rPr>
                <w:rFonts w:hint="default"/>
                <w:color w:val="auto"/>
                <w:sz w:val="21"/>
                <w:szCs w:val="21"/>
                <w:highlight w:val="none"/>
              </w:rPr>
              <w:t>汞及其化合物≤0.05mg/m</w:t>
            </w:r>
            <w:r>
              <w:rPr>
                <w:rFonts w:hint="eastAsia"/>
                <w:color w:val="auto"/>
                <w:sz w:val="21"/>
                <w:szCs w:val="21"/>
                <w:highlight w:val="none"/>
                <w:vertAlign w:val="superscript"/>
                <w:lang w:val="en-US" w:eastAsia="zh-CN"/>
              </w:rPr>
              <w:t>3</w:t>
            </w:r>
            <w:r>
              <w:rPr>
                <w:rFonts w:hint="eastAsia"/>
                <w:color w:val="auto"/>
                <w:sz w:val="21"/>
                <w:szCs w:val="21"/>
                <w:highlight w:val="none"/>
                <w:lang w:eastAsia="zh-CN"/>
              </w:rPr>
              <w:t>），</w:t>
            </w:r>
            <w:r>
              <w:rPr>
                <w:rFonts w:hint="default"/>
                <w:color w:val="auto"/>
                <w:sz w:val="21"/>
                <w:szCs w:val="21"/>
                <w:highlight w:val="none"/>
              </w:rPr>
              <w:t>林格曼黑度</w:t>
            </w:r>
            <w:r>
              <w:rPr>
                <w:rFonts w:hint="eastAsia"/>
                <w:color w:val="auto"/>
                <w:sz w:val="21"/>
                <w:szCs w:val="21"/>
                <w:highlight w:val="none"/>
                <w:lang w:eastAsia="zh-CN"/>
              </w:rPr>
              <w:t>（</w:t>
            </w:r>
            <w:r>
              <w:rPr>
                <w:rFonts w:hint="default"/>
                <w:color w:val="auto"/>
                <w:sz w:val="21"/>
                <w:szCs w:val="21"/>
                <w:highlight w:val="none"/>
              </w:rPr>
              <w:t>级≤1</w:t>
            </w:r>
            <w:r>
              <w:rPr>
                <w:rFonts w:hint="eastAsia"/>
                <w:color w:val="auto"/>
                <w:sz w:val="21"/>
                <w:szCs w:val="21"/>
                <w:highlight w:val="none"/>
                <w:lang w:eastAsia="zh-CN"/>
              </w:rPr>
              <w:t>）</w:t>
            </w:r>
          </w:p>
        </w:tc>
        <w:tc>
          <w:tcPr>
            <w:tcW w:w="8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rPr>
            </w:pPr>
            <w:r>
              <w:rPr>
                <w:color w:val="auto"/>
                <w:sz w:val="21"/>
                <w:szCs w:val="21"/>
                <w:highlight w:val="none"/>
              </w:rPr>
              <w:t>进行人工</w:t>
            </w:r>
            <w:r>
              <w:rPr>
                <w:rFonts w:hint="eastAsia"/>
                <w:color w:val="auto"/>
                <w:sz w:val="21"/>
                <w:szCs w:val="21"/>
                <w:highlight w:val="none"/>
                <w:lang w:val="en-US" w:eastAsia="zh-CN"/>
              </w:rPr>
              <w:t>实测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p>
        </w:tc>
        <w:tc>
          <w:tcPr>
            <w:tcW w:w="6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无组织排</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放</w:t>
            </w:r>
          </w:p>
        </w:tc>
        <w:tc>
          <w:tcPr>
            <w:tcW w:w="5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厂界</w:t>
            </w:r>
            <w:r>
              <w:rPr>
                <w:rFonts w:hint="eastAsia"/>
                <w:color w:val="auto"/>
                <w:sz w:val="21"/>
                <w:szCs w:val="21"/>
                <w:highlight w:val="none"/>
                <w:lang w:val="en-US" w:eastAsia="zh-CN"/>
              </w:rPr>
              <w:t>及敏感点</w:t>
            </w:r>
          </w:p>
        </w:tc>
        <w:tc>
          <w:tcPr>
            <w:tcW w:w="8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eastAsia"/>
                <w:color w:val="auto"/>
                <w:sz w:val="21"/>
                <w:szCs w:val="21"/>
                <w:highlight w:val="none"/>
                <w:lang w:val="en-US" w:eastAsia="zh-CN"/>
              </w:rPr>
              <w:t>总悬浮</w:t>
            </w:r>
            <w:r>
              <w:rPr>
                <w:rFonts w:hint="default"/>
                <w:color w:val="auto"/>
                <w:sz w:val="21"/>
                <w:szCs w:val="21"/>
                <w:highlight w:val="none"/>
              </w:rPr>
              <w:t>颗粒物</w:t>
            </w:r>
          </w:p>
        </w:tc>
        <w:tc>
          <w:tcPr>
            <w:tcW w:w="9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上风向1个点，下风向3个点</w:t>
            </w:r>
          </w:p>
        </w:tc>
        <w:tc>
          <w:tcPr>
            <w:tcW w:w="7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1次/季度</w:t>
            </w:r>
          </w:p>
        </w:tc>
        <w:tc>
          <w:tcPr>
            <w:tcW w:w="9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有资质监测单位</w:t>
            </w:r>
          </w:p>
        </w:tc>
        <w:tc>
          <w:tcPr>
            <w:tcW w:w="22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1"/>
                <w:szCs w:val="21"/>
                <w:highlight w:val="none"/>
                <w:lang w:eastAsia="zh-CN"/>
              </w:rPr>
            </w:pPr>
            <w:r>
              <w:rPr>
                <w:rFonts w:hint="default"/>
                <w:color w:val="auto"/>
                <w:sz w:val="21"/>
                <w:szCs w:val="21"/>
                <w:highlight w:val="none"/>
              </w:rPr>
              <w:t>《大气污染物综合排放标准》</w:t>
            </w:r>
            <w:r>
              <w:rPr>
                <w:rFonts w:hint="eastAsia"/>
                <w:color w:val="auto"/>
                <w:sz w:val="21"/>
                <w:szCs w:val="21"/>
                <w:highlight w:val="none"/>
                <w:lang w:eastAsia="zh-CN"/>
              </w:rPr>
              <w:t>（</w:t>
            </w:r>
            <w:r>
              <w:rPr>
                <w:rFonts w:hint="default"/>
                <w:color w:val="auto"/>
                <w:sz w:val="21"/>
                <w:szCs w:val="21"/>
                <w:highlight w:val="none"/>
              </w:rPr>
              <w:t>GB16297-1996</w:t>
            </w:r>
            <w:r>
              <w:rPr>
                <w:rFonts w:hint="eastAsia"/>
                <w:color w:val="auto"/>
                <w:sz w:val="21"/>
                <w:szCs w:val="21"/>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中表2新污染源颗粒物无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组织排放监控浓度限值要求</w:t>
            </w:r>
          </w:p>
        </w:tc>
        <w:tc>
          <w:tcPr>
            <w:tcW w:w="8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rPr>
            </w:pPr>
            <w:r>
              <w:rPr>
                <w:color w:val="auto"/>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噪声</w:t>
            </w:r>
          </w:p>
        </w:tc>
        <w:tc>
          <w:tcPr>
            <w:tcW w:w="6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21"/>
                <w:szCs w:val="21"/>
                <w:highlight w:val="none"/>
                <w:lang w:val="en-US" w:eastAsia="zh-CN"/>
              </w:rPr>
            </w:pPr>
            <w:r>
              <w:rPr>
                <w:rFonts w:hint="default"/>
                <w:color w:val="auto"/>
                <w:sz w:val="21"/>
                <w:szCs w:val="21"/>
                <w:highlight w:val="none"/>
              </w:rPr>
              <w:t>厂界</w:t>
            </w:r>
            <w:r>
              <w:rPr>
                <w:rFonts w:hint="eastAsia"/>
                <w:color w:val="auto"/>
                <w:sz w:val="21"/>
                <w:szCs w:val="21"/>
                <w:highlight w:val="none"/>
                <w:lang w:val="en-US" w:eastAsia="zh-CN"/>
              </w:rPr>
              <w:t>及敏感点</w:t>
            </w:r>
          </w:p>
        </w:tc>
        <w:tc>
          <w:tcPr>
            <w:tcW w:w="5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厂界</w:t>
            </w:r>
            <w:r>
              <w:rPr>
                <w:rFonts w:hint="eastAsia"/>
                <w:color w:val="auto"/>
                <w:sz w:val="21"/>
                <w:szCs w:val="21"/>
                <w:highlight w:val="none"/>
                <w:lang w:val="en-US" w:eastAsia="zh-CN"/>
              </w:rPr>
              <w:t>及敏感点</w:t>
            </w:r>
          </w:p>
        </w:tc>
        <w:tc>
          <w:tcPr>
            <w:tcW w:w="8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等效连续A声级</w:t>
            </w:r>
          </w:p>
        </w:tc>
        <w:tc>
          <w:tcPr>
            <w:tcW w:w="9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21"/>
                <w:szCs w:val="21"/>
                <w:highlight w:val="none"/>
                <w:lang w:val="en-US" w:eastAsia="zh-CN"/>
              </w:rPr>
            </w:pPr>
            <w:r>
              <w:rPr>
                <w:rFonts w:hint="default"/>
                <w:color w:val="auto"/>
                <w:sz w:val="21"/>
                <w:szCs w:val="21"/>
                <w:highlight w:val="none"/>
              </w:rPr>
              <w:t>厂界外1m</w:t>
            </w:r>
            <w:r>
              <w:rPr>
                <w:rFonts w:hint="eastAsia"/>
                <w:color w:val="auto"/>
                <w:sz w:val="21"/>
                <w:szCs w:val="21"/>
                <w:highlight w:val="none"/>
                <w:lang w:val="en-US" w:eastAsia="zh-CN"/>
              </w:rPr>
              <w:t>及敏感点处</w:t>
            </w:r>
          </w:p>
        </w:tc>
        <w:tc>
          <w:tcPr>
            <w:tcW w:w="7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1次/季度</w:t>
            </w:r>
          </w:p>
        </w:tc>
        <w:tc>
          <w:tcPr>
            <w:tcW w:w="9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有资质监测单位</w:t>
            </w:r>
          </w:p>
        </w:tc>
        <w:tc>
          <w:tcPr>
            <w:tcW w:w="22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rPr>
              <w:t>《工业企业厂界环境噪声排放标准》GB12348-2008中2类标准要求</w:t>
            </w:r>
          </w:p>
        </w:tc>
        <w:tc>
          <w:tcPr>
            <w:tcW w:w="8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rPr>
            </w:pPr>
            <w:r>
              <w:rPr>
                <w:color w:val="auto"/>
                <w:sz w:val="21"/>
                <w:szCs w:val="21"/>
                <w:highlight w:val="none"/>
              </w:rPr>
              <w:t>/</w:t>
            </w:r>
          </w:p>
        </w:tc>
      </w:tr>
    </w:tbl>
    <w:p>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宋体" w:cs="Times New Roman"/>
          <w:color w:val="auto"/>
          <w:highlight w:val="none"/>
          <w:lang w:eastAsia="zh-CN"/>
        </w:rPr>
      </w:pPr>
      <w:r>
        <w:rPr>
          <w:rFonts w:hint="eastAsia"/>
          <w:color w:val="auto"/>
          <w:highlight w:val="none"/>
          <w:lang w:val="en-US" w:eastAsia="zh-CN"/>
        </w:rPr>
        <w:t>9</w:t>
      </w:r>
      <w:r>
        <w:rPr>
          <w:color w:val="auto"/>
          <w:highlight w:val="none"/>
        </w:rPr>
        <w:t>.2.4污染物排放口（源）标识标牌</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根据《环境保护图形标志 排放口（源）》（GB15562.1-1995）和《环境保护图形标志固体废物贮存（处置）场》（GB 15562.2-1995），各排污口（源）环境保护图形标志见表</w:t>
      </w:r>
      <w:r>
        <w:rPr>
          <w:rFonts w:hint="eastAsia" w:cs="Times New Roman"/>
          <w:color w:val="auto"/>
          <w:highlight w:val="none"/>
          <w:lang w:val="en-US" w:eastAsia="zh-CN"/>
        </w:rPr>
        <w:t>9.2.4-1</w:t>
      </w:r>
      <w:r>
        <w:rPr>
          <w:rFonts w:hint="default" w:ascii="Times New Roman" w:hAnsi="Times New Roman" w:cs="Times New Roman"/>
          <w:color w:val="auto"/>
          <w:highlight w:val="none"/>
        </w:rPr>
        <w:t>。各排污口（源）环境保护图形标志的形状及颜色见表</w:t>
      </w:r>
      <w:r>
        <w:rPr>
          <w:rFonts w:hint="eastAsia" w:cs="Times New Roman"/>
          <w:color w:val="auto"/>
          <w:highlight w:val="none"/>
          <w:lang w:val="en-US" w:eastAsia="zh-CN"/>
        </w:rPr>
        <w:t>9.2.4-2</w:t>
      </w:r>
      <w:r>
        <w:rPr>
          <w:rFonts w:hint="default" w:ascii="Times New Roman" w:hAnsi="Times New Roman" w:cs="Times New Roman"/>
          <w:color w:val="auto"/>
          <w:highlight w:val="none"/>
        </w:rPr>
        <w:t>。</w:t>
      </w:r>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eastAsia" w:cs="Times New Roman"/>
          <w:b/>
          <w:bCs/>
          <w:color w:val="auto"/>
          <w:sz w:val="21"/>
          <w:szCs w:val="21"/>
          <w:highlight w:val="none"/>
          <w:lang w:val="en-US" w:eastAsia="zh-CN"/>
        </w:rPr>
        <w:t>9.2.4-1</w:t>
      </w:r>
      <w:r>
        <w:rPr>
          <w:rFonts w:hint="default" w:ascii="Times New Roman" w:hAnsi="Times New Roman" w:eastAsia="宋体" w:cs="Times New Roman"/>
          <w:b/>
          <w:bCs/>
          <w:color w:val="auto"/>
          <w:sz w:val="21"/>
          <w:szCs w:val="21"/>
          <w:highlight w:val="none"/>
        </w:rPr>
        <w:t xml:space="preserve">   环境保护图形标志设置图形表</w:t>
      </w:r>
    </w:p>
    <w:tbl>
      <w:tblPr>
        <w:tblStyle w:val="33"/>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51"/>
        <w:gridCol w:w="1797"/>
        <w:gridCol w:w="2170"/>
        <w:gridCol w:w="1799"/>
        <w:gridCol w:w="179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52"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1080"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提示图形标志</w:t>
            </w:r>
          </w:p>
        </w:tc>
        <w:tc>
          <w:tcPr>
            <w:tcW w:w="1304"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警告图形符号</w:t>
            </w:r>
          </w:p>
        </w:tc>
        <w:tc>
          <w:tcPr>
            <w:tcW w:w="1081"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名称</w:t>
            </w:r>
          </w:p>
        </w:tc>
        <w:tc>
          <w:tcPr>
            <w:tcW w:w="1081"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功能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52"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080"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anchor distT="0" distB="0" distL="114300" distR="114300" simplePos="0" relativeHeight="251664384" behindDoc="0" locked="0" layoutInCell="1" allowOverlap="1">
                  <wp:simplePos x="0" y="0"/>
                  <wp:positionH relativeFrom="column">
                    <wp:posOffset>123825</wp:posOffset>
                  </wp:positionH>
                  <wp:positionV relativeFrom="paragraph">
                    <wp:posOffset>95250</wp:posOffset>
                  </wp:positionV>
                  <wp:extent cx="866775" cy="809625"/>
                  <wp:effectExtent l="0" t="0" r="9525" b="9525"/>
                  <wp:wrapSquare wrapText="bothSides"/>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51"/>
                          <a:stretch>
                            <a:fillRect/>
                          </a:stretch>
                        </pic:blipFill>
                        <pic:spPr>
                          <a:xfrm>
                            <a:off x="0" y="0"/>
                            <a:ext cx="866775" cy="809625"/>
                          </a:xfrm>
                          <a:prstGeom prst="rect">
                            <a:avLst/>
                          </a:prstGeom>
                          <a:noFill/>
                          <a:ln>
                            <a:noFill/>
                          </a:ln>
                        </pic:spPr>
                      </pic:pic>
                    </a:graphicData>
                  </a:graphic>
                </wp:anchor>
              </w:drawing>
            </w:r>
          </w:p>
        </w:tc>
        <w:tc>
          <w:tcPr>
            <w:tcW w:w="1304"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anchor distT="0" distB="0" distL="114300" distR="114300" simplePos="0" relativeHeight="251668480" behindDoc="0" locked="0" layoutInCell="1" allowOverlap="1">
                  <wp:simplePos x="0" y="0"/>
                  <wp:positionH relativeFrom="column">
                    <wp:posOffset>165735</wp:posOffset>
                  </wp:positionH>
                  <wp:positionV relativeFrom="paragraph">
                    <wp:posOffset>90170</wp:posOffset>
                  </wp:positionV>
                  <wp:extent cx="923290" cy="819785"/>
                  <wp:effectExtent l="0" t="0" r="10160" b="18415"/>
                  <wp:wrapSquare wrapText="bothSides"/>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52"/>
                          <a:stretch>
                            <a:fillRect/>
                          </a:stretch>
                        </pic:blipFill>
                        <pic:spPr>
                          <a:xfrm>
                            <a:off x="0" y="0"/>
                            <a:ext cx="923290" cy="819785"/>
                          </a:xfrm>
                          <a:prstGeom prst="rect">
                            <a:avLst/>
                          </a:prstGeom>
                          <a:noFill/>
                          <a:ln>
                            <a:noFill/>
                          </a:ln>
                        </pic:spPr>
                      </pic:pic>
                    </a:graphicData>
                  </a:graphic>
                </wp:anchor>
              </w:drawing>
            </w:r>
          </w:p>
        </w:tc>
        <w:tc>
          <w:tcPr>
            <w:tcW w:w="1081"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废水排放口</w:t>
            </w:r>
          </w:p>
        </w:tc>
        <w:tc>
          <w:tcPr>
            <w:tcW w:w="1081"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表示废水向水体排放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52"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1080"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 </w:t>
            </w:r>
          </w:p>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 </w:t>
            </w:r>
            <w:r>
              <w:rPr>
                <w:rFonts w:hint="default" w:ascii="Times New Roman" w:hAnsi="Times New Roman" w:cs="Times New Roman"/>
                <w:color w:val="auto"/>
                <w:sz w:val="21"/>
                <w:szCs w:val="21"/>
                <w:highlight w:val="none"/>
              </w:rPr>
              <w:drawing>
                <wp:anchor distT="0" distB="0" distL="114300" distR="114300" simplePos="0" relativeHeight="251665408" behindDoc="0" locked="0" layoutInCell="1" allowOverlap="1">
                  <wp:simplePos x="0" y="0"/>
                  <wp:positionH relativeFrom="column">
                    <wp:posOffset>123825</wp:posOffset>
                  </wp:positionH>
                  <wp:positionV relativeFrom="paragraph">
                    <wp:posOffset>5080</wp:posOffset>
                  </wp:positionV>
                  <wp:extent cx="922655" cy="789940"/>
                  <wp:effectExtent l="0" t="0" r="10795" b="10160"/>
                  <wp:wrapSquare wrapText="bothSides"/>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53"/>
                          <a:stretch>
                            <a:fillRect/>
                          </a:stretch>
                        </pic:blipFill>
                        <pic:spPr>
                          <a:xfrm>
                            <a:off x="0" y="0"/>
                            <a:ext cx="922655" cy="789940"/>
                          </a:xfrm>
                          <a:prstGeom prst="rect">
                            <a:avLst/>
                          </a:prstGeom>
                          <a:noFill/>
                          <a:ln>
                            <a:noFill/>
                          </a:ln>
                        </pic:spPr>
                      </pic:pic>
                    </a:graphicData>
                  </a:graphic>
                </wp:anchor>
              </w:drawing>
            </w:r>
          </w:p>
        </w:tc>
        <w:tc>
          <w:tcPr>
            <w:tcW w:w="1304"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anchor distT="0" distB="0" distL="114300" distR="114300" simplePos="0" relativeHeight="251669504" behindDoc="0" locked="0" layoutInCell="1" allowOverlap="1">
                  <wp:simplePos x="0" y="0"/>
                  <wp:positionH relativeFrom="column">
                    <wp:posOffset>113665</wp:posOffset>
                  </wp:positionH>
                  <wp:positionV relativeFrom="paragraph">
                    <wp:posOffset>185420</wp:posOffset>
                  </wp:positionV>
                  <wp:extent cx="951865" cy="791210"/>
                  <wp:effectExtent l="0" t="0" r="635" b="8890"/>
                  <wp:wrapSquare wrapText="bothSides"/>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54"/>
                          <a:stretch>
                            <a:fillRect/>
                          </a:stretch>
                        </pic:blipFill>
                        <pic:spPr>
                          <a:xfrm>
                            <a:off x="0" y="0"/>
                            <a:ext cx="951865" cy="791210"/>
                          </a:xfrm>
                          <a:prstGeom prst="rect">
                            <a:avLst/>
                          </a:prstGeom>
                          <a:noFill/>
                          <a:ln>
                            <a:noFill/>
                          </a:ln>
                        </pic:spPr>
                      </pic:pic>
                    </a:graphicData>
                  </a:graphic>
                </wp:anchor>
              </w:drawing>
            </w:r>
          </w:p>
        </w:tc>
        <w:tc>
          <w:tcPr>
            <w:tcW w:w="1081"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废气排放口</w:t>
            </w:r>
          </w:p>
        </w:tc>
        <w:tc>
          <w:tcPr>
            <w:tcW w:w="1081"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b/>
                <w:color w:val="auto"/>
                <w:sz w:val="21"/>
                <w:szCs w:val="21"/>
                <w:highlight w:val="none"/>
              </w:rPr>
            </w:pPr>
          </w:p>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表示废气向大气环境排放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52"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1080"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anchor distT="0" distB="0" distL="114300" distR="114300" simplePos="0" relativeHeight="251666432" behindDoc="0" locked="0" layoutInCell="1" allowOverlap="1">
                  <wp:simplePos x="0" y="0"/>
                  <wp:positionH relativeFrom="column">
                    <wp:posOffset>146050</wp:posOffset>
                  </wp:positionH>
                  <wp:positionV relativeFrom="paragraph">
                    <wp:posOffset>90170</wp:posOffset>
                  </wp:positionV>
                  <wp:extent cx="962025" cy="819785"/>
                  <wp:effectExtent l="0" t="0" r="9525" b="18415"/>
                  <wp:wrapSquare wrapText="bothSides"/>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55"/>
                          <a:stretch>
                            <a:fillRect/>
                          </a:stretch>
                        </pic:blipFill>
                        <pic:spPr>
                          <a:xfrm>
                            <a:off x="0" y="0"/>
                            <a:ext cx="962025" cy="819785"/>
                          </a:xfrm>
                          <a:prstGeom prst="rect">
                            <a:avLst/>
                          </a:prstGeom>
                          <a:noFill/>
                          <a:ln>
                            <a:noFill/>
                          </a:ln>
                        </pic:spPr>
                      </pic:pic>
                    </a:graphicData>
                  </a:graphic>
                </wp:anchor>
              </w:drawing>
            </w:r>
          </w:p>
        </w:tc>
        <w:tc>
          <w:tcPr>
            <w:tcW w:w="1304"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anchor distT="0" distB="0" distL="114300" distR="114300" simplePos="0" relativeHeight="251670528" behindDoc="0" locked="0" layoutInCell="1" allowOverlap="1">
                  <wp:simplePos x="0" y="0"/>
                  <wp:positionH relativeFrom="column">
                    <wp:posOffset>165735</wp:posOffset>
                  </wp:positionH>
                  <wp:positionV relativeFrom="paragraph">
                    <wp:posOffset>145415</wp:posOffset>
                  </wp:positionV>
                  <wp:extent cx="961390" cy="775970"/>
                  <wp:effectExtent l="0" t="0" r="10160" b="5080"/>
                  <wp:wrapSquare wrapText="bothSides"/>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56"/>
                          <a:stretch>
                            <a:fillRect/>
                          </a:stretch>
                        </pic:blipFill>
                        <pic:spPr>
                          <a:xfrm>
                            <a:off x="0" y="0"/>
                            <a:ext cx="961390" cy="775970"/>
                          </a:xfrm>
                          <a:prstGeom prst="rect">
                            <a:avLst/>
                          </a:prstGeom>
                          <a:noFill/>
                          <a:ln>
                            <a:noFill/>
                          </a:ln>
                        </pic:spPr>
                      </pic:pic>
                    </a:graphicData>
                  </a:graphic>
                </wp:anchor>
              </w:drawing>
            </w:r>
          </w:p>
        </w:tc>
        <w:tc>
          <w:tcPr>
            <w:tcW w:w="1081"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噪声排放源</w:t>
            </w:r>
          </w:p>
        </w:tc>
        <w:tc>
          <w:tcPr>
            <w:tcW w:w="1081"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b/>
                <w:color w:val="auto"/>
                <w:sz w:val="21"/>
                <w:szCs w:val="21"/>
                <w:highlight w:val="none"/>
              </w:rPr>
            </w:pPr>
          </w:p>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表示噪声向外环境排放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52"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1080"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anchor distT="0" distB="0" distL="114300" distR="114300" simplePos="0" relativeHeight="251667456" behindDoc="0" locked="0" layoutInCell="1" allowOverlap="1">
                  <wp:simplePos x="0" y="0"/>
                  <wp:positionH relativeFrom="column">
                    <wp:posOffset>146685</wp:posOffset>
                  </wp:positionH>
                  <wp:positionV relativeFrom="paragraph">
                    <wp:posOffset>66675</wp:posOffset>
                  </wp:positionV>
                  <wp:extent cx="961390" cy="866775"/>
                  <wp:effectExtent l="0" t="0" r="10160" b="9525"/>
                  <wp:wrapSquare wrapText="bothSides"/>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57"/>
                          <a:stretch>
                            <a:fillRect/>
                          </a:stretch>
                        </pic:blipFill>
                        <pic:spPr>
                          <a:xfrm>
                            <a:off x="0" y="0"/>
                            <a:ext cx="961390" cy="866775"/>
                          </a:xfrm>
                          <a:prstGeom prst="rect">
                            <a:avLst/>
                          </a:prstGeom>
                          <a:noFill/>
                          <a:ln>
                            <a:noFill/>
                          </a:ln>
                        </pic:spPr>
                      </pic:pic>
                    </a:graphicData>
                  </a:graphic>
                </wp:anchor>
              </w:drawing>
            </w:r>
          </w:p>
        </w:tc>
        <w:tc>
          <w:tcPr>
            <w:tcW w:w="1304"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947420" cy="829310"/>
                  <wp:effectExtent l="0" t="0" r="5080" b="8890"/>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pic:cNvPicPr>
                            <a:picLocks noChangeAspect="1"/>
                          </pic:cNvPicPr>
                        </pic:nvPicPr>
                        <pic:blipFill>
                          <a:blip r:embed="rId58"/>
                          <a:stretch>
                            <a:fillRect/>
                          </a:stretch>
                        </pic:blipFill>
                        <pic:spPr>
                          <a:xfrm>
                            <a:off x="0" y="0"/>
                            <a:ext cx="947420" cy="829310"/>
                          </a:xfrm>
                          <a:prstGeom prst="rect">
                            <a:avLst/>
                          </a:prstGeom>
                          <a:noFill/>
                          <a:ln>
                            <a:noFill/>
                          </a:ln>
                        </pic:spPr>
                      </pic:pic>
                    </a:graphicData>
                  </a:graphic>
                </wp:inline>
              </w:drawing>
            </w:r>
          </w:p>
        </w:tc>
        <w:tc>
          <w:tcPr>
            <w:tcW w:w="1081"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一般固体废物</w:t>
            </w:r>
          </w:p>
        </w:tc>
        <w:tc>
          <w:tcPr>
            <w:tcW w:w="1081" w:type="pct"/>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val="0"/>
              <w:snapToGrid w:val="0"/>
              <w:spacing w:before="0" w:beforeAutospacing="0"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表示一般固体废物贮存、处置场</w:t>
            </w:r>
          </w:p>
        </w:tc>
      </w:tr>
    </w:tbl>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eastAsia" w:cs="Times New Roman"/>
          <w:b/>
          <w:bCs/>
          <w:color w:val="auto"/>
          <w:sz w:val="21"/>
          <w:szCs w:val="21"/>
          <w:highlight w:val="none"/>
          <w:lang w:val="en-US" w:eastAsia="zh-CN"/>
        </w:rPr>
        <w:t>9.2.4-2</w:t>
      </w:r>
      <w:r>
        <w:rPr>
          <w:rFonts w:hint="default" w:ascii="Times New Roman" w:hAnsi="Times New Roman" w:eastAsia="宋体" w:cs="Times New Roman"/>
          <w:b/>
          <w:bCs/>
          <w:color w:val="auto"/>
          <w:sz w:val="21"/>
          <w:szCs w:val="21"/>
          <w:highlight w:val="none"/>
        </w:rPr>
        <w:t xml:space="preserve">   标志形状及颜色说明</w:t>
      </w:r>
    </w:p>
    <w:tbl>
      <w:tblPr>
        <w:tblStyle w:val="33"/>
        <w:tblW w:w="492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11"/>
        <w:gridCol w:w="2223"/>
        <w:gridCol w:w="2224"/>
        <w:gridCol w:w="2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1" w:type="dxa"/>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标志分类</w:t>
            </w:r>
          </w:p>
        </w:tc>
        <w:tc>
          <w:tcPr>
            <w:tcW w:w="2223" w:type="dxa"/>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形状</w:t>
            </w:r>
          </w:p>
        </w:tc>
        <w:tc>
          <w:tcPr>
            <w:tcW w:w="2224" w:type="dxa"/>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背景颜色</w:t>
            </w:r>
          </w:p>
        </w:tc>
        <w:tc>
          <w:tcPr>
            <w:tcW w:w="2133" w:type="dxa"/>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图形颜色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1" w:type="dxa"/>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警告标志</w:t>
            </w:r>
          </w:p>
        </w:tc>
        <w:tc>
          <w:tcPr>
            <w:tcW w:w="2223" w:type="dxa"/>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三角形边框</w:t>
            </w:r>
          </w:p>
        </w:tc>
        <w:tc>
          <w:tcPr>
            <w:tcW w:w="2224" w:type="dxa"/>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黄色</w:t>
            </w:r>
          </w:p>
        </w:tc>
        <w:tc>
          <w:tcPr>
            <w:tcW w:w="2133" w:type="dxa"/>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1" w:type="dxa"/>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提示标志</w:t>
            </w:r>
          </w:p>
        </w:tc>
        <w:tc>
          <w:tcPr>
            <w:tcW w:w="2223" w:type="dxa"/>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正方形边框</w:t>
            </w:r>
          </w:p>
        </w:tc>
        <w:tc>
          <w:tcPr>
            <w:tcW w:w="2224" w:type="dxa"/>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绿色</w:t>
            </w:r>
          </w:p>
        </w:tc>
        <w:tc>
          <w:tcPr>
            <w:tcW w:w="2133" w:type="dxa"/>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白色</w:t>
            </w:r>
          </w:p>
        </w:tc>
      </w:tr>
    </w:tbl>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firstLine="480" w:firstLineChars="200"/>
        <w:jc w:val="both"/>
        <w:textAlignment w:val="auto"/>
        <w:rPr>
          <w:rFonts w:hint="default"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根据</w:t>
      </w:r>
      <w:r>
        <w:rPr>
          <w:rFonts w:hint="default" w:ascii="Times New Roman" w:hAnsi="Times New Roman" w:eastAsia="宋体" w:cs="Times New Roman"/>
          <w:color w:val="auto"/>
          <w:kern w:val="2"/>
          <w:sz w:val="24"/>
          <w:szCs w:val="20"/>
          <w:highlight w:val="none"/>
          <w:lang w:val="en-US" w:eastAsia="zh-CN" w:bidi="ar-SA"/>
        </w:rPr>
        <w:t>《排污单位污染物排放口二维码标识技术规范》（HJ 1297</w:t>
      </w:r>
      <w:r>
        <w:rPr>
          <w:rFonts w:hint="eastAsia" w:ascii="Times New Roman" w:hAnsi="Times New Roman" w:eastAsia="宋体" w:cs="Times New Roman"/>
          <w:color w:val="auto"/>
          <w:kern w:val="2"/>
          <w:sz w:val="24"/>
          <w:szCs w:val="20"/>
          <w:highlight w:val="none"/>
          <w:lang w:val="en-US" w:eastAsia="zh-CN" w:bidi="ar-SA"/>
        </w:rPr>
        <w:t>-</w:t>
      </w:r>
      <w:r>
        <w:rPr>
          <w:rFonts w:hint="default" w:ascii="Times New Roman" w:hAnsi="Times New Roman" w:eastAsia="宋体" w:cs="Times New Roman"/>
          <w:color w:val="auto"/>
          <w:kern w:val="2"/>
          <w:sz w:val="24"/>
          <w:szCs w:val="20"/>
          <w:highlight w:val="none"/>
          <w:lang w:val="en-US" w:eastAsia="zh-CN" w:bidi="ar-SA"/>
        </w:rPr>
        <w:t>2023）</w:t>
      </w:r>
      <w:r>
        <w:rPr>
          <w:rFonts w:hint="eastAsia" w:ascii="Times New Roman" w:hAnsi="Times New Roman" w:eastAsia="宋体" w:cs="Times New Roman"/>
          <w:color w:val="auto"/>
          <w:kern w:val="2"/>
          <w:sz w:val="24"/>
          <w:szCs w:val="20"/>
          <w:highlight w:val="none"/>
          <w:lang w:val="en-US" w:eastAsia="zh-CN" w:bidi="ar-SA"/>
        </w:rPr>
        <w:t>，</w:t>
      </w:r>
      <w:r>
        <w:rPr>
          <w:rFonts w:hint="default" w:ascii="Times New Roman" w:hAnsi="Times New Roman" w:eastAsia="宋体" w:cs="Times New Roman"/>
          <w:color w:val="auto"/>
          <w:kern w:val="2"/>
          <w:sz w:val="24"/>
          <w:szCs w:val="20"/>
          <w:highlight w:val="none"/>
          <w:lang w:val="en-US" w:eastAsia="zh-CN" w:bidi="ar-SA"/>
        </w:rPr>
        <w:t>持有排污许可证的排污单位，主动配合在其届气污染物排放口、水污染物排放口，以及固体废物贮存/处置设施等处，张贴生态环境主管部门发放的二维码标识。</w:t>
      </w:r>
    </w:p>
    <w:p>
      <w:pPr>
        <w:keepNext w:val="0"/>
        <w:keepLines w:val="0"/>
        <w:pageBreakBefore w:val="0"/>
        <w:widowControl w:val="0"/>
        <w:kinsoku/>
        <w:wordWrap/>
        <w:overflowPunct/>
        <w:autoSpaceDE/>
        <w:autoSpaceDN/>
        <w:bidi w:val="0"/>
        <w:adjustRightInd w:val="0"/>
        <w:snapToGrid w:val="0"/>
        <w:ind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r>
        <w:rPr>
          <w:rFonts w:hint="default" w:ascii="Times New Roman" w:hAnsi="Times New Roman" w:eastAsia="宋体" w:cs="Times New Roman"/>
          <w:color w:val="auto"/>
          <w:kern w:val="2"/>
          <w:sz w:val="24"/>
          <w:szCs w:val="20"/>
          <w:highlight w:val="none"/>
          <w:lang w:val="en-US" w:eastAsia="zh-CN" w:bidi="ar-SA"/>
        </w:rPr>
        <w:t>排污单位将由生态环境主管部门发放的排放口二维码标识，自行印制或统一印制后，将排放口二维码标识与排放口一一对应，标识位置尽量设置在少油污、少触碰、少摩擦、少高温、少潮湿等不易对二维码产生污损，且便于扫描、易于识读的位置。</w:t>
      </w:r>
    </w:p>
    <w:p>
      <w:pPr>
        <w:pStyle w:val="4"/>
        <w:keepNext w:val="0"/>
        <w:keepLines w:val="0"/>
        <w:pageBreakBefore w:val="0"/>
        <w:widowControl w:val="0"/>
        <w:kinsoku/>
        <w:wordWrap/>
        <w:overflowPunct/>
        <w:autoSpaceDE/>
        <w:autoSpaceDN/>
        <w:bidi w:val="0"/>
        <w:adjustRightInd w:val="0"/>
        <w:snapToGrid w:val="0"/>
        <w:textAlignment w:val="auto"/>
        <w:rPr>
          <w:color w:val="auto"/>
          <w:highlight w:val="none"/>
        </w:rPr>
      </w:pPr>
      <w:r>
        <w:rPr>
          <w:rFonts w:hint="eastAsia"/>
          <w:color w:val="auto"/>
          <w:highlight w:val="none"/>
          <w:lang w:val="en-US" w:eastAsia="zh-CN"/>
        </w:rPr>
        <w:t>9</w:t>
      </w:r>
      <w:r>
        <w:rPr>
          <w:color w:val="auto"/>
          <w:highlight w:val="none"/>
        </w:rPr>
        <w:t>.2.</w:t>
      </w:r>
      <w:r>
        <w:rPr>
          <w:rFonts w:hint="eastAsia"/>
          <w:color w:val="auto"/>
          <w:highlight w:val="none"/>
          <w:lang w:val="en-US" w:eastAsia="zh-CN"/>
        </w:rPr>
        <w:t>5</w:t>
      </w:r>
      <w:r>
        <w:rPr>
          <w:color w:val="auto"/>
          <w:highlight w:val="none"/>
        </w:rPr>
        <w:t>与排污许可</w:t>
      </w:r>
      <w:r>
        <w:rPr>
          <w:rFonts w:hint="eastAsia"/>
          <w:color w:val="auto"/>
          <w:highlight w:val="none"/>
          <w:lang w:val="en-US" w:eastAsia="zh-CN"/>
        </w:rPr>
        <w:t>的</w:t>
      </w:r>
      <w:r>
        <w:rPr>
          <w:color w:val="auto"/>
          <w:highlight w:val="none"/>
        </w:rPr>
        <w:t>衔接</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highlight w:val="none"/>
        </w:rPr>
      </w:pPr>
      <w:r>
        <w:rPr>
          <w:rFonts w:hint="eastAsia" w:ascii="Times New Roman" w:hAnsi="Times New Roman" w:cs="Times New Roman"/>
          <w:color w:val="auto"/>
          <w:highlight w:val="none"/>
        </w:rPr>
        <w:t>建设单位应按照《排污许可证申请与核发技术规范 锅炉》（</w:t>
      </w:r>
      <w:r>
        <w:rPr>
          <w:rFonts w:ascii="Times New Roman" w:hAnsi="Times New Roman" w:cs="Times New Roman"/>
          <w:color w:val="auto"/>
          <w:highlight w:val="none"/>
        </w:rPr>
        <w:t>HJ953</w:t>
      </w:r>
      <w:r>
        <w:rPr>
          <w:rFonts w:hint="eastAsia" w:ascii="Times New Roman" w:hAnsi="Times New Roman" w:cs="Times New Roman"/>
          <w:color w:val="auto"/>
          <w:highlight w:val="none"/>
        </w:rPr>
        <w:t>-</w:t>
      </w:r>
      <w:r>
        <w:rPr>
          <w:rFonts w:ascii="Times New Roman" w:hAnsi="Times New Roman" w:cs="Times New Roman"/>
          <w:color w:val="auto"/>
          <w:highlight w:val="none"/>
        </w:rPr>
        <w:t>2018</w:t>
      </w:r>
      <w:r>
        <w:rPr>
          <w:rFonts w:hint="eastAsia" w:ascii="Times New Roman" w:hAnsi="Times New Roman" w:cs="Times New Roman"/>
          <w:color w:val="auto"/>
          <w:highlight w:val="none"/>
        </w:rPr>
        <w:t>）要求，填报排污单位基本信息；</w:t>
      </w:r>
      <w:r>
        <w:rPr>
          <w:rFonts w:ascii="Times New Roman" w:hAnsi="Times New Roman" w:cs="Times New Roman"/>
          <w:color w:val="auto"/>
          <w:highlight w:val="none"/>
        </w:rPr>
        <w:t>主要产品及产能</w:t>
      </w:r>
      <w:r>
        <w:rPr>
          <w:rFonts w:hint="eastAsia" w:ascii="Times New Roman" w:hAnsi="Times New Roman" w:cs="Times New Roman"/>
          <w:color w:val="auto"/>
          <w:highlight w:val="none"/>
        </w:rPr>
        <w:t>；主要原辅材料及燃料；排污节点、污染物及污染治理设施；产排污节点对应排放口及许可排放限值；编制符合规范要求的自行监测计划、环境管理台账记录等。</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color w:val="auto"/>
          <w:highlight w:val="none"/>
        </w:rPr>
      </w:pPr>
      <w:r>
        <w:rPr>
          <w:rFonts w:hint="eastAsia" w:ascii="Times New Roman" w:hAnsi="Times New Roman" w:cs="Times New Roman"/>
          <w:color w:val="auto"/>
          <w:highlight w:val="none"/>
        </w:rPr>
        <w:t>根据《排污许可证申请与核发技术规范 锅炉》（</w:t>
      </w:r>
      <w:r>
        <w:rPr>
          <w:rFonts w:ascii="Times New Roman" w:hAnsi="Times New Roman" w:cs="Times New Roman"/>
          <w:color w:val="auto"/>
          <w:highlight w:val="none"/>
        </w:rPr>
        <w:t>HJ953</w:t>
      </w:r>
      <w:r>
        <w:rPr>
          <w:rFonts w:hint="eastAsia" w:ascii="Times New Roman" w:hAnsi="Times New Roman" w:cs="Times New Roman"/>
          <w:color w:val="auto"/>
          <w:highlight w:val="none"/>
        </w:rPr>
        <w:t>-</w:t>
      </w:r>
      <w:r>
        <w:rPr>
          <w:rFonts w:ascii="Times New Roman" w:hAnsi="Times New Roman" w:cs="Times New Roman"/>
          <w:color w:val="auto"/>
          <w:highlight w:val="none"/>
        </w:rPr>
        <w:t>2018</w:t>
      </w:r>
      <w:r>
        <w:rPr>
          <w:rFonts w:hint="eastAsia" w:ascii="Times New Roman" w:hAnsi="Times New Roman" w:cs="Times New Roman"/>
          <w:color w:val="auto"/>
          <w:highlight w:val="none"/>
        </w:rPr>
        <w:t>）中的可行技术，明确除尘设施、脱硫设施、脱硝设施等尾气处理装置的运行和维护要求，无组织排放控制及水污染控制的管理要求。对不属于可行技术的污染治理技术，企业应当加强自我监测、台账记录，评估达标可行性，监管部门应当尽早开展执法监测。行业排污许可证实施情况及排放数据作为更新行业可行技术指南的主要依据。</w:t>
      </w:r>
    </w:p>
    <w:p>
      <w:pPr>
        <w:keepNext w:val="0"/>
        <w:keepLines w:val="0"/>
        <w:pageBreakBefore w:val="0"/>
        <w:widowControl w:val="0"/>
        <w:kinsoku/>
        <w:wordWrap/>
        <w:overflowPunct/>
        <w:autoSpaceDE/>
        <w:autoSpaceDN/>
        <w:bidi w:val="0"/>
        <w:adjustRightInd w:val="0"/>
        <w:snapToGrid w:val="0"/>
        <w:ind w:firstLine="480" w:firstLineChars="200"/>
        <w:textAlignment w:val="auto"/>
        <w:rPr>
          <w:color w:val="auto"/>
          <w:highlight w:val="none"/>
        </w:rPr>
      </w:pPr>
      <w:r>
        <w:rPr>
          <w:color w:val="auto"/>
          <w:highlight w:val="none"/>
        </w:rPr>
        <w:t>根据《关于做好环境影响评价制度与排污许可</w:t>
      </w:r>
      <w:r>
        <w:rPr>
          <w:rFonts w:hint="eastAsia"/>
          <w:color w:val="auto"/>
          <w:highlight w:val="none"/>
          <w:lang w:eastAsia="zh-CN"/>
        </w:rPr>
        <w:t>制度</w:t>
      </w:r>
      <w:r>
        <w:rPr>
          <w:color w:val="auto"/>
          <w:highlight w:val="none"/>
        </w:rPr>
        <w:t>衔接相关工作的通知》（环办环评[2017]84号）文件，要求做好《建设项目环境影响评价分类管理名录》和《固定污染源排污许可分类管理名录》的衔接，按照建设项目对环境的影响程度、污染物产生量和排放量，实行统一分类管理。根据《固定污染源排污许可分类管理名录（2017年版）》（2017年6月19日）规定，本项目属于实施重点管理的行业，</w:t>
      </w:r>
      <w:r>
        <w:rPr>
          <w:rFonts w:hint="eastAsia"/>
          <w:color w:val="auto"/>
          <w:highlight w:val="none"/>
          <w:lang w:val="en-US" w:eastAsia="zh-CN"/>
        </w:rPr>
        <w:t>待本项目批复后，应及时变更</w:t>
      </w:r>
      <w:r>
        <w:rPr>
          <w:color w:val="auto"/>
          <w:highlight w:val="none"/>
        </w:rPr>
        <w:t>排污许可证。</w:t>
      </w:r>
    </w:p>
    <w:p>
      <w:pPr>
        <w:keepNext w:val="0"/>
        <w:keepLines w:val="0"/>
        <w:pageBreakBefore w:val="0"/>
        <w:widowControl w:val="0"/>
        <w:kinsoku/>
        <w:wordWrap/>
        <w:overflowPunct/>
        <w:autoSpaceDE/>
        <w:autoSpaceDN/>
        <w:bidi w:val="0"/>
        <w:adjustRightInd w:val="0"/>
        <w:snapToGrid w:val="0"/>
        <w:ind w:firstLine="480" w:firstLineChars="200"/>
        <w:textAlignment w:val="auto"/>
        <w:rPr>
          <w:color w:val="auto"/>
        </w:rPr>
      </w:pPr>
      <w:r>
        <w:rPr>
          <w:rFonts w:hint="eastAsia"/>
          <w:color w:val="auto"/>
          <w:lang w:val="en-US" w:eastAsia="zh-CN"/>
        </w:rPr>
        <w:t>根据</w:t>
      </w:r>
      <w:r>
        <w:rPr>
          <w:color w:val="auto"/>
          <w:lang w:val="en-US" w:eastAsia="zh-CN"/>
        </w:rPr>
        <w:t>《排污单位污染物排放口二维码标识技术规范》（HJ 1297—2023）</w:t>
      </w:r>
      <w:r>
        <w:rPr>
          <w:rFonts w:hint="eastAsia"/>
          <w:color w:val="auto"/>
          <w:lang w:val="en-US" w:eastAsia="zh-CN"/>
        </w:rPr>
        <w:t>，</w:t>
      </w:r>
      <w:r>
        <w:rPr>
          <w:color w:val="auto"/>
        </w:rPr>
        <w:t>大气污染物排放口许可</w:t>
      </w:r>
      <w:r>
        <w:rPr>
          <w:rFonts w:hint="eastAsia"/>
          <w:color w:val="auto"/>
          <w:lang w:val="en-US" w:eastAsia="zh-CN"/>
        </w:rPr>
        <w:t>中应</w:t>
      </w:r>
      <w:r>
        <w:rPr>
          <w:color w:val="auto"/>
        </w:rPr>
        <w:t>包括污染物排放种类、污染物排放标准名称、许可排放浓度、许可排放速率、许可排放量、监测技术、监测频次等。</w:t>
      </w:r>
    </w:p>
    <w:p>
      <w:pPr>
        <w:keepNext w:val="0"/>
        <w:keepLines w:val="0"/>
        <w:pageBreakBefore w:val="0"/>
        <w:widowControl w:val="0"/>
        <w:kinsoku/>
        <w:wordWrap/>
        <w:overflowPunct/>
        <w:autoSpaceDE/>
        <w:autoSpaceDN/>
        <w:bidi w:val="0"/>
        <w:adjustRightInd w:val="0"/>
        <w:snapToGrid w:val="0"/>
        <w:ind w:firstLine="480" w:firstLineChars="200"/>
        <w:textAlignment w:val="auto"/>
        <w:rPr>
          <w:color w:val="auto"/>
        </w:rPr>
      </w:pPr>
      <w:r>
        <w:rPr>
          <w:color w:val="auto"/>
        </w:rPr>
        <w:t>水污染物排放口许可</w:t>
      </w:r>
      <w:r>
        <w:rPr>
          <w:rFonts w:hint="eastAsia"/>
          <w:color w:val="auto"/>
          <w:lang w:val="en-US" w:eastAsia="zh-CN"/>
        </w:rPr>
        <w:t>中应</w:t>
      </w:r>
      <w:r>
        <w:rPr>
          <w:color w:val="auto"/>
        </w:rPr>
        <w:t>包括与排放口相关的污染物实际排放量、实际排放浓度、实际排放速率等。污染防治设施的建设运行情况。水污染物排入市政排水管网的，还应当包括污水接入市政排水管网位置、排放方式等信息。</w:t>
      </w:r>
    </w:p>
    <w:p>
      <w:pPr>
        <w:pStyle w:val="4"/>
        <w:keepNext w:val="0"/>
        <w:keepLines w:val="0"/>
        <w:pageBreakBefore w:val="0"/>
        <w:widowControl w:val="0"/>
        <w:kinsoku/>
        <w:wordWrap/>
        <w:overflowPunct/>
        <w:autoSpaceDE/>
        <w:autoSpaceDN/>
        <w:bidi w:val="0"/>
        <w:adjustRightInd w:val="0"/>
        <w:snapToGrid w:val="0"/>
        <w:textAlignment w:val="auto"/>
        <w:rPr>
          <w:color w:val="auto"/>
          <w:highlight w:val="none"/>
        </w:rPr>
      </w:pPr>
      <w:bookmarkStart w:id="88" w:name="_Toc40116540"/>
      <w:r>
        <w:rPr>
          <w:rFonts w:hint="eastAsia"/>
          <w:color w:val="auto"/>
          <w:highlight w:val="none"/>
          <w:lang w:val="en-US" w:eastAsia="zh-CN"/>
        </w:rPr>
        <w:t>9.2.6</w:t>
      </w:r>
      <w:r>
        <w:rPr>
          <w:color w:val="auto"/>
          <w:highlight w:val="none"/>
        </w:rPr>
        <w:t>信息公开</w:t>
      </w:r>
      <w:bookmarkEnd w:id="88"/>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highlight w:val="none"/>
        </w:rPr>
      </w:pPr>
      <w:r>
        <w:rPr>
          <w:rFonts w:hint="eastAsia" w:ascii="Times New Roman" w:hAnsi="Times New Roman" w:cs="Times New Roman"/>
          <w:color w:val="auto"/>
          <w:highlight w:val="none"/>
        </w:rPr>
        <w:t>建设单位应按照《企业事业单位环境信息公开办法》要求，采取正当途径公开企业环境信息。</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highlight w:val="none"/>
        </w:rPr>
      </w:pPr>
      <w:r>
        <w:rPr>
          <w:rFonts w:hint="eastAsia" w:ascii="Times New Roman" w:hAnsi="Times New Roman" w:cs="Times New Roman"/>
          <w:color w:val="auto"/>
          <w:highlight w:val="none"/>
        </w:rPr>
        <w:t>公开内容应包括：</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highlight w:val="none"/>
        </w:rPr>
      </w:pPr>
      <w:r>
        <w:rPr>
          <w:rFonts w:hint="eastAsia" w:ascii="Times New Roman" w:hAnsi="Times New Roman" w:cs="Times New Roman"/>
          <w:color w:val="auto"/>
          <w:highlight w:val="none"/>
        </w:rPr>
        <w:t>（1）基础信息：企业名称、法人代表、所属行业、地理位置、生产周期、联系方式、委托监测机构名称等；</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highlight w:val="none"/>
        </w:rPr>
      </w:pPr>
      <w:r>
        <w:rPr>
          <w:rFonts w:hint="eastAsia" w:ascii="Times New Roman" w:hAnsi="Times New Roman" w:cs="Times New Roman"/>
          <w:color w:val="auto"/>
          <w:highlight w:val="none"/>
        </w:rPr>
        <w:t>（2）自行监测方案；</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highlight w:val="none"/>
        </w:rPr>
      </w:pPr>
      <w:r>
        <w:rPr>
          <w:rFonts w:hint="eastAsia" w:ascii="Times New Roman" w:hAnsi="Times New Roman" w:cs="Times New Roman"/>
          <w:color w:val="auto"/>
          <w:highlight w:val="none"/>
        </w:rPr>
        <w:t>（3）自行监测结果：全部监测点位、监测时间、污染物种类及浓度、标准限值、达标情况、超标倍数、污染物排放方式及排放去向；</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highlight w:val="none"/>
        </w:rPr>
      </w:pPr>
      <w:r>
        <w:rPr>
          <w:rFonts w:hint="eastAsia" w:ascii="Times New Roman" w:hAnsi="Times New Roman" w:cs="Times New Roman"/>
          <w:color w:val="auto"/>
          <w:highlight w:val="none"/>
        </w:rPr>
        <w:t>（4）污染源监测年度报告。</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highlight w:val="none"/>
        </w:rPr>
      </w:pPr>
      <w:r>
        <w:rPr>
          <w:rFonts w:hint="eastAsia" w:ascii="Times New Roman" w:hAnsi="Times New Roman" w:cs="Times New Roman"/>
          <w:color w:val="auto"/>
          <w:highlight w:val="none"/>
        </w:rPr>
        <w:t>企业可通过对外网站、报纸、广播、电视等便于公众知晓的方式公开自行监测信息。同时，应当在省级或地市级环境保护主管部门统一组织建立的公布平台上公开自行监测信息，并至少保存一年。</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highlight w:val="none"/>
        </w:rPr>
      </w:pPr>
      <w:r>
        <w:rPr>
          <w:rFonts w:hint="eastAsia" w:ascii="Times New Roman" w:hAnsi="Times New Roman" w:cs="Times New Roman"/>
          <w:color w:val="auto"/>
          <w:highlight w:val="none"/>
        </w:rPr>
        <w:t>企业自行监测信息按以下要求的时限公开：</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highlight w:val="none"/>
        </w:rPr>
      </w:pPr>
      <w:r>
        <w:rPr>
          <w:rFonts w:hint="eastAsia" w:ascii="Times New Roman" w:hAnsi="Times New Roman" w:cs="Times New Roman"/>
          <w:color w:val="auto"/>
          <w:highlight w:val="none"/>
        </w:rPr>
        <w:t>（1）企业基础信息应随监测数据一并公布，基础信息、自行监测方案如有调整变化时，应于变更后的五日内公布最新内容；</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highlight w:val="none"/>
        </w:rPr>
      </w:pPr>
      <w:r>
        <w:rPr>
          <w:rFonts w:hint="eastAsia" w:ascii="Times New Roman" w:hAnsi="Times New Roman" w:cs="Times New Roman"/>
          <w:color w:val="auto"/>
          <w:highlight w:val="none"/>
        </w:rPr>
        <w:t>（2）手工监测数据应于每次监测完成后的次日公布；</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highlight w:val="none"/>
        </w:rPr>
      </w:pPr>
      <w:r>
        <w:rPr>
          <w:rFonts w:hint="eastAsia" w:ascii="Times New Roman" w:hAnsi="Times New Roman" w:cs="Times New Roman"/>
          <w:color w:val="auto"/>
          <w:highlight w:val="none"/>
        </w:rPr>
        <w:t>（3）自动监测数据应实时公布监测结果，其中废水自动监测设备为每2小时均值，废气自动监测设备为每1小时均值；</w:t>
      </w:r>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color w:val="auto"/>
          <w:highlight w:val="none"/>
        </w:rPr>
      </w:pPr>
      <w:r>
        <w:rPr>
          <w:rFonts w:hint="eastAsia" w:ascii="Times New Roman" w:hAnsi="Times New Roman" w:cs="Times New Roman"/>
          <w:color w:val="auto"/>
          <w:highlight w:val="none"/>
        </w:rPr>
        <w:t>（4）每年一月底前公布上年度自行监测年度报告。</w:t>
      </w:r>
    </w:p>
    <w:p>
      <w:pPr>
        <w:pStyle w:val="3"/>
        <w:keepNext w:val="0"/>
        <w:keepLines w:val="0"/>
        <w:pageBreakBefore w:val="0"/>
        <w:widowControl w:val="0"/>
        <w:kinsoku/>
        <w:wordWrap/>
        <w:overflowPunct/>
        <w:autoSpaceDE/>
        <w:autoSpaceDN/>
        <w:bidi w:val="0"/>
        <w:adjustRightInd w:val="0"/>
        <w:snapToGrid w:val="0"/>
        <w:textAlignment w:val="auto"/>
        <w:rPr>
          <w:rFonts w:hint="default"/>
          <w:color w:val="auto"/>
          <w:lang w:val="en-US" w:eastAsia="zh-CN"/>
        </w:rPr>
      </w:pPr>
      <w:bookmarkStart w:id="89" w:name="_Toc296328114"/>
      <w:bookmarkStart w:id="90" w:name="_Toc429411496"/>
      <w:bookmarkStart w:id="91" w:name="_Toc147921558"/>
      <w:bookmarkStart w:id="92" w:name="_Toc373738666"/>
      <w:bookmarkStart w:id="93" w:name="_Toc89081516"/>
      <w:bookmarkStart w:id="94" w:name="_Toc423470319"/>
      <w:bookmarkStart w:id="95" w:name="_Toc300730187"/>
      <w:bookmarkStart w:id="96" w:name="_Toc89081810"/>
      <w:bookmarkStart w:id="97" w:name="_Toc213401876"/>
      <w:bookmarkStart w:id="98" w:name="_Toc209507432"/>
      <w:bookmarkStart w:id="99" w:name="_Toc6087"/>
      <w:bookmarkStart w:id="100" w:name="_Toc489707195"/>
      <w:bookmarkStart w:id="101" w:name="_Toc476646475"/>
      <w:bookmarkStart w:id="102" w:name="_Toc481673858"/>
      <w:bookmarkStart w:id="103" w:name="_Toc18141"/>
      <w:bookmarkStart w:id="104" w:name="_Toc477783492"/>
      <w:r>
        <w:rPr>
          <w:rFonts w:hint="eastAsia"/>
          <w:color w:val="auto"/>
          <w:lang w:val="en-US" w:eastAsia="zh-CN"/>
        </w:rPr>
        <w:t>9</w:t>
      </w:r>
      <w:r>
        <w:rPr>
          <w:rFonts w:hint="default"/>
          <w:color w:val="auto"/>
          <w:lang w:val="en-US" w:eastAsia="zh-CN"/>
        </w:rPr>
        <w:t>.</w:t>
      </w:r>
      <w:bookmarkEnd w:id="89"/>
      <w:bookmarkEnd w:id="90"/>
      <w:bookmarkEnd w:id="91"/>
      <w:bookmarkEnd w:id="92"/>
      <w:bookmarkEnd w:id="93"/>
      <w:bookmarkEnd w:id="94"/>
      <w:bookmarkEnd w:id="95"/>
      <w:bookmarkEnd w:id="96"/>
      <w:bookmarkEnd w:id="97"/>
      <w:bookmarkEnd w:id="98"/>
      <w:r>
        <w:rPr>
          <w:rFonts w:hint="eastAsia"/>
          <w:color w:val="auto"/>
          <w:lang w:val="en-US" w:eastAsia="zh-CN"/>
        </w:rPr>
        <w:t>3</w:t>
      </w:r>
      <w:r>
        <w:rPr>
          <w:rFonts w:hint="default"/>
          <w:color w:val="auto"/>
          <w:lang w:val="en-US" w:eastAsia="zh-CN"/>
        </w:rPr>
        <w:t>环保</w:t>
      </w:r>
      <w:r>
        <w:rPr>
          <w:rFonts w:hint="eastAsia"/>
          <w:color w:val="auto"/>
          <w:lang w:val="en-US" w:eastAsia="zh-CN"/>
        </w:rPr>
        <w:t>“</w:t>
      </w:r>
      <w:r>
        <w:rPr>
          <w:rFonts w:hint="default"/>
          <w:color w:val="auto"/>
          <w:lang w:val="en-US" w:eastAsia="zh-CN"/>
        </w:rPr>
        <w:t>三同时</w:t>
      </w:r>
      <w:r>
        <w:rPr>
          <w:rFonts w:hint="eastAsia"/>
          <w:color w:val="auto"/>
          <w:lang w:val="en-US" w:eastAsia="zh-CN"/>
        </w:rPr>
        <w:t>”</w:t>
      </w:r>
      <w:r>
        <w:rPr>
          <w:rFonts w:hint="default"/>
          <w:color w:val="auto"/>
          <w:lang w:val="en-US" w:eastAsia="zh-CN"/>
        </w:rPr>
        <w:t>验收</w:t>
      </w:r>
      <w:bookmarkEnd w:id="99"/>
      <w:bookmarkEnd w:id="100"/>
      <w:bookmarkEnd w:id="101"/>
      <w:bookmarkEnd w:id="102"/>
      <w:bookmarkEnd w:id="103"/>
      <w:bookmarkEnd w:id="104"/>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根据建设项目环境管理办法，环境污染物防治设施必须与主体工程同时设计、同时施工、同时投入使用。在工程完成后，应对环境保护设施进行验收。项目环境保护</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三同时</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一览表见表</w:t>
      </w:r>
      <w:r>
        <w:rPr>
          <w:rFonts w:hint="eastAsia" w:ascii="Times New Roman" w:hAnsi="Times New Roman" w:cs="Times New Roman"/>
          <w:color w:val="auto"/>
          <w:highlight w:val="none"/>
          <w:lang w:val="en-US" w:eastAsia="zh-CN"/>
        </w:rPr>
        <w:t>9</w:t>
      </w:r>
      <w:r>
        <w:rPr>
          <w:rFonts w:hint="default" w:ascii="Times New Roman" w:hAnsi="Times New Roman" w:cs="Times New Roman"/>
          <w:color w:val="auto"/>
          <w:highlight w:val="none"/>
        </w:rPr>
        <w:t>.</w:t>
      </w:r>
      <w:r>
        <w:rPr>
          <w:rFonts w:hint="eastAsia" w:cs="Times New Roman"/>
          <w:color w:val="auto"/>
          <w:highlight w:val="none"/>
          <w:lang w:val="en-US" w:eastAsia="zh-CN"/>
        </w:rPr>
        <w:t>3-1</w:t>
      </w:r>
      <w:r>
        <w:rPr>
          <w:rFonts w:hint="default" w:ascii="Times New Roman" w:hAnsi="Times New Roman" w:cs="Times New Roman"/>
          <w:color w:val="auto"/>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eastAsia="宋体" w:cs="Times New Roman"/>
          <w:b/>
          <w:bCs/>
          <w:color w:val="auto"/>
          <w:sz w:val="21"/>
          <w:szCs w:val="21"/>
          <w:highlight w:val="none"/>
          <w:lang w:val="en-US" w:eastAsia="zh-CN"/>
        </w:rPr>
        <w:t>表</w:t>
      </w:r>
      <w:r>
        <w:rPr>
          <w:rFonts w:hint="eastAsia" w:ascii="Times New Roman" w:hAnsi="Times New Roman" w:eastAsia="宋体" w:cs="Times New Roman"/>
          <w:b/>
          <w:bCs/>
          <w:color w:val="auto"/>
          <w:sz w:val="21"/>
          <w:szCs w:val="21"/>
          <w:highlight w:val="none"/>
          <w:lang w:val="en-US" w:eastAsia="zh-CN"/>
        </w:rPr>
        <w:t>9</w:t>
      </w:r>
      <w:r>
        <w:rPr>
          <w:rFonts w:hint="default" w:ascii="Times New Roman" w:hAnsi="Times New Roman" w:eastAsia="宋体" w:cs="Times New Roman"/>
          <w:b/>
          <w:bCs/>
          <w:color w:val="auto"/>
          <w:sz w:val="21"/>
          <w:szCs w:val="21"/>
          <w:highlight w:val="none"/>
          <w:lang w:val="en-US" w:eastAsia="zh-CN"/>
        </w:rPr>
        <w:t>.</w:t>
      </w:r>
      <w:r>
        <w:rPr>
          <w:rFonts w:hint="eastAsia" w:cs="Times New Roman"/>
          <w:b/>
          <w:bCs/>
          <w:color w:val="auto"/>
          <w:sz w:val="21"/>
          <w:szCs w:val="21"/>
          <w:highlight w:val="none"/>
          <w:lang w:val="en-US" w:eastAsia="zh-CN"/>
        </w:rPr>
        <w:t>3.-1</w:t>
      </w:r>
      <w:r>
        <w:rPr>
          <w:rFonts w:hint="default" w:ascii="Times New Roman" w:hAnsi="Times New Roman" w:eastAsia="宋体" w:cs="Times New Roman"/>
          <w:b/>
          <w:bCs/>
          <w:color w:val="auto"/>
          <w:sz w:val="21"/>
          <w:szCs w:val="21"/>
          <w:highlight w:val="none"/>
          <w:lang w:val="en-US" w:eastAsia="zh-CN"/>
        </w:rPr>
        <w:t xml:space="preserve">   项目环境保护</w:t>
      </w:r>
      <w:r>
        <w:rPr>
          <w:rFonts w:hint="eastAsia" w:ascii="Times New Roman" w:hAnsi="Times New Roman" w:eastAsia="宋体" w:cs="Times New Roman"/>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三同时</w:t>
      </w:r>
      <w:r>
        <w:rPr>
          <w:rFonts w:hint="eastAsia" w:ascii="Times New Roman" w:hAnsi="Times New Roman" w:eastAsia="宋体" w:cs="Times New Roman"/>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一览表</w:t>
      </w:r>
    </w:p>
    <w:tbl>
      <w:tblPr>
        <w:tblStyle w:val="66"/>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77"/>
        <w:gridCol w:w="872"/>
        <w:gridCol w:w="906"/>
        <w:gridCol w:w="975"/>
        <w:gridCol w:w="1817"/>
        <w:gridCol w:w="1467"/>
        <w:gridCol w:w="19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3"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b/>
                <w:bCs/>
                <w:snapToGrid w:val="0"/>
                <w:color w:val="auto"/>
                <w:spacing w:val="8"/>
                <w:kern w:val="0"/>
                <w:sz w:val="21"/>
                <w:szCs w:val="21"/>
                <w:lang w:eastAsia="en-US"/>
              </w:rPr>
              <w:t>类别</w:t>
            </w:r>
          </w:p>
        </w:tc>
        <w:tc>
          <w:tcPr>
            <w:tcW w:w="1807" w:type="dxa"/>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auto"/>
                <w:spacing w:val="8"/>
                <w:kern w:val="0"/>
                <w:sz w:val="21"/>
                <w:szCs w:val="21"/>
                <w:lang w:eastAsia="en-US"/>
              </w:rPr>
            </w:pPr>
            <w:r>
              <w:rPr>
                <w:rFonts w:hint="default" w:ascii="Times New Roman" w:hAnsi="Times New Roman" w:eastAsia="宋体" w:cs="Times New Roman"/>
                <w:b/>
                <w:bCs/>
                <w:snapToGrid w:val="0"/>
                <w:color w:val="auto"/>
                <w:spacing w:val="8"/>
                <w:kern w:val="0"/>
                <w:sz w:val="21"/>
                <w:szCs w:val="21"/>
                <w:lang w:eastAsia="en-US"/>
              </w:rPr>
              <w:t>污染源</w:t>
            </w:r>
          </w:p>
        </w:tc>
        <w:tc>
          <w:tcPr>
            <w:tcW w:w="991"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auto"/>
                <w:spacing w:val="8"/>
                <w:kern w:val="0"/>
                <w:sz w:val="21"/>
                <w:szCs w:val="21"/>
                <w:lang w:eastAsia="en-US"/>
              </w:rPr>
            </w:pPr>
            <w:r>
              <w:rPr>
                <w:rFonts w:hint="default" w:ascii="Times New Roman" w:hAnsi="Times New Roman" w:eastAsia="宋体" w:cs="Times New Roman"/>
                <w:b/>
                <w:bCs/>
                <w:snapToGrid w:val="0"/>
                <w:color w:val="auto"/>
                <w:spacing w:val="8"/>
                <w:kern w:val="0"/>
                <w:sz w:val="21"/>
                <w:szCs w:val="21"/>
                <w:lang w:eastAsia="en-US"/>
              </w:rPr>
              <w:t>污染物</w:t>
            </w:r>
          </w:p>
        </w:tc>
        <w:tc>
          <w:tcPr>
            <w:tcW w:w="3338" w:type="dxa"/>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auto"/>
                <w:spacing w:val="8"/>
                <w:kern w:val="0"/>
                <w:sz w:val="21"/>
                <w:szCs w:val="21"/>
                <w:lang w:eastAsia="en-US"/>
              </w:rPr>
            </w:pPr>
            <w:r>
              <w:rPr>
                <w:rFonts w:hint="default" w:ascii="Times New Roman" w:hAnsi="Times New Roman" w:eastAsia="宋体" w:cs="Times New Roman"/>
                <w:b/>
                <w:bCs/>
                <w:snapToGrid w:val="0"/>
                <w:color w:val="auto"/>
                <w:spacing w:val="8"/>
                <w:kern w:val="0"/>
                <w:sz w:val="21"/>
                <w:szCs w:val="21"/>
                <w:lang w:eastAsia="en-US"/>
              </w:rPr>
              <w:t>工程拟采取措施</w:t>
            </w:r>
          </w:p>
        </w:tc>
        <w:tc>
          <w:tcPr>
            <w:tcW w:w="1932"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b/>
                <w:bCs/>
                <w:snapToGrid w:val="0"/>
                <w:color w:val="auto"/>
                <w:spacing w:val="8"/>
                <w:kern w:val="0"/>
                <w:sz w:val="21"/>
                <w:szCs w:val="21"/>
                <w:lang w:eastAsia="en-US"/>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3"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88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auto"/>
                <w:spacing w:val="8"/>
                <w:kern w:val="0"/>
                <w:sz w:val="21"/>
                <w:szCs w:val="21"/>
                <w:lang w:eastAsia="en-US"/>
              </w:rPr>
            </w:pPr>
            <w:r>
              <w:rPr>
                <w:rFonts w:hint="default" w:ascii="Times New Roman" w:hAnsi="Times New Roman" w:eastAsia="宋体" w:cs="Times New Roman"/>
                <w:b/>
                <w:bCs/>
                <w:snapToGrid w:val="0"/>
                <w:color w:val="auto"/>
                <w:spacing w:val="8"/>
                <w:kern w:val="0"/>
                <w:sz w:val="21"/>
                <w:szCs w:val="21"/>
                <w:lang w:eastAsia="en-US"/>
              </w:rPr>
              <w:t>装置或工段</w:t>
            </w:r>
          </w:p>
        </w:tc>
        <w:tc>
          <w:tcPr>
            <w:tcW w:w="92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auto"/>
                <w:spacing w:val="8"/>
                <w:kern w:val="0"/>
                <w:sz w:val="21"/>
                <w:szCs w:val="21"/>
                <w:lang w:eastAsia="en-US"/>
              </w:rPr>
            </w:pPr>
            <w:r>
              <w:rPr>
                <w:rFonts w:hint="default" w:ascii="Times New Roman" w:hAnsi="Times New Roman" w:eastAsia="宋体" w:cs="Times New Roman"/>
                <w:b/>
                <w:bCs/>
                <w:snapToGrid w:val="0"/>
                <w:color w:val="auto"/>
                <w:spacing w:val="8"/>
                <w:kern w:val="0"/>
                <w:sz w:val="21"/>
                <w:szCs w:val="21"/>
                <w:lang w:eastAsia="en-US"/>
              </w:rPr>
              <w:t>排放</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auto"/>
                <w:spacing w:val="8"/>
                <w:kern w:val="0"/>
                <w:sz w:val="21"/>
                <w:szCs w:val="21"/>
                <w:lang w:eastAsia="en-US"/>
              </w:rPr>
            </w:pPr>
            <w:r>
              <w:rPr>
                <w:rFonts w:hint="default" w:ascii="Times New Roman" w:hAnsi="Times New Roman" w:eastAsia="宋体" w:cs="Times New Roman"/>
                <w:b/>
                <w:bCs/>
                <w:snapToGrid w:val="0"/>
                <w:color w:val="auto"/>
                <w:spacing w:val="8"/>
                <w:kern w:val="0"/>
                <w:sz w:val="21"/>
                <w:szCs w:val="21"/>
                <w:lang w:eastAsia="en-US"/>
              </w:rPr>
              <w:t>部位</w:t>
            </w:r>
          </w:p>
        </w:tc>
        <w:tc>
          <w:tcPr>
            <w:tcW w:w="99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auto"/>
                <w:spacing w:val="8"/>
                <w:kern w:val="0"/>
                <w:sz w:val="21"/>
                <w:szCs w:val="21"/>
                <w:lang w:eastAsia="en-US"/>
              </w:rPr>
            </w:pPr>
          </w:p>
        </w:tc>
        <w:tc>
          <w:tcPr>
            <w:tcW w:w="184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auto"/>
                <w:spacing w:val="8"/>
                <w:kern w:val="0"/>
                <w:sz w:val="21"/>
                <w:szCs w:val="21"/>
                <w:lang w:eastAsia="en-US"/>
              </w:rPr>
            </w:pPr>
            <w:r>
              <w:rPr>
                <w:rFonts w:hint="default" w:ascii="Times New Roman" w:hAnsi="Times New Roman" w:eastAsia="宋体" w:cs="Times New Roman"/>
                <w:b/>
                <w:bCs/>
                <w:snapToGrid w:val="0"/>
                <w:color w:val="auto"/>
                <w:spacing w:val="8"/>
                <w:kern w:val="0"/>
                <w:sz w:val="21"/>
                <w:szCs w:val="21"/>
                <w:lang w:eastAsia="en-US"/>
              </w:rPr>
              <w:t>措施名称</w:t>
            </w:r>
          </w:p>
        </w:tc>
        <w:tc>
          <w:tcPr>
            <w:tcW w:w="14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b/>
                <w:bCs/>
                <w:snapToGrid w:val="0"/>
                <w:color w:val="auto"/>
                <w:spacing w:val="8"/>
                <w:kern w:val="0"/>
                <w:sz w:val="21"/>
                <w:szCs w:val="21"/>
                <w:lang w:eastAsia="en-US"/>
              </w:rPr>
              <w:t>效果</w:t>
            </w:r>
          </w:p>
        </w:tc>
        <w:tc>
          <w:tcPr>
            <w:tcW w:w="1932"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3"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snapToGrid w:val="0"/>
                <w:color w:val="auto"/>
                <w:spacing w:val="8"/>
                <w:kern w:val="0"/>
                <w:sz w:val="21"/>
                <w:szCs w:val="21"/>
                <w:lang w:val="en-US" w:eastAsia="zh-CN"/>
              </w:rPr>
            </w:pPr>
            <w:r>
              <w:rPr>
                <w:rFonts w:hint="eastAsia" w:ascii="Times New Roman" w:hAnsi="Times New Roman" w:eastAsia="宋体" w:cs="Times New Roman"/>
                <w:snapToGrid w:val="0"/>
                <w:color w:val="auto"/>
                <w:spacing w:val="8"/>
                <w:kern w:val="0"/>
                <w:sz w:val="21"/>
                <w:szCs w:val="21"/>
                <w:lang w:val="en-US" w:eastAsia="zh-CN"/>
              </w:rPr>
              <w:t>废气</w:t>
            </w:r>
          </w:p>
        </w:tc>
        <w:tc>
          <w:tcPr>
            <w:tcW w:w="88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snapToGrid w:val="0"/>
                <w:color w:val="auto"/>
                <w:spacing w:val="8"/>
                <w:kern w:val="0"/>
                <w:sz w:val="21"/>
                <w:szCs w:val="21"/>
                <w:lang w:val="en-US" w:eastAsia="zh-CN"/>
              </w:rPr>
            </w:pPr>
            <w:r>
              <w:rPr>
                <w:rFonts w:hint="eastAsia" w:ascii="Times New Roman" w:hAnsi="Times New Roman" w:eastAsia="宋体" w:cs="Times New Roman"/>
                <w:snapToGrid w:val="0"/>
                <w:color w:val="auto"/>
                <w:spacing w:val="8"/>
                <w:kern w:val="0"/>
                <w:sz w:val="21"/>
                <w:szCs w:val="21"/>
                <w:lang w:val="en-US" w:eastAsia="zh-CN"/>
              </w:rPr>
              <w:t>锅炉</w:t>
            </w:r>
          </w:p>
        </w:tc>
        <w:tc>
          <w:tcPr>
            <w:tcW w:w="921"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snapToGrid w:val="0"/>
                <w:color w:val="auto"/>
                <w:spacing w:val="8"/>
                <w:kern w:val="0"/>
                <w:sz w:val="21"/>
                <w:szCs w:val="21"/>
                <w:lang w:val="en-US" w:eastAsia="zh-CN"/>
              </w:rPr>
            </w:pPr>
            <w:r>
              <w:rPr>
                <w:rFonts w:hint="eastAsia" w:ascii="Times New Roman" w:hAnsi="Times New Roman" w:eastAsia="宋体" w:cs="Times New Roman"/>
                <w:snapToGrid w:val="0"/>
                <w:color w:val="auto"/>
                <w:spacing w:val="8"/>
                <w:kern w:val="0"/>
                <w:sz w:val="21"/>
                <w:szCs w:val="21"/>
                <w:lang w:val="en-US" w:eastAsia="zh-CN"/>
              </w:rPr>
              <w:t>烟囱（</w:t>
            </w:r>
            <w:r>
              <w:rPr>
                <w:rFonts w:hint="default" w:ascii="Times New Roman" w:hAnsi="Times New Roman" w:eastAsia="宋体" w:cs="Times New Roman"/>
                <w:snapToGrid w:val="0"/>
                <w:color w:val="auto"/>
                <w:spacing w:val="8"/>
                <w:kern w:val="0"/>
                <w:sz w:val="21"/>
                <w:szCs w:val="21"/>
                <w:lang w:eastAsia="en-US"/>
              </w:rPr>
              <w:t>排气筒</w:t>
            </w:r>
            <w:r>
              <w:rPr>
                <w:rFonts w:hint="eastAsia" w:ascii="Times New Roman" w:hAnsi="Times New Roman" w:eastAsia="宋体" w:cs="Times New Roman"/>
                <w:snapToGrid w:val="0"/>
                <w:color w:val="auto"/>
                <w:spacing w:val="8"/>
                <w:kern w:val="0"/>
                <w:sz w:val="21"/>
                <w:szCs w:val="21"/>
                <w:lang w:val="en-US" w:eastAsia="zh-CN"/>
              </w:rPr>
              <w:t>）</w:t>
            </w:r>
          </w:p>
        </w:tc>
        <w:tc>
          <w:tcPr>
            <w:tcW w:w="9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snapToGrid w:val="0"/>
                <w:color w:val="auto"/>
                <w:spacing w:val="8"/>
                <w:kern w:val="0"/>
                <w:sz w:val="21"/>
                <w:szCs w:val="21"/>
                <w:lang w:val="en-US" w:eastAsia="zh-CN"/>
              </w:rPr>
            </w:pPr>
            <w:r>
              <w:rPr>
                <w:rFonts w:hint="default" w:ascii="Times New Roman" w:hAnsi="Times New Roman" w:eastAsia="宋体" w:cs="Times New Roman"/>
                <w:snapToGrid w:val="0"/>
                <w:color w:val="auto"/>
                <w:spacing w:val="8"/>
                <w:kern w:val="0"/>
                <w:sz w:val="21"/>
                <w:szCs w:val="21"/>
                <w:lang w:eastAsia="en-US"/>
              </w:rPr>
              <w:t>NO</w:t>
            </w:r>
            <w:r>
              <w:rPr>
                <w:rFonts w:hint="eastAsia" w:ascii="Times New Roman" w:hAnsi="Times New Roman" w:eastAsia="宋体" w:cs="Times New Roman"/>
                <w:snapToGrid w:val="0"/>
                <w:color w:val="auto"/>
                <w:spacing w:val="8"/>
                <w:kern w:val="0"/>
                <w:sz w:val="21"/>
                <w:szCs w:val="21"/>
                <w:vertAlign w:val="subscript"/>
                <w:lang w:val="en-US" w:eastAsia="zh-CN"/>
              </w:rPr>
              <w:t>X</w:t>
            </w:r>
            <w:r>
              <w:rPr>
                <w:rFonts w:hint="default" w:ascii="Times New Roman" w:hAnsi="Times New Roman" w:eastAsia="宋体" w:cs="Times New Roman"/>
                <w:snapToGrid w:val="0"/>
                <w:color w:val="auto"/>
                <w:spacing w:val="8"/>
                <w:kern w:val="0"/>
                <w:sz w:val="21"/>
                <w:szCs w:val="21"/>
                <w:lang w:eastAsia="en-US"/>
              </w:rPr>
              <w:t>、颗粒物、SO</w:t>
            </w:r>
            <w:r>
              <w:rPr>
                <w:rFonts w:hint="eastAsia" w:ascii="Times New Roman" w:hAnsi="Times New Roman" w:eastAsia="宋体" w:cs="Times New Roman"/>
                <w:snapToGrid w:val="0"/>
                <w:color w:val="auto"/>
                <w:spacing w:val="8"/>
                <w:kern w:val="0"/>
                <w:sz w:val="21"/>
                <w:szCs w:val="21"/>
                <w:vertAlign w:val="subscript"/>
                <w:lang w:val="en-US" w:eastAsia="zh-CN"/>
              </w:rPr>
              <w:t>2</w:t>
            </w:r>
          </w:p>
        </w:tc>
        <w:tc>
          <w:tcPr>
            <w:tcW w:w="184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val="en-US" w:eastAsia="en-US"/>
              </w:rPr>
              <w:t>4台布袋式除尘器+3套石灰-石膏法脱硫（四级喷淋）+1套SNCR+NCR法脱销</w:t>
            </w:r>
            <w:r>
              <w:rPr>
                <w:rFonts w:hint="default" w:ascii="Times New Roman" w:hAnsi="Times New Roman" w:eastAsia="宋体" w:cs="Times New Roman"/>
                <w:snapToGrid w:val="0"/>
                <w:color w:val="auto"/>
                <w:spacing w:val="8"/>
                <w:kern w:val="0"/>
                <w:sz w:val="21"/>
                <w:szCs w:val="21"/>
                <w:lang w:eastAsia="en-US"/>
              </w:rPr>
              <w:t>+</w:t>
            </w:r>
            <w:r>
              <w:rPr>
                <w:rFonts w:hint="eastAsia" w:ascii="Times New Roman" w:hAnsi="Times New Roman" w:eastAsia="宋体" w:cs="Times New Roman"/>
                <w:snapToGrid w:val="0"/>
                <w:color w:val="auto"/>
                <w:spacing w:val="8"/>
                <w:kern w:val="0"/>
                <w:sz w:val="21"/>
                <w:szCs w:val="21"/>
                <w:lang w:val="en-US" w:eastAsia="zh-CN"/>
              </w:rPr>
              <w:t>1根6</w:t>
            </w:r>
            <w:r>
              <w:rPr>
                <w:rFonts w:hint="default" w:ascii="Times New Roman" w:hAnsi="Times New Roman" w:eastAsia="宋体" w:cs="Times New Roman"/>
                <w:snapToGrid w:val="0"/>
                <w:color w:val="auto"/>
                <w:spacing w:val="8"/>
                <w:kern w:val="0"/>
                <w:sz w:val="21"/>
                <w:szCs w:val="21"/>
                <w:lang w:eastAsia="en-US"/>
              </w:rPr>
              <w:t>0m</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排气筒</w:t>
            </w:r>
          </w:p>
        </w:tc>
        <w:tc>
          <w:tcPr>
            <w:tcW w:w="14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除尘效率99.8%、脱硫效 率9</w:t>
            </w:r>
            <w:r>
              <w:rPr>
                <w:rFonts w:hint="default" w:ascii="Times New Roman" w:hAnsi="Times New Roman" w:eastAsia="宋体" w:cs="Times New Roman"/>
                <w:snapToGrid w:val="0"/>
                <w:color w:val="auto"/>
                <w:spacing w:val="8"/>
                <w:kern w:val="0"/>
                <w:sz w:val="21"/>
                <w:szCs w:val="21"/>
                <w:lang w:val="en-US" w:eastAsia="zh-CN"/>
              </w:rPr>
              <w:t>6</w:t>
            </w:r>
            <w:r>
              <w:rPr>
                <w:rFonts w:hint="default" w:ascii="Times New Roman" w:hAnsi="Times New Roman" w:eastAsia="宋体" w:cs="Times New Roman"/>
                <w:snapToGrid w:val="0"/>
                <w:color w:val="auto"/>
                <w:spacing w:val="8"/>
                <w:kern w:val="0"/>
                <w:sz w:val="21"/>
                <w:szCs w:val="21"/>
                <w:lang w:eastAsia="en-US"/>
              </w:rPr>
              <w:t>%</w:t>
            </w:r>
            <w:r>
              <w:rPr>
                <w:rFonts w:hint="default" w:ascii="Times New Roman" w:hAnsi="Times New Roman" w:eastAsia="宋体" w:cs="Times New Roman"/>
                <w:snapToGrid w:val="0"/>
                <w:color w:val="auto"/>
                <w:spacing w:val="8"/>
                <w:kern w:val="0"/>
                <w:sz w:val="21"/>
                <w:szCs w:val="21"/>
                <w:lang w:eastAsia="zh-CN"/>
              </w:rPr>
              <w:t>，</w:t>
            </w:r>
            <w:r>
              <w:rPr>
                <w:rFonts w:hint="default" w:ascii="Times New Roman" w:hAnsi="Times New Roman" w:eastAsia="宋体" w:cs="Times New Roman"/>
                <w:snapToGrid w:val="0"/>
                <w:color w:val="auto"/>
                <w:spacing w:val="8"/>
                <w:kern w:val="0"/>
                <w:sz w:val="21"/>
                <w:szCs w:val="21"/>
                <w:lang w:eastAsia="en-US"/>
              </w:rPr>
              <w:t>脱硝效率85%</w:t>
            </w:r>
          </w:p>
        </w:tc>
        <w:tc>
          <w:tcPr>
            <w:tcW w:w="193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color w:val="auto"/>
                <w:sz w:val="21"/>
                <w:szCs w:val="21"/>
                <w:highlight w:val="none"/>
              </w:rPr>
              <w:t>《关于高质量推进实施燃煤锅炉超低排放的意见</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征求意见稿</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》中要求：氮氧化合物指标≤50mg/m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二氧化硫指标≤35mg/m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，颗粒物</w:t>
            </w:r>
            <w:r>
              <w:rPr>
                <w:rFonts w:hint="default" w:ascii="Times New Roman" w:hAnsi="Times New Roman" w:eastAsia="宋体" w:cs="Times New Roman"/>
                <w:color w:val="auto"/>
                <w:sz w:val="21"/>
                <w:szCs w:val="21"/>
                <w:highlight w:val="none"/>
              </w:rPr>
              <w:t>指标≤10mg/m</w:t>
            </w:r>
            <w:r>
              <w:rPr>
                <w:rFonts w:hint="default" w:ascii="Times New Roman" w:hAnsi="Times New Roman" w:eastAsia="宋体" w:cs="Times New Roman"/>
                <w:color w:val="auto"/>
                <w:sz w:val="21"/>
                <w:szCs w:val="21"/>
                <w:highlight w:val="none"/>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3"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8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92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9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color w:val="auto"/>
                <w:sz w:val="21"/>
                <w:szCs w:val="21"/>
                <w:highlight w:val="none"/>
              </w:rPr>
              <w:t>汞及其化合物、</w:t>
            </w:r>
            <w:r>
              <w:rPr>
                <w:rFonts w:hint="eastAsia"/>
                <w:color w:val="auto"/>
                <w:sz w:val="21"/>
                <w:szCs w:val="21"/>
                <w:highlight w:val="none"/>
                <w:lang w:val="en-US" w:eastAsia="zh-CN"/>
              </w:rPr>
              <w:t>林格曼</w:t>
            </w:r>
            <w:r>
              <w:rPr>
                <w:rFonts w:hint="default"/>
                <w:color w:val="auto"/>
                <w:sz w:val="21"/>
                <w:szCs w:val="21"/>
                <w:highlight w:val="none"/>
              </w:rPr>
              <w:t>黑度</w:t>
            </w:r>
          </w:p>
        </w:tc>
        <w:tc>
          <w:tcPr>
            <w:tcW w:w="184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协同除汞</w:t>
            </w:r>
          </w:p>
        </w:tc>
        <w:tc>
          <w:tcPr>
            <w:tcW w:w="14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脱除率70%</w:t>
            </w:r>
          </w:p>
        </w:tc>
        <w:tc>
          <w:tcPr>
            <w:tcW w:w="1932"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《锅炉大气污染物排放标准》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GB13271-2014</w:t>
            </w:r>
            <w:r>
              <w:rPr>
                <w:rFonts w:hint="default" w:ascii="Times New Roman" w:hAnsi="Times New Roman" w:eastAsia="宋体" w:cs="Times New Roman"/>
                <w:color w:val="auto"/>
                <w:sz w:val="21"/>
                <w:szCs w:val="21"/>
                <w:highlight w:val="none"/>
                <w:lang w:eastAsia="zh-CN"/>
              </w:rPr>
              <w:t>）</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color w:val="auto"/>
                <w:sz w:val="21"/>
                <w:szCs w:val="21"/>
                <w:highlight w:val="none"/>
              </w:rPr>
              <w:t>表2标准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汞及其化合物≤0.05mg/m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烟气黑度</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林格曼黑度，级≤1</w:t>
            </w:r>
            <w:r>
              <w:rPr>
                <w:rFonts w:hint="default" w:ascii="Times New Roman" w:hAnsi="Times New Roman" w:eastAsia="宋体" w:cs="Times New Roman"/>
                <w:color w:val="auto"/>
                <w:sz w:val="21"/>
                <w:szCs w:val="21"/>
                <w:highlight w:val="none"/>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3"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88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zh-CN"/>
              </w:rPr>
            </w:pPr>
            <w:r>
              <w:rPr>
                <w:rFonts w:hint="default" w:ascii="Times New Roman" w:hAnsi="Times New Roman" w:eastAsia="宋体" w:cs="Times New Roman"/>
                <w:snapToGrid w:val="0"/>
                <w:color w:val="auto"/>
                <w:spacing w:val="8"/>
                <w:kern w:val="0"/>
                <w:sz w:val="21"/>
                <w:szCs w:val="21"/>
                <w:lang w:eastAsia="en-US"/>
              </w:rPr>
              <w:t>储煤场</w:t>
            </w:r>
          </w:p>
        </w:tc>
        <w:tc>
          <w:tcPr>
            <w:tcW w:w="92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储煤场</w:t>
            </w:r>
          </w:p>
        </w:tc>
        <w:tc>
          <w:tcPr>
            <w:tcW w:w="991"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val="en-US" w:eastAsia="zh-CN"/>
              </w:rPr>
            </w:pPr>
            <w:r>
              <w:rPr>
                <w:rFonts w:hint="default" w:ascii="Times New Roman" w:hAnsi="Times New Roman" w:eastAsia="宋体" w:cs="Times New Roman"/>
                <w:snapToGrid w:val="0"/>
                <w:color w:val="auto"/>
                <w:spacing w:val="8"/>
                <w:kern w:val="0"/>
                <w:sz w:val="21"/>
                <w:szCs w:val="21"/>
                <w:lang w:eastAsia="en-US"/>
              </w:rPr>
              <w:t>无组织粉尘</w:t>
            </w:r>
          </w:p>
        </w:tc>
        <w:tc>
          <w:tcPr>
            <w:tcW w:w="184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eastAsia" w:cs="Times New Roman"/>
                <w:color w:val="auto"/>
                <w:sz w:val="21"/>
                <w:szCs w:val="21"/>
                <w:lang w:val="en-US" w:eastAsia="zh-CN"/>
              </w:rPr>
              <w:t>洒水抑尘、设置围挡（防风抑尘网）及控制车速</w:t>
            </w:r>
          </w:p>
        </w:tc>
        <w:tc>
          <w:tcPr>
            <w:tcW w:w="1491"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较少排放</w:t>
            </w:r>
          </w:p>
        </w:tc>
        <w:tc>
          <w:tcPr>
            <w:tcW w:w="1932"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《大气污染物综合排放标准》</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GB16297-1996</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表2颗粒物无组织排放监控浓度限值</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3"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88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val="en-US" w:eastAsia="zh-CN"/>
              </w:rPr>
              <w:t>灰库</w:t>
            </w:r>
          </w:p>
        </w:tc>
        <w:tc>
          <w:tcPr>
            <w:tcW w:w="92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val="en-US" w:eastAsia="zh-CN"/>
              </w:rPr>
              <w:t>灰库</w:t>
            </w:r>
          </w:p>
        </w:tc>
        <w:tc>
          <w:tcPr>
            <w:tcW w:w="99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184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eastAsia" w:cs="Times New Roman"/>
                <w:color w:val="auto"/>
                <w:sz w:val="21"/>
                <w:szCs w:val="21"/>
                <w:lang w:val="en-US" w:eastAsia="zh-CN"/>
              </w:rPr>
              <w:t>全封闭，装卸</w:t>
            </w:r>
            <w:r>
              <w:rPr>
                <w:rFonts w:hint="eastAsia" w:ascii="Times New Roman" w:hAnsi="Times New Roman" w:cs="Times New Roman"/>
                <w:color w:val="auto"/>
                <w:sz w:val="21"/>
                <w:szCs w:val="21"/>
                <w:lang w:val="en-US" w:eastAsia="zh-CN"/>
              </w:rPr>
              <w:t>采取洒水抑尘</w:t>
            </w:r>
          </w:p>
        </w:tc>
        <w:tc>
          <w:tcPr>
            <w:tcW w:w="149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1932"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3"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88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val="en-US" w:eastAsia="zh-CN"/>
              </w:rPr>
              <w:t>渣仓</w:t>
            </w:r>
          </w:p>
        </w:tc>
        <w:tc>
          <w:tcPr>
            <w:tcW w:w="92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val="en-US" w:eastAsia="zh-CN"/>
              </w:rPr>
              <w:t>渣仓</w:t>
            </w:r>
          </w:p>
        </w:tc>
        <w:tc>
          <w:tcPr>
            <w:tcW w:w="99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184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eastAsia" w:cs="Times New Roman"/>
                <w:color w:val="auto"/>
                <w:sz w:val="21"/>
                <w:szCs w:val="21"/>
                <w:lang w:val="en-US" w:eastAsia="zh-CN"/>
              </w:rPr>
              <w:t>全封闭，装卸</w:t>
            </w:r>
            <w:r>
              <w:rPr>
                <w:rFonts w:hint="eastAsia" w:ascii="Times New Roman" w:hAnsi="Times New Roman" w:cs="Times New Roman"/>
                <w:color w:val="auto"/>
                <w:sz w:val="21"/>
                <w:szCs w:val="21"/>
                <w:lang w:val="en-US" w:eastAsia="zh-CN"/>
              </w:rPr>
              <w:t>采取洒水抑尘</w:t>
            </w:r>
          </w:p>
        </w:tc>
        <w:tc>
          <w:tcPr>
            <w:tcW w:w="149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1932"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3"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88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灰渣场</w:t>
            </w:r>
          </w:p>
        </w:tc>
        <w:tc>
          <w:tcPr>
            <w:tcW w:w="92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灰渣场</w:t>
            </w:r>
          </w:p>
        </w:tc>
        <w:tc>
          <w:tcPr>
            <w:tcW w:w="99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184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eastAsia" w:cs="Times New Roman"/>
                <w:color w:val="auto"/>
                <w:sz w:val="21"/>
                <w:szCs w:val="21"/>
                <w:lang w:val="en-US" w:eastAsia="zh-CN"/>
              </w:rPr>
              <w:t>洒水抑尘、设置围挡（防风抑尘网）及控制车速</w:t>
            </w:r>
          </w:p>
        </w:tc>
        <w:tc>
          <w:tcPr>
            <w:tcW w:w="149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1932"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3"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88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eastAsia" w:cs="Times New Roman"/>
                <w:color w:val="auto"/>
                <w:sz w:val="21"/>
                <w:szCs w:val="21"/>
                <w:lang w:val="en-US" w:eastAsia="zh-CN"/>
              </w:rPr>
              <w:t>输煤上煤</w:t>
            </w:r>
          </w:p>
        </w:tc>
        <w:tc>
          <w:tcPr>
            <w:tcW w:w="92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val="en-US" w:eastAsia="en-US"/>
              </w:rPr>
            </w:pPr>
            <w:r>
              <w:rPr>
                <w:rFonts w:hint="eastAsia" w:cs="Times New Roman"/>
                <w:color w:val="auto"/>
                <w:sz w:val="21"/>
                <w:szCs w:val="21"/>
                <w:lang w:val="en-US" w:eastAsia="zh-CN"/>
              </w:rPr>
              <w:t>输煤上煤廊道</w:t>
            </w:r>
          </w:p>
        </w:tc>
        <w:tc>
          <w:tcPr>
            <w:tcW w:w="99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184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eastAsia" w:cs="Times New Roman"/>
                <w:color w:val="auto"/>
                <w:sz w:val="21"/>
                <w:szCs w:val="21"/>
                <w:lang w:val="en-US" w:eastAsia="zh-CN"/>
              </w:rPr>
              <w:t>全封闭式廊道</w:t>
            </w:r>
          </w:p>
        </w:tc>
        <w:tc>
          <w:tcPr>
            <w:tcW w:w="149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1932"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噪声</w:t>
            </w:r>
          </w:p>
        </w:tc>
        <w:tc>
          <w:tcPr>
            <w:tcW w:w="88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锅炉、风机、泵</w:t>
            </w:r>
          </w:p>
        </w:tc>
        <w:tc>
          <w:tcPr>
            <w:tcW w:w="92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锅炉、风机、泵</w:t>
            </w:r>
          </w:p>
        </w:tc>
        <w:tc>
          <w:tcPr>
            <w:tcW w:w="9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机械噪声</w:t>
            </w:r>
          </w:p>
        </w:tc>
        <w:tc>
          <w:tcPr>
            <w:tcW w:w="184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cs="Times New Roman"/>
                <w:color w:val="auto"/>
                <w:sz w:val="21"/>
                <w:szCs w:val="21"/>
              </w:rPr>
              <w:t>选用低噪声设备，采用基础减震、厂房隔声等降噪措施</w:t>
            </w:r>
          </w:p>
        </w:tc>
        <w:tc>
          <w:tcPr>
            <w:tcW w:w="14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减振、减噪</w:t>
            </w:r>
          </w:p>
        </w:tc>
        <w:tc>
          <w:tcPr>
            <w:tcW w:w="193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《工业企业厂界环境噪声排放标</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snapToGrid w:val="0"/>
                <w:color w:val="auto"/>
                <w:spacing w:val="8"/>
                <w:kern w:val="0"/>
                <w:sz w:val="21"/>
                <w:szCs w:val="21"/>
                <w:lang w:eastAsia="zh-CN"/>
              </w:rPr>
            </w:pPr>
            <w:r>
              <w:rPr>
                <w:rFonts w:hint="default" w:ascii="Times New Roman" w:hAnsi="Times New Roman" w:eastAsia="宋体" w:cs="Times New Roman"/>
                <w:snapToGrid w:val="0"/>
                <w:color w:val="auto"/>
                <w:spacing w:val="8"/>
                <w:kern w:val="0"/>
                <w:sz w:val="21"/>
                <w:szCs w:val="21"/>
                <w:lang w:eastAsia="en-US"/>
              </w:rPr>
              <w:t>准》</w:t>
            </w:r>
            <w:r>
              <w:rPr>
                <w:rFonts w:hint="eastAsia" w:ascii="Times New Roman" w:hAnsi="Times New Roman" w:eastAsia="宋体" w:cs="Times New Roman"/>
                <w:snapToGrid w:val="0"/>
                <w:color w:val="auto"/>
                <w:spacing w:val="8"/>
                <w:kern w:val="0"/>
                <w:sz w:val="21"/>
                <w:szCs w:val="21"/>
                <w:lang w:eastAsia="zh-CN"/>
              </w:rPr>
              <w:t>（</w:t>
            </w:r>
            <w:r>
              <w:rPr>
                <w:rFonts w:hint="default" w:ascii="Times New Roman" w:hAnsi="Times New Roman" w:eastAsia="宋体" w:cs="Times New Roman"/>
                <w:snapToGrid w:val="0"/>
                <w:color w:val="auto"/>
                <w:spacing w:val="8"/>
                <w:kern w:val="0"/>
                <w:sz w:val="21"/>
                <w:szCs w:val="21"/>
                <w:lang w:eastAsia="en-US"/>
              </w:rPr>
              <w:t>GB12348-2008</w:t>
            </w:r>
            <w:r>
              <w:rPr>
                <w:rFonts w:hint="eastAsia" w:ascii="Times New Roman" w:hAnsi="Times New Roman" w:eastAsia="宋体" w:cs="Times New Roman"/>
                <w:snapToGrid w:val="0"/>
                <w:color w:val="auto"/>
                <w:spacing w:val="8"/>
                <w:kern w:val="0"/>
                <w:sz w:val="21"/>
                <w:szCs w:val="21"/>
                <w:lang w:eastAsia="zh-CN"/>
              </w:rPr>
              <w:t>）</w:t>
            </w:r>
            <w:r>
              <w:rPr>
                <w:rFonts w:hint="default" w:ascii="Times New Roman" w:hAnsi="Times New Roman" w:eastAsia="宋体" w:cs="Times New Roman"/>
                <w:snapToGrid w:val="0"/>
                <w:color w:val="auto"/>
                <w:spacing w:val="8"/>
                <w:kern w:val="0"/>
                <w:sz w:val="21"/>
                <w:szCs w:val="21"/>
                <w:lang w:eastAsia="en-US"/>
              </w:rPr>
              <w:t>中2类标准</w:t>
            </w:r>
            <w:r>
              <w:rPr>
                <w:rFonts w:hint="eastAsia" w:ascii="Times New Roman" w:hAnsi="Times New Roman" w:eastAsia="宋体" w:cs="Times New Roman"/>
                <w:snapToGrid w:val="0"/>
                <w:color w:val="auto"/>
                <w:spacing w:val="8"/>
                <w:kern w:val="0"/>
                <w:sz w:val="21"/>
                <w:szCs w:val="21"/>
                <w:lang w:eastAsia="zh-CN"/>
              </w:rPr>
              <w:t>（</w:t>
            </w:r>
            <w:r>
              <w:rPr>
                <w:rFonts w:hint="default" w:ascii="Times New Roman" w:hAnsi="Times New Roman" w:eastAsia="宋体" w:cs="Times New Roman"/>
                <w:snapToGrid w:val="0"/>
                <w:color w:val="auto"/>
                <w:spacing w:val="8"/>
                <w:kern w:val="0"/>
                <w:sz w:val="21"/>
                <w:szCs w:val="21"/>
                <w:lang w:eastAsia="en-US"/>
              </w:rPr>
              <w:t>昼＜6</w:t>
            </w:r>
            <w:r>
              <w:rPr>
                <w:rFonts w:hint="eastAsia" w:cs="Times New Roman"/>
                <w:snapToGrid w:val="0"/>
                <w:color w:val="auto"/>
                <w:spacing w:val="8"/>
                <w:kern w:val="0"/>
                <w:sz w:val="21"/>
                <w:szCs w:val="21"/>
                <w:lang w:val="en-US" w:eastAsia="zh-CN"/>
              </w:rPr>
              <w:t>0</w:t>
            </w:r>
            <w:r>
              <w:rPr>
                <w:rFonts w:hint="default" w:ascii="Times New Roman" w:hAnsi="Times New Roman" w:eastAsia="宋体" w:cs="Times New Roman"/>
                <w:snapToGrid w:val="0"/>
                <w:color w:val="auto"/>
                <w:spacing w:val="8"/>
                <w:kern w:val="0"/>
                <w:sz w:val="21"/>
                <w:szCs w:val="21"/>
                <w:lang w:eastAsia="en-US"/>
              </w:rPr>
              <w:t>dB</w:t>
            </w:r>
            <w:r>
              <w:rPr>
                <w:rFonts w:hint="eastAsia" w:ascii="Times New Roman" w:hAnsi="Times New Roman" w:eastAsia="宋体" w:cs="Times New Roman"/>
                <w:snapToGrid w:val="0"/>
                <w:color w:val="auto"/>
                <w:spacing w:val="8"/>
                <w:kern w:val="0"/>
                <w:sz w:val="21"/>
                <w:szCs w:val="21"/>
                <w:lang w:eastAsia="zh-CN"/>
              </w:rPr>
              <w:t>（</w:t>
            </w:r>
            <w:r>
              <w:rPr>
                <w:rFonts w:hint="eastAsia" w:ascii="Times New Roman" w:hAnsi="Times New Roman" w:eastAsia="宋体" w:cs="Times New Roman"/>
                <w:snapToGrid w:val="0"/>
                <w:color w:val="auto"/>
                <w:spacing w:val="8"/>
                <w:kern w:val="0"/>
                <w:sz w:val="21"/>
                <w:szCs w:val="21"/>
                <w:lang w:val="en-US" w:eastAsia="zh-CN"/>
              </w:rPr>
              <w:t>A</w:t>
            </w:r>
            <w:r>
              <w:rPr>
                <w:rFonts w:hint="eastAsia" w:ascii="Times New Roman" w:hAnsi="Times New Roman" w:eastAsia="宋体" w:cs="Times New Roman"/>
                <w:snapToGrid w:val="0"/>
                <w:color w:val="auto"/>
                <w:spacing w:val="8"/>
                <w:kern w:val="0"/>
                <w:sz w:val="21"/>
                <w:szCs w:val="21"/>
                <w:lang w:eastAsia="zh-CN"/>
              </w:rPr>
              <w:t>）</w:t>
            </w:r>
            <w:r>
              <w:rPr>
                <w:rFonts w:hint="default" w:ascii="Times New Roman" w:hAnsi="Times New Roman" w:eastAsia="宋体" w:cs="Times New Roman"/>
                <w:snapToGrid w:val="0"/>
                <w:color w:val="auto"/>
                <w:spacing w:val="8"/>
                <w:kern w:val="0"/>
                <w:sz w:val="21"/>
                <w:szCs w:val="21"/>
                <w:lang w:eastAsia="en-US"/>
              </w:rPr>
              <w:t>，夜＜5</w:t>
            </w:r>
            <w:r>
              <w:rPr>
                <w:rFonts w:hint="eastAsia" w:cs="Times New Roman"/>
                <w:snapToGrid w:val="0"/>
                <w:color w:val="auto"/>
                <w:spacing w:val="8"/>
                <w:kern w:val="0"/>
                <w:sz w:val="21"/>
                <w:szCs w:val="21"/>
                <w:lang w:val="en-US" w:eastAsia="zh-CN"/>
              </w:rPr>
              <w:t>0</w:t>
            </w:r>
            <w:r>
              <w:rPr>
                <w:rFonts w:hint="default" w:ascii="Times New Roman" w:hAnsi="Times New Roman" w:eastAsia="宋体" w:cs="Times New Roman"/>
                <w:snapToGrid w:val="0"/>
                <w:color w:val="auto"/>
                <w:spacing w:val="8"/>
                <w:kern w:val="0"/>
                <w:sz w:val="21"/>
                <w:szCs w:val="21"/>
                <w:lang w:eastAsia="en-US"/>
              </w:rPr>
              <w:t>dB</w:t>
            </w:r>
            <w:r>
              <w:rPr>
                <w:rFonts w:hint="eastAsia" w:ascii="Times New Roman" w:hAnsi="Times New Roman" w:eastAsia="宋体" w:cs="Times New Roman"/>
                <w:snapToGrid w:val="0"/>
                <w:color w:val="auto"/>
                <w:spacing w:val="8"/>
                <w:kern w:val="0"/>
                <w:sz w:val="21"/>
                <w:szCs w:val="21"/>
                <w:lang w:eastAsia="zh-CN"/>
              </w:rPr>
              <w:t>（</w:t>
            </w:r>
            <w:r>
              <w:rPr>
                <w:rFonts w:hint="eastAsia" w:ascii="Times New Roman" w:hAnsi="Times New Roman" w:eastAsia="宋体" w:cs="Times New Roman"/>
                <w:snapToGrid w:val="0"/>
                <w:color w:val="auto"/>
                <w:spacing w:val="8"/>
                <w:kern w:val="0"/>
                <w:sz w:val="21"/>
                <w:szCs w:val="21"/>
                <w:lang w:val="en-US" w:eastAsia="zh-CN"/>
              </w:rPr>
              <w:t>A</w:t>
            </w:r>
            <w:r>
              <w:rPr>
                <w:rFonts w:hint="eastAsia" w:ascii="Times New Roman" w:hAnsi="Times New Roman" w:eastAsia="宋体" w:cs="Times New Roman"/>
                <w:snapToGrid w:val="0"/>
                <w:color w:val="auto"/>
                <w:spacing w:val="8"/>
                <w:kern w:val="0"/>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3"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固废</w:t>
            </w:r>
          </w:p>
        </w:tc>
        <w:tc>
          <w:tcPr>
            <w:tcW w:w="88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锅炉房</w:t>
            </w:r>
          </w:p>
        </w:tc>
        <w:tc>
          <w:tcPr>
            <w:tcW w:w="92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锅炉、</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脱硫</w:t>
            </w:r>
            <w:r>
              <w:rPr>
                <w:rFonts w:hint="eastAsia" w:ascii="Times New Roman" w:hAnsi="Times New Roman" w:eastAsia="宋体" w:cs="Times New Roman"/>
                <w:snapToGrid w:val="0"/>
                <w:color w:val="auto"/>
                <w:spacing w:val="8"/>
                <w:kern w:val="0"/>
                <w:sz w:val="21"/>
                <w:szCs w:val="21"/>
                <w:lang w:val="en-US" w:eastAsia="zh-CN"/>
              </w:rPr>
              <w:t>系统</w:t>
            </w:r>
            <w:r>
              <w:rPr>
                <w:rFonts w:hint="default" w:ascii="Times New Roman" w:hAnsi="Times New Roman" w:eastAsia="宋体" w:cs="Times New Roman"/>
                <w:snapToGrid w:val="0"/>
                <w:color w:val="auto"/>
                <w:spacing w:val="8"/>
                <w:kern w:val="0"/>
                <w:sz w:val="21"/>
                <w:szCs w:val="21"/>
                <w:lang w:eastAsia="en-US"/>
              </w:rPr>
              <w:t>、袋式</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除尘器</w:t>
            </w:r>
          </w:p>
        </w:tc>
        <w:tc>
          <w:tcPr>
            <w:tcW w:w="9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val="en-US" w:eastAsia="en-US"/>
              </w:rPr>
              <w:t>脱硫石膏、除尘灰、炉渣</w:t>
            </w:r>
          </w:p>
        </w:tc>
        <w:tc>
          <w:tcPr>
            <w:tcW w:w="184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eastAsia" w:cs="Times New Roman"/>
                <w:color w:val="auto"/>
                <w:sz w:val="21"/>
                <w:szCs w:val="21"/>
                <w:lang w:val="en-US" w:eastAsia="zh-CN"/>
              </w:rPr>
              <w:t>外售给托里县盛世工贸有限公司用于制砖，作为建筑材料使用</w:t>
            </w:r>
          </w:p>
        </w:tc>
        <w:tc>
          <w:tcPr>
            <w:tcW w:w="14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snapToGrid w:val="0"/>
                <w:color w:val="auto"/>
                <w:spacing w:val="8"/>
                <w:kern w:val="0"/>
                <w:sz w:val="21"/>
                <w:szCs w:val="21"/>
                <w:lang w:val="en-US" w:eastAsia="zh-CN"/>
              </w:rPr>
            </w:pPr>
            <w:r>
              <w:rPr>
                <w:rFonts w:hint="eastAsia" w:ascii="Times New Roman" w:hAnsi="Times New Roman" w:eastAsia="宋体" w:cs="Times New Roman"/>
                <w:snapToGrid w:val="0"/>
                <w:color w:val="auto"/>
                <w:spacing w:val="8"/>
                <w:kern w:val="0"/>
                <w:sz w:val="21"/>
                <w:szCs w:val="21"/>
                <w:lang w:val="en-US" w:eastAsia="zh-CN"/>
              </w:rPr>
              <w:t>不外排</w:t>
            </w:r>
          </w:p>
        </w:tc>
        <w:tc>
          <w:tcPr>
            <w:tcW w:w="193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综合利用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3"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88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锅炉房</w:t>
            </w:r>
          </w:p>
        </w:tc>
        <w:tc>
          <w:tcPr>
            <w:tcW w:w="92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snapToGrid w:val="0"/>
                <w:color w:val="auto"/>
                <w:spacing w:val="8"/>
                <w:kern w:val="0"/>
                <w:sz w:val="21"/>
                <w:szCs w:val="21"/>
                <w:lang w:val="en-US" w:eastAsia="zh-CN"/>
              </w:rPr>
            </w:pPr>
            <w:r>
              <w:rPr>
                <w:rFonts w:hint="default" w:ascii="Times New Roman" w:hAnsi="Times New Roman" w:eastAsia="宋体" w:cs="Times New Roman"/>
                <w:snapToGrid w:val="0"/>
                <w:color w:val="auto"/>
                <w:spacing w:val="8"/>
                <w:kern w:val="0"/>
                <w:sz w:val="21"/>
                <w:szCs w:val="21"/>
                <w:lang w:eastAsia="en-US"/>
              </w:rPr>
              <w:t>软化水</w:t>
            </w:r>
            <w:r>
              <w:rPr>
                <w:rFonts w:hint="eastAsia" w:ascii="Times New Roman" w:hAnsi="Times New Roman" w:eastAsia="宋体" w:cs="Times New Roman"/>
                <w:snapToGrid w:val="0"/>
                <w:color w:val="auto"/>
                <w:spacing w:val="8"/>
                <w:kern w:val="0"/>
                <w:sz w:val="21"/>
                <w:szCs w:val="21"/>
                <w:lang w:val="en-US" w:eastAsia="zh-CN"/>
              </w:rPr>
              <w:t>装置</w:t>
            </w:r>
          </w:p>
        </w:tc>
        <w:tc>
          <w:tcPr>
            <w:tcW w:w="9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废离子交换树脂</w:t>
            </w:r>
          </w:p>
        </w:tc>
        <w:tc>
          <w:tcPr>
            <w:tcW w:w="184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eastAsia" w:ascii="Times New Roman" w:hAnsi="Times New Roman" w:cs="Times New Roman"/>
                <w:color w:val="auto"/>
                <w:sz w:val="21"/>
                <w:szCs w:val="21"/>
                <w:lang w:val="en-US" w:eastAsia="zh-CN"/>
              </w:rPr>
              <w:t>厂家更换后回收处置</w:t>
            </w:r>
          </w:p>
        </w:tc>
        <w:tc>
          <w:tcPr>
            <w:tcW w:w="14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eastAsia" w:ascii="Times New Roman" w:hAnsi="Times New Roman" w:eastAsia="宋体" w:cs="Times New Roman"/>
                <w:snapToGrid w:val="0"/>
                <w:color w:val="auto"/>
                <w:spacing w:val="8"/>
                <w:kern w:val="0"/>
                <w:sz w:val="21"/>
                <w:szCs w:val="21"/>
                <w:lang w:val="en-US" w:eastAsia="zh-CN"/>
              </w:rPr>
              <w:t>不外排</w:t>
            </w:r>
          </w:p>
        </w:tc>
        <w:tc>
          <w:tcPr>
            <w:tcW w:w="193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综合利用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3"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88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锅炉房</w:t>
            </w:r>
          </w:p>
        </w:tc>
        <w:tc>
          <w:tcPr>
            <w:tcW w:w="92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袋式</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val="en-US" w:eastAsia="zh-CN"/>
              </w:rPr>
            </w:pPr>
            <w:r>
              <w:rPr>
                <w:rFonts w:hint="default" w:ascii="Times New Roman" w:hAnsi="Times New Roman" w:eastAsia="宋体" w:cs="Times New Roman"/>
                <w:snapToGrid w:val="0"/>
                <w:color w:val="auto"/>
                <w:spacing w:val="8"/>
                <w:kern w:val="0"/>
                <w:sz w:val="21"/>
                <w:szCs w:val="21"/>
                <w:lang w:eastAsia="en-US"/>
              </w:rPr>
              <w:t>除尘器</w:t>
            </w:r>
            <w:r>
              <w:rPr>
                <w:rFonts w:hint="eastAsia" w:ascii="Times New Roman" w:hAnsi="Times New Roman" w:eastAsia="宋体" w:cs="Times New Roman"/>
                <w:snapToGrid w:val="0"/>
                <w:color w:val="auto"/>
                <w:spacing w:val="8"/>
                <w:kern w:val="0"/>
                <w:sz w:val="21"/>
                <w:szCs w:val="21"/>
                <w:lang w:eastAsia="zh-CN"/>
              </w:rPr>
              <w:t>、</w:t>
            </w:r>
            <w:r>
              <w:rPr>
                <w:rFonts w:hint="eastAsia" w:ascii="Times New Roman" w:hAnsi="Times New Roman" w:eastAsia="宋体" w:cs="Times New Roman"/>
                <w:snapToGrid w:val="0"/>
                <w:color w:val="auto"/>
                <w:spacing w:val="8"/>
                <w:kern w:val="0"/>
                <w:sz w:val="21"/>
                <w:szCs w:val="21"/>
                <w:lang w:val="en-US" w:eastAsia="zh-CN"/>
              </w:rPr>
              <w:t>废气治理</w:t>
            </w:r>
          </w:p>
        </w:tc>
        <w:tc>
          <w:tcPr>
            <w:tcW w:w="9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eastAsia" w:ascii="Times New Roman" w:hAnsi="Times New Roman" w:cs="Times New Roman"/>
                <w:color w:val="auto"/>
                <w:sz w:val="21"/>
                <w:szCs w:val="21"/>
                <w:lang w:val="en-US" w:eastAsia="zh-CN"/>
              </w:rPr>
              <w:t>废旧布袋、废包装袋</w:t>
            </w:r>
          </w:p>
        </w:tc>
        <w:tc>
          <w:tcPr>
            <w:tcW w:w="184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厂家更换后回收处置</w:t>
            </w:r>
          </w:p>
        </w:tc>
        <w:tc>
          <w:tcPr>
            <w:tcW w:w="14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snapToGrid w:val="0"/>
                <w:color w:val="auto"/>
                <w:spacing w:val="8"/>
                <w:kern w:val="0"/>
                <w:sz w:val="21"/>
                <w:szCs w:val="21"/>
                <w:lang w:val="en-US" w:eastAsia="zh-CN"/>
              </w:rPr>
            </w:pPr>
            <w:r>
              <w:rPr>
                <w:rFonts w:hint="eastAsia" w:ascii="Times New Roman" w:hAnsi="Times New Roman" w:eastAsia="宋体" w:cs="Times New Roman"/>
                <w:snapToGrid w:val="0"/>
                <w:color w:val="auto"/>
                <w:spacing w:val="8"/>
                <w:kern w:val="0"/>
                <w:sz w:val="21"/>
                <w:szCs w:val="21"/>
                <w:lang w:val="en-US" w:eastAsia="zh-CN"/>
              </w:rPr>
              <w:t>不外排</w:t>
            </w:r>
          </w:p>
        </w:tc>
        <w:tc>
          <w:tcPr>
            <w:tcW w:w="193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cs="Times New Roman"/>
                <w:color w:val="auto"/>
                <w:sz w:val="21"/>
                <w:szCs w:val="21"/>
                <w:lang w:val="en-US" w:eastAsia="zh-CN"/>
              </w:rPr>
            </w:pPr>
            <w:r>
              <w:rPr>
                <w:rFonts w:hint="default" w:ascii="Times New Roman" w:hAnsi="Times New Roman" w:eastAsia="宋体" w:cs="Times New Roman"/>
                <w:snapToGrid w:val="0"/>
                <w:color w:val="auto"/>
                <w:spacing w:val="8"/>
                <w:kern w:val="0"/>
                <w:sz w:val="21"/>
                <w:szCs w:val="21"/>
                <w:lang w:eastAsia="en-US"/>
              </w:rPr>
              <w:t>综合利用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3"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p>
        </w:tc>
        <w:tc>
          <w:tcPr>
            <w:tcW w:w="88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val="en-US" w:eastAsia="en-US"/>
              </w:rPr>
            </w:pPr>
            <w:r>
              <w:rPr>
                <w:rFonts w:hint="default" w:ascii="Times New Roman" w:hAnsi="Times New Roman" w:eastAsia="宋体" w:cs="Times New Roman"/>
                <w:snapToGrid w:val="0"/>
                <w:color w:val="auto"/>
                <w:spacing w:val="8"/>
                <w:kern w:val="0"/>
                <w:sz w:val="21"/>
                <w:szCs w:val="21"/>
                <w:lang w:eastAsia="en-US"/>
              </w:rPr>
              <w:t>SCR脱硝系统</w:t>
            </w:r>
          </w:p>
        </w:tc>
        <w:tc>
          <w:tcPr>
            <w:tcW w:w="92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val="en-US" w:eastAsia="zh-CN"/>
              </w:rPr>
            </w:pPr>
            <w:r>
              <w:rPr>
                <w:rFonts w:hint="default" w:ascii="Times New Roman" w:hAnsi="Times New Roman" w:eastAsia="宋体" w:cs="Times New Roman"/>
                <w:snapToGrid w:val="0"/>
                <w:color w:val="auto"/>
                <w:spacing w:val="8"/>
                <w:kern w:val="0"/>
                <w:sz w:val="21"/>
                <w:szCs w:val="21"/>
                <w:lang w:eastAsia="en-US"/>
              </w:rPr>
              <w:t>SCR脱硝设备</w:t>
            </w:r>
          </w:p>
        </w:tc>
        <w:tc>
          <w:tcPr>
            <w:tcW w:w="9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废催化剂</w:t>
            </w:r>
          </w:p>
        </w:tc>
        <w:tc>
          <w:tcPr>
            <w:tcW w:w="184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更换后</w:t>
            </w:r>
            <w:r>
              <w:rPr>
                <w:rFonts w:hint="eastAsia" w:cs="Times New Roman"/>
                <w:color w:val="auto"/>
                <w:sz w:val="21"/>
                <w:szCs w:val="21"/>
                <w:lang w:val="en-US" w:eastAsia="zh-CN"/>
              </w:rPr>
              <w:t>由有危废处置资质的单位上门</w:t>
            </w:r>
            <w:r>
              <w:rPr>
                <w:rFonts w:hint="eastAsia" w:ascii="Times New Roman" w:hAnsi="Times New Roman" w:cs="Times New Roman"/>
                <w:color w:val="auto"/>
                <w:sz w:val="21"/>
                <w:szCs w:val="21"/>
                <w:lang w:val="en-US" w:eastAsia="zh-CN"/>
              </w:rPr>
              <w:t>回收处置</w:t>
            </w:r>
          </w:p>
        </w:tc>
        <w:tc>
          <w:tcPr>
            <w:tcW w:w="14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snapToGrid w:val="0"/>
                <w:color w:val="auto"/>
                <w:spacing w:val="8"/>
                <w:kern w:val="0"/>
                <w:sz w:val="21"/>
                <w:szCs w:val="21"/>
                <w:lang w:val="en-US" w:eastAsia="zh-CN"/>
              </w:rPr>
            </w:pPr>
            <w:r>
              <w:rPr>
                <w:rFonts w:hint="eastAsia" w:ascii="Times New Roman" w:hAnsi="Times New Roman" w:eastAsia="宋体" w:cs="Times New Roman"/>
                <w:snapToGrid w:val="0"/>
                <w:color w:val="auto"/>
                <w:spacing w:val="8"/>
                <w:kern w:val="0"/>
                <w:sz w:val="21"/>
                <w:szCs w:val="21"/>
                <w:lang w:val="en-US" w:eastAsia="zh-CN"/>
              </w:rPr>
              <w:t>不外排</w:t>
            </w:r>
          </w:p>
        </w:tc>
        <w:tc>
          <w:tcPr>
            <w:tcW w:w="193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8"/>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《危险废物收集、贮存、运输技术规范》（HJ2025-2012）</w:t>
            </w:r>
          </w:p>
        </w:tc>
      </w:tr>
    </w:tbl>
    <w:p>
      <w:pPr>
        <w:bidi w:val="0"/>
        <w:rPr>
          <w:color w:val="auto"/>
          <w:highlight w:val="none"/>
        </w:rPr>
        <w:sectPr>
          <w:headerReference r:id="rId12" w:type="default"/>
          <w:footerReference r:id="rId13" w:type="default"/>
          <w:pgSz w:w="11906" w:h="16838"/>
          <w:pgMar w:top="1440" w:right="1800" w:bottom="1440" w:left="1800" w:header="1020"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keepNext w:val="0"/>
        <w:keepLines w:val="0"/>
        <w:pageBreakBefore w:val="0"/>
        <w:wordWrap/>
        <w:overflowPunct/>
        <w:bidi w:val="0"/>
        <w:adjustRightInd w:val="0"/>
        <w:snapToGrid w:val="0"/>
        <w:spacing w:beforeLines="0" w:afterLines="0"/>
        <w:rPr>
          <w:rFonts w:hint="default" w:ascii="Times New Roman" w:hAnsi="Times New Roman" w:eastAsia="宋体" w:cs="Times New Roman"/>
          <w:color w:val="auto"/>
          <w:highlight w:val="none"/>
        </w:rPr>
      </w:pPr>
      <w:bookmarkStart w:id="105" w:name="_Toc14674"/>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rPr>
        <w:t>结论与建议</w:t>
      </w:r>
      <w:bookmarkEnd w:id="105"/>
    </w:p>
    <w:p>
      <w:pPr>
        <w:pStyle w:val="3"/>
        <w:keepNext w:val="0"/>
        <w:keepLines w:val="0"/>
        <w:pageBreakBefore w:val="0"/>
        <w:wordWrap/>
        <w:overflowPunct/>
        <w:bidi w:val="0"/>
        <w:adjustRightInd w:val="0"/>
        <w:snapToGrid w:val="0"/>
        <w:rPr>
          <w:rFonts w:hint="default" w:ascii="Times New Roman" w:hAnsi="Times New Roman" w:eastAsia="宋体" w:cs="Times New Roman"/>
          <w:color w:val="auto"/>
          <w:highlight w:val="none"/>
          <w:lang w:val="en-US" w:eastAsia="zh-CN"/>
        </w:rPr>
      </w:pPr>
      <w:bookmarkStart w:id="106" w:name="_Toc18871"/>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rPr>
        <w:t>.1项目建设概况</w:t>
      </w:r>
      <w:bookmarkEnd w:id="106"/>
    </w:p>
    <w:p>
      <w:pPr>
        <w:keepNext w:val="0"/>
        <w:keepLines w:val="0"/>
        <w:pageBreakBefore w:val="0"/>
        <w:widowControl/>
        <w:suppressLineNumbers w:val="0"/>
        <w:wordWrap/>
        <w:overflowPunct/>
        <w:bidi w:val="0"/>
        <w:adjustRightInd w:val="0"/>
        <w:snapToGrid w:val="0"/>
        <w:ind w:firstLine="480" w:firstLineChars="200"/>
        <w:jc w:val="left"/>
        <w:rPr>
          <w:rFonts w:hint="default" w:ascii="Times New Roman" w:hAnsi="Times New Roman" w:eastAsia="宋体" w:cs="Times New Roman"/>
          <w:color w:val="auto"/>
          <w:sz w:val="24"/>
          <w:szCs w:val="24"/>
          <w:lang w:val="zh-CN"/>
        </w:rPr>
      </w:pPr>
      <w:r>
        <w:rPr>
          <w:rFonts w:hint="default" w:ascii="Times New Roman" w:hAnsi="Times New Roman" w:eastAsia="宋体" w:cs="Times New Roman"/>
          <w:color w:val="auto"/>
          <w:sz w:val="24"/>
          <w:szCs w:val="24"/>
          <w:lang w:val="zh-CN"/>
        </w:rPr>
        <w:t>（</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val="zh-CN"/>
        </w:rPr>
        <w:t>）项目名称：</w:t>
      </w:r>
      <w:r>
        <w:rPr>
          <w:rFonts w:hint="default" w:ascii="Times New Roman" w:hAnsi="Times New Roman" w:eastAsia="宋体" w:cs="Times New Roman"/>
          <w:color w:val="auto"/>
          <w:sz w:val="24"/>
          <w:szCs w:val="24"/>
          <w:lang w:val="zh-CN" w:eastAsia="zh-CN"/>
        </w:rPr>
        <w:t>托里县2024年集中供热改扩建项目</w:t>
      </w:r>
      <w:r>
        <w:rPr>
          <w:rFonts w:hint="default" w:ascii="Times New Roman" w:hAnsi="Times New Roman" w:eastAsia="宋体" w:cs="Times New Roman"/>
          <w:color w:val="auto"/>
          <w:sz w:val="24"/>
          <w:szCs w:val="24"/>
          <w:lang w:val="zh-CN"/>
        </w:rPr>
        <w:t>；</w:t>
      </w:r>
    </w:p>
    <w:p>
      <w:pPr>
        <w:keepNext w:val="0"/>
        <w:keepLines w:val="0"/>
        <w:pageBreakBefore w:val="0"/>
        <w:widowControl/>
        <w:suppressLineNumbers w:val="0"/>
        <w:wordWrap/>
        <w:overflowPunct/>
        <w:bidi w:val="0"/>
        <w:adjustRightInd w:val="0"/>
        <w:snapToGrid w:val="0"/>
        <w:ind w:firstLine="480" w:firstLineChars="200"/>
        <w:jc w:val="left"/>
        <w:rPr>
          <w:rFonts w:hint="default" w:ascii="Times New Roman" w:hAnsi="Times New Roman" w:eastAsia="宋体" w:cs="Times New Roman"/>
          <w:color w:val="auto"/>
          <w:sz w:val="24"/>
          <w:szCs w:val="24"/>
          <w:lang w:val="zh-CN"/>
        </w:rPr>
      </w:pPr>
      <w:r>
        <w:rPr>
          <w:rFonts w:hint="default" w:ascii="Times New Roman" w:hAnsi="Times New Roman" w:eastAsia="宋体" w:cs="Times New Roman"/>
          <w:color w:val="auto"/>
          <w:sz w:val="24"/>
          <w:szCs w:val="24"/>
          <w:lang w:val="zh-CN"/>
        </w:rPr>
        <w:t>（</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zh-CN"/>
        </w:rPr>
        <w:t>）建设单位：</w:t>
      </w:r>
      <w:r>
        <w:rPr>
          <w:rFonts w:hint="default" w:ascii="Times New Roman" w:hAnsi="Times New Roman" w:eastAsia="宋体" w:cs="Times New Roman"/>
          <w:color w:val="auto"/>
          <w:highlight w:val="none"/>
        </w:rPr>
        <w:t>托里县住房和城乡建设局</w:t>
      </w:r>
      <w:r>
        <w:rPr>
          <w:rFonts w:hint="default" w:ascii="Times New Roman" w:hAnsi="Times New Roman" w:eastAsia="宋体" w:cs="Times New Roman"/>
          <w:color w:val="auto"/>
          <w:sz w:val="24"/>
          <w:szCs w:val="24"/>
          <w:lang w:val="zh-CN"/>
        </w:rPr>
        <w:t>；</w:t>
      </w:r>
    </w:p>
    <w:p>
      <w:pPr>
        <w:keepNext w:val="0"/>
        <w:keepLines w:val="0"/>
        <w:pageBreakBefore w:val="0"/>
        <w:widowControl/>
        <w:suppressLineNumbers w:val="0"/>
        <w:wordWrap/>
        <w:overflowPunct/>
        <w:bidi w:val="0"/>
        <w:adjustRightInd w:val="0"/>
        <w:snapToGrid w:val="0"/>
        <w:ind w:firstLine="480" w:firstLineChars="200"/>
        <w:jc w:val="left"/>
        <w:rPr>
          <w:rFonts w:hint="default" w:ascii="Times New Roman" w:hAnsi="Times New Roman" w:eastAsia="宋体" w:cs="Times New Roman"/>
          <w:color w:val="auto"/>
          <w:sz w:val="24"/>
          <w:szCs w:val="24"/>
          <w:lang w:val="zh-CN"/>
        </w:rPr>
      </w:pPr>
      <w:r>
        <w:rPr>
          <w:rFonts w:hint="default" w:ascii="Times New Roman" w:hAnsi="Times New Roman" w:eastAsia="宋体" w:cs="Times New Roman"/>
          <w:color w:val="auto"/>
          <w:sz w:val="24"/>
          <w:szCs w:val="24"/>
          <w:lang w:val="zh-CN"/>
        </w:rPr>
        <w:t>（</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zh-CN"/>
        </w:rPr>
        <w:t>）建设性质：</w:t>
      </w:r>
      <w:r>
        <w:rPr>
          <w:rFonts w:hint="default" w:ascii="Times New Roman" w:hAnsi="Times New Roman" w:eastAsia="宋体" w:cs="Times New Roman"/>
          <w:color w:val="auto"/>
          <w:sz w:val="24"/>
          <w:szCs w:val="24"/>
          <w:lang w:val="en-US" w:eastAsia="zh-CN"/>
        </w:rPr>
        <w:t>改</w:t>
      </w:r>
      <w:r>
        <w:rPr>
          <w:rFonts w:hint="default" w:ascii="Times New Roman" w:hAnsi="Times New Roman" w:eastAsia="宋体" w:cs="Times New Roman"/>
          <w:color w:val="auto"/>
          <w:sz w:val="24"/>
          <w:szCs w:val="24"/>
          <w:lang w:val="zh-CN"/>
        </w:rPr>
        <w:t>扩建；</w:t>
      </w:r>
    </w:p>
    <w:p>
      <w:pPr>
        <w:keepNext w:val="0"/>
        <w:keepLines w:val="0"/>
        <w:pageBreakBefore w:val="0"/>
        <w:widowControl/>
        <w:suppressLineNumbers w:val="0"/>
        <w:wordWrap/>
        <w:overflowPunct/>
        <w:bidi w:val="0"/>
        <w:adjustRightInd w:val="0"/>
        <w:snapToGrid w:val="0"/>
        <w:ind w:firstLine="480" w:firstLineChars="20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zh-CN"/>
        </w:rPr>
        <w:t>（</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val="zh-CN"/>
        </w:rPr>
        <w:t>）建设地点：本项目位于新疆塔城地区托里县文化路以北，多拉特路以西。</w:t>
      </w:r>
      <w:r>
        <w:rPr>
          <w:rFonts w:hint="default" w:ascii="Times New Roman" w:hAnsi="Times New Roman" w:eastAsia="宋体" w:cs="Times New Roman"/>
          <w:color w:val="auto"/>
          <w:sz w:val="24"/>
          <w:szCs w:val="24"/>
          <w:lang w:val="en-US" w:eastAsia="zh-CN"/>
        </w:rPr>
        <w:t>项目区</w:t>
      </w:r>
      <w:r>
        <w:rPr>
          <w:rFonts w:hint="default" w:ascii="Times New Roman" w:hAnsi="Times New Roman" w:eastAsia="宋体" w:cs="Times New Roman"/>
          <w:color w:val="auto"/>
          <w:sz w:val="24"/>
          <w:szCs w:val="24"/>
          <w:lang w:val="zh-CN"/>
        </w:rPr>
        <w:t>东侧为多拉特路，西侧为空地，南侧为园林环卫处，北侧为居民平房。中心坐标为</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w:t>
      </w:r>
    </w:p>
    <w:p>
      <w:pPr>
        <w:keepNext w:val="0"/>
        <w:keepLines w:val="0"/>
        <w:pageBreakBefore w:val="0"/>
        <w:widowControl/>
        <w:suppressLineNumbers w:val="0"/>
        <w:wordWrap/>
        <w:overflowPunct/>
        <w:bidi w:val="0"/>
        <w:adjustRightInd w:val="0"/>
        <w:snapToGrid w:val="0"/>
        <w:ind w:firstLine="480" w:firstLineChars="200"/>
        <w:jc w:val="left"/>
        <w:rPr>
          <w:rFonts w:hint="default" w:ascii="Times New Roman" w:hAnsi="Times New Roman" w:eastAsia="宋体" w:cs="Times New Roman"/>
          <w:color w:val="auto"/>
          <w:sz w:val="24"/>
          <w:szCs w:val="24"/>
          <w:lang w:val="zh-CN" w:eastAsia="zh-CN"/>
        </w:rPr>
      </w:pPr>
      <w:r>
        <w:rPr>
          <w:rFonts w:hint="eastAsia" w:ascii="宋体" w:hAnsi="宋体" w:eastAsia="宋体" w:cs="宋体"/>
          <w:color w:val="auto"/>
          <w:highlight w:val="none"/>
          <w:lang w:val="en-US" w:eastAsia="zh-CN"/>
        </w:rPr>
        <w:t>改</w:t>
      </w:r>
      <w:r>
        <w:rPr>
          <w:rFonts w:hint="eastAsia" w:ascii="Times New Roman" w:hAnsi="Times New Roman" w:eastAsia="宋体" w:cs="Times New Roman"/>
          <w:color w:val="auto"/>
          <w:highlight w:val="none"/>
          <w:lang w:val="en-US" w:eastAsia="zh-CN"/>
        </w:rPr>
        <w:t>扩建热源</w:t>
      </w:r>
      <w:r>
        <w:rPr>
          <w:rFonts w:hint="eastAsia" w:cs="Times New Roman"/>
          <w:color w:val="auto"/>
          <w:highlight w:val="none"/>
          <w:lang w:val="en-US" w:eastAsia="zh-CN"/>
        </w:rPr>
        <w:t>工程位于原有</w:t>
      </w:r>
      <w:r>
        <w:rPr>
          <w:rFonts w:hint="eastAsia" w:ascii="Times New Roman" w:hAnsi="Times New Roman" w:eastAsia="宋体" w:cs="Times New Roman"/>
          <w:color w:val="auto"/>
          <w:highlight w:val="none"/>
          <w:lang w:val="en-US" w:eastAsia="zh-CN"/>
        </w:rPr>
        <w:t>热源</w:t>
      </w:r>
      <w:r>
        <w:rPr>
          <w:rFonts w:hint="eastAsia" w:cs="Times New Roman"/>
          <w:color w:val="auto"/>
          <w:highlight w:val="none"/>
          <w:lang w:val="en-US" w:eastAsia="zh-CN"/>
        </w:rPr>
        <w:t>工程内，</w:t>
      </w:r>
      <w:r>
        <w:rPr>
          <w:rFonts w:hint="default" w:ascii="Times New Roman" w:hAnsi="Times New Roman" w:eastAsia="宋体" w:cs="Times New Roman"/>
          <w:color w:val="auto"/>
          <w:kern w:val="0"/>
          <w:sz w:val="24"/>
          <w:szCs w:val="24"/>
          <w:lang w:val="en-US" w:eastAsia="zh-CN" w:bidi="ar"/>
        </w:rPr>
        <w:t>不新增占地，本次扩建1×116MW</w:t>
      </w:r>
      <w:r>
        <w:rPr>
          <w:rFonts w:hint="default" w:ascii="Times New Roman" w:hAnsi="Times New Roman" w:eastAsia="宋体" w:cs="Times New Roman"/>
          <w:color w:val="auto"/>
          <w:highlight w:val="none"/>
          <w:lang w:val="en-US" w:eastAsia="zh-CN"/>
        </w:rPr>
        <w:t>（160t）</w:t>
      </w:r>
      <w:r>
        <w:rPr>
          <w:rFonts w:hint="default" w:ascii="Times New Roman" w:hAnsi="Times New Roman" w:eastAsia="宋体" w:cs="Times New Roman"/>
          <w:color w:val="auto"/>
          <w:kern w:val="0"/>
          <w:sz w:val="24"/>
          <w:szCs w:val="24"/>
          <w:lang w:val="en-US" w:eastAsia="zh-CN" w:bidi="ar"/>
        </w:rPr>
        <w:t>锅炉在原锅炉房东侧贴建；</w:t>
      </w:r>
      <w:r>
        <w:rPr>
          <w:rFonts w:hint="default" w:ascii="Times New Roman" w:hAnsi="Times New Roman" w:eastAsia="宋体" w:cs="Times New Roman"/>
          <w:color w:val="auto"/>
          <w:sz w:val="24"/>
          <w:szCs w:val="24"/>
          <w:lang w:val="en-US" w:eastAsia="zh-CN"/>
        </w:rPr>
        <w:t>新</w:t>
      </w:r>
      <w:r>
        <w:rPr>
          <w:rFonts w:hint="default" w:ascii="Times New Roman" w:hAnsi="Times New Roman" w:eastAsia="宋体" w:cs="Times New Roman"/>
          <w:color w:val="auto"/>
          <w:highlight w:val="none"/>
          <w:lang w:val="en-US" w:eastAsia="zh-CN"/>
        </w:rPr>
        <w:t>建供热管网工程位于托里县县城建成区内。</w:t>
      </w:r>
    </w:p>
    <w:p>
      <w:pPr>
        <w:keepNext w:val="0"/>
        <w:keepLines w:val="0"/>
        <w:pageBreakBefore w:val="0"/>
        <w:widowControl/>
        <w:suppressLineNumbers w:val="0"/>
        <w:wordWrap/>
        <w:overflowPunct/>
        <w:bidi w:val="0"/>
        <w:adjustRightInd w:val="0"/>
        <w:snapToGrid w:val="0"/>
        <w:ind w:firstLine="480" w:firstLineChars="200"/>
        <w:jc w:val="left"/>
        <w:rPr>
          <w:rFonts w:hint="default" w:ascii="Times New Roman" w:hAnsi="Times New Roman" w:eastAsia="宋体" w:cs="Times New Roman"/>
          <w:color w:val="auto"/>
          <w:sz w:val="24"/>
          <w:szCs w:val="24"/>
          <w:lang w:val="zh-CN"/>
        </w:rPr>
      </w:pPr>
      <w:r>
        <w:rPr>
          <w:rFonts w:hint="default" w:ascii="Times New Roman" w:hAnsi="Times New Roman" w:eastAsia="宋体" w:cs="Times New Roman"/>
          <w:color w:val="auto"/>
          <w:sz w:val="24"/>
          <w:szCs w:val="24"/>
          <w:lang w:val="zh-CN"/>
        </w:rPr>
        <w:t>（</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val="zh-CN"/>
        </w:rPr>
        <w:t>）</w:t>
      </w:r>
      <w:r>
        <w:rPr>
          <w:rFonts w:hint="default" w:ascii="Times New Roman" w:hAnsi="Times New Roman" w:eastAsia="宋体" w:cs="Times New Roman"/>
          <w:color w:val="auto"/>
          <w:sz w:val="24"/>
          <w:szCs w:val="24"/>
          <w:lang w:val="en-US" w:eastAsia="zh-CN"/>
        </w:rPr>
        <w:t>项目总投资及环保投资：</w:t>
      </w:r>
      <w:r>
        <w:rPr>
          <w:rFonts w:hint="default" w:ascii="Times New Roman" w:hAnsi="Times New Roman" w:eastAsia="宋体" w:cs="Times New Roman"/>
          <w:color w:val="auto"/>
          <w:highlight w:val="none"/>
          <w:lang w:val="en-US" w:eastAsia="zh-CN"/>
        </w:rPr>
        <w:t>本项目总投资</w:t>
      </w:r>
      <w:r>
        <w:rPr>
          <w:rFonts w:hint="default" w:ascii="Times New Roman" w:hAnsi="Times New Roman" w:eastAsia="宋体" w:cs="Times New Roman"/>
          <w:color w:val="auto"/>
          <w:sz w:val="24"/>
          <w:szCs w:val="24"/>
          <w:lang w:val="en-US" w:eastAsia="zh-CN"/>
        </w:rPr>
        <w:t>15000.0</w:t>
      </w:r>
      <w:r>
        <w:rPr>
          <w:rFonts w:hint="default" w:ascii="Times New Roman" w:hAnsi="Times New Roman" w:eastAsia="宋体" w:cs="Times New Roman"/>
          <w:color w:val="auto"/>
          <w:highlight w:val="none"/>
          <w:lang w:val="en-US" w:eastAsia="zh-CN"/>
        </w:rPr>
        <w:t>万元，环保投资为</w:t>
      </w:r>
      <w:r>
        <w:rPr>
          <w:rFonts w:hint="eastAsia" w:ascii="Times New Roman" w:hAnsi="Times New Roman" w:eastAsia="宋体" w:cs="Times New Roman"/>
          <w:color w:val="auto"/>
          <w:highlight w:val="none"/>
          <w:lang w:val="en-US" w:eastAsia="zh-CN"/>
        </w:rPr>
        <w:t>815</w:t>
      </w:r>
      <w:r>
        <w:rPr>
          <w:rFonts w:hint="default" w:ascii="Times New Roman" w:hAnsi="Times New Roman" w:eastAsia="宋体" w:cs="Times New Roman"/>
          <w:color w:val="auto"/>
          <w:highlight w:val="none"/>
          <w:lang w:val="en-US" w:eastAsia="zh-CN"/>
        </w:rPr>
        <w:t>.0万元，工程环保投资占总投资的5.</w:t>
      </w:r>
      <w:r>
        <w:rPr>
          <w:rFonts w:hint="eastAsia" w:ascii="Times New Roman" w:hAnsi="Times New Roman" w:eastAsia="宋体" w:cs="Times New Roman"/>
          <w:color w:val="auto"/>
          <w:highlight w:val="none"/>
          <w:lang w:val="en-US" w:eastAsia="zh-CN"/>
        </w:rPr>
        <w:t>43</w:t>
      </w:r>
      <w:r>
        <w:rPr>
          <w:rFonts w:hint="default" w:ascii="Times New Roman" w:hAnsi="Times New Roman" w:eastAsia="宋体" w:cs="Times New Roman"/>
          <w:color w:val="auto"/>
          <w:highlight w:val="none"/>
          <w:lang w:val="en-US" w:eastAsia="zh-CN"/>
        </w:rPr>
        <w:t>%。</w:t>
      </w:r>
    </w:p>
    <w:p>
      <w:pPr>
        <w:keepNext w:val="0"/>
        <w:keepLines w:val="0"/>
        <w:pageBreakBefore w:val="0"/>
        <w:widowControl w:val="0"/>
        <w:kinsoku/>
        <w:wordWrap/>
        <w:overflowPunct/>
        <w:topLinePunct w:val="0"/>
        <w:bidi w:val="0"/>
        <w:adjustRightInd w:val="0"/>
        <w:snapToGrid w:val="0"/>
        <w:ind w:firstLine="480" w:firstLineChars="200"/>
        <w:textAlignment w:val="auto"/>
        <w:rPr>
          <w:rFonts w:hint="default" w:ascii="Times New Roman" w:hAnsi="Times New Roman" w:eastAsia="宋体" w:cs="Times New Roman"/>
          <w:color w:val="auto"/>
          <w:sz w:val="24"/>
          <w:szCs w:val="24"/>
          <w:lang w:val="zh-CN"/>
        </w:rPr>
      </w:pPr>
      <w:r>
        <w:rPr>
          <w:rFonts w:hint="default" w:ascii="Times New Roman" w:hAnsi="Times New Roman" w:eastAsia="宋体" w:cs="Times New Roman"/>
          <w:color w:val="auto"/>
          <w:sz w:val="24"/>
          <w:szCs w:val="24"/>
          <w:lang w:val="zh-CN"/>
        </w:rPr>
        <w:t>（</w:t>
      </w:r>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lang w:val="zh-CN"/>
        </w:rPr>
        <w:t>）建设规模：</w:t>
      </w:r>
      <w:r>
        <w:rPr>
          <w:rFonts w:hint="default" w:ascii="Times New Roman" w:hAnsi="Times New Roman" w:eastAsia="宋体" w:cs="Times New Roman"/>
          <w:color w:val="auto"/>
          <w:highlight w:val="none"/>
          <w:lang w:val="en-US" w:eastAsia="zh-CN"/>
        </w:rPr>
        <w:t>①改扩建热源工程：扩建1台1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116MW（160t）燃煤热水锅炉及其配套附属</w:t>
      </w:r>
      <w:r>
        <w:rPr>
          <w:rFonts w:hint="default" w:ascii="Times New Roman" w:hAnsi="Times New Roman" w:eastAsia="宋体" w:cs="Times New Roman"/>
          <w:color w:val="auto"/>
          <w:sz w:val="24"/>
          <w:szCs w:val="24"/>
          <w:lang w:val="en-US" w:eastAsia="zh-CN"/>
        </w:rPr>
        <w:t>设施，改造3台旧锅炉1×46MW+1×58MW+1×91MW的环保设备（脱硫及脱硝系统）；②新</w:t>
      </w:r>
      <w:r>
        <w:rPr>
          <w:rFonts w:hint="default" w:ascii="Times New Roman" w:hAnsi="Times New Roman" w:eastAsia="宋体" w:cs="Times New Roman"/>
          <w:color w:val="auto"/>
          <w:highlight w:val="none"/>
          <w:lang w:val="en-US" w:eastAsia="zh-CN"/>
        </w:rPr>
        <w:t>建供热管网工程：新建配套供热管网5851m×2，其中管径为DN150-DN800一级管网总长度为4251m×2，新建配套供热管径为DN250二级管网总长度为1600m×2；</w:t>
      </w:r>
    </w:p>
    <w:p>
      <w:pPr>
        <w:keepNext w:val="0"/>
        <w:keepLines w:val="0"/>
        <w:pageBreakBefore w:val="0"/>
        <w:widowControl w:val="0"/>
        <w:kinsoku/>
        <w:wordWrap/>
        <w:overflowPunct/>
        <w:topLinePunct w:val="0"/>
        <w:bidi w:val="0"/>
        <w:adjustRightInd w:val="0"/>
        <w:snapToGrid w:val="0"/>
        <w:ind w:firstLine="480" w:firstLineChars="200"/>
        <w:textAlignment w:val="auto"/>
        <w:rPr>
          <w:rFonts w:hint="default" w:ascii="Times New Roman" w:hAnsi="Times New Roman" w:eastAsia="宋体" w:cs="Times New Roman"/>
          <w:color w:val="auto"/>
          <w:sz w:val="24"/>
          <w:szCs w:val="24"/>
          <w:lang w:val="zh-CN"/>
        </w:rPr>
      </w:pPr>
      <w:r>
        <w:rPr>
          <w:rFonts w:hint="default" w:ascii="Times New Roman" w:hAnsi="Times New Roman" w:eastAsia="宋体" w:cs="Times New Roman"/>
          <w:color w:val="auto"/>
          <w:highlight w:val="none"/>
          <w:lang w:val="zh-CN" w:eastAsia="zh-CN"/>
        </w:rPr>
        <w:t>（</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val="zh-CN" w:eastAsia="zh-CN"/>
        </w:rPr>
        <w:t>）供热方案：</w:t>
      </w:r>
      <w:r>
        <w:rPr>
          <w:rFonts w:hint="default" w:ascii="Times New Roman" w:hAnsi="Times New Roman" w:eastAsia="宋体" w:cs="Times New Roman"/>
          <w:color w:val="auto"/>
          <w:highlight w:val="none"/>
          <w:lang w:val="en-US" w:eastAsia="zh-CN"/>
        </w:rPr>
        <w:t>本项目改</w:t>
      </w:r>
      <w:r>
        <w:rPr>
          <w:rFonts w:hint="default" w:ascii="Times New Roman" w:hAnsi="Times New Roman" w:eastAsia="宋体" w:cs="Times New Roman"/>
          <w:color w:val="auto"/>
          <w:highlight w:val="none"/>
          <w:lang w:val="zh-CN" w:eastAsia="zh-CN"/>
        </w:rPr>
        <w:t>扩建</w:t>
      </w:r>
      <w:r>
        <w:rPr>
          <w:rFonts w:hint="default" w:ascii="Times New Roman" w:hAnsi="Times New Roman" w:eastAsia="宋体" w:cs="Times New Roman"/>
          <w:color w:val="auto"/>
          <w:highlight w:val="none"/>
          <w:lang w:val="en-US" w:eastAsia="zh-CN"/>
        </w:rPr>
        <w:t>完成后供热面积达到269万m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，热负荷达到311MW；远期（2030-2035）托里县的供热面积为309万m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，热负荷达到166MW，</w:t>
      </w:r>
      <w:r>
        <w:rPr>
          <w:rFonts w:hint="default" w:ascii="Times New Roman" w:hAnsi="Times New Roman" w:eastAsia="宋体" w:cs="Times New Roman"/>
          <w:color w:val="auto"/>
          <w:sz w:val="24"/>
          <w:szCs w:val="24"/>
          <w:highlight w:val="none"/>
          <w:lang w:val="zh-CN"/>
        </w:rPr>
        <w:t>本项目</w:t>
      </w:r>
      <w:r>
        <w:rPr>
          <w:rFonts w:hint="default" w:ascii="Times New Roman" w:hAnsi="Times New Roman" w:eastAsia="宋体" w:cs="Times New Roman"/>
          <w:color w:val="auto"/>
          <w:sz w:val="24"/>
          <w:szCs w:val="24"/>
          <w:lang w:val="zh-CN"/>
        </w:rPr>
        <w:t>建成后热源厂供热能力能够满足</w:t>
      </w:r>
      <w:r>
        <w:rPr>
          <w:rFonts w:hint="default" w:ascii="Times New Roman" w:hAnsi="Times New Roman" w:eastAsia="宋体" w:cs="Times New Roman"/>
          <w:color w:val="auto"/>
          <w:highlight w:val="none"/>
          <w:lang w:val="en-US" w:eastAsia="zh-CN"/>
        </w:rPr>
        <w:t>托里县</w:t>
      </w:r>
      <w:r>
        <w:rPr>
          <w:rFonts w:hint="default" w:ascii="Times New Roman" w:hAnsi="Times New Roman" w:eastAsia="宋体" w:cs="Times New Roman"/>
          <w:color w:val="auto"/>
          <w:sz w:val="24"/>
          <w:szCs w:val="24"/>
          <w:lang w:val="zh-CN"/>
        </w:rPr>
        <w:t>远期供热需求。</w:t>
      </w:r>
    </w:p>
    <w:p>
      <w:pPr>
        <w:pStyle w:val="4"/>
        <w:keepNext w:val="0"/>
        <w:keepLines w:val="0"/>
        <w:pageBreakBefore w:val="0"/>
        <w:wordWrap/>
        <w:overflowPunct/>
        <w:bidi w:val="0"/>
        <w:adjustRightInd w:val="0"/>
        <w:snapToGrid w:val="0"/>
        <w:rPr>
          <w:rFonts w:hint="default" w:ascii="Times New Roman" w:hAnsi="Times New Roman" w:eastAsia="宋体" w:cs="Times New Roman"/>
          <w:color w:val="auto"/>
          <w:highlight w:val="none"/>
        </w:rPr>
      </w:pPr>
      <w:bookmarkStart w:id="107" w:name="_Toc20576"/>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rPr>
        <w:t>.</w:t>
      </w:r>
      <w:bookmarkEnd w:id="107"/>
      <w:r>
        <w:rPr>
          <w:rFonts w:hint="default" w:ascii="Times New Roman" w:hAnsi="Times New Roman" w:eastAsia="宋体" w:cs="Times New Roman"/>
          <w:color w:val="auto"/>
          <w:highlight w:val="none"/>
          <w:lang w:val="en-US" w:eastAsia="zh-CN"/>
        </w:rPr>
        <w:t>1.1</w:t>
      </w:r>
      <w:r>
        <w:rPr>
          <w:rFonts w:hint="default" w:ascii="Times New Roman" w:hAnsi="Times New Roman" w:eastAsia="宋体" w:cs="Times New Roman"/>
          <w:color w:val="auto"/>
          <w:highlight w:val="none"/>
        </w:rPr>
        <w:t>产业政策符合性</w:t>
      </w:r>
    </w:p>
    <w:p>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本工程为城市集中供热工程，属于国家《产业结构调整指导目录》（2024年本）</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鼓励类</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中的</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二十二、城市基础设施，11、城镇集中供热建设和改造工程</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，为国家鼓励类项目；2025年2月14日取得了《关于托里县2024年集中供热改扩建项目初步设计的批复》（托发改投资〔2025〕5号）。项目代码：</w:t>
      </w:r>
      <w:r>
        <w:rPr>
          <w:rFonts w:hint="eastAsia" w:cs="Times New Roman"/>
          <w:color w:val="auto"/>
          <w:sz w:val="24"/>
          <w:szCs w:val="24"/>
          <w:lang w:val="en-US" w:eastAsia="zh-CN"/>
        </w:rPr>
        <w:t>**</w:t>
      </w:r>
      <w:r>
        <w:rPr>
          <w:rFonts w:hint="default" w:ascii="Times New Roman" w:hAnsi="Times New Roman" w:eastAsia="宋体" w:cs="Times New Roman"/>
          <w:color w:val="auto"/>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本项目属于国家</w:t>
      </w:r>
      <w:r>
        <w:rPr>
          <w:rFonts w:hint="default" w:ascii="Times New Roman" w:hAnsi="Times New Roman" w:eastAsia="宋体" w:cs="Times New Roman"/>
          <w:color w:val="auto"/>
          <w:sz w:val="24"/>
          <w:szCs w:val="24"/>
          <w:highlight w:val="none"/>
          <w:lang w:val="en-US" w:eastAsia="zh-CN"/>
        </w:rPr>
        <w:t>允许</w:t>
      </w:r>
      <w:r>
        <w:rPr>
          <w:rFonts w:hint="default" w:ascii="Times New Roman" w:hAnsi="Times New Roman" w:eastAsia="宋体" w:cs="Times New Roman"/>
          <w:color w:val="auto"/>
          <w:sz w:val="24"/>
          <w:szCs w:val="24"/>
          <w:highlight w:val="none"/>
        </w:rPr>
        <w:t>类项目，符合国家产业政策。</w:t>
      </w:r>
    </w:p>
    <w:p>
      <w:pPr>
        <w:pStyle w:val="4"/>
        <w:keepNext w:val="0"/>
        <w:keepLines w:val="0"/>
        <w:pageBreakBefore w:val="0"/>
        <w:wordWrap/>
        <w:overflowPunct/>
        <w:bidi w:val="0"/>
        <w:adjustRightInd w:val="0"/>
        <w:snapToGrid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10.1.2规划</w:t>
      </w:r>
      <w:r>
        <w:rPr>
          <w:rFonts w:hint="default" w:ascii="Times New Roman" w:hAnsi="Times New Roman" w:eastAsia="宋体" w:cs="Times New Roman"/>
          <w:color w:val="auto"/>
          <w:highlight w:val="none"/>
        </w:rPr>
        <w:t>符合性</w:t>
      </w:r>
    </w:p>
    <w:p>
      <w:pPr>
        <w:pStyle w:val="51"/>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baseline"/>
        <w:outlineLvl w:val="9"/>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 w:val="0"/>
          <w:bCs/>
          <w:color w:val="auto"/>
          <w:kern w:val="2"/>
          <w:sz w:val="24"/>
          <w:szCs w:val="24"/>
          <w:highlight w:val="none"/>
          <w:lang w:val="en-US" w:eastAsia="zh-CN" w:bidi="ar-SA"/>
        </w:rPr>
        <w:t>本项目改扩建完成后供热面积达到269万m</w:t>
      </w:r>
      <w:r>
        <w:rPr>
          <w:rFonts w:hint="default" w:ascii="Times New Roman" w:hAnsi="Times New Roman" w:eastAsia="宋体" w:cs="Times New Roman"/>
          <w:b w:val="0"/>
          <w:bCs/>
          <w:color w:val="auto"/>
          <w:kern w:val="2"/>
          <w:sz w:val="24"/>
          <w:szCs w:val="24"/>
          <w:highlight w:val="none"/>
          <w:vertAlign w:val="superscript"/>
          <w:lang w:val="en-US" w:eastAsia="zh-CN" w:bidi="ar-SA"/>
        </w:rPr>
        <w:t>2</w:t>
      </w:r>
      <w:r>
        <w:rPr>
          <w:rFonts w:hint="default" w:ascii="Times New Roman" w:hAnsi="Times New Roman" w:eastAsia="宋体" w:cs="Times New Roman"/>
          <w:b w:val="0"/>
          <w:bCs/>
          <w:color w:val="auto"/>
          <w:kern w:val="2"/>
          <w:sz w:val="24"/>
          <w:szCs w:val="24"/>
          <w:highlight w:val="none"/>
          <w:lang w:val="en-US" w:eastAsia="zh-CN" w:bidi="ar-SA"/>
        </w:rPr>
        <w:t>，热负荷达到311MW，项目建成后热源厂供热能力能够满足托里县远期供热需求；本项目用地类型为公共设施用地。</w:t>
      </w:r>
    </w:p>
    <w:p>
      <w:pPr>
        <w:pStyle w:val="51"/>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baseline"/>
        <w:outlineLvl w:val="9"/>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 w:val="0"/>
          <w:bCs/>
          <w:color w:val="auto"/>
          <w:kern w:val="2"/>
          <w:sz w:val="24"/>
          <w:szCs w:val="24"/>
          <w:highlight w:val="none"/>
          <w:lang w:val="en-US" w:eastAsia="zh-CN" w:bidi="ar-SA"/>
        </w:rPr>
        <w:t>本项目的建设符合《托里县中心城区核心区控制性详细规划》中相关要求。</w:t>
      </w:r>
    </w:p>
    <w:p>
      <w:pPr>
        <w:pStyle w:val="4"/>
        <w:keepNext w:val="0"/>
        <w:keepLines w:val="0"/>
        <w:pageBreakBefore w:val="0"/>
        <w:wordWrap/>
        <w:overflowPunct/>
        <w:bidi w:val="0"/>
        <w:adjustRightInd w:val="0"/>
        <w:snapToGrid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1.3选</w:t>
      </w:r>
      <w:r>
        <w:rPr>
          <w:rFonts w:hint="default" w:ascii="Times New Roman" w:hAnsi="Times New Roman" w:eastAsia="宋体" w:cs="Times New Roman"/>
          <w:b/>
          <w:bCs/>
          <w:color w:val="auto"/>
          <w:spacing w:val="-3"/>
          <w:sz w:val="28"/>
          <w:szCs w:val="28"/>
        </w:rPr>
        <w:t>址合理性</w:t>
      </w:r>
    </w:p>
    <w:p>
      <w:pPr>
        <w:keepNext w:val="0"/>
        <w:keepLines w:val="0"/>
        <w:pageBreakBefore w:val="0"/>
        <w:kinsoku/>
        <w:wordWrap/>
        <w:overflowPunct/>
        <w:topLinePunct w:val="0"/>
        <w:bidi w:val="0"/>
        <w:adjustRightInd w:val="0"/>
        <w:snapToGrid w:val="0"/>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本项目改扩建热源工程</w:t>
      </w:r>
      <w:r>
        <w:rPr>
          <w:rFonts w:hint="default" w:ascii="Times New Roman" w:hAnsi="Times New Roman" w:eastAsia="宋体" w:cs="Times New Roman"/>
          <w:color w:val="auto"/>
          <w:highlight w:val="none"/>
          <w:lang w:val="zh-CN" w:eastAsia="zh-CN"/>
        </w:rPr>
        <w:t>不新增占地，周边交通便利，基础设施完善；</w:t>
      </w:r>
      <w:r>
        <w:rPr>
          <w:rFonts w:hint="default" w:ascii="Times New Roman" w:hAnsi="Times New Roman" w:eastAsia="宋体" w:cs="Times New Roman"/>
          <w:color w:val="auto"/>
          <w:highlight w:val="none"/>
          <w:lang w:val="en-US" w:eastAsia="zh-CN"/>
        </w:rPr>
        <w:t>本项目选址不涉及自然保护区、风景名胜区和文物古迹等敏感点，大气环境和声环境影响在可接受范围内，环境资源损失小；同时</w:t>
      </w:r>
      <w:r>
        <w:rPr>
          <w:rFonts w:hint="default" w:ascii="Times New Roman" w:hAnsi="Times New Roman" w:eastAsia="宋体" w:cs="Times New Roman"/>
          <w:color w:val="auto"/>
          <w:highlight w:val="none"/>
          <w:lang w:val="zh-CN" w:eastAsia="zh-CN"/>
        </w:rPr>
        <w:t>本项目</w:t>
      </w:r>
      <w:r>
        <w:rPr>
          <w:rFonts w:hint="default" w:ascii="Times New Roman" w:hAnsi="Times New Roman" w:eastAsia="宋体" w:cs="Times New Roman"/>
          <w:color w:val="auto"/>
          <w:highlight w:val="none"/>
          <w:lang w:val="en-US" w:eastAsia="zh-CN"/>
        </w:rPr>
        <w:t>施工期和</w:t>
      </w:r>
      <w:r>
        <w:rPr>
          <w:rFonts w:hint="default" w:ascii="Times New Roman" w:hAnsi="Times New Roman" w:eastAsia="宋体" w:cs="Times New Roman"/>
          <w:color w:val="auto"/>
          <w:highlight w:val="none"/>
          <w:lang w:val="zh-CN" w:eastAsia="zh-CN"/>
        </w:rPr>
        <w:t>运营期</w:t>
      </w:r>
      <w:r>
        <w:rPr>
          <w:rFonts w:hint="default" w:ascii="Times New Roman" w:hAnsi="Times New Roman" w:eastAsia="宋体" w:cs="Times New Roman"/>
          <w:color w:val="auto"/>
          <w:highlight w:val="none"/>
          <w:lang w:val="en-US" w:eastAsia="zh-CN"/>
        </w:rPr>
        <w:t>采取有效污染防治措施后，对周边环境影响较小，因此本项目选址合理。</w:t>
      </w:r>
    </w:p>
    <w:p>
      <w:pPr>
        <w:pStyle w:val="4"/>
        <w:keepNext w:val="0"/>
        <w:keepLines w:val="0"/>
        <w:pageBreakBefore w:val="0"/>
        <w:wordWrap/>
        <w:overflowPunct/>
        <w:bidi w:val="0"/>
        <w:adjustRightInd w:val="0"/>
        <w:snapToGrid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1.4生态环境分区管控</w:t>
      </w:r>
      <w:r>
        <w:rPr>
          <w:rFonts w:hint="default" w:ascii="Times New Roman" w:hAnsi="Times New Roman" w:eastAsia="宋体" w:cs="Times New Roman"/>
          <w:color w:val="auto"/>
          <w:highlight w:val="none"/>
        </w:rPr>
        <w:t>符合性</w:t>
      </w:r>
    </w:p>
    <w:p>
      <w:pPr>
        <w:keepNext w:val="0"/>
        <w:keepLines w:val="0"/>
        <w:pageBreakBefore w:val="0"/>
        <w:kinsoku/>
        <w:wordWrap/>
        <w:overflowPunct/>
        <w:topLinePunct w:val="0"/>
        <w:bidi w:val="0"/>
        <w:adjustRightInd w:val="0"/>
        <w:snapToGrid w:val="0"/>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本项目的建设符合《塔城地区</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三线一单</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生态环境分区管控方案》（塔行发〔2021〕48号）、《关于印发新疆维吾尔自治区生态环境分区管控动态更新成果的通知》（新环环评发〔2024〕157号）中的相关要求。</w:t>
      </w:r>
    </w:p>
    <w:p>
      <w:pPr>
        <w:pStyle w:val="4"/>
        <w:keepNext w:val="0"/>
        <w:keepLines w:val="0"/>
        <w:pageBreakBefore w:val="0"/>
        <w:wordWrap/>
        <w:overflowPunct/>
        <w:bidi w:val="0"/>
        <w:adjustRightInd w:val="0"/>
        <w:snapToGrid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10.1.5</w:t>
      </w:r>
      <w:r>
        <w:rPr>
          <w:rFonts w:hint="default" w:ascii="Times New Roman" w:hAnsi="Times New Roman" w:eastAsia="宋体" w:cs="Times New Roman"/>
          <w:color w:val="auto"/>
          <w:highlight w:val="none"/>
        </w:rPr>
        <w:t>环境质量现状</w:t>
      </w:r>
    </w:p>
    <w:p>
      <w:pPr>
        <w:pStyle w:val="13"/>
        <w:keepNext w:val="0"/>
        <w:keepLines w:val="0"/>
        <w:pageBreakBefore w:val="0"/>
        <w:widowControl w:val="0"/>
        <w:kinsoku/>
        <w:wordWrap/>
        <w:overflowPunct/>
        <w:topLinePunct w:val="0"/>
        <w:bidi w:val="0"/>
        <w:adjustRightInd w:val="0"/>
        <w:snapToGrid w:val="0"/>
        <w:spacing w:before="0" w:beforeLines="0" w:after="0" w:afterLines="0" w:line="360" w:lineRule="auto"/>
        <w:ind w:left="0"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（1）环境空气质量</w:t>
      </w:r>
      <w:r>
        <w:rPr>
          <w:rFonts w:hint="default" w:ascii="Times New Roman" w:hAnsi="Times New Roman" w:eastAsia="宋体" w:cs="Times New Roman"/>
          <w:color w:val="auto"/>
          <w:highlight w:val="none"/>
          <w:lang w:eastAsia="zh-CN"/>
        </w:rPr>
        <w:t>现状</w:t>
      </w:r>
    </w:p>
    <w:p>
      <w:pPr>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jc w:val="left"/>
        <w:textAlignment w:val="auto"/>
        <w:rPr>
          <w:rFonts w:hint="default" w:ascii="Times New Roman" w:hAnsi="Times New Roman" w:eastAsia="宋体" w:cs="Times New Roman"/>
          <w:color w:val="auto"/>
          <w:kern w:val="0"/>
          <w:sz w:val="24"/>
          <w:szCs w:val="24"/>
          <w:highlight w:val="none"/>
          <w:lang w:bidi="zh-CN"/>
        </w:rPr>
      </w:pPr>
      <w:r>
        <w:rPr>
          <w:rFonts w:hint="default" w:ascii="Times New Roman" w:hAnsi="Times New Roman" w:eastAsia="宋体" w:cs="Times New Roman"/>
          <w:color w:val="auto"/>
          <w:sz w:val="24"/>
          <w:highlight w:val="none"/>
          <w:lang w:val="en-US" w:eastAsia="zh-CN"/>
        </w:rPr>
        <w:t>根据塔城</w:t>
      </w:r>
      <w:r>
        <w:rPr>
          <w:rFonts w:hint="eastAsia" w:cs="Times New Roman"/>
          <w:color w:val="auto"/>
          <w:sz w:val="24"/>
          <w:highlight w:val="none"/>
          <w:lang w:val="en-US" w:eastAsia="zh-CN"/>
        </w:rPr>
        <w:t>地区</w:t>
      </w:r>
      <w:r>
        <w:rPr>
          <w:rFonts w:hint="default" w:ascii="Times New Roman" w:hAnsi="Times New Roman" w:eastAsia="宋体"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4</w:t>
      </w:r>
      <w:r>
        <w:rPr>
          <w:rFonts w:hint="default" w:ascii="Times New Roman" w:hAnsi="Times New Roman" w:eastAsia="宋体" w:cs="Times New Roman"/>
          <w:b w:val="0"/>
          <w:bCs w:val="0"/>
          <w:color w:val="auto"/>
          <w:sz w:val="24"/>
          <w:szCs w:val="24"/>
          <w:highlight w:val="none"/>
          <w:vertAlign w:val="baseline"/>
          <w:lang w:val="en-US" w:eastAsia="zh-CN"/>
        </w:rPr>
        <w:t>年环境质量统计数据，</w:t>
      </w:r>
      <w:r>
        <w:rPr>
          <w:rFonts w:hint="default" w:ascii="Times New Roman" w:hAnsi="Times New Roman" w:eastAsia="宋体" w:cs="Times New Roman"/>
          <w:color w:val="auto"/>
          <w:kern w:val="0"/>
          <w:sz w:val="24"/>
          <w:szCs w:val="24"/>
          <w:highlight w:val="none"/>
          <w:lang w:val="en-US" w:bidi="zh-CN"/>
        </w:rPr>
        <w:t>项目</w:t>
      </w:r>
      <w:r>
        <w:rPr>
          <w:rFonts w:hint="default" w:ascii="Times New Roman" w:hAnsi="Times New Roman" w:eastAsia="宋体" w:cs="Times New Roman"/>
          <w:color w:val="auto"/>
          <w:kern w:val="0"/>
          <w:sz w:val="24"/>
          <w:szCs w:val="24"/>
          <w:highlight w:val="none"/>
          <w:lang w:bidi="zh-CN"/>
        </w:rPr>
        <w:t>所在区域SO</w:t>
      </w:r>
      <w:r>
        <w:rPr>
          <w:rFonts w:hint="default" w:ascii="Times New Roman" w:hAnsi="Times New Roman" w:eastAsia="宋体" w:cs="Times New Roman"/>
          <w:color w:val="auto"/>
          <w:kern w:val="0"/>
          <w:sz w:val="24"/>
          <w:szCs w:val="24"/>
          <w:highlight w:val="none"/>
          <w:vertAlign w:val="subscript"/>
          <w:lang w:bidi="zh-CN"/>
        </w:rPr>
        <w:t>2</w:t>
      </w:r>
      <w:r>
        <w:rPr>
          <w:rFonts w:hint="default" w:ascii="Times New Roman" w:hAnsi="Times New Roman" w:eastAsia="宋体" w:cs="Times New Roman"/>
          <w:color w:val="auto"/>
          <w:kern w:val="0"/>
          <w:sz w:val="24"/>
          <w:szCs w:val="24"/>
          <w:highlight w:val="none"/>
          <w:lang w:bidi="zh-CN"/>
        </w:rPr>
        <w:t>、NO</w:t>
      </w:r>
      <w:r>
        <w:rPr>
          <w:rFonts w:hint="default" w:ascii="Times New Roman" w:hAnsi="Times New Roman" w:eastAsia="宋体" w:cs="Times New Roman"/>
          <w:color w:val="auto"/>
          <w:kern w:val="0"/>
          <w:sz w:val="24"/>
          <w:szCs w:val="24"/>
          <w:highlight w:val="none"/>
          <w:vertAlign w:val="subscript"/>
          <w:lang w:bidi="zh-CN"/>
        </w:rPr>
        <w:t>2</w:t>
      </w:r>
      <w:r>
        <w:rPr>
          <w:rFonts w:hint="default" w:ascii="Times New Roman" w:hAnsi="Times New Roman" w:eastAsia="宋体" w:cs="Times New Roman"/>
          <w:color w:val="auto"/>
          <w:kern w:val="0"/>
          <w:sz w:val="24"/>
          <w:szCs w:val="24"/>
          <w:highlight w:val="none"/>
          <w:lang w:bidi="zh-CN"/>
        </w:rPr>
        <w:t>、PM</w:t>
      </w:r>
      <w:r>
        <w:rPr>
          <w:rFonts w:hint="default" w:ascii="Times New Roman" w:hAnsi="Times New Roman" w:eastAsia="宋体" w:cs="Times New Roman"/>
          <w:color w:val="auto"/>
          <w:kern w:val="0"/>
          <w:sz w:val="24"/>
          <w:szCs w:val="24"/>
          <w:highlight w:val="none"/>
          <w:vertAlign w:val="subscript"/>
          <w:lang w:bidi="zh-CN"/>
        </w:rPr>
        <w:t>10</w:t>
      </w:r>
      <w:r>
        <w:rPr>
          <w:rFonts w:hint="default" w:ascii="Times New Roman" w:hAnsi="Times New Roman" w:eastAsia="宋体" w:cs="Times New Roman"/>
          <w:color w:val="auto"/>
          <w:kern w:val="0"/>
          <w:sz w:val="24"/>
          <w:szCs w:val="24"/>
          <w:highlight w:val="none"/>
          <w:lang w:bidi="zh-CN"/>
        </w:rPr>
        <w:t>、PM</w:t>
      </w:r>
      <w:r>
        <w:rPr>
          <w:rFonts w:hint="default" w:ascii="Times New Roman" w:hAnsi="Times New Roman" w:eastAsia="宋体" w:cs="Times New Roman"/>
          <w:color w:val="auto"/>
          <w:kern w:val="0"/>
          <w:sz w:val="24"/>
          <w:szCs w:val="24"/>
          <w:highlight w:val="none"/>
          <w:vertAlign w:val="subscript"/>
          <w:lang w:bidi="zh-CN"/>
        </w:rPr>
        <w:t>2.5</w:t>
      </w:r>
      <w:r>
        <w:rPr>
          <w:rFonts w:hint="default" w:ascii="Times New Roman" w:hAnsi="Times New Roman" w:eastAsia="宋体" w:cs="Times New Roman"/>
          <w:color w:val="auto"/>
          <w:kern w:val="0"/>
          <w:sz w:val="24"/>
          <w:szCs w:val="24"/>
          <w:highlight w:val="none"/>
          <w:lang w:val="en-US" w:eastAsia="zh-CN" w:bidi="zh-CN"/>
        </w:rPr>
        <w:t>24h平均</w:t>
      </w:r>
      <w:r>
        <w:rPr>
          <w:rFonts w:hint="default" w:ascii="Times New Roman" w:hAnsi="Times New Roman" w:eastAsia="宋体" w:cs="Times New Roman"/>
          <w:color w:val="auto"/>
          <w:kern w:val="0"/>
          <w:sz w:val="24"/>
          <w:szCs w:val="24"/>
          <w:highlight w:val="none"/>
          <w:lang w:val="en-US" w:bidi="zh-CN"/>
        </w:rPr>
        <w:t>及</w:t>
      </w:r>
      <w:r>
        <w:rPr>
          <w:rFonts w:hint="default" w:ascii="Times New Roman" w:hAnsi="Times New Roman" w:eastAsia="宋体" w:cs="Times New Roman"/>
          <w:color w:val="auto"/>
          <w:kern w:val="0"/>
          <w:sz w:val="24"/>
          <w:szCs w:val="24"/>
          <w:highlight w:val="none"/>
          <w:lang w:bidi="zh-CN"/>
        </w:rPr>
        <w:t>年平均浓度，CO、O</w:t>
      </w:r>
      <w:r>
        <w:rPr>
          <w:rFonts w:hint="default" w:ascii="Times New Roman" w:hAnsi="Times New Roman" w:eastAsia="宋体" w:cs="Times New Roman"/>
          <w:color w:val="auto"/>
          <w:kern w:val="0"/>
          <w:sz w:val="24"/>
          <w:szCs w:val="24"/>
          <w:highlight w:val="none"/>
          <w:vertAlign w:val="subscript"/>
          <w:lang w:bidi="zh-CN"/>
        </w:rPr>
        <w:t>3</w:t>
      </w:r>
      <w:r>
        <w:rPr>
          <w:rFonts w:hint="default" w:ascii="Times New Roman" w:hAnsi="Times New Roman" w:eastAsia="宋体" w:cs="Times New Roman"/>
          <w:color w:val="auto"/>
          <w:kern w:val="0"/>
          <w:sz w:val="24"/>
          <w:szCs w:val="24"/>
          <w:highlight w:val="none"/>
          <w:lang w:bidi="zh-CN"/>
        </w:rPr>
        <w:t>相应百分位数浓度均满足《环境空气质量标准》（GB3095-2012）的二级标准要求，本项目所在区域为达标区域。</w:t>
      </w:r>
    </w:p>
    <w:p>
      <w:pPr>
        <w:pStyle w:val="13"/>
        <w:keepNext w:val="0"/>
        <w:keepLines w:val="0"/>
        <w:pageBreakBefore w:val="0"/>
        <w:widowControl w:val="0"/>
        <w:kinsoku/>
        <w:wordWrap/>
        <w:overflowPunct/>
        <w:topLinePunct w:val="0"/>
        <w:bidi w:val="0"/>
        <w:adjustRightInd w:val="0"/>
        <w:snapToGrid w:val="0"/>
        <w:spacing w:before="0" w:beforeLines="0" w:after="0" w:afterLines="0" w:line="360" w:lineRule="auto"/>
        <w:ind w:left="0"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由现状补充监测结果可以看出：</w:t>
      </w:r>
      <w:r>
        <w:rPr>
          <w:rFonts w:hint="default" w:ascii="Times New Roman" w:hAnsi="Times New Roman" w:eastAsia="宋体" w:cs="Times New Roman"/>
          <w:color w:val="auto"/>
          <w:highlight w:val="none"/>
        </w:rPr>
        <w:t>各监测点</w:t>
      </w:r>
      <w:r>
        <w:rPr>
          <w:rFonts w:hint="default" w:ascii="Times New Roman" w:hAnsi="Times New Roman" w:eastAsia="宋体" w:cs="Times New Roman"/>
          <w:color w:val="auto"/>
          <w:highlight w:val="none"/>
          <w:lang w:val="en-US" w:eastAsia="zh-CN"/>
        </w:rPr>
        <w:t>TSP和汞满足《环境空气质量标准》（GB3095-2012）中的二级浓度限值，厂区周围现状氨浓度满足《环境影响评价技术导则大气环境》（HJ2.2-2018）附录D限值要求</w:t>
      </w:r>
      <w:r>
        <w:rPr>
          <w:rFonts w:hint="default" w:ascii="Times New Roman" w:hAnsi="Times New Roman" w:eastAsia="宋体" w:cs="Times New Roman"/>
          <w:color w:val="auto"/>
          <w:highlight w:val="none"/>
        </w:rPr>
        <w:t>。</w:t>
      </w:r>
    </w:p>
    <w:p>
      <w:pPr>
        <w:pStyle w:val="13"/>
        <w:keepNext w:val="0"/>
        <w:keepLines w:val="0"/>
        <w:pageBreakBefore w:val="0"/>
        <w:widowControl w:val="0"/>
        <w:kinsoku/>
        <w:wordWrap/>
        <w:overflowPunct/>
        <w:topLinePunct w:val="0"/>
        <w:bidi w:val="0"/>
        <w:adjustRightInd w:val="0"/>
        <w:snapToGrid w:val="0"/>
        <w:spacing w:before="0" w:beforeLines="0" w:after="0" w:afterLines="0" w:line="360" w:lineRule="auto"/>
        <w:ind w:left="0"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声环境质量现状</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6"/>
          <w:sz w:val="24"/>
          <w:szCs w:val="28"/>
        </w:rPr>
      </w:pPr>
      <w:r>
        <w:rPr>
          <w:rFonts w:hint="default" w:ascii="Times New Roman" w:hAnsi="Times New Roman" w:eastAsia="宋体" w:cs="Times New Roman"/>
          <w:color w:val="auto"/>
          <w:highlight w:val="none"/>
          <w:lang w:eastAsia="zh-CN"/>
        </w:rPr>
        <w:t>由监测结果表明，</w:t>
      </w:r>
      <w:r>
        <w:rPr>
          <w:rFonts w:hint="default" w:ascii="Times New Roman" w:hAnsi="Times New Roman" w:eastAsia="宋体" w:cs="Times New Roman"/>
          <w:color w:val="auto"/>
          <w:highlight w:val="none"/>
        </w:rPr>
        <w:t>厂界</w:t>
      </w:r>
      <w:r>
        <w:rPr>
          <w:rFonts w:hint="default" w:ascii="Times New Roman" w:hAnsi="Times New Roman" w:eastAsia="宋体" w:cs="Times New Roman"/>
          <w:color w:val="auto"/>
          <w:highlight w:val="none"/>
          <w:lang w:val="en-US" w:eastAsia="zh-CN"/>
        </w:rPr>
        <w:t>及敏感点</w:t>
      </w:r>
      <w:r>
        <w:rPr>
          <w:rFonts w:hint="default" w:ascii="Times New Roman" w:hAnsi="Times New Roman" w:eastAsia="宋体" w:cs="Times New Roman"/>
          <w:color w:val="auto"/>
          <w:spacing w:val="-6"/>
          <w:sz w:val="24"/>
          <w:szCs w:val="28"/>
        </w:rPr>
        <w:t>昼间噪声值为</w:t>
      </w:r>
      <w:r>
        <w:rPr>
          <w:rFonts w:hint="default" w:ascii="Times New Roman" w:hAnsi="Times New Roman" w:eastAsia="宋体" w:cs="Times New Roman"/>
          <w:color w:val="auto"/>
          <w:spacing w:val="-6"/>
          <w:sz w:val="24"/>
          <w:szCs w:val="28"/>
          <w:lang w:val="en-US" w:eastAsia="zh-CN"/>
        </w:rPr>
        <w:t>41</w:t>
      </w:r>
      <w:r>
        <w:rPr>
          <w:rFonts w:hint="default" w:ascii="Times New Roman" w:hAnsi="Times New Roman" w:eastAsia="宋体" w:cs="Times New Roman"/>
          <w:color w:val="auto"/>
          <w:spacing w:val="-6"/>
          <w:sz w:val="24"/>
          <w:szCs w:val="28"/>
        </w:rPr>
        <w:t>～</w:t>
      </w:r>
      <w:r>
        <w:rPr>
          <w:rFonts w:hint="default" w:ascii="Times New Roman" w:hAnsi="Times New Roman" w:eastAsia="宋体" w:cs="Times New Roman"/>
          <w:color w:val="auto"/>
          <w:spacing w:val="-6"/>
          <w:sz w:val="24"/>
          <w:szCs w:val="28"/>
          <w:lang w:val="en-US" w:eastAsia="zh-CN"/>
        </w:rPr>
        <w:t>55</w:t>
      </w:r>
      <w:r>
        <w:rPr>
          <w:rFonts w:hint="default" w:ascii="Times New Roman" w:hAnsi="Times New Roman" w:eastAsia="宋体" w:cs="Times New Roman"/>
          <w:color w:val="auto"/>
          <w:spacing w:val="-6"/>
          <w:sz w:val="24"/>
          <w:szCs w:val="28"/>
        </w:rPr>
        <w:t>dB（A），夜间噪声值为38～</w:t>
      </w:r>
      <w:r>
        <w:rPr>
          <w:rFonts w:hint="default" w:ascii="Times New Roman" w:hAnsi="Times New Roman" w:eastAsia="宋体" w:cs="Times New Roman"/>
          <w:color w:val="auto"/>
          <w:spacing w:val="-6"/>
          <w:sz w:val="24"/>
          <w:szCs w:val="28"/>
          <w:lang w:val="en-US" w:eastAsia="zh-CN"/>
        </w:rPr>
        <w:t>44</w:t>
      </w:r>
      <w:r>
        <w:rPr>
          <w:rFonts w:hint="default" w:ascii="Times New Roman" w:hAnsi="Times New Roman" w:eastAsia="宋体" w:cs="Times New Roman"/>
          <w:color w:val="auto"/>
          <w:spacing w:val="-6"/>
          <w:sz w:val="24"/>
          <w:szCs w:val="28"/>
        </w:rPr>
        <w:t>dB（A），均满足《声环境质量标准》（GB3096-2008）3类标准，声环境质量较好。</w:t>
      </w:r>
    </w:p>
    <w:p>
      <w:pPr>
        <w:pStyle w:val="13"/>
        <w:keepNext w:val="0"/>
        <w:keepLines w:val="0"/>
        <w:pageBreakBefore w:val="0"/>
        <w:widowControl w:val="0"/>
        <w:kinsoku/>
        <w:wordWrap/>
        <w:overflowPunct/>
        <w:topLinePunct w:val="0"/>
        <w:bidi w:val="0"/>
        <w:adjustRightInd w:val="0"/>
        <w:snapToGrid w:val="0"/>
        <w:spacing w:before="0" w:beforeLines="0" w:after="0" w:afterLines="0" w:line="360" w:lineRule="auto"/>
        <w:ind w:left="0"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）土壤环境质量现状</w:t>
      </w:r>
    </w:p>
    <w:p>
      <w:pPr>
        <w:pStyle w:val="13"/>
        <w:keepNext w:val="0"/>
        <w:keepLines w:val="0"/>
        <w:pageBreakBefore w:val="0"/>
        <w:widowControl w:val="0"/>
        <w:kinsoku/>
        <w:wordWrap/>
        <w:overflowPunct/>
        <w:topLinePunct w:val="0"/>
        <w:bidi w:val="0"/>
        <w:adjustRightInd w:val="0"/>
        <w:snapToGrid w:val="0"/>
        <w:spacing w:before="0" w:beforeLines="0" w:after="0" w:afterLines="0" w:line="360" w:lineRule="auto"/>
        <w:ind w:left="0"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由监测结果表明，占地范围内</w:t>
      </w:r>
      <w:r>
        <w:rPr>
          <w:rFonts w:hint="default" w:ascii="Times New Roman" w:hAnsi="Times New Roman" w:eastAsia="宋体" w:cs="Times New Roman"/>
          <w:color w:val="auto"/>
          <w:spacing w:val="-6"/>
          <w:sz w:val="24"/>
          <w:szCs w:val="28"/>
          <w:lang w:val="en-US" w:eastAsia="zh-CN"/>
        </w:rPr>
        <w:t>各监测点位所有监测因子均符合《土壤环境质量 建设用地土壤污染风险管控标准（试行）》（GB36600-2018）表1建设用地土壤污染风险筛选值第二类用地标准。</w:t>
      </w:r>
    </w:p>
    <w:p>
      <w:pPr>
        <w:pStyle w:val="3"/>
        <w:keepNext w:val="0"/>
        <w:keepLines w:val="0"/>
        <w:pageBreakBefore w:val="0"/>
        <w:widowControl w:val="0"/>
        <w:tabs>
          <w:tab w:val="left" w:pos="1302"/>
        </w:tabs>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highlight w:val="none"/>
        </w:rPr>
      </w:pPr>
      <w:bookmarkStart w:id="108" w:name="_Toc476045626"/>
      <w:bookmarkStart w:id="109" w:name="_Toc28700"/>
      <w:bookmarkStart w:id="110" w:name="_Toc489707202"/>
      <w:bookmarkStart w:id="111" w:name="_Toc481673865"/>
      <w:bookmarkStart w:id="112" w:name="_Toc18927"/>
      <w:r>
        <w:rPr>
          <w:rFonts w:hint="default" w:ascii="Times New Roman" w:hAnsi="Times New Roman" w:eastAsia="宋体" w:cs="Times New Roman"/>
          <w:color w:val="auto"/>
          <w:highlight w:val="none"/>
          <w:lang w:val="en-US" w:eastAsia="zh-CN"/>
        </w:rPr>
        <w:t>10.2</w:t>
      </w:r>
      <w:r>
        <w:rPr>
          <w:rFonts w:hint="default" w:ascii="Times New Roman" w:hAnsi="Times New Roman" w:eastAsia="宋体" w:cs="Times New Roman"/>
          <w:color w:val="auto"/>
          <w:highlight w:val="none"/>
        </w:rPr>
        <w:t>环境保护措施</w:t>
      </w:r>
      <w:bookmarkEnd w:id="108"/>
      <w:bookmarkEnd w:id="109"/>
      <w:bookmarkEnd w:id="110"/>
      <w:bookmarkEnd w:id="111"/>
      <w:r>
        <w:rPr>
          <w:rFonts w:hint="default" w:ascii="Times New Roman" w:hAnsi="Times New Roman" w:eastAsia="宋体" w:cs="Times New Roman"/>
          <w:color w:val="auto"/>
          <w:highlight w:val="none"/>
          <w:lang w:val="en-US" w:eastAsia="zh-CN"/>
        </w:rPr>
        <w:t>及</w:t>
      </w:r>
      <w:r>
        <w:rPr>
          <w:rFonts w:hint="default" w:ascii="Times New Roman" w:hAnsi="Times New Roman" w:eastAsia="宋体" w:cs="Times New Roman"/>
          <w:color w:val="auto"/>
          <w:highlight w:val="none"/>
        </w:rPr>
        <w:t>影响分析</w:t>
      </w:r>
      <w:bookmarkEnd w:id="112"/>
    </w:p>
    <w:p>
      <w:pPr>
        <w:pStyle w:val="4"/>
        <w:keepNext w:val="0"/>
        <w:keepLines w:val="0"/>
        <w:pageBreakBefore w:val="0"/>
        <w:wordWrap/>
        <w:overflowPunct/>
        <w:bidi w:val="0"/>
        <w:adjustRightInd w:val="0"/>
        <w:snapToGrid w:val="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10.2.1</w:t>
      </w:r>
      <w:r>
        <w:rPr>
          <w:rFonts w:hint="default" w:ascii="Times New Roman" w:hAnsi="Times New Roman" w:eastAsia="宋体" w:cs="Times New Roman"/>
          <w:color w:val="auto"/>
        </w:rPr>
        <w:t>废气</w:t>
      </w:r>
    </w:p>
    <w:p>
      <w:pPr>
        <w:pStyle w:val="13"/>
        <w:keepNext w:val="0"/>
        <w:keepLines w:val="0"/>
        <w:pageBreakBefore w:val="0"/>
        <w:widowControl w:val="0"/>
        <w:kinsoku/>
        <w:wordWrap/>
        <w:overflowPunct/>
        <w:topLinePunct w:val="0"/>
        <w:bidi w:val="0"/>
        <w:adjustRightInd w:val="0"/>
        <w:snapToGrid w:val="0"/>
        <w:spacing w:before="0" w:beforeLines="0" w:after="0" w:afterLines="0" w:line="360" w:lineRule="auto"/>
        <w:ind w:left="0" w:firstLine="48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有组织废气</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锅炉废气</w:t>
      </w:r>
      <w:r>
        <w:rPr>
          <w:rFonts w:hint="default" w:ascii="Times New Roman" w:hAnsi="Times New Roman" w:eastAsia="宋体" w:cs="Times New Roman"/>
          <w:color w:val="auto"/>
          <w:highlight w:val="none"/>
          <w:lang w:eastAsia="zh-CN"/>
        </w:rPr>
        <w:t>）</w:t>
      </w:r>
    </w:p>
    <w:p>
      <w:pPr>
        <w:pStyle w:val="13"/>
        <w:keepNext w:val="0"/>
        <w:keepLines w:val="0"/>
        <w:pageBreakBefore w:val="0"/>
        <w:widowControl w:val="0"/>
        <w:kinsoku/>
        <w:wordWrap/>
        <w:overflowPunct/>
        <w:topLinePunct w:val="0"/>
        <w:bidi w:val="0"/>
        <w:adjustRightInd w:val="0"/>
        <w:snapToGrid w:val="0"/>
        <w:spacing w:before="0" w:beforeLines="0" w:after="0" w:afterLines="0" w:line="360" w:lineRule="auto"/>
        <w:ind w:left="0"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本项目锅炉烟气采用</w:t>
      </w:r>
      <w:r>
        <w:rPr>
          <w:rFonts w:hint="eastAsia" w:cs="Times New Roman"/>
          <w:color w:val="auto"/>
          <w:highlight w:val="none"/>
          <w:lang w:eastAsia="zh-CN"/>
        </w:rPr>
        <w:t>“</w:t>
      </w:r>
      <w:r>
        <w:rPr>
          <w:rFonts w:hint="eastAsia" w:cs="Times New Roman"/>
          <w:color w:val="auto"/>
          <w:highlight w:val="none"/>
          <w:lang w:val="en-US" w:eastAsia="zh-CN"/>
        </w:rPr>
        <w:t>4</w:t>
      </w:r>
      <w:r>
        <w:rPr>
          <w:rFonts w:hint="eastAsia" w:cs="Times New Roman"/>
          <w:color w:val="auto"/>
          <w:sz w:val="24"/>
          <w:lang w:val="en-US" w:eastAsia="zh-CN"/>
        </w:rPr>
        <w:t>台布袋式除尘器+3套石灰-石膏法脱硫（四级喷淋）+</w:t>
      </w:r>
      <w:r>
        <w:rPr>
          <w:rFonts w:hint="eastAsia" w:ascii="Times New Roman" w:hAnsi="Times New Roman" w:cs="Times New Roman"/>
          <w:color w:val="auto"/>
          <w:sz w:val="24"/>
          <w:lang w:val="en-US" w:eastAsia="zh-CN"/>
        </w:rPr>
        <w:t>1套SNCR+NCR法脱销</w:t>
      </w:r>
      <w:r>
        <w:rPr>
          <w:rFonts w:hint="eastAsia" w:cs="Times New Roman"/>
          <w:color w:val="auto"/>
          <w:highlight w:val="none"/>
          <w:lang w:eastAsia="zh-CN"/>
        </w:rPr>
        <w:t>”</w:t>
      </w:r>
      <w:r>
        <w:rPr>
          <w:rFonts w:hint="eastAsia" w:ascii="Times New Roman" w:hAnsi="Times New Roman" w:cs="Times New Roman"/>
          <w:color w:val="auto"/>
          <w:sz w:val="24"/>
          <w:lang w:val="en-US" w:eastAsia="zh-CN"/>
        </w:rPr>
        <w:t>烟气治理技术</w:t>
      </w:r>
      <w:r>
        <w:rPr>
          <w:rFonts w:hint="default" w:ascii="Times New Roman" w:hAnsi="Times New Roman" w:eastAsia="宋体" w:cs="Times New Roman"/>
          <w:color w:val="auto"/>
          <w:highlight w:val="none"/>
        </w:rPr>
        <w:t>，废气经处理后由</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0m高排气筒高空排放。</w:t>
      </w:r>
    </w:p>
    <w:p>
      <w:pPr>
        <w:pStyle w:val="13"/>
        <w:keepNext w:val="0"/>
        <w:keepLines w:val="0"/>
        <w:pageBreakBefore w:val="0"/>
        <w:widowControl w:val="0"/>
        <w:kinsoku/>
        <w:wordWrap/>
        <w:overflowPunct/>
        <w:topLinePunct w:val="0"/>
        <w:bidi w:val="0"/>
        <w:adjustRightInd w:val="0"/>
        <w:snapToGrid w:val="0"/>
        <w:spacing w:before="0" w:beforeLines="0" w:after="0" w:afterLines="0" w:line="360" w:lineRule="auto"/>
        <w:ind w:left="0"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根据预测结果可知，正常工况下，</w:t>
      </w:r>
      <w:r>
        <w:rPr>
          <w:rFonts w:hint="default" w:ascii="Times New Roman" w:hAnsi="Times New Roman" w:eastAsia="宋体" w:cs="Times New Roman"/>
          <w:color w:val="auto"/>
        </w:rPr>
        <w:t>项目厂区周围环境敏感点和网格点处的各主要污染物浓度贡献值均能达到《环境影响评价技术导则－大气环境》</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HJ2.2-2018</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附录D其他污染物空气质量浓度参考限值和《环境空气质量标准》（GB3095-2012）二级标准要求，短时浓度贡献值的最大浓度占标率均≤100%；新增污染源正常排放下污染物NOx、PM</w:t>
      </w:r>
      <w:r>
        <w:rPr>
          <w:rFonts w:hint="default" w:ascii="Times New Roman" w:hAnsi="Times New Roman" w:eastAsia="宋体" w:cs="Times New Roman"/>
          <w:color w:val="auto"/>
          <w:vertAlign w:val="subscript"/>
        </w:rPr>
        <w:t>10</w:t>
      </w:r>
      <w:r>
        <w:rPr>
          <w:rFonts w:hint="default" w:ascii="Times New Roman" w:hAnsi="Times New Roman" w:eastAsia="宋体" w:cs="Times New Roman"/>
          <w:color w:val="auto"/>
        </w:rPr>
        <w:t>年均浓度贡献值的最大浓度占标率均≤30%。</w:t>
      </w:r>
    </w:p>
    <w:p>
      <w:pPr>
        <w:keepNext w:val="0"/>
        <w:keepLines w:val="0"/>
        <w:pageBreakBefore w:val="0"/>
        <w:wordWrap/>
        <w:overflowPunct/>
        <w:bidi w:val="0"/>
        <w:adjustRightInd w:val="0"/>
        <w:snapToGrid w:val="0"/>
        <w:ind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根据非正常工况情况下污染物排放预测，项目二氧化硫、PM</w:t>
      </w:r>
      <w:r>
        <w:rPr>
          <w:rFonts w:hint="default" w:ascii="Times New Roman" w:hAnsi="Times New Roman" w:eastAsia="宋体" w:cs="Times New Roman"/>
          <w:color w:val="auto"/>
          <w:vertAlign w:val="subscript"/>
        </w:rPr>
        <w:t>10</w:t>
      </w:r>
      <w:r>
        <w:rPr>
          <w:rFonts w:hint="default" w:ascii="Times New Roman" w:hAnsi="Times New Roman" w:eastAsia="宋体" w:cs="Times New Roman"/>
          <w:color w:val="auto"/>
        </w:rPr>
        <w:t>污染物出现超标，项目在运行过程中应加强管理，避免或减少非正常工况的产生。</w:t>
      </w:r>
    </w:p>
    <w:p>
      <w:pPr>
        <w:keepNext w:val="0"/>
        <w:keepLines w:val="0"/>
        <w:pageBreakBefore w:val="0"/>
        <w:wordWrap/>
        <w:overflowPunct/>
        <w:bidi w:val="0"/>
        <w:adjustRightInd w:val="0"/>
        <w:snapToGrid w:val="0"/>
        <w:ind w:firstLine="48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为了防范非正常工况对环境造成不良影响，建设单位应加强防范措施，高度重视大气污染治理设施的运行与维护工作。同时，设置废气超标排放自动报警系统与装置紧急停车系统，以减少非正常排放的概率和减轻非正常排放后果。</w:t>
      </w:r>
    </w:p>
    <w:p>
      <w:pPr>
        <w:keepNext w:val="0"/>
        <w:keepLines w:val="0"/>
        <w:pageBreakBefore w:val="0"/>
        <w:wordWrap/>
        <w:overflowPunct/>
        <w:bidi w:val="0"/>
        <w:adjustRightInd w:val="0"/>
        <w:snapToGrid w:val="0"/>
        <w:ind w:firstLine="48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一旦出现事故情况，应立即停产检修。待检修完毕并经过检查符合要求后，方可恢复生产。这样可以确保生产过程符合环保要求，并最大限度地减少对环境的影响。</w:t>
      </w:r>
    </w:p>
    <w:p>
      <w:pPr>
        <w:pStyle w:val="13"/>
        <w:keepNext w:val="0"/>
        <w:keepLines w:val="0"/>
        <w:pageBreakBefore w:val="0"/>
        <w:widowControl w:val="0"/>
        <w:kinsoku/>
        <w:wordWrap/>
        <w:overflowPunct/>
        <w:topLinePunct w:val="0"/>
        <w:bidi w:val="0"/>
        <w:adjustRightInd w:val="0"/>
        <w:snapToGrid w:val="0"/>
        <w:spacing w:before="0" w:beforeLines="0" w:after="0" w:afterLines="0" w:line="360" w:lineRule="auto"/>
        <w:ind w:left="0"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综上，本项目在保证环保措施稳定运行，通过严格管理确保污染物达标排放，可认为</w:t>
      </w:r>
      <w:r>
        <w:rPr>
          <w:rFonts w:hint="default" w:ascii="Times New Roman" w:hAnsi="Times New Roman" w:eastAsia="宋体" w:cs="Times New Roman"/>
          <w:color w:val="auto"/>
          <w:highlight w:val="none"/>
          <w:lang w:val="en-US" w:eastAsia="zh-CN"/>
        </w:rPr>
        <w:t>本项目有组织废气</w:t>
      </w:r>
      <w:r>
        <w:rPr>
          <w:rFonts w:hint="default" w:ascii="Times New Roman" w:hAnsi="Times New Roman" w:eastAsia="宋体" w:cs="Times New Roman"/>
          <w:color w:val="auto"/>
          <w:highlight w:val="none"/>
        </w:rPr>
        <w:t>环境影响可接受。</w:t>
      </w:r>
    </w:p>
    <w:p>
      <w:pPr>
        <w:pStyle w:val="13"/>
        <w:keepNext w:val="0"/>
        <w:keepLines w:val="0"/>
        <w:pageBreakBefore w:val="0"/>
        <w:widowControl w:val="0"/>
        <w:kinsoku/>
        <w:wordWrap/>
        <w:overflowPunct/>
        <w:topLinePunct w:val="0"/>
        <w:bidi w:val="0"/>
        <w:adjustRightInd w:val="0"/>
        <w:snapToGrid w:val="0"/>
        <w:spacing w:before="0" w:beforeLines="0" w:after="0" w:afterLines="0" w:line="360" w:lineRule="auto"/>
        <w:ind w:left="0" w:firstLine="48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（2）无</w:t>
      </w:r>
      <w:r>
        <w:rPr>
          <w:rFonts w:hint="default" w:ascii="Times New Roman" w:hAnsi="Times New Roman" w:eastAsia="宋体" w:cs="Times New Roman"/>
          <w:color w:val="auto"/>
          <w:highlight w:val="none"/>
        </w:rPr>
        <w:t>组织废气</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无组织粉尘</w:t>
      </w:r>
      <w:r>
        <w:rPr>
          <w:rFonts w:hint="default" w:ascii="Times New Roman" w:hAnsi="Times New Roman" w:eastAsia="宋体" w:cs="Times New Roman"/>
          <w:color w:val="auto"/>
          <w:highlight w:val="none"/>
          <w:lang w:eastAsia="zh-CN"/>
        </w:rPr>
        <w:t>）</w:t>
      </w:r>
    </w:p>
    <w:p>
      <w:pPr>
        <w:keepNext w:val="0"/>
        <w:keepLines w:val="0"/>
        <w:pageBreakBefore w:val="0"/>
        <w:numPr>
          <w:ilvl w:val="0"/>
          <w:numId w:val="0"/>
        </w:numPr>
        <w:wordWrap/>
        <w:overflowPunct/>
        <w:bidi w:val="0"/>
        <w:adjustRightInd w:val="0"/>
        <w:snapToGrid w:val="0"/>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堆场扬尘：本项目依托现有工程储煤场、灰库和渣仓。现有灰库、渣仓为全封闭，装卸灰、渣时进行洒水抑尘；现有储煤场设置有防风抑尘网，并采取洒水抑尘；输煤上煤为全封闭式廊道。车辆运输扬尘：场内运输道路定时洒水降尘。采取措施后，无组织粉尘对外环境影响较小。</w:t>
      </w:r>
    </w:p>
    <w:p>
      <w:pPr>
        <w:pStyle w:val="13"/>
        <w:keepNext w:val="0"/>
        <w:keepLines w:val="0"/>
        <w:pageBreakBefore w:val="0"/>
        <w:widowControl w:val="0"/>
        <w:kinsoku/>
        <w:wordWrap/>
        <w:overflowPunct/>
        <w:topLinePunct w:val="0"/>
        <w:bidi w:val="0"/>
        <w:adjustRightInd w:val="0"/>
        <w:snapToGrid w:val="0"/>
        <w:spacing w:before="0" w:beforeLines="0" w:after="0" w:afterLines="0" w:line="360" w:lineRule="auto"/>
        <w:ind w:lef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综上所述，本项目采取的废气防治措施是可行的。</w:t>
      </w:r>
    </w:p>
    <w:p>
      <w:pPr>
        <w:pStyle w:val="4"/>
        <w:keepNext w:val="0"/>
        <w:keepLines w:val="0"/>
        <w:pageBreakBefore w:val="0"/>
        <w:wordWrap/>
        <w:overflowPunct/>
        <w:bidi w:val="0"/>
        <w:adjustRightInd w:val="0"/>
        <w:snapToGrid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10.2.2废水</w:t>
      </w:r>
    </w:p>
    <w:p>
      <w:pPr>
        <w:pStyle w:val="13"/>
        <w:keepNext w:val="0"/>
        <w:keepLines w:val="0"/>
        <w:pageBreakBefore w:val="0"/>
        <w:widowControl w:val="0"/>
        <w:kinsoku/>
        <w:wordWrap/>
        <w:overflowPunct/>
        <w:topLinePunct w:val="0"/>
        <w:bidi w:val="0"/>
        <w:adjustRightInd w:val="0"/>
        <w:snapToGrid w:val="0"/>
        <w:spacing w:before="0" w:beforeLines="0" w:after="0" w:afterLines="0" w:line="360" w:lineRule="auto"/>
        <w:ind w:left="0" w:firstLine="480" w:firstLineChars="200"/>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eastAsia="zh-CN"/>
        </w:rPr>
        <w:t>本项目废水主要为锅炉排污水+软化处理废水，不新增生活污水。锅炉排污水+软化处理废水部分回用于脱硫系统用水、除渣系统用水和煤场、渣场喷洒降尘用水，剩余未利用完的废水排入市政排水管网，最终排入托里县污水处理厂，</w:t>
      </w:r>
    </w:p>
    <w:p>
      <w:pPr>
        <w:pStyle w:val="13"/>
        <w:keepNext w:val="0"/>
        <w:keepLines w:val="0"/>
        <w:pageBreakBefore w:val="0"/>
        <w:widowControl w:val="0"/>
        <w:kinsoku/>
        <w:wordWrap/>
        <w:overflowPunct/>
        <w:topLinePunct w:val="0"/>
        <w:bidi w:val="0"/>
        <w:adjustRightInd w:val="0"/>
        <w:snapToGrid w:val="0"/>
        <w:spacing w:before="0" w:beforeLines="0" w:after="0" w:afterLines="0" w:line="360" w:lineRule="auto"/>
        <w:ind w:left="0" w:firstLine="480" w:firstLineChars="200"/>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eastAsia="zh-CN"/>
        </w:rPr>
        <w:t>本项目运行过程中强化监控手段，定期检查，杜绝厂区内有事故性排放点源的存在，减少环境风险，同时严防污水的跑、冒、滴、漏，杜绝污水的外溢现象，防止污染地下水环境。</w:t>
      </w:r>
    </w:p>
    <w:p>
      <w:pPr>
        <w:pStyle w:val="13"/>
        <w:keepNext w:val="0"/>
        <w:keepLines w:val="0"/>
        <w:pageBreakBefore w:val="0"/>
        <w:widowControl w:val="0"/>
        <w:kinsoku/>
        <w:wordWrap/>
        <w:overflowPunct/>
        <w:topLinePunct w:val="0"/>
        <w:bidi w:val="0"/>
        <w:adjustRightInd w:val="0"/>
        <w:snapToGrid w:val="0"/>
        <w:spacing w:before="0" w:beforeLines="0" w:after="0" w:afterLines="0" w:line="360" w:lineRule="auto"/>
        <w:ind w:left="0" w:leftChars="0" w:firstLine="48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综上，项目废水处理措施可行</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spacing w:val="8"/>
          <w:sz w:val="23"/>
          <w:szCs w:val="23"/>
        </w:rPr>
        <w:t>正常工况下本项目对地下水环境影响较小。</w:t>
      </w:r>
    </w:p>
    <w:p>
      <w:pPr>
        <w:pStyle w:val="4"/>
        <w:keepNext w:val="0"/>
        <w:keepLines w:val="0"/>
        <w:pageBreakBefore w:val="0"/>
        <w:wordWrap/>
        <w:overflowPunct/>
        <w:bidi w:val="0"/>
        <w:adjustRightInd w:val="0"/>
        <w:snapToGrid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10.2.3噪声</w:t>
      </w:r>
    </w:p>
    <w:p>
      <w:pPr>
        <w:pStyle w:val="13"/>
        <w:keepNext w:val="0"/>
        <w:keepLines w:val="0"/>
        <w:pageBreakBefore w:val="0"/>
        <w:widowControl w:val="0"/>
        <w:kinsoku/>
        <w:wordWrap/>
        <w:overflowPunct/>
        <w:topLinePunct w:val="0"/>
        <w:bidi w:val="0"/>
        <w:adjustRightInd w:val="0"/>
        <w:snapToGrid w:val="0"/>
        <w:spacing w:before="0" w:beforeLines="0" w:after="0" w:afterLines="0" w:line="360" w:lineRule="auto"/>
        <w:ind w:left="0"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项目主要产噪设备有</w:t>
      </w:r>
      <w:r>
        <w:rPr>
          <w:rFonts w:hint="default" w:ascii="Times New Roman" w:hAnsi="Times New Roman" w:eastAsia="宋体" w:cs="Times New Roman"/>
          <w:color w:val="auto"/>
          <w:highlight w:val="none"/>
          <w:lang w:val="en-US" w:eastAsia="zh-CN"/>
        </w:rPr>
        <w:t>锅炉、</w:t>
      </w:r>
      <w:r>
        <w:rPr>
          <w:rFonts w:hint="default" w:ascii="Times New Roman" w:hAnsi="Times New Roman" w:eastAsia="宋体" w:cs="Times New Roman"/>
          <w:color w:val="auto"/>
          <w:highlight w:val="none"/>
        </w:rPr>
        <w:t>泵、风机等设备，项目采取选用低噪声设备、基础减振，室内布置、消声等措施控制噪声，采取以上措施后，再经距离衰减，</w:t>
      </w:r>
      <w:r>
        <w:rPr>
          <w:rFonts w:hint="default" w:ascii="Times New Roman" w:hAnsi="Times New Roman" w:eastAsia="宋体" w:cs="Times New Roman"/>
          <w:color w:val="auto"/>
          <w:highlight w:val="none"/>
          <w:lang w:val="en-US" w:eastAsia="zh-CN"/>
        </w:rPr>
        <w:t>改扩建热源工程</w:t>
      </w:r>
      <w:r>
        <w:rPr>
          <w:rFonts w:hint="default" w:ascii="Times New Roman" w:hAnsi="Times New Roman" w:eastAsia="宋体" w:cs="Times New Roman"/>
          <w:color w:val="auto"/>
          <w:highlight w:val="none"/>
        </w:rPr>
        <w:t>厂界</w:t>
      </w:r>
      <w:r>
        <w:rPr>
          <w:rFonts w:hint="default" w:ascii="Times New Roman" w:hAnsi="Times New Roman" w:eastAsia="宋体" w:cs="Times New Roman"/>
          <w:color w:val="auto"/>
          <w:highlight w:val="none"/>
          <w:lang w:val="en-US" w:eastAsia="zh-CN"/>
        </w:rPr>
        <w:t>及敏感点</w:t>
      </w:r>
      <w:r>
        <w:rPr>
          <w:rFonts w:hint="default" w:ascii="Times New Roman" w:hAnsi="Times New Roman" w:eastAsia="宋体" w:cs="Times New Roman"/>
          <w:color w:val="auto"/>
          <w:highlight w:val="none"/>
        </w:rPr>
        <w:t>噪声贡献值满足《工业企业厂界环境噪声排放标准》（GB12348-2008）</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类标准</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对声环境影响</w:t>
      </w:r>
      <w:r>
        <w:rPr>
          <w:rFonts w:hint="default" w:ascii="Times New Roman" w:hAnsi="Times New Roman" w:eastAsia="宋体" w:cs="Times New Roman"/>
          <w:color w:val="auto"/>
          <w:highlight w:val="none"/>
          <w:lang w:val="en-US" w:eastAsia="zh-CN"/>
        </w:rPr>
        <w:t>较小</w:t>
      </w:r>
      <w:r>
        <w:rPr>
          <w:rFonts w:hint="default" w:ascii="Times New Roman" w:hAnsi="Times New Roman" w:eastAsia="宋体" w:cs="Times New Roman"/>
          <w:color w:val="auto"/>
          <w:highlight w:val="none"/>
        </w:rPr>
        <w:t>。</w:t>
      </w:r>
    </w:p>
    <w:p>
      <w:pPr>
        <w:pStyle w:val="4"/>
        <w:keepNext w:val="0"/>
        <w:keepLines w:val="0"/>
        <w:pageBreakBefore w:val="0"/>
        <w:wordWrap/>
        <w:overflowPunct/>
        <w:bidi w:val="0"/>
        <w:adjustRightInd w:val="0"/>
        <w:snapToGrid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10.2.4固体废物</w:t>
      </w:r>
    </w:p>
    <w:p>
      <w:pPr>
        <w:pStyle w:val="13"/>
        <w:keepNext w:val="0"/>
        <w:keepLines w:val="0"/>
        <w:pageBreakBefore w:val="0"/>
        <w:widowControl w:val="0"/>
        <w:kinsoku/>
        <w:wordWrap/>
        <w:overflowPunct/>
        <w:topLinePunct w:val="0"/>
        <w:bidi w:val="0"/>
        <w:adjustRightInd w:val="0"/>
        <w:snapToGrid w:val="0"/>
        <w:spacing w:before="0" w:beforeLines="0" w:after="0" w:afterLines="0" w:line="360" w:lineRule="auto"/>
        <w:ind w:lef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①一般工业固废：脱硫石膏、除尘灰、炉渣全部综合利用（外售给托里县盛世工贸有限公司用于制砖，作为建筑材料使用）；废旧布袋、废离子交换树脂、废包装袋全部由厂家更换后回收处置；②危险废物：废催化剂更换后由有危废处置资质的单位上门回收处置。</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leftChars="0" w:right="0"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snapToGrid/>
          <w:color w:val="auto"/>
          <w:kern w:val="2"/>
          <w:sz w:val="24"/>
          <w:szCs w:val="20"/>
          <w:lang w:val="en-US" w:eastAsia="zh-CN"/>
        </w:rPr>
        <w:t>本项目固体废物全部进行综</w:t>
      </w:r>
      <w:r>
        <w:rPr>
          <w:rFonts w:hint="default" w:ascii="Times New Roman" w:hAnsi="Times New Roman" w:eastAsia="宋体" w:cs="Times New Roman"/>
          <w:snapToGrid/>
          <w:color w:val="auto"/>
          <w:kern w:val="2"/>
          <w:sz w:val="24"/>
          <w:szCs w:val="20"/>
          <w:highlight w:val="none"/>
          <w:lang w:val="en-US" w:eastAsia="zh-CN"/>
        </w:rPr>
        <w:t>合利用和安全处置，固体废物无外排</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snapToGrid/>
          <w:color w:val="auto"/>
          <w:kern w:val="2"/>
          <w:sz w:val="24"/>
          <w:szCs w:val="24"/>
          <w:lang w:val="en-US" w:eastAsia="zh-CN"/>
        </w:rPr>
        <w:t>综上所述，</w:t>
      </w:r>
      <w:r>
        <w:rPr>
          <w:rFonts w:hint="default" w:ascii="Times New Roman" w:hAnsi="Times New Roman" w:eastAsia="宋体" w:cs="Times New Roman"/>
          <w:b w:val="0"/>
          <w:bCs w:val="0"/>
          <w:color w:val="auto"/>
          <w:kern w:val="0"/>
          <w:sz w:val="24"/>
          <w:szCs w:val="24"/>
          <w:lang w:val="en-US" w:eastAsia="zh-CN" w:bidi="ar"/>
        </w:rPr>
        <w:t>本项目</w:t>
      </w:r>
      <w:r>
        <w:rPr>
          <w:rFonts w:hint="default" w:ascii="Times New Roman" w:hAnsi="Times New Roman" w:eastAsia="宋体" w:cs="Times New Roman"/>
          <w:b w:val="0"/>
          <w:bCs w:val="0"/>
          <w:snapToGrid/>
          <w:color w:val="auto"/>
          <w:kern w:val="2"/>
          <w:sz w:val="24"/>
          <w:szCs w:val="24"/>
          <w:lang w:val="en-US" w:eastAsia="zh-CN"/>
        </w:rPr>
        <w:t>运营期固体废物得到了合理处置，对周围环境影响较小。</w:t>
      </w:r>
    </w:p>
    <w:p>
      <w:pPr>
        <w:pStyle w:val="4"/>
        <w:keepNext w:val="0"/>
        <w:keepLines w:val="0"/>
        <w:pageBreakBefore w:val="0"/>
        <w:widowControl w:val="0"/>
        <w:kinsoku/>
        <w:wordWrap/>
        <w:overflowPunct/>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10.2.5大气防护距离</w:t>
      </w:r>
    </w:p>
    <w:p>
      <w:pPr>
        <w:keepNext w:val="0"/>
        <w:keepLines w:val="0"/>
        <w:pageBreakBefore w:val="0"/>
        <w:widowControl w:val="0"/>
        <w:kinsoku/>
        <w:wordWrap/>
        <w:overflowPunct/>
        <w:autoSpaceDE/>
        <w:autoSpaceDN/>
        <w:bidi w:val="0"/>
        <w:adjustRightInd w:val="0"/>
        <w:snapToGrid w:val="0"/>
        <w:ind w:firstLine="48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本项目</w:t>
      </w:r>
      <w:r>
        <w:rPr>
          <w:rFonts w:hint="default" w:ascii="Times New Roman" w:hAnsi="Times New Roman" w:eastAsia="宋体" w:cs="Times New Roman"/>
          <w:color w:val="auto"/>
          <w:lang w:val="en-US" w:eastAsia="zh-CN"/>
        </w:rPr>
        <w:t>大气</w:t>
      </w:r>
      <w:r>
        <w:rPr>
          <w:rFonts w:hint="default" w:ascii="Times New Roman" w:hAnsi="Times New Roman" w:eastAsia="宋体" w:cs="Times New Roman"/>
          <w:color w:val="auto"/>
        </w:rPr>
        <w:t>为一级评价，项目排放的各污染物在厂界外浓度无超标点，不需设置大气环境防护距离。</w:t>
      </w:r>
    </w:p>
    <w:p>
      <w:pPr>
        <w:pStyle w:val="3"/>
        <w:keepNext w:val="0"/>
        <w:keepLines w:val="0"/>
        <w:pageBreakBefore w:val="0"/>
        <w:widowControl w:val="0"/>
        <w:kinsoku/>
        <w:wordWrap/>
        <w:overflowPunct/>
        <w:autoSpaceDE/>
        <w:autoSpaceDN/>
        <w:bidi w:val="0"/>
        <w:adjustRightInd w:val="0"/>
        <w:snapToGrid w:val="0"/>
        <w:textAlignment w:val="auto"/>
        <w:rPr>
          <w:rFonts w:hint="default" w:ascii="Times New Roman" w:hAnsi="Times New Roman" w:eastAsia="宋体" w:cs="Times New Roman"/>
          <w:color w:val="auto"/>
        </w:rPr>
      </w:pPr>
      <w:bookmarkStart w:id="113" w:name="_Toc15100"/>
      <w:r>
        <w:rPr>
          <w:rFonts w:hint="default" w:ascii="Times New Roman" w:hAnsi="Times New Roman" w:eastAsia="宋体" w:cs="Times New Roman"/>
          <w:color w:val="auto"/>
          <w:lang w:val="en-US" w:eastAsia="zh-CN"/>
        </w:rPr>
        <w:t>10.3</w:t>
      </w:r>
      <w:r>
        <w:rPr>
          <w:rFonts w:hint="default" w:ascii="Times New Roman" w:hAnsi="Times New Roman" w:eastAsia="宋体" w:cs="Times New Roman"/>
          <w:color w:val="auto"/>
        </w:rPr>
        <w:t>总量控制</w:t>
      </w:r>
      <w:bookmarkEnd w:id="113"/>
    </w:p>
    <w:p>
      <w:pPr>
        <w:keepNext w:val="0"/>
        <w:keepLines w:val="0"/>
        <w:pageBreakBefore w:val="0"/>
        <w:widowControl w:val="0"/>
        <w:kinsoku/>
        <w:wordWrap/>
        <w:overflowPunct/>
        <w:topLinePunct w:val="0"/>
        <w:autoSpaceDE/>
        <w:autoSpaceDN/>
        <w:bidi w:val="0"/>
        <w:adjustRightInd w:val="0"/>
        <w:snapToGrid w:val="0"/>
        <w:textAlignment w:val="auto"/>
        <w:rPr>
          <w:color w:val="auto"/>
          <w:highlight w:val="none"/>
        </w:rPr>
      </w:pPr>
      <w:r>
        <w:rPr>
          <w:color w:val="auto"/>
          <w:highlight w:val="none"/>
        </w:rPr>
        <w:t>本项目</w:t>
      </w:r>
      <w:r>
        <w:rPr>
          <w:rFonts w:hint="eastAsia"/>
          <w:color w:val="auto"/>
          <w:highlight w:val="none"/>
          <w:lang w:val="en-US" w:eastAsia="zh-CN"/>
        </w:rPr>
        <w:t>改建后SO</w:t>
      </w:r>
      <w:r>
        <w:rPr>
          <w:rFonts w:hint="eastAsia"/>
          <w:color w:val="auto"/>
          <w:highlight w:val="none"/>
          <w:vertAlign w:val="subscript"/>
          <w:lang w:val="en-US" w:eastAsia="zh-CN"/>
        </w:rPr>
        <w:t>2</w:t>
      </w:r>
      <w:r>
        <w:rPr>
          <w:rFonts w:hint="eastAsia"/>
          <w:color w:val="auto"/>
          <w:highlight w:val="none"/>
          <w:lang w:val="en-US" w:eastAsia="zh-CN"/>
        </w:rPr>
        <w:t>、NOx的排放量为42.1732</w:t>
      </w:r>
      <w:r>
        <w:rPr>
          <w:rFonts w:hint="eastAsia" w:ascii="Times New Roman" w:hAnsi="Times New Roman" w:eastAsia="宋体" w:cs="Times New Roman"/>
          <w:color w:val="auto"/>
          <w:highlight w:val="none"/>
          <w:lang w:val="en-US" w:eastAsia="zh-CN"/>
        </w:rPr>
        <w:t>t/a、60.9697</w:t>
      </w:r>
      <w:r>
        <w:rPr>
          <w:rFonts w:hint="eastAsia"/>
          <w:color w:val="auto"/>
          <w:highlight w:val="none"/>
          <w:lang w:val="en-US" w:eastAsia="zh-CN"/>
        </w:rPr>
        <w:t>t/a，SO</w:t>
      </w:r>
      <w:r>
        <w:rPr>
          <w:rFonts w:hint="eastAsia"/>
          <w:color w:val="auto"/>
          <w:highlight w:val="none"/>
          <w:vertAlign w:val="subscript"/>
          <w:lang w:val="en-US" w:eastAsia="zh-CN"/>
        </w:rPr>
        <w:t>2</w:t>
      </w:r>
      <w:r>
        <w:rPr>
          <w:rFonts w:hint="eastAsia"/>
          <w:color w:val="auto"/>
          <w:highlight w:val="none"/>
          <w:lang w:val="en-US" w:eastAsia="zh-CN"/>
        </w:rPr>
        <w:t>与改建之前相比增</w:t>
      </w:r>
      <w:r>
        <w:rPr>
          <w:rFonts w:hint="eastAsia" w:ascii="Times New Roman" w:hAnsi="Times New Roman" w:eastAsia="宋体" w:cs="Times New Roman"/>
          <w:color w:val="auto"/>
          <w:highlight w:val="none"/>
          <w:lang w:val="en-US" w:eastAsia="zh-CN"/>
        </w:rPr>
        <w:t>加了21.61t/a</w:t>
      </w:r>
      <w:r>
        <w:rPr>
          <w:rFonts w:hint="eastAsia"/>
          <w:color w:val="auto"/>
          <w:highlight w:val="none"/>
          <w:lang w:val="en-US" w:eastAsia="zh-CN"/>
        </w:rPr>
        <w:t>，NOx与改建之前相比增加了31.24t/a，但本项目SO</w:t>
      </w:r>
      <w:r>
        <w:rPr>
          <w:rFonts w:hint="eastAsia"/>
          <w:color w:val="auto"/>
          <w:highlight w:val="none"/>
          <w:vertAlign w:val="subscript"/>
          <w:lang w:val="en-US" w:eastAsia="zh-CN"/>
        </w:rPr>
        <w:t>2</w:t>
      </w:r>
      <w:r>
        <w:rPr>
          <w:rFonts w:hint="eastAsia"/>
          <w:color w:val="auto"/>
          <w:highlight w:val="none"/>
          <w:lang w:val="en-US" w:eastAsia="zh-CN"/>
        </w:rPr>
        <w:t>批准的总量为</w:t>
      </w:r>
      <w:r>
        <w:rPr>
          <w:rFonts w:hint="eastAsia" w:cs="Times New Roman"/>
          <w:color w:val="auto"/>
          <w:sz w:val="24"/>
          <w:szCs w:val="24"/>
          <w:lang w:val="en-US" w:eastAsia="zh-CN"/>
        </w:rPr>
        <w:t>**</w:t>
      </w:r>
      <w:r>
        <w:rPr>
          <w:rFonts w:hint="eastAsia"/>
          <w:color w:val="auto"/>
          <w:highlight w:val="none"/>
          <w:lang w:val="en-US" w:eastAsia="zh-CN"/>
        </w:rPr>
        <w:t>t/a，NOx批准的总量为</w:t>
      </w:r>
      <w:r>
        <w:rPr>
          <w:rFonts w:hint="eastAsia" w:cs="Times New Roman"/>
          <w:color w:val="auto"/>
          <w:sz w:val="24"/>
          <w:szCs w:val="24"/>
          <w:lang w:val="en-US" w:eastAsia="zh-CN"/>
        </w:rPr>
        <w:t>**</w:t>
      </w:r>
      <w:r>
        <w:rPr>
          <w:rFonts w:hint="eastAsia"/>
          <w:color w:val="auto"/>
          <w:highlight w:val="none"/>
          <w:lang w:val="en-US" w:eastAsia="zh-CN"/>
        </w:rPr>
        <w:t>t/a，大于本项目建成后的排放量，因此本项目无需申请总量</w:t>
      </w:r>
      <w:r>
        <w:rPr>
          <w:color w:val="auto"/>
          <w:highlight w:val="none"/>
        </w:rPr>
        <w:t>。</w:t>
      </w:r>
    </w:p>
    <w:p>
      <w:pPr>
        <w:pStyle w:val="3"/>
        <w:keepNext w:val="0"/>
        <w:keepLines w:val="0"/>
        <w:pageBreakBefore w:val="0"/>
        <w:widowControl w:val="0"/>
        <w:kinsoku/>
        <w:wordWrap/>
        <w:overflowPunct/>
        <w:autoSpaceDE/>
        <w:autoSpaceDN/>
        <w:bidi w:val="0"/>
        <w:adjustRightInd w:val="0"/>
        <w:snapToGrid w:val="0"/>
        <w:textAlignment w:val="auto"/>
        <w:rPr>
          <w:rFonts w:hint="default" w:ascii="Times New Roman" w:hAnsi="Times New Roman" w:eastAsia="宋体" w:cs="Times New Roman"/>
          <w:color w:val="auto"/>
        </w:rPr>
      </w:pPr>
      <w:bookmarkStart w:id="114" w:name="_Toc16613"/>
      <w:r>
        <w:rPr>
          <w:rFonts w:hint="default" w:ascii="Times New Roman" w:hAnsi="Times New Roman" w:eastAsia="宋体" w:cs="Times New Roman"/>
          <w:color w:val="auto"/>
          <w:lang w:val="en-US" w:eastAsia="zh-CN"/>
        </w:rPr>
        <w:t>10.4</w:t>
      </w:r>
      <w:r>
        <w:rPr>
          <w:rFonts w:hint="default" w:ascii="Times New Roman" w:hAnsi="Times New Roman" w:eastAsia="宋体" w:cs="Times New Roman"/>
          <w:color w:val="auto"/>
        </w:rPr>
        <w:t>清洁生产水平</w:t>
      </w:r>
      <w:bookmarkEnd w:id="114"/>
    </w:p>
    <w:p>
      <w:pPr>
        <w:keepNext w:val="0"/>
        <w:keepLines w:val="0"/>
        <w:pageBreakBefore w:val="0"/>
        <w:widowControl w:val="0"/>
        <w:kinsoku/>
        <w:wordWrap/>
        <w:overflowPunct/>
        <w:autoSpaceDE/>
        <w:autoSpaceDN/>
        <w:bidi w:val="0"/>
        <w:adjustRightInd w:val="0"/>
        <w:snapToGrid w:val="0"/>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建设方在设计、生产中始终非常重视节水、节能、环境保护、资源综合利用等环节。在设计中采用了成熟、可靠的生产工艺技术，项目生产从源头上控制了污染，水的综合利用率较高，对各污染源均采取了先进有效的治理措施。在整个过程中，完全符合清洁生产的要求，其综合清洁生产水平在国内同类型企业处于平均水平。清洁生产是一个动态的、不断提高和改进的过程，评价要求该工程投产后，按规定进行清洁生产审核，不断提高其清洁生产能力。</w:t>
      </w:r>
    </w:p>
    <w:p>
      <w:pPr>
        <w:pStyle w:val="3"/>
        <w:keepNext w:val="0"/>
        <w:keepLines w:val="0"/>
        <w:pageBreakBefore w:val="0"/>
        <w:widowControl w:val="0"/>
        <w:tabs>
          <w:tab w:val="left" w:pos="1302"/>
        </w:tabs>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highlight w:val="none"/>
        </w:rPr>
      </w:pPr>
      <w:bookmarkStart w:id="115" w:name="_Toc22893"/>
      <w:bookmarkStart w:id="116" w:name="_Toc20606"/>
      <w:r>
        <w:rPr>
          <w:rFonts w:hint="default" w:ascii="Times New Roman" w:hAnsi="Times New Roman" w:eastAsia="宋体" w:cs="Times New Roman"/>
          <w:color w:val="auto"/>
          <w:highlight w:val="none"/>
          <w:lang w:val="en-US" w:eastAsia="zh-CN"/>
        </w:rPr>
        <w:t>10.5</w:t>
      </w:r>
      <w:r>
        <w:rPr>
          <w:rFonts w:hint="default" w:ascii="Times New Roman" w:hAnsi="Times New Roman" w:eastAsia="宋体" w:cs="Times New Roman"/>
          <w:color w:val="auto"/>
          <w:highlight w:val="none"/>
        </w:rPr>
        <w:t>环境管理与监测计划</w:t>
      </w:r>
      <w:bookmarkEnd w:id="115"/>
      <w:bookmarkEnd w:id="116"/>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通过建立环境管理体系，规范企业管理、落实环境管理职责，确保各项环保设施的正常运转；通过定期对环保设施及废气、废水、噪声等污染源情况进行监测，做到达标排放，同时对废气、废水、噪声防治设施进行监督检查，保证正常运行。</w:t>
      </w:r>
    </w:p>
    <w:p>
      <w:pPr>
        <w:pStyle w:val="3"/>
        <w:keepNext w:val="0"/>
        <w:keepLines w:val="0"/>
        <w:pageBreakBefore w:val="0"/>
        <w:widowControl w:val="0"/>
        <w:tabs>
          <w:tab w:val="left" w:pos="1302"/>
        </w:tabs>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highlight w:val="none"/>
          <w:lang w:val="en-US" w:eastAsia="zh-CN"/>
        </w:rPr>
      </w:pPr>
      <w:bookmarkStart w:id="117" w:name="_Toc476045627"/>
      <w:bookmarkStart w:id="118" w:name="_Toc20725"/>
      <w:bookmarkStart w:id="119" w:name="_Toc12474"/>
      <w:bookmarkStart w:id="120" w:name="_Toc481673866"/>
      <w:bookmarkStart w:id="121" w:name="_Toc489707203"/>
      <w:r>
        <w:rPr>
          <w:rFonts w:hint="default" w:ascii="Times New Roman" w:hAnsi="Times New Roman" w:eastAsia="宋体" w:cs="Times New Roman"/>
          <w:color w:val="auto"/>
          <w:highlight w:val="none"/>
          <w:lang w:val="en-US" w:eastAsia="zh-CN"/>
        </w:rPr>
        <w:t>10.6环境影响经济损益分析</w:t>
      </w:r>
      <w:bookmarkEnd w:id="117"/>
      <w:bookmarkEnd w:id="118"/>
      <w:bookmarkEnd w:id="119"/>
      <w:bookmarkEnd w:id="120"/>
      <w:bookmarkEnd w:id="121"/>
    </w:p>
    <w:p>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建设项目如认真落实本环评提出的各项环境保护措施，保证项目的环境可行性，将具有较为良好的社会效益、经济效益。此外，应当注意在生产过程中加强设备的管理、职工培训、严格操作规程，保证生产设备和环保设施的正常运行，确保环境保护要求的防治措施得到实施。</w:t>
      </w:r>
      <w:r>
        <w:rPr>
          <w:rFonts w:hint="default" w:ascii="Times New Roman" w:hAnsi="Times New Roman" w:eastAsia="宋体" w:cs="Times New Roman"/>
          <w:color w:val="auto"/>
          <w:highlight w:val="none"/>
        </w:rPr>
        <w:t>从环境经济效益角度分析，工程建设是可行的。</w:t>
      </w:r>
    </w:p>
    <w:p>
      <w:pPr>
        <w:pStyle w:val="3"/>
        <w:keepNext w:val="0"/>
        <w:keepLines w:val="0"/>
        <w:pageBreakBefore w:val="0"/>
        <w:widowControl w:val="0"/>
        <w:kinsoku/>
        <w:wordWrap/>
        <w:overflowPunct/>
        <w:autoSpaceDE/>
        <w:autoSpaceDN/>
        <w:bidi w:val="0"/>
        <w:adjustRightInd w:val="0"/>
        <w:snapToGrid w:val="0"/>
        <w:textAlignment w:val="auto"/>
        <w:rPr>
          <w:rFonts w:hint="default"/>
          <w:color w:val="auto"/>
        </w:rPr>
      </w:pPr>
      <w:bookmarkStart w:id="122" w:name="_Toc10521"/>
      <w:r>
        <w:rPr>
          <w:rFonts w:hint="default"/>
          <w:color w:val="auto"/>
          <w:lang w:val="en-US" w:eastAsia="zh-CN"/>
        </w:rPr>
        <w:t>10.7</w:t>
      </w:r>
      <w:r>
        <w:rPr>
          <w:rFonts w:hint="default"/>
          <w:color w:val="auto"/>
        </w:rPr>
        <w:t>公众参与</w:t>
      </w:r>
      <w:bookmarkEnd w:id="122"/>
    </w:p>
    <w:p>
      <w:pPr>
        <w:pStyle w:val="13"/>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left="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环评信息公示期间未收到任何反馈意见。建设单位应认真落实环保</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三同时</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制度，确保本次环境影响评价提出的环境保护措施得到贯彻落实，使项目能够顺利实施。</w:t>
      </w:r>
    </w:p>
    <w:p>
      <w:pPr>
        <w:pStyle w:val="3"/>
        <w:keepNext w:val="0"/>
        <w:keepLines w:val="0"/>
        <w:pageBreakBefore w:val="0"/>
        <w:widowControl w:val="0"/>
        <w:kinsoku/>
        <w:wordWrap/>
        <w:overflowPunct/>
        <w:autoSpaceDE/>
        <w:autoSpaceDN/>
        <w:bidi w:val="0"/>
        <w:adjustRightInd w:val="0"/>
        <w:snapToGrid w:val="0"/>
        <w:textAlignment w:val="auto"/>
        <w:rPr>
          <w:rFonts w:hint="default"/>
          <w:color w:val="auto"/>
        </w:rPr>
      </w:pPr>
      <w:bookmarkStart w:id="123" w:name="_Toc25179"/>
      <w:r>
        <w:rPr>
          <w:rFonts w:hint="default"/>
          <w:color w:val="auto"/>
          <w:lang w:val="en-US" w:eastAsia="zh-CN"/>
        </w:rPr>
        <w:t>10.8</w:t>
      </w:r>
      <w:r>
        <w:rPr>
          <w:rFonts w:hint="default"/>
          <w:color w:val="auto"/>
        </w:rPr>
        <w:t>环境风险评价结论</w:t>
      </w:r>
      <w:bookmarkEnd w:id="123"/>
    </w:p>
    <w:p>
      <w:pPr>
        <w:keepNext w:val="0"/>
        <w:keepLines w:val="0"/>
        <w:pageBreakBefore w:val="0"/>
        <w:widowControl w:val="0"/>
        <w:kinsoku/>
        <w:wordWrap/>
        <w:overflowPunct/>
        <w:autoSpaceDE/>
        <w:autoSpaceDN/>
        <w:bidi w:val="0"/>
        <w:adjustRightInd w:val="0"/>
        <w:snapToGrid w:val="0"/>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本项目</w:t>
      </w:r>
      <w:r>
        <w:rPr>
          <w:rFonts w:hint="default" w:ascii="Times New Roman" w:hAnsi="Times New Roman" w:eastAsia="宋体" w:cs="Times New Roman"/>
          <w:color w:val="auto"/>
          <w:highlight w:val="none"/>
        </w:rPr>
        <w:t>风险影响范围小，其环境风险在可接受范围之内。建设单位严格落实设计及环评提出的各项风险防范措施和应急预案，其环境风险水平是可以接受的；企业应</w:t>
      </w:r>
      <w:r>
        <w:rPr>
          <w:rFonts w:hint="default" w:ascii="Times New Roman" w:hAnsi="Times New Roman" w:eastAsia="宋体" w:cs="Times New Roman"/>
          <w:color w:val="auto"/>
          <w:highlight w:val="none"/>
          <w:lang w:val="en-US" w:eastAsia="zh-CN"/>
        </w:rPr>
        <w:t>修编</w:t>
      </w:r>
      <w:r>
        <w:rPr>
          <w:rFonts w:hint="default" w:ascii="Times New Roman" w:hAnsi="Times New Roman" w:eastAsia="宋体" w:cs="Times New Roman"/>
          <w:color w:val="auto"/>
          <w:highlight w:val="none"/>
        </w:rPr>
        <w:t>突发环境事件应急预案，在</w:t>
      </w:r>
      <w:r>
        <w:rPr>
          <w:rFonts w:hint="default" w:ascii="Times New Roman" w:hAnsi="Times New Roman" w:eastAsia="宋体" w:cs="Times New Roman"/>
          <w:color w:val="auto"/>
          <w:highlight w:val="none"/>
          <w:lang w:val="en-US" w:eastAsia="zh-CN"/>
        </w:rPr>
        <w:t>塔城地区生态环境局托里县分</w:t>
      </w:r>
      <w:r>
        <w:rPr>
          <w:rFonts w:hint="default" w:ascii="Times New Roman" w:hAnsi="Times New Roman" w:eastAsia="宋体" w:cs="Times New Roman"/>
          <w:color w:val="auto"/>
          <w:highlight w:val="none"/>
        </w:rPr>
        <w:t>局备案。</w:t>
      </w:r>
    </w:p>
    <w:p>
      <w:pPr>
        <w:pStyle w:val="3"/>
        <w:keepNext w:val="0"/>
        <w:keepLines w:val="0"/>
        <w:pageBreakBefore w:val="0"/>
        <w:widowControl w:val="0"/>
        <w:kinsoku/>
        <w:wordWrap/>
        <w:overflowPunct/>
        <w:autoSpaceDE/>
        <w:autoSpaceDN/>
        <w:bidi w:val="0"/>
        <w:adjustRightInd w:val="0"/>
        <w:snapToGrid w:val="0"/>
        <w:textAlignment w:val="auto"/>
        <w:rPr>
          <w:rFonts w:hint="default"/>
          <w:color w:val="auto"/>
        </w:rPr>
      </w:pPr>
      <w:bookmarkStart w:id="124" w:name="_Toc14310"/>
      <w:r>
        <w:rPr>
          <w:rFonts w:hint="default"/>
          <w:color w:val="auto"/>
          <w:lang w:val="en-US" w:eastAsia="zh-CN"/>
        </w:rPr>
        <w:t>10.9</w:t>
      </w:r>
      <w:r>
        <w:rPr>
          <w:rFonts w:hint="default"/>
          <w:color w:val="auto"/>
        </w:rPr>
        <w:t>综合结论</w:t>
      </w:r>
      <w:bookmarkEnd w:id="124"/>
    </w:p>
    <w:p>
      <w:pPr>
        <w:keepNext w:val="0"/>
        <w:keepLines w:val="0"/>
        <w:pageBreakBefore w:val="0"/>
        <w:widowControl w:val="0"/>
        <w:kinsoku/>
        <w:wordWrap/>
        <w:overflowPunct/>
        <w:autoSpaceDE/>
        <w:autoSpaceDN/>
        <w:bidi w:val="0"/>
        <w:adjustRightInd w:val="0"/>
        <w:snapToGrid w:val="0"/>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本工程符合国家产业政策和环保政策，具有良好的经济效益、社会效益和环境效益。只要严格落实本评价提出的环保、节能降耗措施，防止风险的各项措施，从保护环境的角度出发，本项目的建设是合理可行的。</w:t>
      </w:r>
    </w:p>
    <w:p>
      <w:pPr>
        <w:bidi w:val="0"/>
        <w:rPr>
          <w:color w:val="auto"/>
          <w:highlight w:val="none"/>
        </w:rPr>
      </w:pPr>
    </w:p>
    <w:sectPr>
      <w:headerReference r:id="rId14" w:type="default"/>
      <w:footerReference r:id="rId15" w:type="default"/>
      <w:pgSz w:w="11906" w:h="16838"/>
      <w:pgMar w:top="1440" w:right="1800" w:bottom="1440" w:left="1800" w:header="1020"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decorative"/>
    <w:pitch w:val="default"/>
    <w:sig w:usb0="E0002EFF" w:usb1="C000785B"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宋体"/>
    <w:panose1 w:val="020B0604020202020204"/>
    <w:charset w:val="86"/>
    <w:family w:val="auto"/>
    <w:pitch w:val="default"/>
    <w:sig w:usb0="00000000" w:usb1="00000000" w:usb2="0000003F" w:usb3="00000000" w:csb0="603F01FF" w:csb1="FFFF0000"/>
  </w:font>
  <w:font w:name="仿宋_GB2312">
    <w:altName w:val="仿宋"/>
    <w:panose1 w:val="00000000000000000000"/>
    <w:charset w:val="86"/>
    <w:family w:val="modern"/>
    <w:pitch w:val="default"/>
    <w:sig w:usb0="00000000" w:usb1="0000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Cambria Math">
    <w:panose1 w:val="02040503050406030204"/>
    <w:charset w:val="00"/>
    <w:family w:val="auto"/>
    <w:pitch w:val="default"/>
    <w:sig w:usb0="E00006FF" w:usb1="420024FF" w:usb2="02000000" w:usb3="00000000" w:csb0="2000019F" w:csb1="00000000"/>
  </w:font>
  <w:font w:name="MS Mincho">
    <w:altName w:val="Segoe Print"/>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 w:name="Wingdings 2">
    <w:altName w:val="Wingdings"/>
    <w:panose1 w:val="05020102010507070707"/>
    <w:charset w:val="00"/>
    <w:family w:val="auto"/>
    <w:pitch w:val="default"/>
    <w:sig w:usb0="00000000" w:usb1="00000000" w:usb2="00000000" w:usb3="00000000" w:csb0="80000000" w:csb1="00000000"/>
  </w:font>
  <w:font w:name="仿宋">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kinsoku/>
      <w:wordWrap/>
      <w:overflowPunct/>
      <w:topLinePunct w:val="0"/>
      <w:bidi w:val="0"/>
      <w:adjustRightInd w:val="0"/>
      <w:snapToGrid w:val="0"/>
      <w:spacing w:line="240" w:lineRule="auto"/>
      <w:ind w:left="0" w:firstLine="0" w:firstLineChars="0"/>
      <w:jc w:val="right"/>
      <w:textAlignment w:val="auto"/>
      <w:rPr>
        <w:rFonts w:ascii="Calibri" w:hAnsi="Calibri" w:eastAsia="Calibri" w:cs="Calibri"/>
        <w:sz w:val="18"/>
        <w:szCs w:val="18"/>
      </w:rPr>
    </w:pPr>
    <w:r>
      <w:rPr>
        <w:rFonts w:hint="eastAsia" w:ascii="Calibri" w:hAnsi="Calibri" w:eastAsia="宋体" w:cs="Calibri"/>
        <w:sz w:val="21"/>
        <w:szCs w:val="21"/>
        <w:lang w:eastAsia="zh-CN"/>
      </w:rPr>
      <w:t>乌鲁木齐市清泽蓝天环保科技有限公司</w:t>
    </w: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1"/>
                          </w:pPr>
                          <w:r>
                            <w:t xml:space="preserve">— </w:t>
                          </w:r>
                          <w:r>
                            <w:fldChar w:fldCharType="begin"/>
                          </w:r>
                          <w:r>
                            <w:instrText xml:space="preserve"> PAGE  \* MERGEFORMAT </w:instrText>
                          </w:r>
                          <w:r>
                            <w:fldChar w:fldCharType="separate"/>
                          </w:r>
                          <w:r>
                            <w:t>LII</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Fjpk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1f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jFjpkzAgAAYwQAAA4AAAAAAAAAAQAgAAAAHwEAAGRycy9lMm9Eb2MueG1sUEsF&#10;BgAAAAAGAAYAWQEAAMQFAAAAAA==&#10;">
              <v:fill on="f" focussize="0,0"/>
              <v:stroke on="f" weight="0.5pt"/>
              <v:imagedata o:title=""/>
              <o:lock v:ext="edit" aspectratio="f"/>
              <v:textbox inset="0mm,0mm,0mm,0mm" style="mso-fit-shape-to-text:t;">
                <w:txbxContent>
                  <w:p>
                    <w:pPr>
                      <w:pStyle w:val="21"/>
                    </w:pPr>
                    <w:r>
                      <w:t xml:space="preserve">— </w:t>
                    </w:r>
                    <w:r>
                      <w:fldChar w:fldCharType="begin"/>
                    </w:r>
                    <w:r>
                      <w:instrText xml:space="preserve"> PAGE  \* MERGEFORMAT </w:instrText>
                    </w:r>
                    <w:r>
                      <w:fldChar w:fldCharType="separate"/>
                    </w:r>
                    <w:r>
                      <w:t>LII</w:t>
                    </w:r>
                    <w:r>
                      <w:fldChar w:fldCharType="end"/>
                    </w:r>
                    <w: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jc w:val="right"/>
    </w:pPr>
    <w:r>
      <w:rPr>
        <w:rFonts w:hint="eastAsia" w:ascii="Calibri" w:hAnsi="Calibri" w:eastAsia="宋体" w:cs="Calibri"/>
        <w:sz w:val="21"/>
        <w:szCs w:val="21"/>
        <w:lang w:eastAsia="zh-CN"/>
      </w:rPr>
      <w:t>乌鲁木齐市清泽蓝天环保科技有限公司</w:t>
    </w: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1"/>
                          </w:pPr>
                          <w:r>
                            <w:t xml:space="preserve">— </w:t>
                          </w:r>
                          <w:r>
                            <w:fldChar w:fldCharType="begin"/>
                          </w:r>
                          <w:r>
                            <w:instrText xml:space="preserve"> PAGE  \* MERGEFORMAT </w:instrText>
                          </w:r>
                          <w:r>
                            <w:fldChar w:fldCharType="separate"/>
                          </w:r>
                          <w:r>
                            <w:t>CXVI</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7R3IzAgAAY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87R3IzAgAAYwQAAA4AAAAAAAAAAQAgAAAAHwEAAGRycy9lMm9Eb2MueG1sUEsF&#10;BgAAAAAGAAYAWQEAAMQFAAAAAA==&#10;">
              <v:fill on="f" focussize="0,0"/>
              <v:stroke on="f" weight="0.5pt"/>
              <v:imagedata o:title=""/>
              <o:lock v:ext="edit" aspectratio="f"/>
              <v:textbox inset="0mm,0mm,0mm,0mm" style="mso-fit-shape-to-text:t;">
                <w:txbxContent>
                  <w:p>
                    <w:pPr>
                      <w:pStyle w:val="21"/>
                    </w:pPr>
                    <w:r>
                      <w:t xml:space="preserve">— </w:t>
                    </w:r>
                    <w:r>
                      <w:fldChar w:fldCharType="begin"/>
                    </w:r>
                    <w:r>
                      <w:instrText xml:space="preserve"> PAGE  \* MERGEFORMAT </w:instrText>
                    </w:r>
                    <w:r>
                      <w:fldChar w:fldCharType="separate"/>
                    </w:r>
                    <w:r>
                      <w:t>CXVI</w:t>
                    </w:r>
                    <w:r>
                      <w:fldChar w:fldCharType="end"/>
                    </w:r>
                    <w: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jc w:val="right"/>
    </w:pPr>
    <w:r>
      <w:rPr>
        <w:rFonts w:hint="eastAsia" w:ascii="Calibri" w:hAnsi="Calibri" w:eastAsia="宋体" w:cs="Calibri"/>
        <w:sz w:val="21"/>
        <w:szCs w:val="21"/>
        <w:lang w:eastAsia="zh-CN"/>
      </w:rPr>
      <w:t>乌鲁木齐市清泽蓝天环保科技有限公司</w:t>
    </w: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1"/>
                          </w:pPr>
                          <w:r>
                            <w:t xml:space="preserve">— </w:t>
                          </w:r>
                          <w:r>
                            <w:fldChar w:fldCharType="begin"/>
                          </w:r>
                          <w:r>
                            <w:instrText xml:space="preserve"> PAGE  \* MERGEFORMAT </w:instrText>
                          </w:r>
                          <w:r>
                            <w:fldChar w:fldCharType="separate"/>
                          </w:r>
                          <w:r>
                            <w:t>CXXI</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2T0J0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2T0J0zAgAAYwQAAA4AAAAAAAAAAQAgAAAAHwEAAGRycy9lMm9Eb2MueG1sUEsF&#10;BgAAAAAGAAYAWQEAAMQFAAAAAA==&#10;">
              <v:fill on="f" focussize="0,0"/>
              <v:stroke on="f" weight="0.5pt"/>
              <v:imagedata o:title=""/>
              <o:lock v:ext="edit" aspectratio="f"/>
              <v:textbox inset="0mm,0mm,0mm,0mm" style="mso-fit-shape-to-text:t;">
                <w:txbxContent>
                  <w:p>
                    <w:pPr>
                      <w:pStyle w:val="21"/>
                    </w:pPr>
                    <w:r>
                      <w:t xml:space="preserve">— </w:t>
                    </w:r>
                    <w:r>
                      <w:fldChar w:fldCharType="begin"/>
                    </w:r>
                    <w:r>
                      <w:instrText xml:space="preserve"> PAGE  \* MERGEFORMAT </w:instrText>
                    </w:r>
                    <w:r>
                      <w:fldChar w:fldCharType="separate"/>
                    </w:r>
                    <w:r>
                      <w:t>CXXI</w:t>
                    </w:r>
                    <w:r>
                      <w:fldChar w:fldCharType="end"/>
                    </w:r>
                    <w: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kinsoku/>
      <w:wordWrap/>
      <w:overflowPunct/>
      <w:topLinePunct w:val="0"/>
      <w:bidi w:val="0"/>
      <w:adjustRightInd w:val="0"/>
      <w:snapToGrid w:val="0"/>
      <w:spacing w:line="240" w:lineRule="auto"/>
      <w:ind w:left="0" w:firstLine="0" w:firstLineChars="0"/>
      <w:jc w:val="right"/>
      <w:textAlignment w:val="auto"/>
      <w:rPr>
        <w:rFonts w:hint="default" w:ascii="Calibri" w:hAnsi="Calibri" w:eastAsia="Calibri" w:cs="Calibri"/>
        <w:sz w:val="21"/>
        <w:szCs w:val="21"/>
        <w:lang w:val="en-US"/>
      </w:rPr>
    </w:pPr>
    <w:r>
      <w:rPr>
        <w:sz w:val="21"/>
        <w:szCs w:val="32"/>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1"/>
                          </w:pPr>
                          <w:r>
                            <w:t xml:space="preserve">— </w:t>
                          </w:r>
                          <w:r>
                            <w:fldChar w:fldCharType="begin"/>
                          </w:r>
                          <w:r>
                            <w:instrText xml:space="preserve"> PAGE  \* MERGEFORMAT </w:instrText>
                          </w:r>
                          <w:r>
                            <w:fldChar w:fldCharType="separate"/>
                          </w:r>
                          <w:r>
                            <w:t>CXLVI</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YzS4AzAgAAYw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YzS4AzAgAAYwQAAA4AAAAAAAAAAQAgAAAAHwEAAGRycy9lMm9Eb2MueG1sUEsF&#10;BgAAAAAGAAYAWQEAAMQFAAAAAA==&#10;">
              <v:fill on="f" focussize="0,0"/>
              <v:stroke on="f" weight="0.5pt"/>
              <v:imagedata o:title=""/>
              <o:lock v:ext="edit" aspectratio="f"/>
              <v:textbox inset="0mm,0mm,0mm,0mm" style="mso-fit-shape-to-text:t;">
                <w:txbxContent>
                  <w:p>
                    <w:pPr>
                      <w:pStyle w:val="21"/>
                    </w:pPr>
                    <w:r>
                      <w:t xml:space="preserve">— </w:t>
                    </w:r>
                    <w:r>
                      <w:fldChar w:fldCharType="begin"/>
                    </w:r>
                    <w:r>
                      <w:instrText xml:space="preserve"> PAGE  \* MERGEFORMAT </w:instrText>
                    </w:r>
                    <w:r>
                      <w:fldChar w:fldCharType="separate"/>
                    </w:r>
                    <w:r>
                      <w:t>CXLVI</w:t>
                    </w:r>
                    <w:r>
                      <w:fldChar w:fldCharType="end"/>
                    </w:r>
                    <w:r>
                      <w:t xml:space="preserve"> —</w:t>
                    </w:r>
                  </w:p>
                </w:txbxContent>
              </v:textbox>
            </v:shape>
          </w:pict>
        </mc:Fallback>
      </mc:AlternateContent>
    </w:r>
    <w:r>
      <w:rPr>
        <w:rFonts w:hint="eastAsia" w:ascii="Calibri" w:hAnsi="Calibri" w:eastAsia="宋体" w:cs="Calibri"/>
        <w:sz w:val="21"/>
        <w:szCs w:val="21"/>
        <w:lang w:val="en-US" w:eastAsia="zh-CN"/>
      </w:rPr>
      <w:t>乌鲁木齐市清泽蓝天环保科技有限公司</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kinsoku/>
      <w:wordWrap/>
      <w:overflowPunct/>
      <w:topLinePunct w:val="0"/>
      <w:bidi w:val="0"/>
      <w:adjustRightInd w:val="0"/>
      <w:snapToGrid w:val="0"/>
      <w:spacing w:line="240" w:lineRule="auto"/>
      <w:ind w:left="0" w:firstLine="0" w:firstLineChars="0"/>
      <w:jc w:val="right"/>
      <w:textAlignment w:val="auto"/>
      <w:rPr>
        <w:rFonts w:hint="default" w:ascii="Calibri" w:hAnsi="Calibri" w:eastAsia="宋体" w:cs="Calibri"/>
        <w:sz w:val="18"/>
        <w:szCs w:val="18"/>
        <w:lang w:val="en-US" w:eastAsia="zh-CN"/>
      </w:rPr>
    </w:pPr>
    <w:r>
      <w:rPr>
        <w:sz w:val="21"/>
        <w:szCs w:val="32"/>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1"/>
                          </w:pPr>
                          <w:r>
                            <w:t xml:space="preserve">— </w:t>
                          </w:r>
                          <w:r>
                            <w:fldChar w:fldCharType="begin"/>
                          </w:r>
                          <w:r>
                            <w:instrText xml:space="preserve"> PAGE  \* MERGEFORMAT </w:instrText>
                          </w:r>
                          <w:r>
                            <w:fldChar w:fldCharType="separate"/>
                          </w:r>
                          <w:r>
                            <w:t>CXLVI</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sAOHox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rADh6MQIAAGMEAAAOAAAAAAAAAAEAIAAAAB8BAABkcnMvZTJvRG9jLnhtbFBLBQYA&#10;AAAABgAGAFkBAADCBQAAAAA=&#10;">
              <v:fill on="f" focussize="0,0"/>
              <v:stroke on="f" weight="0.5pt"/>
              <v:imagedata o:title=""/>
              <o:lock v:ext="edit" aspectratio="f"/>
              <v:textbox inset="0mm,0mm,0mm,0mm" style="mso-fit-shape-to-text:t;">
                <w:txbxContent>
                  <w:p>
                    <w:pPr>
                      <w:pStyle w:val="21"/>
                    </w:pPr>
                    <w:r>
                      <w:t xml:space="preserve">— </w:t>
                    </w:r>
                    <w:r>
                      <w:fldChar w:fldCharType="begin"/>
                    </w:r>
                    <w:r>
                      <w:instrText xml:space="preserve"> PAGE  \* MERGEFORMAT </w:instrText>
                    </w:r>
                    <w:r>
                      <w:fldChar w:fldCharType="separate"/>
                    </w:r>
                    <w:r>
                      <w:t>CXLVI</w:t>
                    </w:r>
                    <w:r>
                      <w:fldChar w:fldCharType="end"/>
                    </w:r>
                    <w:r>
                      <w:t xml:space="preserve"> —</w:t>
                    </w:r>
                  </w:p>
                </w:txbxContent>
              </v:textbox>
            </v:shape>
          </w:pict>
        </mc:Fallback>
      </mc:AlternateContent>
    </w:r>
    <w:r>
      <w:rPr>
        <w:rFonts w:hint="eastAsia"/>
        <w:sz w:val="21"/>
        <w:szCs w:val="32"/>
        <w:lang w:val="en-US" w:eastAsia="zh-CN"/>
      </w:rPr>
      <w:t>乌鲁木齐市清泽蓝天环保科技有限公司</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kinsoku/>
      <w:wordWrap/>
      <w:overflowPunct/>
      <w:topLinePunct w:val="0"/>
      <w:bidi w:val="0"/>
      <w:adjustRightInd w:val="0"/>
      <w:snapToGrid w:val="0"/>
      <w:spacing w:line="240" w:lineRule="auto"/>
      <w:ind w:left="0" w:firstLine="0" w:firstLineChars="0"/>
      <w:jc w:val="right"/>
      <w:textAlignment w:val="auto"/>
      <w:rPr>
        <w:rFonts w:ascii="Calibri" w:hAnsi="Calibri" w:eastAsia="Calibri" w:cs="Calibri"/>
        <w:sz w:val="18"/>
        <w:szCs w:val="18"/>
      </w:rPr>
    </w:pPr>
    <w:r>
      <w:rPr>
        <w:rFonts w:hint="default" w:ascii="Times New Roman" w:hAnsi="Times New Roman" w:eastAsia="宋体" w:cs="Times New Roman"/>
        <w:sz w:val="21"/>
        <w:szCs w:val="21"/>
      </w:rPr>
      <w:t>乌鲁木齐市清泽蓝天环保科技有限公司</w:t>
    </w: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1"/>
                          </w:pPr>
                          <w:r>
                            <w:t xml:space="preserve">— </w:t>
                          </w:r>
                          <w:r>
                            <w:fldChar w:fldCharType="begin"/>
                          </w:r>
                          <w:r>
                            <w:instrText xml:space="preserve"> PAGE  \* MERGEFORMAT </w:instrText>
                          </w:r>
                          <w:r>
                            <w:fldChar w:fldCharType="separate"/>
                          </w:r>
                          <w:r>
                            <w:t>CLXXVII</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yswE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yswEzAgAAYwQAAA4AAAAAAAAAAQAgAAAAHwEAAGRycy9lMm9Eb2MueG1sUEsF&#10;BgAAAAAGAAYAWQEAAMQFAAAAAA==&#10;">
              <v:fill on="f" focussize="0,0"/>
              <v:stroke on="f" weight="0.5pt"/>
              <v:imagedata o:title=""/>
              <o:lock v:ext="edit" aspectratio="f"/>
              <v:textbox inset="0mm,0mm,0mm,0mm" style="mso-fit-shape-to-text:t;">
                <w:txbxContent>
                  <w:p>
                    <w:pPr>
                      <w:pStyle w:val="21"/>
                    </w:pPr>
                    <w:r>
                      <w:t xml:space="preserve">— </w:t>
                    </w:r>
                    <w:r>
                      <w:fldChar w:fldCharType="begin"/>
                    </w:r>
                    <w:r>
                      <w:instrText xml:space="preserve"> PAGE  \* MERGEFORMAT </w:instrText>
                    </w:r>
                    <w:r>
                      <w:fldChar w:fldCharType="separate"/>
                    </w:r>
                    <w:r>
                      <w:t>CLXXVII</w:t>
                    </w:r>
                    <w:r>
                      <w:fldChar w:fldCharType="end"/>
                    </w:r>
                    <w:r>
                      <w:t xml:space="preserve"> —</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kinsoku/>
      <w:wordWrap/>
      <w:overflowPunct/>
      <w:topLinePunct w:val="0"/>
      <w:bidi w:val="0"/>
      <w:adjustRightInd w:val="0"/>
      <w:snapToGrid w:val="0"/>
      <w:spacing w:line="240" w:lineRule="auto"/>
      <w:ind w:left="0" w:firstLine="0" w:firstLineChars="0"/>
      <w:jc w:val="right"/>
      <w:textAlignment w:val="auto"/>
      <w:rPr>
        <w:rFonts w:ascii="Calibri" w:hAnsi="Calibri" w:eastAsia="Calibri" w:cs="Calibri"/>
        <w:sz w:val="18"/>
        <w:szCs w:val="18"/>
      </w:rPr>
    </w:pPr>
    <w:r>
      <w:rPr>
        <w:rFonts w:hint="default" w:ascii="Times New Roman" w:hAnsi="Times New Roman" w:eastAsia="宋体" w:cs="Times New Roman"/>
        <w:sz w:val="21"/>
        <w:szCs w:val="21"/>
      </w:rPr>
      <w:t>乌鲁木齐市清泽蓝天环保科技有限公司</w:t>
    </w: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1"/>
                          </w:pPr>
                          <w:r>
                            <w:t xml:space="preserve">— </w:t>
                          </w:r>
                          <w:r>
                            <w:fldChar w:fldCharType="begin"/>
                          </w:r>
                          <w:r>
                            <w:instrText xml:space="preserve"> PAGE  \* MERGEFORMAT </w:instrText>
                          </w:r>
                          <w:r>
                            <w:fldChar w:fldCharType="separate"/>
                          </w:r>
                          <w:r>
                            <w:t>CLXXVII</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xhYO8zAgAAYwQAAA4AAABkcnMvZTJvRG9jLnhtbK1UzY7TMBC+I/EO&#10;lu80aYFV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lTYphGx08/vp9+&#10;Ppx+fSM4g0CNCzPE3TtExvadbTE2w3nAYeLdVl6nLxgR+CHv8SKvaCPh6dJ0Mp3mcHH4hg3ws8fr&#10;zof4XlhNklFQj/51srLDJsQ+dAhJ2YxdS6W6HipDmoJevX6b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xhYO8zAgAAYwQAAA4AAAAAAAAAAQAgAAAAHwEAAGRycy9lMm9Eb2MueG1sUEsF&#10;BgAAAAAGAAYAWQEAAMQFAAAAAA==&#10;">
              <v:fill on="f" focussize="0,0"/>
              <v:stroke on="f" weight="0.5pt"/>
              <v:imagedata o:title=""/>
              <o:lock v:ext="edit" aspectratio="f"/>
              <v:textbox inset="0mm,0mm,0mm,0mm" style="mso-fit-shape-to-text:t;">
                <w:txbxContent>
                  <w:p>
                    <w:pPr>
                      <w:pStyle w:val="21"/>
                    </w:pPr>
                    <w:r>
                      <w:t xml:space="preserve">— </w:t>
                    </w:r>
                    <w:r>
                      <w:fldChar w:fldCharType="begin"/>
                    </w:r>
                    <w:r>
                      <w:instrText xml:space="preserve"> PAGE  \* MERGEFORMAT </w:instrText>
                    </w:r>
                    <w:r>
                      <w:fldChar w:fldCharType="separate"/>
                    </w:r>
                    <w:r>
                      <w:t>CLXXVII</w:t>
                    </w:r>
                    <w:r>
                      <w:fldChar w:fldCharType="end"/>
                    </w:r>
                    <w: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pBdr>
        <w:bottom w:val="thinThickSmallGap" w:color="auto" w:sz="12" w:space="0"/>
      </w:pBdr>
      <w:kinsoku/>
      <w:wordWrap/>
      <w:overflowPunct/>
      <w:topLinePunct w:val="0"/>
      <w:autoSpaceDE/>
      <w:autoSpaceDN/>
      <w:bidi w:val="0"/>
      <w:adjustRightInd/>
      <w:snapToGrid/>
      <w:spacing w:line="240" w:lineRule="auto"/>
      <w:ind w:firstLine="0" w:firstLineChars="0"/>
      <w:jc w:val="center"/>
      <w:textAlignment w:val="auto"/>
    </w:pPr>
    <w:r>
      <w:rPr>
        <w:rFonts w:hint="eastAsia"/>
        <w:b w:val="0"/>
        <w:bCs w:val="0"/>
        <w:sz w:val="21"/>
        <w:szCs w:val="21"/>
        <w:lang w:val="en-US" w:eastAsia="zh-CN"/>
      </w:rPr>
      <w:t>托里县2024年集中供热改扩建项目环境影响评价报告书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pBdr>
        <w:bottom w:val="thinThickSmallGap" w:color="auto" w:sz="12" w:space="0"/>
      </w:pBdr>
      <w:kinsoku/>
      <w:wordWrap/>
      <w:overflowPunct/>
      <w:topLinePunct w:val="0"/>
      <w:autoSpaceDE/>
      <w:autoSpaceDN/>
      <w:bidi w:val="0"/>
      <w:adjustRightInd/>
      <w:snapToGrid/>
      <w:spacing w:line="240" w:lineRule="auto"/>
      <w:ind w:firstLine="0" w:firstLineChars="0"/>
      <w:jc w:val="center"/>
      <w:textAlignment w:val="auto"/>
      <w:rPr>
        <w:rFonts w:ascii="黑体" w:hAnsi="黑体" w:eastAsia="黑体" w:cs="黑体"/>
        <w:sz w:val="18"/>
        <w:szCs w:val="18"/>
      </w:rPr>
    </w:pPr>
    <w:r>
      <w:rPr>
        <w:rFonts w:hint="eastAsia"/>
        <w:b w:val="0"/>
        <w:bCs w:val="0"/>
        <w:sz w:val="21"/>
        <w:szCs w:val="21"/>
        <w:lang w:val="en-US" w:eastAsia="zh-CN"/>
      </w:rPr>
      <w:t>托里县2024年集中供热改扩建项目环境影响评价报告书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pBdr>
        <w:bottom w:val="thinThickSmallGap" w:color="auto" w:sz="12" w:space="0"/>
      </w:pBdr>
      <w:kinsoku/>
      <w:wordWrap/>
      <w:overflowPunct/>
      <w:topLinePunct w:val="0"/>
      <w:autoSpaceDE/>
      <w:autoSpaceDN/>
      <w:bidi w:val="0"/>
      <w:adjustRightInd/>
      <w:snapToGrid/>
      <w:spacing w:line="240" w:lineRule="auto"/>
      <w:ind w:firstLine="0" w:firstLineChars="0"/>
      <w:jc w:val="center"/>
      <w:textAlignment w:val="auto"/>
    </w:pPr>
    <w:r>
      <w:rPr>
        <w:rFonts w:hint="eastAsia"/>
        <w:b w:val="0"/>
        <w:bCs w:val="0"/>
        <w:sz w:val="21"/>
        <w:szCs w:val="21"/>
        <w:lang w:val="en-US" w:eastAsia="zh-CN"/>
      </w:rPr>
      <w:t>托里县2024年集中供热改扩建项目环境影响评价报告书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pBdr>
        <w:bottom w:val="thinThickSmallGap" w:color="auto" w:sz="12" w:space="0"/>
      </w:pBdr>
      <w:kinsoku/>
      <w:wordWrap/>
      <w:overflowPunct/>
      <w:topLinePunct w:val="0"/>
      <w:autoSpaceDE/>
      <w:autoSpaceDN/>
      <w:bidi w:val="0"/>
      <w:adjustRightInd/>
      <w:snapToGrid/>
      <w:spacing w:line="240" w:lineRule="auto"/>
      <w:ind w:firstLine="0" w:firstLineChars="0"/>
      <w:jc w:val="center"/>
      <w:textAlignment w:val="auto"/>
    </w:pPr>
    <w:r>
      <w:rPr>
        <w:rFonts w:hint="eastAsia"/>
        <w:b w:val="0"/>
        <w:bCs w:val="0"/>
        <w:sz w:val="21"/>
        <w:szCs w:val="21"/>
        <w:lang w:val="en-US" w:eastAsia="zh-CN"/>
      </w:rPr>
      <w:t>托里县2024年集中供热改扩建项目环境影响评价报告书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0D80562"/>
    <w:multiLevelType w:val="singleLevel"/>
    <w:tmpl w:val="F0D80562"/>
    <w:lvl w:ilvl="0" w:tentative="0">
      <w:start w:val="1"/>
      <w:numFmt w:val="bullet"/>
      <w:pStyle w:val="11"/>
      <w:lvlText w:val=""/>
      <w:lvlJc w:val="left"/>
      <w:pPr>
        <w:tabs>
          <w:tab w:val="left" w:pos="360"/>
        </w:tabs>
        <w:ind w:left="360" w:hanging="360"/>
      </w:pPr>
      <w:rPr>
        <w:rFonts w:hint="default" w:ascii="Wingdings" w:hAnsi="Wingdings"/>
      </w:rPr>
    </w:lvl>
  </w:abstractNum>
  <w:abstractNum w:abstractNumId="1">
    <w:nsid w:val="13F1169F"/>
    <w:multiLevelType w:val="singleLevel"/>
    <w:tmpl w:val="13F1169F"/>
    <w:lvl w:ilvl="0" w:tentative="0">
      <w:start w:val="1"/>
      <w:numFmt w:val="bullet"/>
      <w:pStyle w:val="18"/>
      <w:lvlText w:val=""/>
      <w:lvlJc w:val="left"/>
      <w:pPr>
        <w:tabs>
          <w:tab w:val="left" w:pos="2040"/>
        </w:tabs>
        <w:ind w:left="2040" w:hanging="360"/>
      </w:pPr>
      <w:rPr>
        <w:rFonts w:hint="default" w:ascii="Wingdings" w:hAnsi="Wingdings"/>
      </w:rPr>
    </w:lvl>
  </w:abstractNum>
  <w:abstractNum w:abstractNumId="2">
    <w:nsid w:val="28AC7825"/>
    <w:multiLevelType w:val="multilevel"/>
    <w:tmpl w:val="28AC7825"/>
    <w:lvl w:ilvl="0" w:tentative="0">
      <w:start w:val="1"/>
      <w:numFmt w:val="decimal"/>
      <w:suff w:val="space"/>
      <w:lvlText w:val="%1"/>
      <w:lvlJc w:val="left"/>
      <w:pPr>
        <w:ind w:left="0" w:firstLine="0"/>
      </w:pPr>
      <w:rPr>
        <w:rFonts w:hint="default" w:ascii="Times New Roman" w:hAnsi="Times New Roman" w:eastAsia="宋体"/>
        <w:b/>
        <w:i w:val="0"/>
        <w:sz w:val="32"/>
      </w:rPr>
    </w:lvl>
    <w:lvl w:ilvl="1" w:tentative="0">
      <w:start w:val="1"/>
      <w:numFmt w:val="decimal"/>
      <w:suff w:val="space"/>
      <w:lvlText w:val="%1.%2"/>
      <w:lvlJc w:val="left"/>
      <w:pPr>
        <w:ind w:left="0" w:firstLine="0"/>
      </w:pPr>
      <w:rPr>
        <w:rFonts w:hint="default" w:ascii="Times New Roman" w:hAnsi="Times New Roman" w:eastAsia="宋体"/>
        <w:b/>
        <w:i w:val="0"/>
        <w:sz w:val="30"/>
      </w:rPr>
    </w:lvl>
    <w:lvl w:ilvl="2" w:tentative="0">
      <w:start w:val="1"/>
      <w:numFmt w:val="decimal"/>
      <w:suff w:val="space"/>
      <w:lvlText w:val="%1.%2.%3"/>
      <w:lvlJc w:val="left"/>
      <w:pPr>
        <w:ind w:left="0" w:firstLine="0"/>
      </w:pPr>
      <w:rPr>
        <w:rFonts w:hint="default" w:ascii="Times New Roman" w:hAnsi="Times New Roman" w:eastAsia="宋体"/>
        <w:b/>
        <w:i w:val="0"/>
        <w:sz w:val="28"/>
      </w:rPr>
    </w:lvl>
    <w:lvl w:ilvl="3" w:tentative="0">
      <w:start w:val="1"/>
      <w:numFmt w:val="decimal"/>
      <w:pStyle w:val="83"/>
      <w:suff w:val="space"/>
      <w:lvlText w:val="%1.%2.%3.%4"/>
      <w:lvlJc w:val="left"/>
      <w:pPr>
        <w:ind w:left="0" w:firstLine="0"/>
      </w:pPr>
      <w:rPr>
        <w:rFonts w:hint="default" w:ascii="Times New Roman" w:hAnsi="Times New Roman" w:eastAsia="宋体"/>
        <w:b/>
        <w:i w:val="0"/>
        <w:sz w:val="24"/>
      </w:rPr>
    </w:lvl>
    <w:lvl w:ilvl="4" w:tentative="0">
      <w:start w:val="1"/>
      <w:numFmt w:val="decimal"/>
      <w:lvlRestart w:val="2"/>
      <w:pStyle w:val="85"/>
      <w:suff w:val="space"/>
      <w:lvlText w:val="表%1.%2-%5"/>
      <w:lvlJc w:val="left"/>
      <w:pPr>
        <w:ind w:left="0" w:firstLine="0"/>
      </w:pPr>
      <w:rPr>
        <w:rFonts w:hint="eastAsia"/>
      </w:rPr>
    </w:lvl>
    <w:lvl w:ilvl="5" w:tentative="0">
      <w:start w:val="1"/>
      <w:numFmt w:val="decimal"/>
      <w:lvlRestart w:val="2"/>
      <w:pStyle w:val="84"/>
      <w:suff w:val="space"/>
      <w:lvlText w:val="图%1.%2-%6"/>
      <w:lvlJc w:val="left"/>
      <w:pPr>
        <w:ind w:left="0" w:firstLine="0"/>
      </w:pPr>
      <w:rPr>
        <w:rFonts w:hint="default" w:ascii="Times New Roman" w:hAnsi="Times New Roman" w:eastAsia="宋体"/>
        <w:b/>
        <w:i w:val="0"/>
        <w:sz w:val="21"/>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3">
    <w:nsid w:val="575B00DC"/>
    <w:multiLevelType w:val="multilevel"/>
    <w:tmpl w:val="575B00DC"/>
    <w:lvl w:ilvl="0" w:tentative="0">
      <w:start w:val="1"/>
      <w:numFmt w:val="decimal"/>
      <w:suff w:val="nothing"/>
      <w:lvlText w:val="第%1章  "/>
      <w:lvlJc w:val="center"/>
      <w:pPr>
        <w:ind w:left="2410" w:firstLine="0"/>
      </w:pPr>
      <w:rPr>
        <w:b w:val="0"/>
        <w:bCs w:val="0"/>
        <w:i w:val="0"/>
        <w:iCs w:val="0"/>
        <w:caps w:val="0"/>
        <w:smallCaps w:val="0"/>
        <w:strike w:val="0"/>
        <w:dstrike w:val="0"/>
        <w:vanish w:val="0"/>
        <w:spacing w:val="0"/>
        <w:position w:val="0"/>
        <w:sz w:val="44"/>
        <w:szCs w:val="44"/>
        <w:u w:val="none"/>
        <w:vertAlign w:val="baseline"/>
        <w:lang w:val="en-US"/>
      </w:rPr>
    </w:lvl>
    <w:lvl w:ilvl="1" w:tentative="0">
      <w:start w:val="1"/>
      <w:numFmt w:val="decimal"/>
      <w:isLgl/>
      <w:suff w:val="nothing"/>
      <w:lvlText w:val="%1.%2 "/>
      <w:lvlJc w:val="left"/>
      <w:pPr>
        <w:ind w:left="426" w:firstLine="0"/>
      </w:pPr>
      <w:rPr>
        <w:rFonts w:hint="default" w:ascii="黑体" w:hAnsi="黑体" w:eastAsia="黑体" w:cs="Times New Roman"/>
        <w:b/>
        <w:bCs w:val="0"/>
        <w:i w:val="0"/>
        <w:iCs w:val="0"/>
        <w:caps w:val="0"/>
        <w:smallCaps w:val="0"/>
        <w:strike w:val="0"/>
        <w:dstrike w:val="0"/>
        <w:vanish w:val="0"/>
        <w:spacing w:val="0"/>
        <w:position w:val="0"/>
        <w:sz w:val="30"/>
        <w:szCs w:val="30"/>
        <w:u w:val="none"/>
        <w:vertAlign w:val="baseline"/>
      </w:rPr>
    </w:lvl>
    <w:lvl w:ilvl="2" w:tentative="0">
      <w:start w:val="1"/>
      <w:numFmt w:val="decimal"/>
      <w:pStyle w:val="98"/>
      <w:isLgl/>
      <w:suff w:val="nothing"/>
      <w:lvlText w:val="%1.%2.%3 "/>
      <w:lvlJc w:val="left"/>
      <w:pPr>
        <w:ind w:left="568" w:firstLine="0"/>
      </w:pPr>
      <w:rPr>
        <w:rFonts w:hint="eastAsia" w:cs="Times New Roman"/>
        <w:b/>
        <w:bCs w:val="0"/>
        <w:i w:val="0"/>
        <w:iCs w:val="0"/>
        <w:caps w:val="0"/>
        <w:smallCaps w:val="0"/>
        <w:strike w:val="0"/>
        <w:dstrike w:val="0"/>
        <w:vanish w:val="0"/>
        <w:spacing w:val="0"/>
        <w:position w:val="0"/>
        <w:u w:val="none"/>
        <w:vertAlign w:val="baseline"/>
      </w:rPr>
    </w:lvl>
    <w:lvl w:ilvl="3" w:tentative="0">
      <w:start w:val="1"/>
      <w:numFmt w:val="decimal"/>
      <w:pStyle w:val="110"/>
      <w:isLgl/>
      <w:suff w:val="nothing"/>
      <w:lvlText w:val="%1.%2.%3.%4 "/>
      <w:lvlJc w:val="left"/>
      <w:pPr>
        <w:ind w:left="709" w:firstLine="0"/>
      </w:pPr>
      <w:rPr>
        <w:rFonts w:hint="default" w:ascii="Times New Roman" w:hAnsi="Times New Roman" w:cs="Times New Roman"/>
        <w:b/>
        <w:bCs w:val="0"/>
        <w:i w:val="0"/>
        <w:iCs w:val="0"/>
        <w:caps w:val="0"/>
        <w:smallCaps w:val="0"/>
        <w:strike w:val="0"/>
        <w:dstrike w:val="0"/>
        <w:vanish w:val="0"/>
        <w:color w:val="auto"/>
        <w:spacing w:val="0"/>
        <w:position w:val="0"/>
        <w:u w:val="none"/>
        <w:vertAlign w:val="baseline"/>
      </w:rPr>
    </w:lvl>
    <w:lvl w:ilvl="4" w:tentative="0">
      <w:start w:val="1"/>
      <w:numFmt w:val="decimal"/>
      <w:isLgl/>
      <w:suff w:val="nothing"/>
      <w:lvlText w:val="%1.%2.%3.%4.%5  "/>
      <w:lvlJc w:val="left"/>
      <w:pPr>
        <w:ind w:left="425" w:firstLine="0"/>
      </w:pPr>
      <w:rPr>
        <w:rFonts w:hint="default" w:ascii="Arial" w:hAnsi="Arial" w:eastAsia="黑体" w:cs="Arial"/>
        <w:sz w:val="21"/>
        <w:szCs w:val="21"/>
      </w:rPr>
    </w:lvl>
    <w:lvl w:ilvl="5" w:tentative="0">
      <w:start w:val="1"/>
      <w:numFmt w:val="lowerLetter"/>
      <w:lvlText w:val="%6."/>
      <w:lvlJc w:val="left"/>
      <w:pPr>
        <w:tabs>
          <w:tab w:val="left" w:pos="2836"/>
        </w:tabs>
        <w:ind w:left="425" w:firstLine="0"/>
      </w:pPr>
      <w:rPr>
        <w:rFonts w:hint="eastAsia"/>
      </w:rPr>
    </w:lvl>
    <w:lvl w:ilvl="6" w:tentative="0">
      <w:start w:val="1"/>
      <w:numFmt w:val="lowerRoman"/>
      <w:lvlText w:val="%7."/>
      <w:lvlJc w:val="left"/>
      <w:pPr>
        <w:tabs>
          <w:tab w:val="left" w:pos="3262"/>
        </w:tabs>
        <w:ind w:left="425" w:firstLine="0"/>
      </w:pPr>
      <w:rPr>
        <w:rFonts w:hint="eastAsia"/>
      </w:rPr>
    </w:lvl>
    <w:lvl w:ilvl="7" w:tentative="0">
      <w:start w:val="1"/>
      <w:numFmt w:val="lowerLetter"/>
      <w:lvlText w:val="%8."/>
      <w:lvlJc w:val="left"/>
      <w:pPr>
        <w:tabs>
          <w:tab w:val="left" w:pos="3687"/>
        </w:tabs>
        <w:ind w:left="425" w:firstLine="0"/>
      </w:pPr>
      <w:rPr>
        <w:rFonts w:hint="eastAsia"/>
      </w:rPr>
    </w:lvl>
    <w:lvl w:ilvl="8" w:tentative="0">
      <w:start w:val="1"/>
      <w:numFmt w:val="lowerRoman"/>
      <w:lvlText w:val="%9."/>
      <w:lvlJc w:val="left"/>
      <w:pPr>
        <w:tabs>
          <w:tab w:val="left" w:pos="4112"/>
        </w:tabs>
        <w:ind w:left="425" w:firstLine="0"/>
      </w:pPr>
      <w:rPr>
        <w:rFonts w:hint="eastAsia"/>
      </w:rPr>
    </w:lvl>
  </w:abstractNum>
  <w:abstractNum w:abstractNumId="4">
    <w:nsid w:val="7E3A0E96"/>
    <w:multiLevelType w:val="singleLevel"/>
    <w:tmpl w:val="7E3A0E96"/>
    <w:lvl w:ilvl="0" w:tentative="0">
      <w:start w:val="1"/>
      <w:numFmt w:val="decimal"/>
      <w:suff w:val="nothing"/>
      <w:lvlText w:val="（%1）"/>
      <w:lvlJc w:val="left"/>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Q3ZTE1ODZlZGIzY2VlNTI0YzQzNThhM2FhNWZiMzcifQ=="/>
  </w:docVars>
  <w:rsids>
    <w:rsidRoot w:val="00000000"/>
    <w:rsid w:val="001E4D73"/>
    <w:rsid w:val="004474AB"/>
    <w:rsid w:val="00A73DB0"/>
    <w:rsid w:val="00D9613C"/>
    <w:rsid w:val="01E943A0"/>
    <w:rsid w:val="026F3DEF"/>
    <w:rsid w:val="02897241"/>
    <w:rsid w:val="028C01A3"/>
    <w:rsid w:val="028C7D5E"/>
    <w:rsid w:val="02C4084B"/>
    <w:rsid w:val="02E7546B"/>
    <w:rsid w:val="030704C9"/>
    <w:rsid w:val="033F305E"/>
    <w:rsid w:val="0376383E"/>
    <w:rsid w:val="037759DB"/>
    <w:rsid w:val="038C2CB8"/>
    <w:rsid w:val="03B70C87"/>
    <w:rsid w:val="03FC1300"/>
    <w:rsid w:val="04225A92"/>
    <w:rsid w:val="044D5458"/>
    <w:rsid w:val="04B35359"/>
    <w:rsid w:val="05454BE9"/>
    <w:rsid w:val="05611209"/>
    <w:rsid w:val="05CC124D"/>
    <w:rsid w:val="05F1107E"/>
    <w:rsid w:val="060F2843"/>
    <w:rsid w:val="062E7F6D"/>
    <w:rsid w:val="0649195E"/>
    <w:rsid w:val="06A256B2"/>
    <w:rsid w:val="06FA6082"/>
    <w:rsid w:val="072C1C3D"/>
    <w:rsid w:val="07AE318E"/>
    <w:rsid w:val="07DB3FFC"/>
    <w:rsid w:val="0841497D"/>
    <w:rsid w:val="085F3DD4"/>
    <w:rsid w:val="08A94107"/>
    <w:rsid w:val="09562F5D"/>
    <w:rsid w:val="09714747"/>
    <w:rsid w:val="099A1A06"/>
    <w:rsid w:val="09F63AFE"/>
    <w:rsid w:val="0A455C37"/>
    <w:rsid w:val="0A6A1089"/>
    <w:rsid w:val="0AE63396"/>
    <w:rsid w:val="0B036F7F"/>
    <w:rsid w:val="0B0E32F1"/>
    <w:rsid w:val="0BB94D02"/>
    <w:rsid w:val="0C4E67F0"/>
    <w:rsid w:val="0CAD149C"/>
    <w:rsid w:val="0CF44C71"/>
    <w:rsid w:val="0D290889"/>
    <w:rsid w:val="0D576FA9"/>
    <w:rsid w:val="0D9261E9"/>
    <w:rsid w:val="0DDC4C2E"/>
    <w:rsid w:val="0DE46BF0"/>
    <w:rsid w:val="0E6B6426"/>
    <w:rsid w:val="0E770F85"/>
    <w:rsid w:val="0E807864"/>
    <w:rsid w:val="0ECE4816"/>
    <w:rsid w:val="0EFD1F31"/>
    <w:rsid w:val="0F0767AD"/>
    <w:rsid w:val="0FE268D2"/>
    <w:rsid w:val="0FE47233"/>
    <w:rsid w:val="0FEA20C0"/>
    <w:rsid w:val="106B30A1"/>
    <w:rsid w:val="1183790A"/>
    <w:rsid w:val="119823D8"/>
    <w:rsid w:val="119B31DD"/>
    <w:rsid w:val="11D72DE3"/>
    <w:rsid w:val="12086AC4"/>
    <w:rsid w:val="12A764AD"/>
    <w:rsid w:val="12B13119"/>
    <w:rsid w:val="12B67699"/>
    <w:rsid w:val="132F6187"/>
    <w:rsid w:val="134326C1"/>
    <w:rsid w:val="137E4C36"/>
    <w:rsid w:val="13815ADA"/>
    <w:rsid w:val="13C60E0F"/>
    <w:rsid w:val="143A4F2F"/>
    <w:rsid w:val="14C71B84"/>
    <w:rsid w:val="14CF72EE"/>
    <w:rsid w:val="15804BC3"/>
    <w:rsid w:val="15BA09DA"/>
    <w:rsid w:val="163D0008"/>
    <w:rsid w:val="165D7CAB"/>
    <w:rsid w:val="16817832"/>
    <w:rsid w:val="16FE0496"/>
    <w:rsid w:val="172C2525"/>
    <w:rsid w:val="175E3336"/>
    <w:rsid w:val="175F593A"/>
    <w:rsid w:val="17675565"/>
    <w:rsid w:val="17694E7B"/>
    <w:rsid w:val="177B6F46"/>
    <w:rsid w:val="18301B92"/>
    <w:rsid w:val="183142B8"/>
    <w:rsid w:val="18BA004A"/>
    <w:rsid w:val="18BE140D"/>
    <w:rsid w:val="18D44B49"/>
    <w:rsid w:val="19017F0D"/>
    <w:rsid w:val="190D42EB"/>
    <w:rsid w:val="19687142"/>
    <w:rsid w:val="19B97804"/>
    <w:rsid w:val="1A057D8D"/>
    <w:rsid w:val="1AF71484"/>
    <w:rsid w:val="1B2214EC"/>
    <w:rsid w:val="1B5728FE"/>
    <w:rsid w:val="1B59213E"/>
    <w:rsid w:val="1B742AD4"/>
    <w:rsid w:val="1B746F78"/>
    <w:rsid w:val="1B7A3E63"/>
    <w:rsid w:val="1B8227E1"/>
    <w:rsid w:val="1BF87C73"/>
    <w:rsid w:val="1BF956CF"/>
    <w:rsid w:val="1C1222ED"/>
    <w:rsid w:val="1C5E2C44"/>
    <w:rsid w:val="1C664833"/>
    <w:rsid w:val="1C857A23"/>
    <w:rsid w:val="1D0C66D2"/>
    <w:rsid w:val="1D14209B"/>
    <w:rsid w:val="1D8B276B"/>
    <w:rsid w:val="1DC51D0D"/>
    <w:rsid w:val="1E502DA9"/>
    <w:rsid w:val="1E710700"/>
    <w:rsid w:val="1E934944"/>
    <w:rsid w:val="1F084334"/>
    <w:rsid w:val="1F1F369F"/>
    <w:rsid w:val="1F4B33B6"/>
    <w:rsid w:val="1FD833B8"/>
    <w:rsid w:val="200C1EE7"/>
    <w:rsid w:val="200D799B"/>
    <w:rsid w:val="20907304"/>
    <w:rsid w:val="2098273B"/>
    <w:rsid w:val="20A7394C"/>
    <w:rsid w:val="20B120D5"/>
    <w:rsid w:val="20F22AFF"/>
    <w:rsid w:val="21083C35"/>
    <w:rsid w:val="213C55CF"/>
    <w:rsid w:val="21923E51"/>
    <w:rsid w:val="21BE719F"/>
    <w:rsid w:val="223E3E3C"/>
    <w:rsid w:val="22995516"/>
    <w:rsid w:val="22B00524"/>
    <w:rsid w:val="2350623E"/>
    <w:rsid w:val="23767474"/>
    <w:rsid w:val="23C2284B"/>
    <w:rsid w:val="23D033FF"/>
    <w:rsid w:val="23D04F68"/>
    <w:rsid w:val="24015121"/>
    <w:rsid w:val="24572958"/>
    <w:rsid w:val="24722420"/>
    <w:rsid w:val="24EF528C"/>
    <w:rsid w:val="2557686D"/>
    <w:rsid w:val="25895AF5"/>
    <w:rsid w:val="25D24FC7"/>
    <w:rsid w:val="25D32AED"/>
    <w:rsid w:val="25FB176E"/>
    <w:rsid w:val="26653642"/>
    <w:rsid w:val="26A24E49"/>
    <w:rsid w:val="26D23D99"/>
    <w:rsid w:val="27133AE9"/>
    <w:rsid w:val="27223D2C"/>
    <w:rsid w:val="2790513A"/>
    <w:rsid w:val="27DA5E3A"/>
    <w:rsid w:val="28AF339E"/>
    <w:rsid w:val="28D85071"/>
    <w:rsid w:val="292339E6"/>
    <w:rsid w:val="29255D26"/>
    <w:rsid w:val="293B2E83"/>
    <w:rsid w:val="294E705B"/>
    <w:rsid w:val="29721865"/>
    <w:rsid w:val="29B82726"/>
    <w:rsid w:val="29E554A2"/>
    <w:rsid w:val="2A58558B"/>
    <w:rsid w:val="2A8009A9"/>
    <w:rsid w:val="2AD6555A"/>
    <w:rsid w:val="2B536BAA"/>
    <w:rsid w:val="2BEC169E"/>
    <w:rsid w:val="2C0A4D8F"/>
    <w:rsid w:val="2C24394C"/>
    <w:rsid w:val="2C271996"/>
    <w:rsid w:val="2C4D184B"/>
    <w:rsid w:val="2C695F59"/>
    <w:rsid w:val="2C6B7F24"/>
    <w:rsid w:val="2CBF3E65"/>
    <w:rsid w:val="2CDD35CF"/>
    <w:rsid w:val="2CE57656"/>
    <w:rsid w:val="2CEF1BF0"/>
    <w:rsid w:val="2D1608C9"/>
    <w:rsid w:val="2D60110A"/>
    <w:rsid w:val="2D755A7A"/>
    <w:rsid w:val="2DB12A89"/>
    <w:rsid w:val="2DE43318"/>
    <w:rsid w:val="2EC74820"/>
    <w:rsid w:val="2F0510CF"/>
    <w:rsid w:val="2F2F4CA2"/>
    <w:rsid w:val="2F4405B8"/>
    <w:rsid w:val="2F9775A7"/>
    <w:rsid w:val="2FCE5A5B"/>
    <w:rsid w:val="2FD66979"/>
    <w:rsid w:val="2FD951A4"/>
    <w:rsid w:val="2FE06533"/>
    <w:rsid w:val="303E14AB"/>
    <w:rsid w:val="30485640"/>
    <w:rsid w:val="3073260B"/>
    <w:rsid w:val="30DD4A71"/>
    <w:rsid w:val="312406A1"/>
    <w:rsid w:val="315367A7"/>
    <w:rsid w:val="322272D6"/>
    <w:rsid w:val="32794A1C"/>
    <w:rsid w:val="32882B95"/>
    <w:rsid w:val="32D33E04"/>
    <w:rsid w:val="331639A4"/>
    <w:rsid w:val="333E086E"/>
    <w:rsid w:val="34907934"/>
    <w:rsid w:val="349B54D3"/>
    <w:rsid w:val="34DB5576"/>
    <w:rsid w:val="35122AA7"/>
    <w:rsid w:val="35AD6EB7"/>
    <w:rsid w:val="36251143"/>
    <w:rsid w:val="36407D2B"/>
    <w:rsid w:val="36C47AB7"/>
    <w:rsid w:val="37461371"/>
    <w:rsid w:val="379E73FF"/>
    <w:rsid w:val="37A278A0"/>
    <w:rsid w:val="37C26789"/>
    <w:rsid w:val="37CC1165"/>
    <w:rsid w:val="37D13697"/>
    <w:rsid w:val="37EA397F"/>
    <w:rsid w:val="38081A9A"/>
    <w:rsid w:val="385330BC"/>
    <w:rsid w:val="390B28EC"/>
    <w:rsid w:val="39812B34"/>
    <w:rsid w:val="39DA200A"/>
    <w:rsid w:val="3A946897"/>
    <w:rsid w:val="3AA31629"/>
    <w:rsid w:val="3AC32107"/>
    <w:rsid w:val="3AD4138A"/>
    <w:rsid w:val="3B135480"/>
    <w:rsid w:val="3B247C1B"/>
    <w:rsid w:val="3B4F1A7F"/>
    <w:rsid w:val="3B7A3CDF"/>
    <w:rsid w:val="3B9C118A"/>
    <w:rsid w:val="3BD44673"/>
    <w:rsid w:val="3BDA477E"/>
    <w:rsid w:val="3BE06597"/>
    <w:rsid w:val="3BF13238"/>
    <w:rsid w:val="3BF35840"/>
    <w:rsid w:val="3C42293D"/>
    <w:rsid w:val="3CA56B3A"/>
    <w:rsid w:val="3DC86C9D"/>
    <w:rsid w:val="3E7345F1"/>
    <w:rsid w:val="3E9A2C90"/>
    <w:rsid w:val="3F9D1A50"/>
    <w:rsid w:val="3FA15C24"/>
    <w:rsid w:val="3FF35BB6"/>
    <w:rsid w:val="404B79F8"/>
    <w:rsid w:val="415003DA"/>
    <w:rsid w:val="41F84EC8"/>
    <w:rsid w:val="420463FE"/>
    <w:rsid w:val="4214352C"/>
    <w:rsid w:val="42B07FE6"/>
    <w:rsid w:val="42B44C7C"/>
    <w:rsid w:val="432C4C01"/>
    <w:rsid w:val="43473F7B"/>
    <w:rsid w:val="436D4129"/>
    <w:rsid w:val="43761230"/>
    <w:rsid w:val="43977769"/>
    <w:rsid w:val="43BB3965"/>
    <w:rsid w:val="448D6589"/>
    <w:rsid w:val="4495375C"/>
    <w:rsid w:val="44AD78D3"/>
    <w:rsid w:val="45496D0A"/>
    <w:rsid w:val="4642189D"/>
    <w:rsid w:val="46522ED9"/>
    <w:rsid w:val="46BA56B4"/>
    <w:rsid w:val="46FF778E"/>
    <w:rsid w:val="47224E1A"/>
    <w:rsid w:val="475F02D6"/>
    <w:rsid w:val="480431B6"/>
    <w:rsid w:val="481B2248"/>
    <w:rsid w:val="483F1C0F"/>
    <w:rsid w:val="489B2DF8"/>
    <w:rsid w:val="48C5048A"/>
    <w:rsid w:val="48D2240A"/>
    <w:rsid w:val="48E3695A"/>
    <w:rsid w:val="494249DE"/>
    <w:rsid w:val="499E3B85"/>
    <w:rsid w:val="49EB01BF"/>
    <w:rsid w:val="4A5704FB"/>
    <w:rsid w:val="4A730277"/>
    <w:rsid w:val="4B3C4F7F"/>
    <w:rsid w:val="4BBB3C93"/>
    <w:rsid w:val="4BEE23C9"/>
    <w:rsid w:val="4BFB6B50"/>
    <w:rsid w:val="4C0A0767"/>
    <w:rsid w:val="4C2F09D5"/>
    <w:rsid w:val="4C41484D"/>
    <w:rsid w:val="4C9E25D5"/>
    <w:rsid w:val="4CC071D6"/>
    <w:rsid w:val="4D406653"/>
    <w:rsid w:val="4D5D16E5"/>
    <w:rsid w:val="4E701564"/>
    <w:rsid w:val="4E72416B"/>
    <w:rsid w:val="4EDA06B9"/>
    <w:rsid w:val="4F234D65"/>
    <w:rsid w:val="4F87793D"/>
    <w:rsid w:val="4FF01F28"/>
    <w:rsid w:val="50586946"/>
    <w:rsid w:val="50B2302C"/>
    <w:rsid w:val="515818C2"/>
    <w:rsid w:val="51714DE5"/>
    <w:rsid w:val="51B8483E"/>
    <w:rsid w:val="51C13FBE"/>
    <w:rsid w:val="51F111ED"/>
    <w:rsid w:val="520F0061"/>
    <w:rsid w:val="521340EE"/>
    <w:rsid w:val="524F503C"/>
    <w:rsid w:val="525210BA"/>
    <w:rsid w:val="52553580"/>
    <w:rsid w:val="52A0338C"/>
    <w:rsid w:val="53316F22"/>
    <w:rsid w:val="53395DD6"/>
    <w:rsid w:val="534A31C6"/>
    <w:rsid w:val="53C9036D"/>
    <w:rsid w:val="53DC7AAD"/>
    <w:rsid w:val="544A5DD7"/>
    <w:rsid w:val="54752D93"/>
    <w:rsid w:val="549E7346"/>
    <w:rsid w:val="550B13E8"/>
    <w:rsid w:val="554F3125"/>
    <w:rsid w:val="559D5F22"/>
    <w:rsid w:val="562B5ECE"/>
    <w:rsid w:val="568E2637"/>
    <w:rsid w:val="56C360E3"/>
    <w:rsid w:val="56C6791D"/>
    <w:rsid w:val="56DB739D"/>
    <w:rsid w:val="570E5AEE"/>
    <w:rsid w:val="5837007C"/>
    <w:rsid w:val="58B62921"/>
    <w:rsid w:val="592B295E"/>
    <w:rsid w:val="596971F6"/>
    <w:rsid w:val="598E6B47"/>
    <w:rsid w:val="5A1C26CD"/>
    <w:rsid w:val="5A2F0098"/>
    <w:rsid w:val="5A9503DB"/>
    <w:rsid w:val="5B61665F"/>
    <w:rsid w:val="5BEF34D6"/>
    <w:rsid w:val="5C0A0310"/>
    <w:rsid w:val="5C4851F5"/>
    <w:rsid w:val="5D3B152C"/>
    <w:rsid w:val="5DE74EE5"/>
    <w:rsid w:val="5E3A7696"/>
    <w:rsid w:val="5E4D7666"/>
    <w:rsid w:val="5E5422E1"/>
    <w:rsid w:val="5ECA7475"/>
    <w:rsid w:val="60707147"/>
    <w:rsid w:val="60BD1DF5"/>
    <w:rsid w:val="61051185"/>
    <w:rsid w:val="611B0CB8"/>
    <w:rsid w:val="617704BB"/>
    <w:rsid w:val="61F3071F"/>
    <w:rsid w:val="61F64E8A"/>
    <w:rsid w:val="62742E2A"/>
    <w:rsid w:val="62F73E3D"/>
    <w:rsid w:val="63627319"/>
    <w:rsid w:val="6381445E"/>
    <w:rsid w:val="63815B89"/>
    <w:rsid w:val="639D7EB8"/>
    <w:rsid w:val="63CA1898"/>
    <w:rsid w:val="63FE2DA5"/>
    <w:rsid w:val="65642D27"/>
    <w:rsid w:val="656B62C3"/>
    <w:rsid w:val="65FC0424"/>
    <w:rsid w:val="66910A64"/>
    <w:rsid w:val="66C71940"/>
    <w:rsid w:val="670562A3"/>
    <w:rsid w:val="670B380C"/>
    <w:rsid w:val="673F1CDF"/>
    <w:rsid w:val="67A30A32"/>
    <w:rsid w:val="67AD0FFA"/>
    <w:rsid w:val="67C71C5E"/>
    <w:rsid w:val="67E978C8"/>
    <w:rsid w:val="67F3519B"/>
    <w:rsid w:val="68934217"/>
    <w:rsid w:val="689A226C"/>
    <w:rsid w:val="68A64AED"/>
    <w:rsid w:val="69011409"/>
    <w:rsid w:val="693C261D"/>
    <w:rsid w:val="69606D93"/>
    <w:rsid w:val="69F85C4B"/>
    <w:rsid w:val="6A3001F0"/>
    <w:rsid w:val="6A923047"/>
    <w:rsid w:val="6AD352BF"/>
    <w:rsid w:val="6AEC44A8"/>
    <w:rsid w:val="6B6B2BA0"/>
    <w:rsid w:val="6B9A3F8E"/>
    <w:rsid w:val="6BBB5F7A"/>
    <w:rsid w:val="6BC611DC"/>
    <w:rsid w:val="6BF2034D"/>
    <w:rsid w:val="6C046B2A"/>
    <w:rsid w:val="6C2B2308"/>
    <w:rsid w:val="6CC462B9"/>
    <w:rsid w:val="6CC73EA1"/>
    <w:rsid w:val="6D254FA9"/>
    <w:rsid w:val="6D3E606B"/>
    <w:rsid w:val="6D8D3CCB"/>
    <w:rsid w:val="6D9D3269"/>
    <w:rsid w:val="6E9D14EC"/>
    <w:rsid w:val="6F096173"/>
    <w:rsid w:val="6F273772"/>
    <w:rsid w:val="6F2A1E3D"/>
    <w:rsid w:val="6F6D2C38"/>
    <w:rsid w:val="6F7961E1"/>
    <w:rsid w:val="6F871632"/>
    <w:rsid w:val="6F986715"/>
    <w:rsid w:val="6FE3556B"/>
    <w:rsid w:val="703B2D36"/>
    <w:rsid w:val="70A87CEF"/>
    <w:rsid w:val="714A2C7A"/>
    <w:rsid w:val="71805B64"/>
    <w:rsid w:val="71CE2A46"/>
    <w:rsid w:val="720F23F1"/>
    <w:rsid w:val="721F5689"/>
    <w:rsid w:val="72987FCC"/>
    <w:rsid w:val="72D64D55"/>
    <w:rsid w:val="72EC6569"/>
    <w:rsid w:val="73060587"/>
    <w:rsid w:val="737722D7"/>
    <w:rsid w:val="73BD7487"/>
    <w:rsid w:val="73C51294"/>
    <w:rsid w:val="73DB1231"/>
    <w:rsid w:val="73DC0C8D"/>
    <w:rsid w:val="743146C8"/>
    <w:rsid w:val="7456147D"/>
    <w:rsid w:val="7481790F"/>
    <w:rsid w:val="754F0380"/>
    <w:rsid w:val="755747BE"/>
    <w:rsid w:val="75E050B1"/>
    <w:rsid w:val="76A46516"/>
    <w:rsid w:val="77884963"/>
    <w:rsid w:val="77D53A70"/>
    <w:rsid w:val="78092CE7"/>
    <w:rsid w:val="782414A9"/>
    <w:rsid w:val="78683EEF"/>
    <w:rsid w:val="78FA0EF3"/>
    <w:rsid w:val="78FE7A08"/>
    <w:rsid w:val="790626F8"/>
    <w:rsid w:val="79392E2C"/>
    <w:rsid w:val="799E2225"/>
    <w:rsid w:val="7A715D31"/>
    <w:rsid w:val="7AC2652D"/>
    <w:rsid w:val="7B340AAD"/>
    <w:rsid w:val="7BB57E40"/>
    <w:rsid w:val="7BD56D95"/>
    <w:rsid w:val="7BDC361F"/>
    <w:rsid w:val="7C0466D2"/>
    <w:rsid w:val="7C6C7F23"/>
    <w:rsid w:val="7CB3365B"/>
    <w:rsid w:val="7D0A70B7"/>
    <w:rsid w:val="7DB07A79"/>
    <w:rsid w:val="7DB168C9"/>
    <w:rsid w:val="7DB53B2F"/>
    <w:rsid w:val="7E0714B7"/>
    <w:rsid w:val="7ED13AC3"/>
    <w:rsid w:val="7F363046"/>
    <w:rsid w:val="7F7E1A0F"/>
    <w:rsid w:val="7FAA6E59"/>
    <w:rsid w:val="7FB0104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99"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qFormat="1"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38"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723"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44"/>
    <w:qFormat/>
    <w:uiPriority w:val="0"/>
    <w:pPr>
      <w:keepNext w:val="0"/>
      <w:keepLines w:val="0"/>
      <w:autoSpaceDE/>
      <w:autoSpaceDN/>
      <w:adjustRightInd/>
      <w:snapToGrid/>
      <w:spacing w:beforeLines="0" w:beforeAutospacing="0" w:afterLines="0" w:afterAutospacing="0" w:line="360" w:lineRule="auto"/>
      <w:ind w:left="0" w:firstLine="0" w:firstLineChars="0"/>
      <w:jc w:val="left"/>
      <w:outlineLvl w:val="0"/>
    </w:pPr>
    <w:rPr>
      <w:rFonts w:ascii="Times New Roman" w:hAnsi="Times New Roman" w:eastAsia="宋体"/>
      <w:b/>
      <w:bCs/>
      <w:sz w:val="32"/>
      <w:szCs w:val="32"/>
    </w:rPr>
  </w:style>
  <w:style w:type="paragraph" w:styleId="3">
    <w:name w:val="heading 2"/>
    <w:basedOn w:val="1"/>
    <w:next w:val="1"/>
    <w:link w:val="80"/>
    <w:unhideWhenUsed/>
    <w:qFormat/>
    <w:uiPriority w:val="0"/>
    <w:pPr>
      <w:widowControl w:val="0"/>
      <w:topLinePunct/>
      <w:spacing w:line="360" w:lineRule="auto"/>
      <w:ind w:firstLine="0" w:firstLineChars="0"/>
      <w:jc w:val="left"/>
      <w:outlineLvl w:val="1"/>
    </w:pPr>
    <w:rPr>
      <w:rFonts w:ascii="Times New Roman" w:hAnsi="Times New Roman" w:eastAsia="宋体"/>
      <w:b/>
      <w:sz w:val="30"/>
      <w:szCs w:val="28"/>
      <w:lang w:eastAsia="en-US" w:bidi="en-US"/>
    </w:rPr>
  </w:style>
  <w:style w:type="paragraph" w:styleId="4">
    <w:name w:val="heading 3"/>
    <w:basedOn w:val="1"/>
    <w:next w:val="1"/>
    <w:link w:val="45"/>
    <w:unhideWhenUsed/>
    <w:qFormat/>
    <w:uiPriority w:val="0"/>
    <w:pPr>
      <w:snapToGrid w:val="0"/>
      <w:ind w:firstLine="0" w:firstLineChars="0"/>
      <w:outlineLvl w:val="2"/>
    </w:pPr>
    <w:rPr>
      <w:rFonts w:ascii="Times New Roman" w:hAnsi="Times New Roman" w:cs="宋体"/>
      <w:b/>
      <w:sz w:val="28"/>
      <w:szCs w:val="28"/>
    </w:rPr>
  </w:style>
  <w:style w:type="paragraph" w:styleId="5">
    <w:name w:val="heading 4"/>
    <w:basedOn w:val="1"/>
    <w:next w:val="1"/>
    <w:unhideWhenUsed/>
    <w:qFormat/>
    <w:uiPriority w:val="0"/>
    <w:pPr>
      <w:keepNext/>
      <w:widowControl/>
      <w:overflowPunct w:val="0"/>
      <w:autoSpaceDE w:val="0"/>
      <w:autoSpaceDN w:val="0"/>
      <w:adjustRightInd w:val="0"/>
      <w:spacing w:line="360" w:lineRule="auto"/>
      <w:jc w:val="left"/>
      <w:outlineLvl w:val="3"/>
    </w:pPr>
    <w:rPr>
      <w:rFonts w:ascii="Times New Roman" w:hAnsi="Times New Roman"/>
      <w:b/>
      <w:kern w:val="28"/>
      <w:sz w:val="24"/>
    </w:rPr>
  </w:style>
  <w:style w:type="paragraph" w:styleId="6">
    <w:name w:val="heading 5"/>
    <w:basedOn w:val="1"/>
    <w:next w:val="1"/>
    <w:unhideWhenUsed/>
    <w:qFormat/>
    <w:uiPriority w:val="0"/>
    <w:pPr>
      <w:keepNext/>
      <w:keepLines/>
      <w:jc w:val="center"/>
      <w:outlineLvl w:val="4"/>
    </w:pPr>
    <w:rPr>
      <w:rFonts w:ascii="Times New Roman" w:hAnsi="Times New Roman" w:eastAsia="宋体"/>
      <w:b/>
      <w:bCs/>
      <w:szCs w:val="28"/>
    </w:rPr>
  </w:style>
  <w:style w:type="paragraph" w:styleId="7">
    <w:name w:val="heading 6"/>
    <w:basedOn w:val="1"/>
    <w:next w:val="1"/>
    <w:unhideWhenUsed/>
    <w:qFormat/>
    <w:uiPriority w:val="0"/>
    <w:pPr>
      <w:keepNext/>
      <w:keepLines/>
      <w:jc w:val="center"/>
      <w:outlineLvl w:val="5"/>
    </w:pPr>
    <w:rPr>
      <w:rFonts w:ascii="Times New Roman" w:hAnsi="Times New Roman" w:eastAsia="宋体" w:cstheme="majorBidi"/>
      <w:b/>
      <w:bCs/>
      <w:szCs w:val="24"/>
    </w:rPr>
  </w:style>
  <w:style w:type="character" w:default="1" w:styleId="35">
    <w:name w:val="Default Paragraph Font"/>
    <w:semiHidden/>
    <w:qFormat/>
    <w:uiPriority w:val="0"/>
  </w:style>
  <w:style w:type="table" w:default="1" w:styleId="33">
    <w:name w:val="Normal Table"/>
    <w:semiHidden/>
    <w:qFormat/>
    <w:uiPriority w:val="0"/>
    <w:tblPr>
      <w:tblCellMar>
        <w:top w:w="0" w:type="dxa"/>
        <w:left w:w="108" w:type="dxa"/>
        <w:bottom w:w="0" w:type="dxa"/>
        <w:right w:w="108" w:type="dxa"/>
      </w:tblCellMar>
    </w:tblPr>
  </w:style>
  <w:style w:type="paragraph" w:styleId="8">
    <w:name w:val="Normal Indent"/>
    <w:basedOn w:val="1"/>
    <w:next w:val="9"/>
    <w:qFormat/>
    <w:uiPriority w:val="0"/>
    <w:pPr>
      <w:spacing w:line="360" w:lineRule="auto"/>
      <w:ind w:firstLine="480"/>
    </w:pPr>
    <w:rPr>
      <w:rFonts w:ascii="宋体" w:hAnsi="宋体"/>
      <w:color w:val="000000"/>
      <w:sz w:val="24"/>
    </w:rPr>
  </w:style>
  <w:style w:type="paragraph" w:customStyle="1" w:styleId="9">
    <w:name w:val="样式 正文文本 + 首行缩进:  2 字符"/>
    <w:qFormat/>
    <w:uiPriority w:val="99"/>
    <w:pPr>
      <w:spacing w:after="200" w:line="480" w:lineRule="exact"/>
      <w:ind w:firstLine="480" w:firstLineChars="200"/>
      <w:jc w:val="center"/>
    </w:pPr>
    <w:rPr>
      <w:rFonts w:ascii="宋体" w:hAnsi="宋体" w:eastAsia="Calibri" w:cs="Times New Roman"/>
      <w:sz w:val="24"/>
      <w:szCs w:val="22"/>
      <w:lang w:val="en-US" w:eastAsia="zh-CN" w:bidi="ar-SA"/>
    </w:rPr>
  </w:style>
  <w:style w:type="paragraph" w:styleId="10">
    <w:name w:val="caption"/>
    <w:basedOn w:val="1"/>
    <w:next w:val="1"/>
    <w:qFormat/>
    <w:uiPriority w:val="0"/>
    <w:pPr>
      <w:spacing w:line="240" w:lineRule="auto"/>
      <w:ind w:firstLine="0" w:firstLineChars="0"/>
      <w:jc w:val="right"/>
    </w:pPr>
    <w:rPr>
      <w:rFonts w:ascii="Times New Roman" w:hAnsi="Times New Roman" w:eastAsia="黑体"/>
      <w:sz w:val="20"/>
    </w:rPr>
  </w:style>
  <w:style w:type="paragraph" w:styleId="11">
    <w:name w:val="List Bullet"/>
    <w:basedOn w:val="1"/>
    <w:qFormat/>
    <w:uiPriority w:val="0"/>
    <w:pPr>
      <w:numPr>
        <w:ilvl w:val="0"/>
        <w:numId w:val="1"/>
      </w:numPr>
    </w:pPr>
  </w:style>
  <w:style w:type="paragraph" w:styleId="12">
    <w:name w:val="annotation text"/>
    <w:basedOn w:val="1"/>
    <w:qFormat/>
    <w:uiPriority w:val="0"/>
    <w:pPr>
      <w:jc w:val="left"/>
    </w:pPr>
  </w:style>
  <w:style w:type="paragraph" w:styleId="13">
    <w:name w:val="Body Text 3"/>
    <w:basedOn w:val="1"/>
    <w:next w:val="1"/>
    <w:link w:val="130"/>
    <w:qFormat/>
    <w:uiPriority w:val="0"/>
    <w:pPr>
      <w:snapToGrid/>
      <w:spacing w:before="25" w:beforeLines="25" w:after="25" w:afterLines="25" w:line="360" w:lineRule="auto"/>
      <w:ind w:firstLine="600" w:firstLineChars="200"/>
      <w:jc w:val="both"/>
    </w:pPr>
    <w:rPr>
      <w:rFonts w:ascii="Times New Roman" w:hAnsi="Times New Roman" w:eastAsia="宋体"/>
      <w:kern w:val="0"/>
      <w:sz w:val="24"/>
      <w:szCs w:val="24"/>
    </w:rPr>
  </w:style>
  <w:style w:type="paragraph" w:styleId="14">
    <w:name w:val="Body Text"/>
    <w:basedOn w:val="1"/>
    <w:qFormat/>
    <w:uiPriority w:val="0"/>
    <w:pPr>
      <w:spacing w:after="120" w:afterLines="0" w:afterAutospacing="0"/>
    </w:pPr>
  </w:style>
  <w:style w:type="paragraph" w:styleId="15">
    <w:name w:val="Body Text Indent"/>
    <w:basedOn w:val="1"/>
    <w:unhideWhenUsed/>
    <w:qFormat/>
    <w:uiPriority w:val="0"/>
    <w:pPr>
      <w:widowControl/>
      <w:spacing w:after="120"/>
      <w:ind w:left="420" w:leftChars="200"/>
      <w:jc w:val="left"/>
    </w:pPr>
    <w:rPr>
      <w:rFonts w:ascii="宋体" w:hAnsi="宋体" w:eastAsia="宋体" w:cs="宋体"/>
      <w:kern w:val="0"/>
      <w:sz w:val="24"/>
      <w:szCs w:val="24"/>
    </w:rPr>
  </w:style>
  <w:style w:type="paragraph" w:styleId="16">
    <w:name w:val="HTML Address"/>
    <w:basedOn w:val="1"/>
    <w:qFormat/>
    <w:uiPriority w:val="0"/>
    <w:rPr>
      <w:i/>
    </w:rPr>
  </w:style>
  <w:style w:type="paragraph" w:styleId="17">
    <w:name w:val="Plain Text"/>
    <w:basedOn w:val="1"/>
    <w:qFormat/>
    <w:uiPriority w:val="0"/>
    <w:rPr>
      <w:rFonts w:ascii="宋体" w:hAnsi="Courier New" w:cs="宋体"/>
    </w:rPr>
  </w:style>
  <w:style w:type="paragraph" w:styleId="18">
    <w:name w:val="List Bullet 5"/>
    <w:basedOn w:val="1"/>
    <w:qFormat/>
    <w:uiPriority w:val="0"/>
    <w:pPr>
      <w:numPr>
        <w:ilvl w:val="0"/>
        <w:numId w:val="2"/>
      </w:numPr>
    </w:pPr>
  </w:style>
  <w:style w:type="paragraph" w:styleId="19">
    <w:name w:val="Body Text Indent 2"/>
    <w:basedOn w:val="1"/>
    <w:unhideWhenUsed/>
    <w:qFormat/>
    <w:uiPriority w:val="0"/>
    <w:pPr>
      <w:spacing w:after="120" w:line="480" w:lineRule="auto"/>
      <w:ind w:left="420" w:leftChars="200"/>
    </w:pPr>
  </w:style>
  <w:style w:type="paragraph" w:styleId="20">
    <w:name w:val="Balloon Text"/>
    <w:basedOn w:val="1"/>
    <w:semiHidden/>
    <w:qFormat/>
    <w:uiPriority w:val="0"/>
    <w:rPr>
      <w:kern w:val="0"/>
      <w:sz w:val="18"/>
      <w:szCs w:val="20"/>
    </w:rPr>
  </w:style>
  <w:style w:type="paragraph" w:styleId="21">
    <w:name w:val="footer"/>
    <w:basedOn w:val="1"/>
    <w:qFormat/>
    <w:uiPriority w:val="99"/>
    <w:pPr>
      <w:tabs>
        <w:tab w:val="center" w:pos="4153"/>
        <w:tab w:val="right" w:pos="8306"/>
      </w:tabs>
      <w:snapToGrid w:val="0"/>
      <w:jc w:val="left"/>
    </w:pPr>
    <w:rPr>
      <w:sz w:val="18"/>
    </w:rPr>
  </w:style>
  <w:style w:type="paragraph" w:styleId="22">
    <w:name w:val="header"/>
    <w:basedOn w:val="1"/>
    <w:next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23">
    <w:name w:val="toc 1"/>
    <w:basedOn w:val="1"/>
    <w:next w:val="1"/>
    <w:qFormat/>
    <w:uiPriority w:val="0"/>
    <w:pPr>
      <w:ind w:firstLine="0" w:firstLineChars="0"/>
    </w:pPr>
    <w:rPr>
      <w:rFonts w:ascii="Times New Roman" w:hAnsi="Times New Roman" w:eastAsia="宋体"/>
      <w:b/>
      <w:sz w:val="28"/>
    </w:rPr>
  </w:style>
  <w:style w:type="paragraph" w:styleId="24">
    <w:name w:val="index heading"/>
    <w:basedOn w:val="1"/>
    <w:next w:val="25"/>
    <w:qFormat/>
    <w:uiPriority w:val="0"/>
    <w:pPr>
      <w:widowControl w:val="0"/>
      <w:spacing w:after="0"/>
      <w:jc w:val="both"/>
    </w:pPr>
    <w:rPr>
      <w:rFonts w:ascii="Times New Roman" w:hAnsi="Times New Roman" w:eastAsia="宋体" w:cs="Times New Roman"/>
      <w:kern w:val="2"/>
      <w:sz w:val="21"/>
      <w:szCs w:val="20"/>
      <w:lang w:val="en-US" w:eastAsia="zh-CN" w:bidi="ar-SA"/>
    </w:rPr>
  </w:style>
  <w:style w:type="paragraph" w:styleId="25">
    <w:name w:val="index 1"/>
    <w:basedOn w:val="1"/>
    <w:next w:val="1"/>
    <w:qFormat/>
    <w:uiPriority w:val="0"/>
    <w:pPr>
      <w:widowControl w:val="0"/>
      <w:spacing w:after="0"/>
      <w:jc w:val="center"/>
    </w:pPr>
    <w:rPr>
      <w:rFonts w:ascii="Times New Roman" w:hAnsi="Times New Roman" w:eastAsia="宋体" w:cs="Times New Roman"/>
      <w:kern w:val="2"/>
      <w:sz w:val="21"/>
      <w:szCs w:val="20"/>
      <w:lang w:val="en-US" w:eastAsia="zh-CN" w:bidi="ar-SA"/>
    </w:rPr>
  </w:style>
  <w:style w:type="paragraph" w:styleId="26">
    <w:name w:val="toc 2"/>
    <w:basedOn w:val="1"/>
    <w:next w:val="1"/>
    <w:qFormat/>
    <w:uiPriority w:val="0"/>
    <w:pPr>
      <w:tabs>
        <w:tab w:val="right" w:leader="dot" w:pos="8720"/>
      </w:tabs>
      <w:spacing w:line="360" w:lineRule="auto"/>
      <w:ind w:firstLine="1044" w:firstLineChars="200"/>
    </w:pPr>
    <w:rPr>
      <w:rFonts w:ascii="Times New Roman" w:hAnsi="Times New Roman" w:eastAsia="宋体"/>
      <w:spacing w:val="10"/>
      <w:sz w:val="24"/>
      <w:szCs w:val="28"/>
    </w:rPr>
  </w:style>
  <w:style w:type="paragraph" w:styleId="27">
    <w:name w:val="Body Text 2"/>
    <w:basedOn w:val="1"/>
    <w:qFormat/>
    <w:uiPriority w:val="0"/>
    <w:pPr>
      <w:jc w:val="center"/>
    </w:pPr>
  </w:style>
  <w:style w:type="paragraph" w:styleId="28">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29">
    <w:name w:val="Normal (Web)"/>
    <w:basedOn w:val="1"/>
    <w:qFormat/>
    <w:uiPriority w:val="0"/>
    <w:pPr>
      <w:spacing w:beforeAutospacing="1" w:afterAutospacing="1"/>
      <w:jc w:val="left"/>
    </w:pPr>
    <w:rPr>
      <w:kern w:val="0"/>
      <w:sz w:val="24"/>
    </w:rPr>
  </w:style>
  <w:style w:type="paragraph" w:styleId="30">
    <w:name w:val="Title"/>
    <w:basedOn w:val="1"/>
    <w:next w:val="1"/>
    <w:qFormat/>
    <w:uiPriority w:val="99"/>
    <w:pPr>
      <w:tabs>
        <w:tab w:val="left" w:pos="1414"/>
        <w:tab w:val="center" w:pos="4153"/>
      </w:tabs>
      <w:ind w:firstLine="0" w:firstLineChars="0"/>
      <w:jc w:val="center"/>
    </w:pPr>
    <w:rPr>
      <w:rFonts w:eastAsia="黑体"/>
      <w:bCs/>
      <w:szCs w:val="32"/>
      <w:lang w:val="zh-CN"/>
    </w:rPr>
  </w:style>
  <w:style w:type="paragraph" w:styleId="31">
    <w:name w:val="Body Text First Indent"/>
    <w:basedOn w:val="14"/>
    <w:next w:val="1"/>
    <w:unhideWhenUsed/>
    <w:qFormat/>
    <w:uiPriority w:val="0"/>
    <w:pPr>
      <w:widowControl/>
      <w:spacing w:after="120"/>
      <w:ind w:firstLine="420" w:firstLineChars="100"/>
      <w:jc w:val="left"/>
    </w:pPr>
    <w:rPr>
      <w:rFonts w:ascii="宋体" w:hAnsi="宋体" w:eastAsia="宋体" w:cs="宋体"/>
      <w:kern w:val="0"/>
      <w:sz w:val="24"/>
      <w:szCs w:val="24"/>
    </w:rPr>
  </w:style>
  <w:style w:type="paragraph" w:styleId="32">
    <w:name w:val="Body Text First Indent 2"/>
    <w:basedOn w:val="15"/>
    <w:next w:val="1"/>
    <w:qFormat/>
    <w:uiPriority w:val="0"/>
    <w:pPr>
      <w:widowControl w:val="0"/>
      <w:ind w:firstLine="420" w:firstLineChars="200"/>
      <w:jc w:val="both"/>
    </w:pPr>
    <w:rPr>
      <w:rFonts w:hAnsi="Times New Roman" w:cs="Times New Roman"/>
      <w:spacing w:val="5"/>
      <w:kern w:val="2"/>
      <w:sz w:val="25"/>
      <w:szCs w:val="25"/>
    </w:rPr>
  </w:style>
  <w:style w:type="table" w:styleId="34">
    <w:name w:val="Table Grid"/>
    <w:basedOn w:val="33"/>
    <w:qFormat/>
    <w:uiPriority w:val="38"/>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6">
    <w:name w:val="Emphasis"/>
    <w:basedOn w:val="35"/>
    <w:qFormat/>
    <w:uiPriority w:val="0"/>
    <w:rPr>
      <w:i/>
    </w:rPr>
  </w:style>
  <w:style w:type="character" w:styleId="37">
    <w:name w:val="Hyperlink"/>
    <w:basedOn w:val="35"/>
    <w:qFormat/>
    <w:uiPriority w:val="0"/>
    <w:rPr>
      <w:color w:val="0000FF"/>
      <w:u w:val="single"/>
    </w:rPr>
  </w:style>
  <w:style w:type="paragraph" w:customStyle="1" w:styleId="38">
    <w:name w:val="样式 正文首行缩进 + 首行缩进:  2 字符1"/>
    <w:basedOn w:val="31"/>
    <w:next w:val="23"/>
    <w:qFormat/>
    <w:uiPriority w:val="0"/>
    <w:pPr>
      <w:spacing w:after="0" w:line="360" w:lineRule="auto"/>
      <w:ind w:firstLine="480" w:firstLineChars="200"/>
    </w:pPr>
    <w:rPr>
      <w:rFonts w:ascii="Times New Roman" w:hAnsi="Times New Roman"/>
      <w:sz w:val="24"/>
      <w:szCs w:val="24"/>
    </w:rPr>
  </w:style>
  <w:style w:type="paragraph" w:customStyle="1" w:styleId="39">
    <w:name w:val="表格"/>
    <w:basedOn w:val="8"/>
    <w:next w:val="27"/>
    <w:qFormat/>
    <w:uiPriority w:val="0"/>
    <w:pPr>
      <w:adjustRightInd w:val="0"/>
      <w:snapToGrid w:val="0"/>
      <w:spacing w:beforeLines="10" w:afterLines="10" w:line="259" w:lineRule="auto"/>
      <w:jc w:val="center"/>
    </w:pPr>
    <w:rPr>
      <w:rFonts w:ascii="宋体"/>
      <w:kern w:val="0"/>
      <w:sz w:val="20"/>
      <w:szCs w:val="21"/>
    </w:rPr>
  </w:style>
  <w:style w:type="paragraph" w:customStyle="1" w:styleId="40">
    <w:name w:val="Default"/>
    <w:basedOn w:val="41"/>
    <w:qFormat/>
    <w:uiPriority w:val="0"/>
    <w:pPr>
      <w:widowControl w:val="0"/>
      <w:tabs>
        <w:tab w:val="left" w:pos="0"/>
        <w:tab w:val="left" w:pos="2760"/>
        <w:tab w:val="left" w:pos="7012"/>
      </w:tabs>
      <w:autoSpaceDE w:val="0"/>
      <w:autoSpaceDN w:val="0"/>
      <w:adjustRightInd w:val="0"/>
    </w:pPr>
    <w:rPr>
      <w:rFonts w:ascii="宋体" w:hAnsi="Times New Roman" w:eastAsia="宋体" w:cs="宋体"/>
      <w:color w:val="000000"/>
      <w:sz w:val="24"/>
      <w:szCs w:val="24"/>
      <w:lang w:val="en-US" w:eastAsia="zh-CN" w:bidi="ar-SA"/>
    </w:rPr>
  </w:style>
  <w:style w:type="paragraph" w:customStyle="1" w:styleId="41">
    <w:name w:val="纯文本1"/>
    <w:basedOn w:val="1"/>
    <w:qFormat/>
    <w:uiPriority w:val="0"/>
    <w:pPr>
      <w:tabs>
        <w:tab w:val="left" w:pos="2760"/>
      </w:tabs>
      <w:adjustRightInd w:val="0"/>
    </w:pPr>
    <w:rPr>
      <w:rFonts w:ascii="宋体" w:hAnsi="Courier New" w:eastAsia="宋体" w:cs="Times New Roman"/>
      <w:szCs w:val="20"/>
    </w:rPr>
  </w:style>
  <w:style w:type="paragraph" w:customStyle="1" w:styleId="42">
    <w:name w:val="1 表头"/>
    <w:basedOn w:val="1"/>
    <w:qFormat/>
    <w:uiPriority w:val="0"/>
    <w:pPr>
      <w:adjustRightInd w:val="0"/>
      <w:snapToGrid w:val="0"/>
      <w:spacing w:line="240" w:lineRule="auto"/>
      <w:ind w:firstLine="0" w:firstLineChars="0"/>
      <w:jc w:val="center"/>
    </w:pPr>
    <w:rPr>
      <w:b/>
      <w:color w:val="000000"/>
      <w:sz w:val="21"/>
      <w:szCs w:val="21"/>
    </w:rPr>
  </w:style>
  <w:style w:type="paragraph" w:customStyle="1" w:styleId="43">
    <w:name w:val="样式1"/>
    <w:basedOn w:val="24"/>
    <w:next w:val="1"/>
    <w:qFormat/>
    <w:uiPriority w:val="0"/>
    <w:pPr>
      <w:topLinePunct/>
      <w:spacing w:line="360" w:lineRule="auto"/>
      <w:ind w:firstLine="480" w:firstLineChars="200"/>
    </w:pPr>
    <w:rPr>
      <w:rFonts w:ascii="Times New Roman" w:hAnsi="Times New Roman" w:eastAsia="宋体" w:cs="Times New Roman"/>
      <w:color w:val="000000"/>
      <w:sz w:val="24"/>
      <w:szCs w:val="24"/>
    </w:rPr>
  </w:style>
  <w:style w:type="character" w:customStyle="1" w:styleId="44">
    <w:name w:val="标题 1 Char"/>
    <w:link w:val="2"/>
    <w:qFormat/>
    <w:uiPriority w:val="0"/>
    <w:rPr>
      <w:rFonts w:ascii="Times New Roman" w:hAnsi="Times New Roman" w:eastAsia="宋体" w:cs="宋体"/>
      <w:b/>
      <w:bCs/>
      <w:kern w:val="0"/>
      <w:sz w:val="32"/>
      <w:szCs w:val="32"/>
    </w:rPr>
  </w:style>
  <w:style w:type="character" w:customStyle="1" w:styleId="45">
    <w:name w:val="标题 3 Char"/>
    <w:link w:val="4"/>
    <w:qFormat/>
    <w:uiPriority w:val="0"/>
    <w:rPr>
      <w:rFonts w:ascii="Times New Roman" w:hAnsi="Times New Roman" w:eastAsia="宋体" w:cs="宋体"/>
      <w:b/>
      <w:sz w:val="28"/>
      <w:szCs w:val="22"/>
    </w:rPr>
  </w:style>
  <w:style w:type="paragraph" w:customStyle="1" w:styleId="46">
    <w:name w:val="xl27"/>
    <w:basedOn w:val="1"/>
    <w:qFormat/>
    <w:uiPriority w:val="0"/>
    <w:pPr>
      <w:widowControl/>
      <w:pBdr>
        <w:top w:val="single" w:color="auto" w:sz="4" w:space="0"/>
        <w:left w:val="single" w:color="auto" w:sz="4" w:space="0"/>
        <w:bottom w:val="single" w:color="auto" w:sz="4" w:space="0"/>
        <w:right w:val="single" w:color="auto" w:sz="4" w:space="0"/>
      </w:pBdr>
      <w:autoSpaceDE/>
      <w:autoSpaceDN/>
      <w:adjustRightInd/>
      <w:spacing w:before="100" w:beforeAutospacing="1" w:after="100" w:afterAutospacing="1"/>
    </w:pPr>
    <w:rPr>
      <w:rFonts w:ascii="Arial Unicode MS" w:hAnsi="Arial Unicode MS" w:eastAsia="Arial Unicode MS" w:cs="Arial Unicode MS"/>
      <w:sz w:val="18"/>
      <w:szCs w:val="18"/>
    </w:rPr>
  </w:style>
  <w:style w:type="paragraph" w:customStyle="1" w:styleId="47">
    <w:name w:val="正文-GC"/>
    <w:basedOn w:val="48"/>
    <w:qFormat/>
    <w:uiPriority w:val="0"/>
    <w:pPr>
      <w:spacing w:line="400" w:lineRule="exact"/>
      <w:ind w:firstLine="482"/>
    </w:pPr>
    <w:rPr>
      <w:sz w:val="22"/>
    </w:rPr>
  </w:style>
  <w:style w:type="paragraph" w:customStyle="1" w:styleId="48">
    <w:name w:val="00正文表格"/>
    <w:basedOn w:val="1"/>
    <w:next w:val="1"/>
    <w:qFormat/>
    <w:uiPriority w:val="0"/>
    <w:pPr>
      <w:widowControl/>
      <w:spacing w:line="440" w:lineRule="atLeast"/>
      <w:ind w:firstLine="480" w:firstLineChars="200"/>
      <w:jc w:val="left"/>
    </w:pPr>
    <w:rPr>
      <w:rFonts w:ascii="Times New Roman" w:hAnsi="Times New Roman" w:eastAsia="宋体" w:cs="Times New Roman"/>
      <w:color w:val="000000"/>
      <w:kern w:val="0"/>
      <w:sz w:val="24"/>
      <w:szCs w:val="24"/>
    </w:rPr>
  </w:style>
  <w:style w:type="paragraph" w:customStyle="1" w:styleId="49">
    <w:name w:val="正文-ZZ"/>
    <w:qFormat/>
    <w:uiPriority w:val="0"/>
    <w:pPr>
      <w:spacing w:line="360" w:lineRule="auto"/>
      <w:ind w:firstLine="200" w:firstLineChars="200"/>
      <w:jc w:val="both"/>
    </w:pPr>
    <w:rPr>
      <w:rFonts w:ascii="Times New Roman" w:hAnsi="Times New Roman" w:eastAsia="宋体" w:cs="Times New Roman"/>
      <w:kern w:val="2"/>
      <w:sz w:val="24"/>
      <w:lang w:val="en-US" w:eastAsia="zh-CN" w:bidi="ar-SA"/>
    </w:rPr>
  </w:style>
  <w:style w:type="paragraph" w:customStyle="1" w:styleId="50">
    <w:name w:val="PlainText"/>
    <w:basedOn w:val="1"/>
    <w:qFormat/>
    <w:uiPriority w:val="0"/>
    <w:pPr>
      <w:spacing w:line="240" w:lineRule="auto"/>
      <w:jc w:val="both"/>
      <w:textAlignment w:val="baseline"/>
    </w:pPr>
    <w:rPr>
      <w:rFonts w:ascii="宋体" w:hAnsi="Courier New" w:eastAsia="宋体"/>
      <w:kern w:val="0"/>
      <w:sz w:val="21"/>
      <w:szCs w:val="20"/>
      <w:lang w:val="en-US" w:eastAsia="zh-CN" w:bidi="ar-SA"/>
    </w:rPr>
  </w:style>
  <w:style w:type="paragraph" w:customStyle="1" w:styleId="51">
    <w:name w:val="正文1"/>
    <w:basedOn w:val="52"/>
    <w:qFormat/>
    <w:uiPriority w:val="0"/>
    <w:pPr>
      <w:tabs>
        <w:tab w:val="left" w:pos="0"/>
        <w:tab w:val="left" w:pos="2760"/>
        <w:tab w:val="left" w:pos="7012"/>
      </w:tabs>
      <w:adjustRightInd w:val="0"/>
      <w:textAlignment w:val="baseline"/>
    </w:pPr>
    <w:rPr>
      <w:rFonts w:ascii="Times New Roman" w:hAnsi="Times New Roman"/>
      <w:kern w:val="0"/>
      <w:sz w:val="30"/>
      <w:szCs w:val="20"/>
    </w:rPr>
  </w:style>
  <w:style w:type="paragraph" w:customStyle="1" w:styleId="52">
    <w:name w:val="四级"/>
    <w:basedOn w:val="53"/>
    <w:qFormat/>
    <w:uiPriority w:val="0"/>
    <w:pPr>
      <w:ind w:firstLine="200" w:firstLineChars="200"/>
      <w:outlineLvl w:val="3"/>
    </w:pPr>
    <w:rPr>
      <w:sz w:val="28"/>
    </w:rPr>
  </w:style>
  <w:style w:type="paragraph" w:customStyle="1" w:styleId="53">
    <w:name w:val="三级"/>
    <w:basedOn w:val="54"/>
    <w:qFormat/>
    <w:uiPriority w:val="0"/>
    <w:pPr>
      <w:outlineLvl w:val="2"/>
    </w:pPr>
    <w:rPr>
      <w:sz w:val="30"/>
    </w:rPr>
  </w:style>
  <w:style w:type="paragraph" w:customStyle="1" w:styleId="54">
    <w:name w:val="二级"/>
    <w:basedOn w:val="55"/>
    <w:next w:val="51"/>
    <w:qFormat/>
    <w:uiPriority w:val="0"/>
    <w:pPr>
      <w:spacing w:line="415" w:lineRule="auto"/>
      <w:outlineLvl w:val="1"/>
    </w:pPr>
    <w:rPr>
      <w:kern w:val="0"/>
      <w:sz w:val="32"/>
      <w:szCs w:val="20"/>
    </w:rPr>
  </w:style>
  <w:style w:type="paragraph" w:customStyle="1" w:styleId="55">
    <w:name w:val="一级"/>
    <w:basedOn w:val="1"/>
    <w:next w:val="1"/>
    <w:qFormat/>
    <w:uiPriority w:val="0"/>
    <w:pPr>
      <w:ind w:firstLine="539"/>
    </w:pPr>
    <w:rPr>
      <w:rFonts w:ascii="Times New Roman" w:hAnsi="Times New Roman"/>
      <w:b/>
      <w:sz w:val="28"/>
      <w:szCs w:val="20"/>
    </w:rPr>
  </w:style>
  <w:style w:type="paragraph" w:customStyle="1" w:styleId="56">
    <w:name w:val="环保正文"/>
    <w:basedOn w:val="1"/>
    <w:qFormat/>
    <w:uiPriority w:val="0"/>
    <w:pPr>
      <w:widowControl/>
      <w:tabs>
        <w:tab w:val="left" w:pos="0"/>
        <w:tab w:val="left" w:pos="7012"/>
      </w:tabs>
      <w:autoSpaceDE w:val="0"/>
      <w:autoSpaceDN w:val="0"/>
      <w:spacing w:line="360" w:lineRule="auto"/>
      <w:ind w:firstLine="200" w:firstLineChars="200"/>
    </w:pPr>
    <w:rPr>
      <w:rFonts w:ascii="Times New Roman" w:hAnsi="Times New Roman" w:cs="宋体"/>
      <w:kern w:val="0"/>
      <w:sz w:val="24"/>
      <w:szCs w:val="22"/>
      <w:lang w:eastAsia="en-US" w:bidi="en-US"/>
    </w:rPr>
  </w:style>
  <w:style w:type="paragraph" w:customStyle="1" w:styleId="57">
    <w:name w:val="文本"/>
    <w:basedOn w:val="58"/>
    <w:qFormat/>
    <w:uiPriority w:val="0"/>
    <w:pPr>
      <w:ind w:firstLine="200"/>
    </w:pPr>
    <w:rPr>
      <w:rFonts w:ascii="Times New Roman" w:hAnsi="Times New Roman" w:eastAsia="宋体" w:cs="Times New Roman"/>
      <w:color w:val="auto"/>
    </w:rPr>
  </w:style>
  <w:style w:type="paragraph" w:customStyle="1" w:styleId="58">
    <w:name w:val="[1]正文"/>
    <w:basedOn w:val="1"/>
    <w:qFormat/>
    <w:uiPriority w:val="0"/>
    <w:pPr>
      <w:adjustRightInd w:val="0"/>
      <w:snapToGrid w:val="0"/>
      <w:spacing w:line="360" w:lineRule="auto"/>
      <w:ind w:firstLine="200" w:firstLineChars="200"/>
    </w:pPr>
    <w:rPr>
      <w:rFonts w:ascii="Times New Roman" w:hAnsi="Times New Roman"/>
      <w:szCs w:val="28"/>
    </w:rPr>
  </w:style>
  <w:style w:type="paragraph" w:customStyle="1" w:styleId="59">
    <w:name w:val="正文固定格式"/>
    <w:basedOn w:val="1"/>
    <w:qFormat/>
    <w:uiPriority w:val="0"/>
    <w:pPr>
      <w:spacing w:line="500" w:lineRule="exact"/>
      <w:ind w:firstLine="480" w:firstLineChars="200"/>
    </w:pPr>
    <w:rPr>
      <w:rFonts w:cs="宋体"/>
      <w:sz w:val="24"/>
      <w:szCs w:val="22"/>
    </w:rPr>
  </w:style>
  <w:style w:type="paragraph" w:customStyle="1" w:styleId="60">
    <w:name w:val="段落1"/>
    <w:basedOn w:val="1"/>
    <w:qFormat/>
    <w:uiPriority w:val="0"/>
    <w:pPr>
      <w:widowControl/>
      <w:tabs>
        <w:tab w:val="left" w:pos="142"/>
        <w:tab w:val="left" w:pos="3420"/>
        <w:tab w:val="left" w:pos="4140"/>
        <w:tab w:val="left" w:pos="5580"/>
      </w:tabs>
      <w:spacing w:line="360" w:lineRule="auto"/>
      <w:ind w:firstLine="472" w:firstLineChars="200"/>
    </w:pPr>
    <w:rPr>
      <w:color w:val="000000"/>
      <w:spacing w:val="-2"/>
      <w:sz w:val="24"/>
    </w:rPr>
  </w:style>
  <w:style w:type="paragraph" w:customStyle="1" w:styleId="61">
    <w:name w:val="样式 标题 2 + 段前: 7.8 磅 段后: 7.8 磅 行距: 1.5 倍行距"/>
    <w:basedOn w:val="3"/>
    <w:qFormat/>
    <w:uiPriority w:val="0"/>
    <w:pPr>
      <w:spacing w:before="156" w:after="156" w:line="360" w:lineRule="auto"/>
    </w:pPr>
    <w:rPr>
      <w:rFonts w:ascii="Times New Roman" w:hAnsi="Times New Roman" w:cs="宋体"/>
      <w:b w:val="0"/>
      <w:sz w:val="30"/>
      <w:szCs w:val="20"/>
    </w:rPr>
  </w:style>
  <w:style w:type="paragraph" w:customStyle="1" w:styleId="62">
    <w:name w:val="样式 标题4"/>
    <w:basedOn w:val="5"/>
    <w:qFormat/>
    <w:uiPriority w:val="0"/>
    <w:pPr>
      <w:keepLines/>
      <w:spacing w:line="360" w:lineRule="auto"/>
      <w:jc w:val="both"/>
    </w:pPr>
    <w:rPr>
      <w:bCs/>
      <w:sz w:val="24"/>
    </w:rPr>
  </w:style>
  <w:style w:type="paragraph" w:customStyle="1" w:styleId="63">
    <w:name w:val="自定正文"/>
    <w:basedOn w:val="1"/>
    <w:qFormat/>
    <w:uiPriority w:val="0"/>
    <w:pPr>
      <w:snapToGrid w:val="0"/>
      <w:spacing w:line="360" w:lineRule="auto"/>
      <w:ind w:firstLine="200" w:firstLineChars="200"/>
      <w:textAlignment w:val="center"/>
    </w:pPr>
    <w:rPr>
      <w:rFonts w:ascii="Arial" w:hAnsi="Arial"/>
      <w:snapToGrid w:val="0"/>
      <w:color w:val="000000"/>
      <w:sz w:val="24"/>
      <w:szCs w:val="20"/>
    </w:rPr>
  </w:style>
  <w:style w:type="paragraph" w:customStyle="1" w:styleId="64">
    <w:name w:val="自定表格"/>
    <w:basedOn w:val="1"/>
    <w:qFormat/>
    <w:uiPriority w:val="0"/>
    <w:pPr>
      <w:autoSpaceDE w:val="0"/>
      <w:autoSpaceDN w:val="0"/>
      <w:adjustRightInd w:val="0"/>
      <w:jc w:val="center"/>
      <w:textAlignment w:val="center"/>
    </w:pPr>
    <w:rPr>
      <w:rFonts w:ascii="Arial" w:hAnsi="Arial"/>
      <w:kern w:val="0"/>
      <w:szCs w:val="20"/>
    </w:rPr>
  </w:style>
  <w:style w:type="paragraph" w:customStyle="1" w:styleId="65">
    <w:name w:val="君邦正文"/>
    <w:qFormat/>
    <w:uiPriority w:val="0"/>
    <w:pPr>
      <w:snapToGrid w:val="0"/>
      <w:spacing w:after="60" w:line="360" w:lineRule="auto"/>
      <w:ind w:firstLine="480" w:firstLineChars="200"/>
      <w:jc w:val="both"/>
    </w:pPr>
    <w:rPr>
      <w:rFonts w:ascii="Times New Roman" w:hAnsi="Times New Roman" w:eastAsia="宋体" w:cs="Times New Roman"/>
      <w:sz w:val="24"/>
      <w:lang w:val="en-US" w:eastAsia="zh-CN" w:bidi="ar-SA"/>
    </w:rPr>
  </w:style>
  <w:style w:type="table" w:customStyle="1" w:styleId="66">
    <w:name w:val="Table Normal"/>
    <w:semiHidden/>
    <w:unhideWhenUsed/>
    <w:qFormat/>
    <w:uiPriority w:val="0"/>
    <w:tblPr>
      <w:tblCellMar>
        <w:top w:w="0" w:type="dxa"/>
        <w:left w:w="0" w:type="dxa"/>
        <w:bottom w:w="0" w:type="dxa"/>
        <w:right w:w="0" w:type="dxa"/>
      </w:tblCellMar>
    </w:tblPr>
  </w:style>
  <w:style w:type="paragraph" w:customStyle="1" w:styleId="67">
    <w:name w:val="1正文段落"/>
    <w:basedOn w:val="1"/>
    <w:qFormat/>
    <w:uiPriority w:val="0"/>
    <w:pPr>
      <w:spacing w:line="360" w:lineRule="auto"/>
      <w:ind w:firstLine="200" w:firstLineChars="200"/>
      <w:jc w:val="left"/>
    </w:pPr>
    <w:rPr>
      <w:snapToGrid w:val="0"/>
      <w:sz w:val="24"/>
    </w:rPr>
  </w:style>
  <w:style w:type="paragraph" w:customStyle="1" w:styleId="68">
    <w:name w:val="表格内容"/>
    <w:basedOn w:val="69"/>
    <w:qFormat/>
    <w:uiPriority w:val="0"/>
    <w:pPr>
      <w:spacing w:line="280" w:lineRule="exact"/>
      <w:jc w:val="center"/>
    </w:pPr>
    <w:rPr>
      <w:rFonts w:ascii="宋体" w:hAnsi="宋体"/>
      <w:snapToGrid w:val="0"/>
      <w:sz w:val="18"/>
    </w:rPr>
  </w:style>
  <w:style w:type="paragraph" w:customStyle="1" w:styleId="69">
    <w:name w:val="表格标题"/>
    <w:basedOn w:val="10"/>
    <w:qFormat/>
    <w:uiPriority w:val="0"/>
    <w:pPr>
      <w:adjustRightInd/>
      <w:snapToGrid/>
      <w:spacing w:line="360" w:lineRule="auto"/>
      <w:ind w:firstLine="0" w:firstLineChars="0"/>
      <w:jc w:val="center"/>
    </w:pPr>
    <w:rPr>
      <w:rFonts w:eastAsia="宋体" w:cs="Arial"/>
      <w:b/>
      <w:sz w:val="21"/>
    </w:rPr>
  </w:style>
  <w:style w:type="paragraph" w:customStyle="1" w:styleId="70">
    <w:name w:val="6表内容"/>
    <w:basedOn w:val="1"/>
    <w:qFormat/>
    <w:uiPriority w:val="0"/>
    <w:pPr>
      <w:spacing w:line="340" w:lineRule="exact"/>
      <w:jc w:val="center"/>
    </w:pPr>
    <w:rPr>
      <w:rFonts w:cs="宋体"/>
      <w:color w:val="000000"/>
    </w:rPr>
  </w:style>
  <w:style w:type="paragraph" w:customStyle="1" w:styleId="71">
    <w:name w:val="样式5"/>
    <w:basedOn w:val="1"/>
    <w:qFormat/>
    <w:uiPriority w:val="0"/>
    <w:pPr>
      <w:snapToGrid w:val="0"/>
      <w:spacing w:line="540" w:lineRule="exact"/>
      <w:ind w:firstLine="482"/>
    </w:pPr>
    <w:rPr>
      <w:rFonts w:ascii="宋体" w:hAnsi="宋体"/>
      <w:spacing w:val="-6"/>
      <w:kern w:val="0"/>
      <w:sz w:val="28"/>
      <w:szCs w:val="28"/>
    </w:rPr>
  </w:style>
  <w:style w:type="paragraph" w:customStyle="1" w:styleId="72">
    <w:name w:val="表格内容新"/>
    <w:basedOn w:val="1"/>
    <w:qFormat/>
    <w:uiPriority w:val="0"/>
    <w:pPr>
      <w:tabs>
        <w:tab w:val="left" w:pos="1451"/>
      </w:tabs>
      <w:adjustRightInd w:val="0"/>
      <w:snapToGrid w:val="0"/>
      <w:ind w:left="-122" w:leftChars="-51" w:right="-142" w:rightChars="-59"/>
      <w:jc w:val="center"/>
    </w:pPr>
    <w:rPr>
      <w:rFonts w:cs="宋体"/>
      <w:spacing w:val="-2"/>
      <w:szCs w:val="21"/>
    </w:rPr>
  </w:style>
  <w:style w:type="paragraph" w:customStyle="1" w:styleId="73">
    <w:name w:val="Table Text"/>
    <w:basedOn w:val="1"/>
    <w:semiHidden/>
    <w:qFormat/>
    <w:uiPriority w:val="0"/>
    <w:rPr>
      <w:rFonts w:ascii="宋体" w:hAnsi="宋体" w:eastAsia="宋体" w:cs="宋体"/>
      <w:sz w:val="20"/>
      <w:szCs w:val="20"/>
      <w:lang w:val="en-US" w:eastAsia="en-US" w:bidi="ar-SA"/>
    </w:rPr>
  </w:style>
  <w:style w:type="paragraph" w:customStyle="1" w:styleId="74">
    <w:name w:val="样式13"/>
    <w:basedOn w:val="1"/>
    <w:qFormat/>
    <w:uiPriority w:val="0"/>
    <w:pPr>
      <w:adjustRightInd w:val="0"/>
      <w:snapToGrid w:val="0"/>
      <w:spacing w:before="156" w:beforeLines="50" w:line="360" w:lineRule="auto"/>
      <w:ind w:left="209" w:hanging="209" w:hangingChars="87"/>
    </w:pPr>
    <w:rPr>
      <w:sz w:val="24"/>
      <w:szCs w:val="20"/>
    </w:rPr>
  </w:style>
  <w:style w:type="character" w:customStyle="1" w:styleId="75">
    <w:name w:val="font91"/>
    <w:qFormat/>
    <w:uiPriority w:val="0"/>
    <w:rPr>
      <w:rFonts w:hint="eastAsia" w:ascii="宋体" w:hAnsi="宋体" w:eastAsia="宋体" w:cs="宋体"/>
      <w:color w:val="000000"/>
      <w:sz w:val="20"/>
      <w:szCs w:val="20"/>
      <w:u w:val="none"/>
    </w:rPr>
  </w:style>
  <w:style w:type="paragraph" w:customStyle="1" w:styleId="76">
    <w:name w:val="表头"/>
    <w:basedOn w:val="29"/>
    <w:qFormat/>
    <w:uiPriority w:val="0"/>
    <w:pPr>
      <w:spacing w:before="25" w:beforeLines="25" w:after="25" w:afterLines="25" w:line="360" w:lineRule="auto"/>
      <w:jc w:val="center"/>
    </w:pPr>
    <w:rPr>
      <w:b/>
      <w:spacing w:val="10"/>
      <w:sz w:val="24"/>
      <w:szCs w:val="20"/>
    </w:rPr>
  </w:style>
  <w:style w:type="paragraph" w:customStyle="1" w:styleId="77">
    <w:name w:val="报告正文"/>
    <w:basedOn w:val="78"/>
    <w:qFormat/>
    <w:uiPriority w:val="0"/>
    <w:pPr>
      <w:widowControl w:val="0"/>
      <w:snapToGrid w:val="0"/>
      <w:spacing w:line="360" w:lineRule="auto"/>
      <w:ind w:firstLine="200" w:firstLineChars="200"/>
    </w:pPr>
    <w:rPr>
      <w:rFonts w:ascii="Times New Roman" w:hAnsi="Times New Roman" w:eastAsia="宋体" w:cs="Times New Roman"/>
      <w:snapToGrid w:val="0"/>
      <w:sz w:val="24"/>
      <w:szCs w:val="28"/>
    </w:rPr>
  </w:style>
  <w:style w:type="paragraph" w:customStyle="1" w:styleId="78">
    <w:name w:val="p17"/>
    <w:basedOn w:val="1"/>
    <w:qFormat/>
    <w:uiPriority w:val="0"/>
    <w:pPr>
      <w:widowControl/>
    </w:pPr>
    <w:rPr>
      <w:rFonts w:ascii="宋体" w:hAnsi="宋体" w:eastAsia="宋体" w:cs="宋体"/>
      <w:kern w:val="0"/>
      <w:szCs w:val="21"/>
    </w:rPr>
  </w:style>
  <w:style w:type="paragraph" w:customStyle="1" w:styleId="79">
    <w:name w:val="Table Paragraph"/>
    <w:basedOn w:val="1"/>
    <w:qFormat/>
    <w:uiPriority w:val="0"/>
    <w:pPr>
      <w:spacing w:before="100" w:beforeAutospacing="1"/>
      <w:jc w:val="left"/>
    </w:pPr>
    <w:rPr>
      <w:rFonts w:ascii="Calibri" w:hAnsi="Calibri"/>
      <w:kern w:val="0"/>
      <w:sz w:val="22"/>
      <w:szCs w:val="22"/>
    </w:rPr>
  </w:style>
  <w:style w:type="character" w:customStyle="1" w:styleId="80">
    <w:name w:val="标题 2 Char"/>
    <w:link w:val="3"/>
    <w:qFormat/>
    <w:uiPriority w:val="0"/>
    <w:rPr>
      <w:rFonts w:ascii="Times New Roman" w:hAnsi="Times New Roman" w:eastAsia="宋体"/>
      <w:b/>
      <w:sz w:val="30"/>
      <w:szCs w:val="28"/>
      <w:lang w:eastAsia="en-US" w:bidi="en-US"/>
    </w:rPr>
  </w:style>
  <w:style w:type="paragraph" w:customStyle="1" w:styleId="81">
    <w:name w:val="正文格式"/>
    <w:basedOn w:val="1"/>
    <w:qFormat/>
    <w:uiPriority w:val="0"/>
    <w:pPr>
      <w:spacing w:line="360" w:lineRule="auto"/>
      <w:ind w:firstLine="482"/>
    </w:pPr>
    <w:rPr>
      <w:rFonts w:ascii="宋体" w:cs="宋体"/>
      <w:sz w:val="24"/>
    </w:rPr>
  </w:style>
  <w:style w:type="paragraph" w:styleId="82">
    <w:name w:val="List Paragraph"/>
    <w:basedOn w:val="1"/>
    <w:qFormat/>
    <w:uiPriority w:val="34"/>
    <w:pPr>
      <w:ind w:firstLine="420" w:firstLineChars="200"/>
    </w:pPr>
  </w:style>
  <w:style w:type="paragraph" w:customStyle="1" w:styleId="83">
    <w:name w:val="Aaaa标题4-C"/>
    <w:basedOn w:val="5"/>
    <w:next w:val="31"/>
    <w:qFormat/>
    <w:uiPriority w:val="0"/>
    <w:pPr>
      <w:numPr>
        <w:ilvl w:val="3"/>
        <w:numId w:val="3"/>
      </w:numPr>
      <w:spacing w:before="120"/>
    </w:pPr>
    <w:rPr>
      <w:rFonts w:ascii="Calibri" w:hAnsi="Calibri" w:eastAsia="宋体" w:cs="Times New Roman"/>
      <w:snapToGrid/>
      <w:szCs w:val="28"/>
      <w:lang w:val="zh-CN"/>
    </w:rPr>
  </w:style>
  <w:style w:type="paragraph" w:customStyle="1" w:styleId="84">
    <w:name w:val="Aaaa标题6-C"/>
    <w:basedOn w:val="7"/>
    <w:next w:val="31"/>
    <w:qFormat/>
    <w:uiPriority w:val="0"/>
    <w:pPr>
      <w:keepNext w:val="0"/>
      <w:widowControl/>
      <w:numPr>
        <w:ilvl w:val="5"/>
        <w:numId w:val="3"/>
      </w:numPr>
      <w:tabs>
        <w:tab w:val="left" w:pos="2520"/>
      </w:tabs>
      <w:kinsoku w:val="0"/>
      <w:overflowPunct w:val="0"/>
      <w:autoSpaceDE w:val="0"/>
      <w:adjustRightInd w:val="0"/>
      <w:snapToGrid w:val="0"/>
    </w:pPr>
    <w:rPr>
      <w:rFonts w:cs="Times New Roman"/>
      <w:lang w:val="zh-CN"/>
    </w:rPr>
  </w:style>
  <w:style w:type="paragraph" w:customStyle="1" w:styleId="85">
    <w:name w:val="Aaaa标题5-C"/>
    <w:basedOn w:val="6"/>
    <w:next w:val="86"/>
    <w:qFormat/>
    <w:uiPriority w:val="0"/>
    <w:pPr>
      <w:keepNext w:val="0"/>
      <w:keepLines w:val="0"/>
      <w:numPr>
        <w:ilvl w:val="4"/>
        <w:numId w:val="3"/>
      </w:numPr>
      <w:tabs>
        <w:tab w:val="left" w:pos="2100"/>
      </w:tabs>
      <w:adjustRightInd w:val="0"/>
      <w:snapToGrid w:val="0"/>
    </w:pPr>
    <w:rPr>
      <w:rFonts w:cs="Times New Roman"/>
      <w:kern w:val="0"/>
      <w:lang w:val="zh-CN"/>
    </w:rPr>
  </w:style>
  <w:style w:type="paragraph" w:customStyle="1" w:styleId="86">
    <w:name w:val="Aaaa表格内-C"/>
    <w:basedOn w:val="87"/>
    <w:qFormat/>
    <w:uiPriority w:val="0"/>
  </w:style>
  <w:style w:type="paragraph" w:customStyle="1" w:styleId="87">
    <w:name w:val="表格内"/>
    <w:basedOn w:val="1"/>
    <w:qFormat/>
    <w:uiPriority w:val="0"/>
    <w:pPr>
      <w:widowControl/>
      <w:snapToGrid w:val="0"/>
      <w:jc w:val="center"/>
    </w:pPr>
    <w:rPr>
      <w:rFonts w:ascii="Times New Roman" w:hAnsi="Times New Roman" w:eastAsia="宋体"/>
      <w:snapToGrid w:val="0"/>
      <w:kern w:val="0"/>
      <w:szCs w:val="21"/>
    </w:rPr>
  </w:style>
  <w:style w:type="paragraph" w:customStyle="1" w:styleId="88">
    <w:name w:val="正文-1"/>
    <w:basedOn w:val="1"/>
    <w:qFormat/>
    <w:uiPriority w:val="0"/>
    <w:pPr>
      <w:spacing w:before="60" w:line="460" w:lineRule="exact"/>
      <w:ind w:firstLine="480" w:firstLineChars="200"/>
    </w:pPr>
    <w:rPr>
      <w:rFonts w:ascii="Calibri" w:hAnsi="Calibri" w:eastAsia="宋体" w:cs="Times New Roman"/>
      <w:sz w:val="24"/>
      <w:szCs w:val="24"/>
    </w:rPr>
  </w:style>
  <w:style w:type="paragraph" w:customStyle="1" w:styleId="89">
    <w:name w:val="表字-GC"/>
    <w:basedOn w:val="90"/>
    <w:next w:val="90"/>
    <w:qFormat/>
    <w:uiPriority w:val="0"/>
    <w:pPr>
      <w:adjustRightInd/>
      <w:snapToGrid/>
    </w:pPr>
    <w:rPr>
      <w:rFonts w:cs="宋体"/>
      <w:sz w:val="20"/>
      <w:lang w:bidi="en-US"/>
    </w:rPr>
  </w:style>
  <w:style w:type="paragraph" w:customStyle="1" w:styleId="90">
    <w:name w:val="表格内-C"/>
    <w:basedOn w:val="1"/>
    <w:qFormat/>
    <w:uiPriority w:val="0"/>
    <w:pPr>
      <w:widowControl/>
      <w:adjustRightInd w:val="0"/>
      <w:snapToGrid w:val="0"/>
      <w:contextualSpacing/>
      <w:jc w:val="center"/>
    </w:pPr>
  </w:style>
  <w:style w:type="paragraph" w:customStyle="1" w:styleId="91">
    <w:name w:val="图片-GC"/>
    <w:basedOn w:val="92"/>
    <w:next w:val="92"/>
    <w:qFormat/>
    <w:uiPriority w:val="0"/>
    <w:pPr>
      <w:spacing w:line="240" w:lineRule="auto"/>
      <w:ind w:firstLine="0" w:firstLineChars="0"/>
      <w:jc w:val="center"/>
    </w:pPr>
    <w:rPr>
      <w:kern w:val="0"/>
    </w:rPr>
  </w:style>
  <w:style w:type="paragraph" w:customStyle="1" w:styleId="92">
    <w:name w:val="正文（首行缩进）-BSQ"/>
    <w:basedOn w:val="1"/>
    <w:qFormat/>
    <w:uiPriority w:val="0"/>
    <w:pPr>
      <w:spacing w:line="360" w:lineRule="auto"/>
      <w:ind w:firstLine="200" w:firstLineChars="200"/>
    </w:pPr>
    <w:rPr>
      <w:rFonts w:ascii="Times New Roman" w:hAnsi="Times New Roman" w:eastAsia="宋体" w:cs="Times New Roman"/>
      <w:sz w:val="24"/>
      <w:szCs w:val="20"/>
    </w:rPr>
  </w:style>
  <w:style w:type="paragraph" w:customStyle="1" w:styleId="93">
    <w:name w:val="表头A"/>
    <w:basedOn w:val="76"/>
    <w:qFormat/>
    <w:uiPriority w:val="0"/>
    <w:pPr>
      <w:spacing w:line="400" w:lineRule="exact"/>
    </w:pPr>
    <w:rPr>
      <w:rFonts w:ascii="Times New Roman" w:hAnsi="Times New Roman" w:eastAsia="宋体" w:cs="Times New Roman"/>
    </w:rPr>
  </w:style>
  <w:style w:type="paragraph" w:customStyle="1" w:styleId="94">
    <w:name w:val="B正文"/>
    <w:basedOn w:val="1"/>
    <w:qFormat/>
    <w:uiPriority w:val="0"/>
    <w:pPr>
      <w:widowControl/>
      <w:spacing w:line="360" w:lineRule="auto"/>
      <w:ind w:firstLine="200" w:firstLineChars="200"/>
      <w:jc w:val="left"/>
    </w:pPr>
    <w:rPr>
      <w:rFonts w:cs="宋体"/>
      <w:kern w:val="0"/>
      <w:sz w:val="24"/>
      <w:szCs w:val="24"/>
    </w:rPr>
  </w:style>
  <w:style w:type="paragraph" w:customStyle="1" w:styleId="95">
    <w:name w:val="WPSOffice手动目录 1"/>
    <w:qFormat/>
    <w:uiPriority w:val="0"/>
    <w:pPr>
      <w:ind w:leftChars="0"/>
    </w:pPr>
    <w:rPr>
      <w:rFonts w:ascii="Times New Roman" w:hAnsi="Times New Roman" w:eastAsia="宋体" w:cs="Times New Roman"/>
      <w:sz w:val="20"/>
      <w:szCs w:val="20"/>
    </w:rPr>
  </w:style>
  <w:style w:type="paragraph" w:customStyle="1" w:styleId="96">
    <w:name w:val="WPSOffice手动目录 2"/>
    <w:qFormat/>
    <w:uiPriority w:val="0"/>
    <w:pPr>
      <w:ind w:leftChars="200"/>
    </w:pPr>
    <w:rPr>
      <w:rFonts w:ascii="Times New Roman" w:hAnsi="Times New Roman" w:eastAsia="宋体" w:cs="Times New Roman"/>
      <w:sz w:val="20"/>
      <w:szCs w:val="20"/>
    </w:rPr>
  </w:style>
  <w:style w:type="paragraph" w:customStyle="1" w:styleId="97">
    <w:name w:val="表头标题格式"/>
    <w:basedOn w:val="1"/>
    <w:qFormat/>
    <w:uiPriority w:val="0"/>
    <w:pPr>
      <w:widowControl/>
      <w:tabs>
        <w:tab w:val="left" w:pos="360"/>
        <w:tab w:val="left" w:pos="1620"/>
      </w:tabs>
      <w:spacing w:line="360" w:lineRule="auto"/>
      <w:jc w:val="center"/>
    </w:pPr>
    <w:rPr>
      <w:rFonts w:ascii="黑体" w:hAnsi="宋体" w:eastAsia="黑体" w:cs="宋体"/>
      <w:b/>
      <w:bCs/>
      <w:sz w:val="24"/>
    </w:rPr>
  </w:style>
  <w:style w:type="paragraph" w:customStyle="1" w:styleId="98">
    <w:name w:val="样式1.1.1三级标题"/>
    <w:basedOn w:val="1"/>
    <w:next w:val="1"/>
    <w:qFormat/>
    <w:uiPriority w:val="0"/>
    <w:pPr>
      <w:widowControl/>
      <w:numPr>
        <w:ilvl w:val="2"/>
        <w:numId w:val="4"/>
      </w:numPr>
      <w:spacing w:line="360" w:lineRule="auto"/>
      <w:ind w:left="0"/>
      <w:outlineLvl w:val="2"/>
    </w:pPr>
    <w:rPr>
      <w:rFonts w:ascii="黑体" w:hAnsi="黑体" w:eastAsia="黑体" w:cs="Times New Roman"/>
      <w:b/>
      <w:sz w:val="28"/>
      <w:szCs w:val="20"/>
    </w:rPr>
  </w:style>
  <w:style w:type="paragraph" w:customStyle="1" w:styleId="99">
    <w:name w:val="A-TB表格内容"/>
    <w:basedOn w:val="1"/>
    <w:qFormat/>
    <w:uiPriority w:val="0"/>
    <w:pPr>
      <w:spacing w:line="360" w:lineRule="exact"/>
      <w:jc w:val="center"/>
    </w:pPr>
    <w:rPr>
      <w:rFonts w:ascii="Times New Roman" w:hAnsi="Times New Roman" w:eastAsia="宋体" w:cs="宋体"/>
      <w:color w:val="000000"/>
      <w:spacing w:val="-2"/>
      <w:kern w:val="0"/>
      <w:szCs w:val="21"/>
    </w:rPr>
  </w:style>
  <w:style w:type="paragraph" w:customStyle="1" w:styleId="100">
    <w:name w:val="4.TB表格内容"/>
    <w:basedOn w:val="1"/>
    <w:qFormat/>
    <w:uiPriority w:val="0"/>
    <w:pPr>
      <w:spacing w:line="320" w:lineRule="exact"/>
      <w:jc w:val="center"/>
    </w:pPr>
    <w:rPr>
      <w:rFonts w:ascii="Times New Roman" w:hAnsi="Times New Roman" w:eastAsia="宋体" w:cs="Times New Roman"/>
    </w:rPr>
  </w:style>
  <w:style w:type="paragraph" w:customStyle="1" w:styleId="101">
    <w:name w:val="TB表格标题"/>
    <w:basedOn w:val="1"/>
    <w:qFormat/>
    <w:uiPriority w:val="0"/>
    <w:pPr>
      <w:spacing w:line="500" w:lineRule="exact"/>
      <w:jc w:val="center"/>
    </w:pPr>
    <w:rPr>
      <w:rFonts w:ascii="Times New Roman" w:hAnsi="Times New Roman" w:eastAsia="黑体" w:cs="Times New Roman"/>
      <w:bCs/>
      <w:sz w:val="24"/>
    </w:rPr>
  </w:style>
  <w:style w:type="paragraph" w:customStyle="1" w:styleId="102">
    <w:name w:val="TB表格内容"/>
    <w:basedOn w:val="1"/>
    <w:qFormat/>
    <w:uiPriority w:val="0"/>
    <w:pPr>
      <w:spacing w:line="360" w:lineRule="exact"/>
      <w:jc w:val="center"/>
    </w:pPr>
    <w:rPr>
      <w:rFonts w:ascii="Times New Roman" w:hAnsi="Times New Roman" w:eastAsia="宋体" w:cs="Times New Roman"/>
    </w:rPr>
  </w:style>
  <w:style w:type="paragraph" w:customStyle="1" w:styleId="103">
    <w:name w:val="表格文字样式14"/>
    <w:basedOn w:val="1"/>
    <w:qFormat/>
    <w:uiPriority w:val="0"/>
    <w:pPr>
      <w:overflowPunct w:val="0"/>
      <w:adjustRightInd w:val="0"/>
      <w:snapToGrid w:val="0"/>
      <w:spacing w:line="360" w:lineRule="exact"/>
      <w:jc w:val="center"/>
    </w:pPr>
    <w:rPr>
      <w:rFonts w:ascii="宋体" w:hAnsi="宋体"/>
      <w:bCs/>
      <w:snapToGrid w:val="0"/>
      <w:kern w:val="0"/>
      <w:szCs w:val="21"/>
    </w:rPr>
  </w:style>
  <w:style w:type="paragraph" w:customStyle="1" w:styleId="104">
    <w:name w:val="表头标题"/>
    <w:basedOn w:val="1"/>
    <w:qFormat/>
    <w:uiPriority w:val="0"/>
    <w:pPr>
      <w:tabs>
        <w:tab w:val="left" w:pos="905"/>
      </w:tabs>
      <w:snapToGrid w:val="0"/>
      <w:jc w:val="center"/>
    </w:pPr>
    <w:rPr>
      <w:rFonts w:ascii="黑体" w:hAnsi="Calibri" w:eastAsia="黑体" w:cs="Times New Roman"/>
      <w:bCs/>
      <w:color w:val="FF0000"/>
      <w:szCs w:val="21"/>
      <w:lang w:val="zh-CN"/>
    </w:rPr>
  </w:style>
  <w:style w:type="paragraph" w:customStyle="1" w:styleId="105">
    <w:name w:val="表格文字"/>
    <w:basedOn w:val="14"/>
    <w:qFormat/>
    <w:uiPriority w:val="0"/>
    <w:pPr>
      <w:widowControl w:val="0"/>
      <w:tabs>
        <w:tab w:val="left" w:pos="1119"/>
      </w:tabs>
      <w:spacing w:after="0"/>
      <w:ind w:left="-90" w:leftChars="-43"/>
    </w:pPr>
    <w:rPr>
      <w:snapToGrid w:val="0"/>
      <w:color w:val="000000"/>
      <w:sz w:val="18"/>
      <w:szCs w:val="18"/>
    </w:rPr>
  </w:style>
  <w:style w:type="table" w:customStyle="1" w:styleId="106">
    <w:name w:val="网格型1"/>
    <w:basedOn w:val="33"/>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customStyle="1" w:styleId="107">
    <w:name w:val="B图表标题"/>
    <w:basedOn w:val="1"/>
    <w:next w:val="19"/>
    <w:qFormat/>
    <w:uiPriority w:val="0"/>
    <w:pPr>
      <w:widowControl/>
      <w:adjustRightInd w:val="0"/>
      <w:snapToGrid w:val="0"/>
      <w:spacing w:before="120"/>
      <w:jc w:val="center"/>
    </w:pPr>
    <w:rPr>
      <w:b/>
      <w:color w:val="000000"/>
      <w:kern w:val="0"/>
      <w:sz w:val="24"/>
      <w:szCs w:val="28"/>
    </w:rPr>
  </w:style>
  <w:style w:type="paragraph" w:customStyle="1" w:styleId="108">
    <w:name w:val="B表内字"/>
    <w:basedOn w:val="1"/>
    <w:qFormat/>
    <w:uiPriority w:val="0"/>
    <w:pPr>
      <w:widowControl/>
      <w:jc w:val="center"/>
    </w:pPr>
    <w:rPr>
      <w:rFonts w:cs="宋体"/>
      <w:kern w:val="0"/>
      <w:szCs w:val="24"/>
    </w:rPr>
  </w:style>
  <w:style w:type="paragraph" w:customStyle="1" w:styleId="109">
    <w:name w:val="我的正文"/>
    <w:basedOn w:val="1"/>
    <w:qFormat/>
    <w:uiPriority w:val="0"/>
    <w:pPr>
      <w:spacing w:line="440" w:lineRule="exact"/>
      <w:ind w:firstLine="200" w:firstLineChars="200"/>
    </w:pPr>
    <w:rPr>
      <w:rFonts w:ascii="Calibri" w:hAnsi="Calibri" w:cs="Times New Roman"/>
    </w:rPr>
  </w:style>
  <w:style w:type="paragraph" w:customStyle="1" w:styleId="110">
    <w:name w:val="样式 标题4 1.1.1.1"/>
    <w:basedOn w:val="5"/>
    <w:next w:val="1"/>
    <w:qFormat/>
    <w:uiPriority w:val="0"/>
    <w:pPr>
      <w:widowControl/>
      <w:numPr>
        <w:ilvl w:val="3"/>
        <w:numId w:val="4"/>
      </w:numPr>
      <w:autoSpaceDE w:val="0"/>
      <w:autoSpaceDN w:val="0"/>
      <w:spacing w:before="0" w:after="0" w:line="360" w:lineRule="auto"/>
      <w:ind w:left="0"/>
      <w:jc w:val="left"/>
    </w:pPr>
    <w:rPr>
      <w:rFonts w:ascii="宋体" w:hAnsi="宋体"/>
      <w:sz w:val="24"/>
      <w:szCs w:val="24"/>
    </w:rPr>
  </w:style>
  <w:style w:type="paragraph" w:customStyle="1" w:styleId="111">
    <w:name w:val="A正文"/>
    <w:basedOn w:val="81"/>
    <w:qFormat/>
    <w:uiPriority w:val="0"/>
    <w:pPr>
      <w:widowControl/>
      <w:ind w:firstLine="480"/>
    </w:pPr>
    <w:rPr>
      <w:rFonts w:ascii="Times New Roman" w:hAnsi="Times New Roman"/>
      <w:spacing w:val="0"/>
    </w:rPr>
  </w:style>
  <w:style w:type="paragraph" w:customStyle="1" w:styleId="112">
    <w:name w:val="正文5"/>
    <w:qFormat/>
    <w:uiPriority w:val="0"/>
    <w:pPr>
      <w:jc w:val="both"/>
    </w:pPr>
    <w:rPr>
      <w:rFonts w:ascii="Calibri" w:hAnsi="Calibri" w:eastAsia="宋体" w:cs="Calibri"/>
      <w:kern w:val="2"/>
      <w:sz w:val="21"/>
      <w:szCs w:val="21"/>
      <w:lang w:val="en-US" w:eastAsia="zh-CN" w:bidi="ar-SA"/>
    </w:rPr>
  </w:style>
  <w:style w:type="paragraph" w:customStyle="1" w:styleId="113">
    <w:name w:val="a正文"/>
    <w:basedOn w:val="1"/>
    <w:qFormat/>
    <w:uiPriority w:val="0"/>
    <w:pPr>
      <w:spacing w:line="360" w:lineRule="auto"/>
      <w:ind w:firstLine="480" w:firstLineChars="200"/>
    </w:pPr>
    <w:rPr>
      <w:rFonts w:ascii="Times New Roman" w:hAnsi="Times New Roman" w:cs="Times New Roman"/>
      <w:color w:val="000000"/>
      <w:kern w:val="2"/>
    </w:rPr>
  </w:style>
  <w:style w:type="paragraph" w:customStyle="1" w:styleId="114">
    <w:name w:val="a表格"/>
    <w:basedOn w:val="105"/>
    <w:qFormat/>
    <w:uiPriority w:val="0"/>
    <w:pPr>
      <w:tabs>
        <w:tab w:val="left" w:pos="2880"/>
        <w:tab w:val="left" w:pos="7380"/>
      </w:tabs>
      <w:adjustRightInd w:val="0"/>
      <w:spacing w:line="240" w:lineRule="auto"/>
    </w:pPr>
    <w:rPr>
      <w:color w:val="000000"/>
      <w:kern w:val="2"/>
      <w:position w:val="-26"/>
      <w:sz w:val="21"/>
      <w:szCs w:val="21"/>
    </w:rPr>
  </w:style>
  <w:style w:type="paragraph" w:customStyle="1" w:styleId="115">
    <w:name w:val="正文A"/>
    <w:basedOn w:val="81"/>
    <w:qFormat/>
    <w:uiPriority w:val="0"/>
    <w:pPr>
      <w:widowControl/>
      <w:spacing w:line="500" w:lineRule="exact"/>
      <w:ind w:firstLine="480" w:firstLineChars="0"/>
    </w:pPr>
    <w:rPr>
      <w:rFonts w:hAnsi="宋体"/>
      <w:bCs/>
      <w:color w:val="000000"/>
      <w:spacing w:val="0"/>
      <w:szCs w:val="26"/>
    </w:rPr>
  </w:style>
  <w:style w:type="paragraph" w:customStyle="1" w:styleId="116">
    <w:name w:val="兴化美联正文样式"/>
    <w:basedOn w:val="1"/>
    <w:qFormat/>
    <w:uiPriority w:val="0"/>
    <w:pPr>
      <w:widowControl/>
      <w:spacing w:line="560" w:lineRule="exact"/>
      <w:ind w:firstLine="480" w:firstLineChars="200"/>
      <w:jc w:val="left"/>
    </w:pPr>
    <w:rPr>
      <w:rFonts w:ascii="宋体" w:hAnsi="宋体" w:cs="宋体"/>
      <w:color w:val="000000"/>
      <w:kern w:val="0"/>
      <w:sz w:val="24"/>
      <w:szCs w:val="24"/>
    </w:rPr>
  </w:style>
  <w:style w:type="paragraph" w:customStyle="1" w:styleId="117">
    <w:name w:val="三线一单表格样式"/>
    <w:basedOn w:val="1"/>
    <w:qFormat/>
    <w:uiPriority w:val="0"/>
    <w:pPr>
      <w:widowControl w:val="0"/>
      <w:jc w:val="center"/>
    </w:pPr>
    <w:rPr>
      <w:rFonts w:ascii="Times New Roman" w:hAnsi="Times New Roman" w:eastAsia="仿宋_GB2312" w:cs="Times New Roman"/>
      <w:kern w:val="2"/>
      <w:sz w:val="21"/>
      <w:szCs w:val="21"/>
    </w:rPr>
  </w:style>
  <w:style w:type="paragraph" w:customStyle="1" w:styleId="118">
    <w:name w:val="首行缩进2"/>
    <w:basedOn w:val="1"/>
    <w:qFormat/>
    <w:uiPriority w:val="0"/>
    <w:pPr>
      <w:wordWrap/>
      <w:topLinePunct/>
      <w:spacing w:line="360" w:lineRule="auto"/>
      <w:ind w:firstLine="200" w:firstLineChars="200"/>
      <w:jc w:val="both"/>
    </w:pPr>
    <w:rPr>
      <w:rFonts w:ascii="Times New Roman" w:hAnsi="Times New Roman"/>
      <w:szCs w:val="24"/>
    </w:rPr>
  </w:style>
  <w:style w:type="paragraph" w:customStyle="1" w:styleId="119">
    <w:name w:val="表头、图号"/>
    <w:basedOn w:val="1"/>
    <w:qFormat/>
    <w:uiPriority w:val="0"/>
    <w:pPr>
      <w:spacing w:beforeLines="0" w:afterLines="0" w:line="240" w:lineRule="auto"/>
      <w:ind w:firstLine="0" w:firstLineChars="0"/>
      <w:jc w:val="center"/>
    </w:pPr>
    <w:rPr>
      <w:rFonts w:ascii="Times New Roman" w:hAnsi="Times New Roman" w:eastAsia="黑体"/>
    </w:rPr>
  </w:style>
  <w:style w:type="paragraph" w:customStyle="1" w:styleId="120">
    <w:name w:val="表内文字"/>
    <w:basedOn w:val="1"/>
    <w:qFormat/>
    <w:uiPriority w:val="0"/>
    <w:pPr>
      <w:spacing w:line="240" w:lineRule="auto"/>
      <w:ind w:firstLine="0" w:firstLineChars="0"/>
      <w:jc w:val="center"/>
    </w:pPr>
    <w:rPr>
      <w:sz w:val="21"/>
      <w:szCs w:val="21"/>
    </w:rPr>
  </w:style>
  <w:style w:type="paragraph" w:customStyle="1" w:styleId="121">
    <w:name w:val="样式 四号 首行缩进:  2 字符"/>
    <w:basedOn w:val="1"/>
    <w:qFormat/>
    <w:uiPriority w:val="0"/>
    <w:pPr>
      <w:spacing w:line="480" w:lineRule="atLeast"/>
      <w:ind w:firstLine="200" w:firstLineChars="200"/>
    </w:pPr>
    <w:rPr>
      <w:rFonts w:ascii="Times New Roman" w:hAnsi="Times New Roman" w:cs="宋体"/>
      <w:sz w:val="24"/>
      <w:szCs w:val="24"/>
    </w:rPr>
  </w:style>
  <w:style w:type="paragraph" w:customStyle="1" w:styleId="122">
    <w:name w:val="表头1"/>
    <w:basedOn w:val="123"/>
    <w:next w:val="1"/>
    <w:qFormat/>
    <w:uiPriority w:val="0"/>
    <w:pPr>
      <w:tabs>
        <w:tab w:val="left" w:pos="605"/>
      </w:tabs>
      <w:adjustRightInd w:val="0"/>
      <w:snapToGrid w:val="0"/>
      <w:spacing w:before="25" w:beforeLines="25" w:after="25" w:afterLines="25" w:line="360" w:lineRule="auto"/>
      <w:jc w:val="center"/>
    </w:pPr>
    <w:rPr>
      <w:rFonts w:ascii="Times New Roman" w:hAnsi="Times New Roman" w:eastAsia="宋体"/>
      <w:b/>
      <w:kern w:val="0"/>
      <w:sz w:val="24"/>
      <w:szCs w:val="28"/>
    </w:rPr>
  </w:style>
  <w:style w:type="paragraph" w:customStyle="1" w:styleId="123">
    <w:name w:val="表文1"/>
    <w:basedOn w:val="1"/>
    <w:next w:val="1"/>
    <w:qFormat/>
    <w:uiPriority w:val="0"/>
    <w:pPr>
      <w:spacing w:line="312" w:lineRule="auto"/>
      <w:ind w:left="51" w:right="51"/>
      <w:jc w:val="center"/>
    </w:pPr>
    <w:rPr>
      <w:rFonts w:ascii="Calibri" w:hAnsi="Calibri" w:eastAsia="宋体"/>
    </w:rPr>
  </w:style>
  <w:style w:type="paragraph" w:customStyle="1" w:styleId="124">
    <w:name w:val="YJ-正文"/>
    <w:basedOn w:val="1"/>
    <w:qFormat/>
    <w:uiPriority w:val="0"/>
    <w:pPr>
      <w:widowControl/>
      <w:spacing w:line="520" w:lineRule="exact"/>
      <w:ind w:firstLine="200" w:firstLineChars="200"/>
      <w:jc w:val="left"/>
    </w:pPr>
    <w:rPr>
      <w:kern w:val="0"/>
      <w:szCs w:val="22"/>
    </w:rPr>
  </w:style>
  <w:style w:type="paragraph" w:customStyle="1" w:styleId="125">
    <w:name w:val="11表"/>
    <w:basedOn w:val="1"/>
    <w:qFormat/>
    <w:uiPriority w:val="0"/>
    <w:pPr>
      <w:spacing w:beforeLines="0" w:afterLines="0" w:line="240" w:lineRule="auto"/>
      <w:ind w:firstLine="0" w:firstLineChars="0"/>
      <w:jc w:val="center"/>
    </w:pPr>
    <w:rPr>
      <w:rFonts w:ascii="Times New Roman" w:hAnsi="Times New Roman"/>
      <w:sz w:val="21"/>
    </w:rPr>
  </w:style>
  <w:style w:type="paragraph" w:customStyle="1" w:styleId="126">
    <w:name w:val="表、图名"/>
    <w:basedOn w:val="1"/>
    <w:qFormat/>
    <w:uiPriority w:val="0"/>
    <w:pPr>
      <w:adjustRightInd w:val="0"/>
      <w:spacing w:beforeLines="0" w:afterLines="0" w:line="240" w:lineRule="auto"/>
      <w:ind w:firstLine="0" w:firstLineChars="0"/>
      <w:jc w:val="center"/>
    </w:pPr>
    <w:rPr>
      <w:rFonts w:ascii="Times New Roman" w:hAnsi="Times New Roman" w:eastAsia="黑体"/>
      <w:kern w:val="0"/>
      <w:szCs w:val="20"/>
    </w:rPr>
  </w:style>
  <w:style w:type="paragraph" w:customStyle="1" w:styleId="127">
    <w:name w:val="hhcwt表头"/>
    <w:basedOn w:val="1"/>
    <w:qFormat/>
    <w:uiPriority w:val="0"/>
    <w:pPr>
      <w:spacing w:after="120"/>
      <w:ind w:left="100" w:leftChars="100" w:right="100" w:rightChars="100"/>
      <w:jc w:val="center"/>
    </w:pPr>
    <w:rPr>
      <w:rFonts w:ascii="楷体_GB2312" w:eastAsia="楷体_GB2312" w:cs="宋体"/>
      <w:b/>
      <w:bCs/>
      <w:kern w:val="0"/>
      <w:sz w:val="24"/>
      <w:szCs w:val="20"/>
    </w:rPr>
  </w:style>
  <w:style w:type="paragraph" w:customStyle="1" w:styleId="128">
    <w:name w:val="表中文字"/>
    <w:basedOn w:val="1"/>
    <w:next w:val="1"/>
    <w:qFormat/>
    <w:uiPriority w:val="0"/>
    <w:pPr>
      <w:spacing w:line="240" w:lineRule="exact"/>
      <w:jc w:val="center"/>
    </w:pPr>
    <w:rPr>
      <w:rFonts w:ascii="宋体" w:hAnsi="宋体"/>
      <w:szCs w:val="20"/>
    </w:rPr>
  </w:style>
  <w:style w:type="paragraph" w:customStyle="1" w:styleId="129">
    <w:name w:val="Body Text Indent"/>
    <w:basedOn w:val="1"/>
    <w:qFormat/>
    <w:uiPriority w:val="99"/>
    <w:pPr>
      <w:spacing w:line="320" w:lineRule="exact"/>
      <w:ind w:firstLine="113"/>
      <w:jc w:val="center"/>
    </w:pPr>
    <w:rPr>
      <w:rFonts w:ascii="宋体" w:hAnsi="宋体"/>
      <w:sz w:val="24"/>
    </w:rPr>
  </w:style>
  <w:style w:type="character" w:customStyle="1" w:styleId="130">
    <w:name w:val="正文文本 3 Char"/>
    <w:link w:val="13"/>
    <w:qFormat/>
    <w:uiPriority w:val="0"/>
    <w:rPr>
      <w:rFonts w:ascii="Times New Roman" w:hAnsi="Times New Roman" w:eastAsia="宋体"/>
      <w:kern w:val="0"/>
      <w:sz w:val="24"/>
      <w:szCs w:val="24"/>
    </w:rPr>
  </w:style>
  <w:style w:type="paragraph" w:customStyle="1" w:styleId="131">
    <w:name w:val="正文(首行缩进)"/>
    <w:basedOn w:val="1"/>
    <w:qFormat/>
    <w:uiPriority w:val="0"/>
    <w:pPr>
      <w:adjustRightInd w:val="0"/>
      <w:snapToGrid w:val="0"/>
      <w:spacing w:line="360" w:lineRule="auto"/>
      <w:ind w:firstLine="200" w:firstLineChars="200"/>
    </w:pPr>
    <w:rPr>
      <w:snapToGrid w:val="0"/>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header" Target="header2.xml"/><Relationship Id="rId8" Type="http://schemas.openxmlformats.org/officeDocument/2006/relationships/footer" Target="footer3.xml"/><Relationship Id="rId7" Type="http://schemas.openxmlformats.org/officeDocument/2006/relationships/footer" Target="footer2.xml"/><Relationship Id="rId61" Type="http://schemas.openxmlformats.org/officeDocument/2006/relationships/fontTable" Target="fontTable.xml"/><Relationship Id="rId60" Type="http://schemas.openxmlformats.org/officeDocument/2006/relationships/numbering" Target="numbering.xml"/><Relationship Id="rId6" Type="http://schemas.openxmlformats.org/officeDocument/2006/relationships/footer" Target="footer1.xml"/><Relationship Id="rId59" Type="http://schemas.openxmlformats.org/officeDocument/2006/relationships/customXml" Target="../customXml/item1.xml"/><Relationship Id="rId58" Type="http://schemas.openxmlformats.org/officeDocument/2006/relationships/image" Target="media/image37.jpeg"/><Relationship Id="rId57" Type="http://schemas.openxmlformats.org/officeDocument/2006/relationships/image" Target="media/image36.jpeg"/><Relationship Id="rId56" Type="http://schemas.openxmlformats.org/officeDocument/2006/relationships/image" Target="media/image35.jpeg"/><Relationship Id="rId55" Type="http://schemas.openxmlformats.org/officeDocument/2006/relationships/image" Target="media/image34.jpeg"/><Relationship Id="rId54" Type="http://schemas.openxmlformats.org/officeDocument/2006/relationships/image" Target="media/image33.jpeg"/><Relationship Id="rId53" Type="http://schemas.openxmlformats.org/officeDocument/2006/relationships/image" Target="media/image32.jpeg"/><Relationship Id="rId52" Type="http://schemas.openxmlformats.org/officeDocument/2006/relationships/image" Target="media/image31.jpeg"/><Relationship Id="rId51" Type="http://schemas.openxmlformats.org/officeDocument/2006/relationships/image" Target="media/image30.jpeg"/><Relationship Id="rId50" Type="http://schemas.openxmlformats.org/officeDocument/2006/relationships/image" Target="media/image29.wmf"/><Relationship Id="rId5" Type="http://schemas.openxmlformats.org/officeDocument/2006/relationships/header" Target="header1.xml"/><Relationship Id="rId49" Type="http://schemas.openxmlformats.org/officeDocument/2006/relationships/image" Target="media/image28.png"/><Relationship Id="rId48" Type="http://schemas.openxmlformats.org/officeDocument/2006/relationships/image" Target="media/image27.png"/><Relationship Id="rId47" Type="http://schemas.openxmlformats.org/officeDocument/2006/relationships/image" Target="media/image26.png"/><Relationship Id="rId46" Type="http://schemas.openxmlformats.org/officeDocument/2006/relationships/image" Target="media/image25.png"/><Relationship Id="rId45" Type="http://schemas.openxmlformats.org/officeDocument/2006/relationships/image" Target="media/image24.png"/><Relationship Id="rId44" Type="http://schemas.openxmlformats.org/officeDocument/2006/relationships/image" Target="media/image23.png"/><Relationship Id="rId43" Type="http://schemas.openxmlformats.org/officeDocument/2006/relationships/image" Target="media/image22.png"/><Relationship Id="rId42" Type="http://schemas.openxmlformats.org/officeDocument/2006/relationships/image" Target="media/image21.png"/><Relationship Id="rId41" Type="http://schemas.openxmlformats.org/officeDocument/2006/relationships/image" Target="media/image20.png"/><Relationship Id="rId40" Type="http://schemas.openxmlformats.org/officeDocument/2006/relationships/image" Target="media/image19.png"/><Relationship Id="rId4" Type="http://schemas.openxmlformats.org/officeDocument/2006/relationships/endnotes" Target="endnotes.xml"/><Relationship Id="rId39" Type="http://schemas.openxmlformats.org/officeDocument/2006/relationships/image" Target="media/image18.png"/><Relationship Id="rId38" Type="http://schemas.openxmlformats.org/officeDocument/2006/relationships/image" Target="media/image17.png"/><Relationship Id="rId37" Type="http://schemas.openxmlformats.org/officeDocument/2006/relationships/image" Target="media/image16.png"/><Relationship Id="rId36" Type="http://schemas.openxmlformats.org/officeDocument/2006/relationships/image" Target="media/image15.png"/><Relationship Id="rId35" Type="http://schemas.openxmlformats.org/officeDocument/2006/relationships/image" Target="media/image14.png"/><Relationship Id="rId34" Type="http://schemas.openxmlformats.org/officeDocument/2006/relationships/image" Target="media/image13.png"/><Relationship Id="rId33" Type="http://schemas.openxmlformats.org/officeDocument/2006/relationships/image" Target="media/image12.png"/><Relationship Id="rId32" Type="http://schemas.openxmlformats.org/officeDocument/2006/relationships/image" Target="media/image11.png"/><Relationship Id="rId31" Type="http://schemas.openxmlformats.org/officeDocument/2006/relationships/image" Target="media/image10.png"/><Relationship Id="rId30" Type="http://schemas.openxmlformats.org/officeDocument/2006/relationships/image" Target="media/image9.png"/><Relationship Id="rId3" Type="http://schemas.openxmlformats.org/officeDocument/2006/relationships/footnotes" Target="footnotes.xml"/><Relationship Id="rId29" Type="http://schemas.openxmlformats.org/officeDocument/2006/relationships/image" Target="media/image8.png"/><Relationship Id="rId28" Type="http://schemas.openxmlformats.org/officeDocument/2006/relationships/image" Target="media/image7.png"/><Relationship Id="rId27" Type="http://schemas.openxmlformats.org/officeDocument/2006/relationships/image" Target="media/image6.png"/><Relationship Id="rId26" Type="http://schemas.openxmlformats.org/officeDocument/2006/relationships/image" Target="media/image5.png"/><Relationship Id="rId25" Type="http://schemas.openxmlformats.org/officeDocument/2006/relationships/image" Target="media/image4.png"/><Relationship Id="rId24" Type="http://schemas.openxmlformats.org/officeDocument/2006/relationships/image" Target="media/image3.png"/><Relationship Id="rId23" Type="http://schemas.openxmlformats.org/officeDocument/2006/relationships/chart" Target="charts/chart3.xml"/><Relationship Id="rId22" Type="http://schemas.openxmlformats.org/officeDocument/2006/relationships/chart" Target="charts/chart2.xml"/><Relationship Id="rId21" Type="http://schemas.openxmlformats.org/officeDocument/2006/relationships/chart" Target="charts/chart1.xml"/><Relationship Id="rId20" Type="http://schemas.openxmlformats.org/officeDocument/2006/relationships/image" Target="media/image2.wmf"/><Relationship Id="rId2" Type="http://schemas.openxmlformats.org/officeDocument/2006/relationships/settings" Target="settings.xml"/><Relationship Id="rId19" Type="http://schemas.openxmlformats.org/officeDocument/2006/relationships/oleObject" Target="embeddings/oleObject2.bin"/><Relationship Id="rId18" Type="http://schemas.openxmlformats.org/officeDocument/2006/relationships/image" Target="media/image1.wmf"/><Relationship Id="rId17" Type="http://schemas.openxmlformats.org/officeDocument/2006/relationships/oleObject" Target="embeddings/oleObject1.bin"/><Relationship Id="rId16" Type="http://schemas.openxmlformats.org/officeDocument/2006/relationships/theme" Target="theme/theme1.xml"/><Relationship Id="rId15" Type="http://schemas.openxmlformats.org/officeDocument/2006/relationships/footer" Target="footer7.xml"/><Relationship Id="rId14" Type="http://schemas.openxmlformats.org/officeDocument/2006/relationships/header" Target="header4.xml"/><Relationship Id="rId13" Type="http://schemas.openxmlformats.org/officeDocument/2006/relationships/footer" Target="footer6.xml"/><Relationship Id="rId12" Type="http://schemas.openxmlformats.org/officeDocument/2006/relationships/header" Target="header3.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F:\Program%20Files\EIAProA2018\project\TEST-TL\&#27668;&#35937;&#32479;&#35745;.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Program%20Files\EIAProA2018\project\TEST-TL\&#27668;&#35937;&#32479;&#35745;.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Program%20Files\EIAProA2018\project\TEST-TL\&#27668;&#35937;&#32479;&#35745;.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a:t>  </a:t>
            </a:r>
            <a:r>
              <a:rPr lang="en-US" altLang="zh-CN"/>
              <a:t>&lt;1&gt;</a:t>
            </a:r>
            <a:r>
              <a:rPr lang="zh-CN" altLang="en-US"/>
              <a:t>附表</a:t>
            </a:r>
            <a:r>
              <a:rPr lang="en-US" altLang="zh-CN"/>
              <a:t>C.11 </a:t>
            </a:r>
            <a:r>
              <a:rPr lang="zh-CN" altLang="en-US"/>
              <a:t>年平均温度的月变化图  </a:t>
            </a:r>
            <a:endParaRPr lang="zh-CN" altLang="en-US"/>
          </a:p>
        </c:rich>
      </c:tx>
      <c:layout>
        <c:manualLayout>
          <c:xMode val="edge"/>
          <c:yMode val="edge"/>
          <c:x val="0.311475825376517"/>
          <c:y val="0.0355871886120996"/>
        </c:manualLayout>
      </c:layout>
      <c:overlay val="0"/>
      <c:spPr>
        <a:noFill/>
        <a:ln w="25400">
          <a:noFill/>
        </a:ln>
      </c:spPr>
    </c:title>
    <c:autoTitleDeleted val="0"/>
    <c:plotArea>
      <c:layout>
        <c:manualLayout>
          <c:layoutTarget val="inner"/>
          <c:xMode val="edge"/>
          <c:yMode val="edge"/>
          <c:x val="0.139344448194758"/>
          <c:y val="0.213523131672598"/>
          <c:w val="0.800547516099295"/>
          <c:h val="0.619217081850534"/>
        </c:manualLayout>
      </c:layout>
      <c:lineChart>
        <c:grouping val="standard"/>
        <c:varyColors val="0"/>
        <c:ser>
          <c:idx val="0"/>
          <c:order val="0"/>
          <c:tx>
            <c:strRef>
              <c:f>数据!$A$3</c:f>
              <c:strCache>
                <c:ptCount val="1"/>
                <c:pt idx="0">
                  <c:v>  温度(℃)  </c:v>
                </c:pt>
              </c:strCache>
            </c:strRef>
          </c:tx>
          <c:spPr>
            <a:ln w="12700" cap="rnd" cmpd="sng" algn="ctr">
              <a:solidFill>
                <a:srgbClr val="000080"/>
              </a:solidFill>
              <a:prstDash val="solid"/>
              <a:round/>
            </a:ln>
          </c:spPr>
          <c:marker>
            <c:symbol val="diamond"/>
            <c:size val="5"/>
            <c:spPr>
              <a:solidFill>
                <a:srgbClr val="000080"/>
              </a:solidFill>
              <a:ln w="6350" cap="flat" cmpd="sng" algn="ctr">
                <a:solidFill>
                  <a:srgbClr val="000080"/>
                </a:solidFill>
                <a:prstDash val="solid"/>
                <a:round/>
              </a:ln>
            </c:spPr>
          </c:marker>
          <c:dLbls>
            <c:delete val="1"/>
          </c:dLbls>
          <c:cat>
            <c:strRef>
              <c:f>数据!$B$2:$M$2</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数据!$B$3:$M$3</c:f>
              <c:numCache>
                <c:formatCode>0.00_ </c:formatCode>
                <c:ptCount val="12"/>
                <c:pt idx="0">
                  <c:v>-7.48999977111816</c:v>
                </c:pt>
                <c:pt idx="1">
                  <c:v>-10.4300003051758</c:v>
                </c:pt>
                <c:pt idx="2">
                  <c:v>0.509999990463257</c:v>
                </c:pt>
                <c:pt idx="3">
                  <c:v>9.94999980926514</c:v>
                </c:pt>
                <c:pt idx="4">
                  <c:v>16.8500003814697</c:v>
                </c:pt>
                <c:pt idx="5">
                  <c:v>21.5900001525879</c:v>
                </c:pt>
                <c:pt idx="6">
                  <c:v>22.3700008392334</c:v>
                </c:pt>
                <c:pt idx="7">
                  <c:v>22.7199993133545</c:v>
                </c:pt>
                <c:pt idx="8">
                  <c:v>12.4499998092651</c:v>
                </c:pt>
                <c:pt idx="9">
                  <c:v>7.78000020980835</c:v>
                </c:pt>
                <c:pt idx="10">
                  <c:v>-1.14999997615814</c:v>
                </c:pt>
                <c:pt idx="11">
                  <c:v>-9.27999973297119</c:v>
                </c:pt>
              </c:numCache>
            </c:numRef>
          </c:val>
          <c:smooth val="0"/>
        </c:ser>
        <c:dLbls>
          <c:showLegendKey val="0"/>
          <c:showVal val="0"/>
          <c:showCatName val="0"/>
          <c:showSerName val="0"/>
          <c:showPercent val="0"/>
          <c:showBubbleSize val="0"/>
        </c:dLbls>
        <c:marker val="1"/>
        <c:smooth val="0"/>
        <c:axId val="558273984"/>
        <c:axId val="558276704"/>
      </c:lineChart>
      <c:catAx>
        <c:axId val="558273984"/>
        <c:scaling>
          <c:orientation val="minMax"/>
        </c:scaling>
        <c:delete val="0"/>
        <c:axPos val="b"/>
        <c:numFmt formatCode="General"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558276704"/>
        <c:crosses val="autoZero"/>
        <c:auto val="1"/>
        <c:lblAlgn val="ctr"/>
        <c:lblOffset val="100"/>
        <c:tickLblSkip val="1"/>
        <c:noMultiLvlLbl val="0"/>
      </c:catAx>
      <c:valAx>
        <c:axId val="558276704"/>
        <c:scaling>
          <c:orientation val="minMax"/>
        </c:scaling>
        <c:delete val="0"/>
        <c:axPos val="l"/>
        <c:majorGridlines>
          <c:spPr>
            <a:ln w="3175" cap="flat" cmpd="sng" algn="ctr">
              <a:solidFill>
                <a:srgbClr val="000000"/>
              </a:solidFill>
              <a:prstDash val="solid"/>
              <a:round/>
            </a:ln>
          </c:spPr>
        </c:majorGridlines>
        <c:title>
          <c:tx>
            <c:rich>
              <a:bodyPr rot="-54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a:t>温度</a:t>
                </a:r>
                <a:r>
                  <a:rPr lang="en-US" altLang="zh-CN"/>
                  <a:t>(℃) </a:t>
                </a:r>
                <a:endParaRPr lang="en-US" altLang="zh-CN"/>
              </a:p>
            </c:rich>
          </c:tx>
          <c:layout>
            <c:manualLayout>
              <c:xMode val="edge"/>
              <c:yMode val="edge"/>
              <c:x val="0.0300546849047517"/>
              <c:y val="0.334519572953737"/>
            </c:manualLayout>
          </c:layout>
          <c:overlay val="0"/>
          <c:spPr>
            <a:noFill/>
            <a:ln w="25400">
              <a:noFill/>
            </a:ln>
          </c:spPr>
        </c:title>
        <c:numFmt formatCode="0.00_ "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558273984"/>
        <c:crosses val="autoZero"/>
        <c:crossBetween val="between"/>
      </c:valAx>
      <c:spPr>
        <a:solidFill>
          <a:srgbClr val="C0C0C0"/>
        </a:solidFill>
        <a:ln w="12700">
          <a:solidFill>
            <a:srgbClr val="808080"/>
          </a:solidFill>
          <a:prstDash val="solid"/>
        </a:ln>
      </c:spPr>
    </c:plotArea>
    <c:plotVisOnly val="1"/>
    <c:dispBlanksAs val="gap"/>
    <c:showDLblsOverMax val="0"/>
  </c:chart>
  <c:spPr>
    <a:solidFill>
      <a:srgbClr val="FFFFFF"/>
    </a:solidFill>
    <a:ln w="3175" cap="flat" cmpd="sng" algn="ctr">
      <a:solidFill>
        <a:srgbClr val="000000"/>
      </a:solidFill>
      <a:prstDash val="solid"/>
      <a:round/>
    </a:ln>
  </c:spPr>
  <c:txPr>
    <a:bodyPr/>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a:t> </a:t>
            </a:r>
            <a:r>
              <a:rPr lang="en-US" altLang="zh-CN"/>
              <a:t>&lt;2&gt;</a:t>
            </a:r>
            <a:r>
              <a:rPr lang="zh-CN" altLang="en-US"/>
              <a:t>附表</a:t>
            </a:r>
            <a:r>
              <a:rPr lang="en-US" altLang="zh-CN"/>
              <a:t>C.12 </a:t>
            </a:r>
            <a:r>
              <a:rPr lang="zh-CN" altLang="en-US"/>
              <a:t>年平均风速的月变化  </a:t>
            </a:r>
            <a:endParaRPr lang="zh-CN" altLang="en-US"/>
          </a:p>
        </c:rich>
      </c:tx>
      <c:layout>
        <c:manualLayout>
          <c:xMode val="edge"/>
          <c:yMode val="edge"/>
          <c:x val="0.327397479263083"/>
          <c:y val="0.0355871886120996"/>
        </c:manualLayout>
      </c:layout>
      <c:overlay val="0"/>
      <c:spPr>
        <a:noFill/>
        <a:ln w="25400">
          <a:noFill/>
        </a:ln>
      </c:spPr>
    </c:title>
    <c:autoTitleDeleted val="0"/>
    <c:plotArea>
      <c:layout>
        <c:manualLayout>
          <c:layoutTarget val="inner"/>
          <c:xMode val="edge"/>
          <c:yMode val="edge"/>
          <c:x val="0.127397345487308"/>
          <c:y val="0.213523131672598"/>
          <c:w val="0.820548494052664"/>
          <c:h val="0.619217081850534"/>
        </c:manualLayout>
      </c:layout>
      <c:lineChart>
        <c:grouping val="standard"/>
        <c:varyColors val="0"/>
        <c:ser>
          <c:idx val="0"/>
          <c:order val="0"/>
          <c:tx>
            <c:strRef>
              <c:f>数据!$A$7</c:f>
              <c:strCache>
                <c:ptCount val="1"/>
                <c:pt idx="0">
                  <c:v> 风速(m/s)  </c:v>
                </c:pt>
              </c:strCache>
            </c:strRef>
          </c:tx>
          <c:spPr>
            <a:ln w="12700" cap="rnd" cmpd="sng" algn="ctr">
              <a:solidFill>
                <a:srgbClr val="000080"/>
              </a:solidFill>
              <a:prstDash val="solid"/>
              <a:round/>
            </a:ln>
          </c:spPr>
          <c:marker>
            <c:symbol val="diamond"/>
            <c:size val="5"/>
            <c:spPr>
              <a:solidFill>
                <a:srgbClr val="000080"/>
              </a:solidFill>
              <a:ln w="6350" cap="flat" cmpd="sng" algn="ctr">
                <a:solidFill>
                  <a:srgbClr val="000080"/>
                </a:solidFill>
                <a:prstDash val="solid"/>
                <a:round/>
              </a:ln>
            </c:spPr>
          </c:marker>
          <c:dLbls>
            <c:delete val="1"/>
          </c:dLbls>
          <c:cat>
            <c:strRef>
              <c:f>数据!$B$6:$M$6</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数据!$B$7:$M$7</c:f>
              <c:numCache>
                <c:formatCode>0.00_ </c:formatCode>
                <c:ptCount val="12"/>
                <c:pt idx="0">
                  <c:v>1.60000002384186</c:v>
                </c:pt>
                <c:pt idx="1">
                  <c:v>1.75</c:v>
                </c:pt>
                <c:pt idx="2">
                  <c:v>2.04999995231628</c:v>
                </c:pt>
                <c:pt idx="3">
                  <c:v>2.79999995231628</c:v>
                </c:pt>
                <c:pt idx="4">
                  <c:v>2.65000009536743</c:v>
                </c:pt>
                <c:pt idx="5">
                  <c:v>2.53999996185303</c:v>
                </c:pt>
                <c:pt idx="6">
                  <c:v>2.26999998092651</c:v>
                </c:pt>
                <c:pt idx="7">
                  <c:v>2.49000000953674</c:v>
                </c:pt>
                <c:pt idx="8">
                  <c:v>2.15000009536743</c:v>
                </c:pt>
                <c:pt idx="9">
                  <c:v>2.00999999046326</c:v>
                </c:pt>
                <c:pt idx="10">
                  <c:v>1.79999995231628</c:v>
                </c:pt>
                <c:pt idx="11">
                  <c:v>1.46000003814697</c:v>
                </c:pt>
              </c:numCache>
            </c:numRef>
          </c:val>
          <c:smooth val="0"/>
        </c:ser>
        <c:dLbls>
          <c:showLegendKey val="0"/>
          <c:showVal val="0"/>
          <c:showCatName val="0"/>
          <c:showSerName val="0"/>
          <c:showPercent val="0"/>
          <c:showBubbleSize val="0"/>
        </c:dLbls>
        <c:marker val="1"/>
        <c:smooth val="0"/>
        <c:axId val="297310176"/>
        <c:axId val="297304192"/>
      </c:lineChart>
      <c:catAx>
        <c:axId val="297310176"/>
        <c:scaling>
          <c:orientation val="minMax"/>
        </c:scaling>
        <c:delete val="0"/>
        <c:axPos val="b"/>
        <c:numFmt formatCode="General"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297304192"/>
        <c:crosses val="autoZero"/>
        <c:auto val="1"/>
        <c:lblAlgn val="ctr"/>
        <c:lblOffset val="100"/>
        <c:tickLblSkip val="1"/>
        <c:noMultiLvlLbl val="0"/>
      </c:catAx>
      <c:valAx>
        <c:axId val="297304192"/>
        <c:scaling>
          <c:orientation val="minMax"/>
        </c:scaling>
        <c:delete val="0"/>
        <c:axPos val="l"/>
        <c:majorGridlines>
          <c:spPr>
            <a:ln w="3175" cap="flat" cmpd="sng" algn="ctr">
              <a:solidFill>
                <a:srgbClr val="000000"/>
              </a:solidFill>
              <a:prstDash val="solid"/>
              <a:round/>
            </a:ln>
          </c:spPr>
        </c:majorGridlines>
        <c:title>
          <c:tx>
            <c:rich>
              <a:bodyPr rot="-54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a:t>风速</a:t>
                </a:r>
                <a:r>
                  <a:rPr lang="en-US" altLang="zh-CN"/>
                  <a:t>(m/s) </a:t>
                </a:r>
                <a:endParaRPr lang="en-US" altLang="zh-CN"/>
              </a:p>
            </c:rich>
          </c:tx>
          <c:layout>
            <c:manualLayout>
              <c:xMode val="edge"/>
              <c:yMode val="edge"/>
              <c:x val="0.0178082310896238"/>
              <c:y val="0.284697508896797"/>
            </c:manualLayout>
          </c:layout>
          <c:overlay val="0"/>
          <c:spPr>
            <a:noFill/>
            <a:ln w="25400">
              <a:noFill/>
            </a:ln>
          </c:spPr>
        </c:title>
        <c:numFmt formatCode="0.00_ " sourceLinked="0"/>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297310176"/>
        <c:crosses val="autoZero"/>
        <c:crossBetween val="between"/>
      </c:valAx>
      <c:spPr>
        <a:solidFill>
          <a:srgbClr val="C0C0C0"/>
        </a:solidFill>
        <a:ln w="12700">
          <a:solidFill>
            <a:srgbClr val="808080"/>
          </a:solidFill>
          <a:prstDash val="solid"/>
        </a:ln>
      </c:spPr>
    </c:plotArea>
    <c:plotVisOnly val="1"/>
    <c:dispBlanksAs val="gap"/>
    <c:showDLblsOverMax val="0"/>
  </c:chart>
  <c:spPr>
    <a:solidFill>
      <a:srgbClr val="FFFFFF"/>
    </a:solidFill>
    <a:ln w="3175" cap="flat" cmpd="sng" algn="ctr">
      <a:solidFill>
        <a:srgbClr val="000000"/>
      </a:solidFill>
      <a:prstDash val="solid"/>
      <a:round/>
    </a:ln>
  </c:spPr>
  <c:txPr>
    <a:bodyPr/>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en-US" altLang="zh-CN"/>
              <a:t>&lt;3&gt;</a:t>
            </a:r>
            <a:r>
              <a:rPr lang="zh-CN" altLang="en-US"/>
              <a:t>附表</a:t>
            </a:r>
            <a:r>
              <a:rPr lang="en-US" altLang="zh-CN"/>
              <a:t>C.13 </a:t>
            </a:r>
            <a:r>
              <a:rPr lang="zh-CN" altLang="en-US"/>
              <a:t>季小时平均风速的日变化</a:t>
            </a:r>
            <a:endParaRPr lang="zh-CN" altLang="en-US"/>
          </a:p>
        </c:rich>
      </c:tx>
      <c:layout>
        <c:manualLayout>
          <c:xMode val="edge"/>
          <c:yMode val="edge"/>
          <c:x val="0.311901504787962"/>
          <c:y val="0.0360655737704918"/>
        </c:manualLayout>
      </c:layout>
      <c:overlay val="0"/>
      <c:spPr>
        <a:noFill/>
        <a:ln w="25400">
          <a:noFill/>
        </a:ln>
      </c:spPr>
    </c:title>
    <c:autoTitleDeleted val="0"/>
    <c:plotArea>
      <c:layout>
        <c:manualLayout>
          <c:layoutTarget val="inner"/>
          <c:xMode val="edge"/>
          <c:yMode val="edge"/>
          <c:x val="0.125854993160055"/>
          <c:y val="0.154098360655738"/>
          <c:w val="0.719562243502052"/>
          <c:h val="0.691803278688525"/>
        </c:manualLayout>
      </c:layout>
      <c:lineChart>
        <c:grouping val="standard"/>
        <c:varyColors val="0"/>
        <c:ser>
          <c:idx val="0"/>
          <c:order val="0"/>
          <c:tx>
            <c:strRef>
              <c:f>图形!$A$167</c:f>
              <c:strCache>
                <c:ptCount val="1"/>
                <c:pt idx="0">
                  <c:v>春季                </c:v>
                </c:pt>
              </c:strCache>
            </c:strRef>
          </c:tx>
          <c:spPr>
            <a:ln w="12700" cap="rnd" cmpd="sng" algn="ctr">
              <a:solidFill>
                <a:srgbClr val="000080"/>
              </a:solidFill>
              <a:prstDash val="solid"/>
              <a:round/>
            </a:ln>
          </c:spPr>
          <c:marker>
            <c:symbol val="diamond"/>
            <c:size val="5"/>
            <c:spPr>
              <a:solidFill>
                <a:srgbClr val="000080"/>
              </a:solidFill>
              <a:ln w="6350" cap="flat" cmpd="sng" algn="ctr">
                <a:solidFill>
                  <a:srgbClr val="000080"/>
                </a:solidFill>
                <a:prstDash val="solid"/>
                <a:round/>
              </a:ln>
            </c:spPr>
          </c:marker>
          <c:dLbls>
            <c:delete val="1"/>
          </c:dLbls>
          <c:val>
            <c:numRef>
              <c:f>图形!$B$167:$Y$167</c:f>
              <c:numCache>
                <c:formatCode>General</c:formatCode>
                <c:ptCount val="24"/>
                <c:pt idx="0">
                  <c:v>1.94000005722046</c:v>
                </c:pt>
                <c:pt idx="1">
                  <c:v>1.87999999523163</c:v>
                </c:pt>
                <c:pt idx="2">
                  <c:v>2.09999990463257</c:v>
                </c:pt>
                <c:pt idx="3">
                  <c:v>2.0699999332428</c:v>
                </c:pt>
                <c:pt idx="4">
                  <c:v>2.09999990463257</c:v>
                </c:pt>
                <c:pt idx="5">
                  <c:v>1.92999994754791</c:v>
                </c:pt>
                <c:pt idx="6">
                  <c:v>2.02999997138977</c:v>
                </c:pt>
                <c:pt idx="7">
                  <c:v>2</c:v>
                </c:pt>
                <c:pt idx="8">
                  <c:v>1.9099999666214</c:v>
                </c:pt>
                <c:pt idx="9">
                  <c:v>2.01999998092651</c:v>
                </c:pt>
                <c:pt idx="10">
                  <c:v>2.25999999046326</c:v>
                </c:pt>
                <c:pt idx="11">
                  <c:v>2.6800000667572</c:v>
                </c:pt>
                <c:pt idx="12">
                  <c:v>3.10999989509583</c:v>
                </c:pt>
                <c:pt idx="13">
                  <c:v>3.17000007629395</c:v>
                </c:pt>
                <c:pt idx="14">
                  <c:v>3.36999988555908</c:v>
                </c:pt>
                <c:pt idx="15">
                  <c:v>3.52999997138977</c:v>
                </c:pt>
                <c:pt idx="16">
                  <c:v>3.67000007629395</c:v>
                </c:pt>
                <c:pt idx="17">
                  <c:v>3.52999997138977</c:v>
                </c:pt>
                <c:pt idx="18">
                  <c:v>3.26999998092651</c:v>
                </c:pt>
                <c:pt idx="19">
                  <c:v>3.0699999332428</c:v>
                </c:pt>
                <c:pt idx="20">
                  <c:v>2.42000007629395</c:v>
                </c:pt>
                <c:pt idx="21">
                  <c:v>2</c:v>
                </c:pt>
                <c:pt idx="22">
                  <c:v>1.92999994754791</c:v>
                </c:pt>
                <c:pt idx="23">
                  <c:v>1.88999998569489</c:v>
                </c:pt>
              </c:numCache>
            </c:numRef>
          </c:val>
          <c:smooth val="0"/>
        </c:ser>
        <c:ser>
          <c:idx val="1"/>
          <c:order val="1"/>
          <c:tx>
            <c:strRef>
              <c:f>图形!$A$168</c:f>
              <c:strCache>
                <c:ptCount val="1"/>
                <c:pt idx="0">
                  <c:v>夏季                </c:v>
                </c:pt>
              </c:strCache>
            </c:strRef>
          </c:tx>
          <c:spPr>
            <a:ln w="12700" cap="rnd" cmpd="sng" algn="ctr">
              <a:solidFill>
                <a:srgbClr val="FF00FF"/>
              </a:solidFill>
              <a:prstDash val="solid"/>
              <a:round/>
            </a:ln>
          </c:spPr>
          <c:marker>
            <c:symbol val="square"/>
            <c:size val="5"/>
            <c:spPr>
              <a:solidFill>
                <a:srgbClr val="FF00FF"/>
              </a:solidFill>
              <a:ln w="6350" cap="flat" cmpd="sng" algn="ctr">
                <a:solidFill>
                  <a:srgbClr val="FF00FF"/>
                </a:solidFill>
                <a:prstDash val="solid"/>
                <a:round/>
              </a:ln>
            </c:spPr>
          </c:marker>
          <c:dLbls>
            <c:delete val="1"/>
          </c:dLbls>
          <c:val>
            <c:numRef>
              <c:f>图形!$B$168:$Y$168</c:f>
              <c:numCache>
                <c:formatCode>General</c:formatCode>
                <c:ptCount val="24"/>
                <c:pt idx="0">
                  <c:v>2.07999992370605</c:v>
                </c:pt>
                <c:pt idx="1">
                  <c:v>2.10999989509583</c:v>
                </c:pt>
                <c:pt idx="2">
                  <c:v>2.20000004768372</c:v>
                </c:pt>
                <c:pt idx="3">
                  <c:v>2.13000011444092</c:v>
                </c:pt>
                <c:pt idx="4">
                  <c:v>2.16000008583069</c:v>
                </c:pt>
                <c:pt idx="5">
                  <c:v>2.16000008583069</c:v>
                </c:pt>
                <c:pt idx="6">
                  <c:v>2.15000009536743</c:v>
                </c:pt>
                <c:pt idx="7">
                  <c:v>2.02999997138977</c:v>
                </c:pt>
                <c:pt idx="8">
                  <c:v>2.10999989509583</c:v>
                </c:pt>
                <c:pt idx="9">
                  <c:v>2.1800000667572</c:v>
                </c:pt>
                <c:pt idx="10">
                  <c:v>2.34999990463257</c:v>
                </c:pt>
                <c:pt idx="11">
                  <c:v>2.64000010490417</c:v>
                </c:pt>
                <c:pt idx="12">
                  <c:v>2.82999992370605</c:v>
                </c:pt>
                <c:pt idx="13">
                  <c:v>3.04999995231628</c:v>
                </c:pt>
                <c:pt idx="14">
                  <c:v>3.21000003814697</c:v>
                </c:pt>
                <c:pt idx="15">
                  <c:v>3.16000008583069</c:v>
                </c:pt>
                <c:pt idx="16">
                  <c:v>3.07999992370605</c:v>
                </c:pt>
                <c:pt idx="17">
                  <c:v>3.01999998092651</c:v>
                </c:pt>
                <c:pt idx="18">
                  <c:v>2.9300000667572</c:v>
                </c:pt>
                <c:pt idx="19">
                  <c:v>2.79999995231628</c:v>
                </c:pt>
                <c:pt idx="20">
                  <c:v>2.47000002861023</c:v>
                </c:pt>
                <c:pt idx="21">
                  <c:v>1.97000002861023</c:v>
                </c:pt>
                <c:pt idx="22">
                  <c:v>1.73000001907349</c:v>
                </c:pt>
                <c:pt idx="23">
                  <c:v>1.78999996185303</c:v>
                </c:pt>
              </c:numCache>
            </c:numRef>
          </c:val>
          <c:smooth val="0"/>
        </c:ser>
        <c:ser>
          <c:idx val="2"/>
          <c:order val="2"/>
          <c:tx>
            <c:strRef>
              <c:f>图形!$A$169</c:f>
              <c:strCache>
                <c:ptCount val="1"/>
                <c:pt idx="0">
                  <c:v>秋季                </c:v>
                </c:pt>
              </c:strCache>
            </c:strRef>
          </c:tx>
          <c:spPr>
            <a:ln w="12700" cap="rnd" cmpd="sng" algn="ctr">
              <a:solidFill>
                <a:srgbClr val="FFFF00"/>
              </a:solidFill>
              <a:prstDash val="solid"/>
              <a:round/>
            </a:ln>
          </c:spPr>
          <c:marker>
            <c:symbol val="triangle"/>
            <c:size val="5"/>
            <c:spPr>
              <a:solidFill>
                <a:srgbClr val="FFFF00"/>
              </a:solidFill>
              <a:ln w="6350" cap="flat" cmpd="sng" algn="ctr">
                <a:solidFill>
                  <a:srgbClr val="FFFF00"/>
                </a:solidFill>
                <a:prstDash val="solid"/>
                <a:round/>
              </a:ln>
            </c:spPr>
          </c:marker>
          <c:dLbls>
            <c:delete val="1"/>
          </c:dLbls>
          <c:val>
            <c:numRef>
              <c:f>图形!$B$169:$Y$169</c:f>
              <c:numCache>
                <c:formatCode>General</c:formatCode>
                <c:ptCount val="24"/>
                <c:pt idx="0">
                  <c:v>1.85000002384186</c:v>
                </c:pt>
                <c:pt idx="1">
                  <c:v>1.75</c:v>
                </c:pt>
                <c:pt idx="2">
                  <c:v>1.83000004291534</c:v>
                </c:pt>
                <c:pt idx="3">
                  <c:v>1.76999998092651</c:v>
                </c:pt>
                <c:pt idx="4">
                  <c:v>1.74000000953674</c:v>
                </c:pt>
                <c:pt idx="5">
                  <c:v>1.78999996185303</c:v>
                </c:pt>
                <c:pt idx="6">
                  <c:v>1.70000004768372</c:v>
                </c:pt>
                <c:pt idx="7">
                  <c:v>1.74000000953674</c:v>
                </c:pt>
                <c:pt idx="8">
                  <c:v>1.72000002861023</c:v>
                </c:pt>
                <c:pt idx="9">
                  <c:v>1.64999997615814</c:v>
                </c:pt>
                <c:pt idx="10">
                  <c:v>1.92999994754791</c:v>
                </c:pt>
                <c:pt idx="11">
                  <c:v>1.87000000476837</c:v>
                </c:pt>
                <c:pt idx="12">
                  <c:v>2.21000003814697</c:v>
                </c:pt>
                <c:pt idx="13">
                  <c:v>2.55999994277954</c:v>
                </c:pt>
                <c:pt idx="14">
                  <c:v>2.60999989509583</c:v>
                </c:pt>
                <c:pt idx="15">
                  <c:v>2.73000001907349</c:v>
                </c:pt>
                <c:pt idx="16">
                  <c:v>2.55999994277954</c:v>
                </c:pt>
                <c:pt idx="17">
                  <c:v>2.5</c:v>
                </c:pt>
                <c:pt idx="18">
                  <c:v>2.27999997138977</c:v>
                </c:pt>
                <c:pt idx="19">
                  <c:v>1.94000005722046</c:v>
                </c:pt>
                <c:pt idx="20">
                  <c:v>1.76999998092651</c:v>
                </c:pt>
                <c:pt idx="21">
                  <c:v>1.72000002861023</c:v>
                </c:pt>
                <c:pt idx="22">
                  <c:v>1.61000001430511</c:v>
                </c:pt>
                <c:pt idx="23">
                  <c:v>1.87000000476837</c:v>
                </c:pt>
              </c:numCache>
            </c:numRef>
          </c:val>
          <c:smooth val="0"/>
        </c:ser>
        <c:ser>
          <c:idx val="3"/>
          <c:order val="3"/>
          <c:tx>
            <c:strRef>
              <c:f>图形!$A$170</c:f>
              <c:strCache>
                <c:ptCount val="1"/>
                <c:pt idx="0">
                  <c:v>冬季                </c:v>
                </c:pt>
              </c:strCache>
            </c:strRef>
          </c:tx>
          <c:spPr>
            <a:ln w="12700" cap="rnd" cmpd="sng" algn="ctr">
              <a:solidFill>
                <a:srgbClr val="00FFFF"/>
              </a:solidFill>
              <a:prstDash val="solid"/>
              <a:round/>
            </a:ln>
          </c:spPr>
          <c:marker>
            <c:symbol val="x"/>
            <c:size val="5"/>
            <c:spPr>
              <a:noFill/>
              <a:ln w="6350" cap="flat" cmpd="sng" algn="ctr">
                <a:solidFill>
                  <a:srgbClr val="00FFFF"/>
                </a:solidFill>
                <a:prstDash val="solid"/>
                <a:round/>
              </a:ln>
            </c:spPr>
          </c:marker>
          <c:dLbls>
            <c:delete val="1"/>
          </c:dLbls>
          <c:val>
            <c:numRef>
              <c:f>图形!$B$170:$Y$170</c:f>
              <c:numCache>
                <c:formatCode>General</c:formatCode>
                <c:ptCount val="24"/>
                <c:pt idx="0">
                  <c:v>1.57000005245209</c:v>
                </c:pt>
                <c:pt idx="1">
                  <c:v>1.50999999046326</c:v>
                </c:pt>
                <c:pt idx="2">
                  <c:v>1.63999998569489</c:v>
                </c:pt>
                <c:pt idx="3">
                  <c:v>1.67999994754791</c:v>
                </c:pt>
                <c:pt idx="4">
                  <c:v>1.72000002861023</c:v>
                </c:pt>
                <c:pt idx="5">
                  <c:v>1.62000000476837</c:v>
                </c:pt>
                <c:pt idx="6">
                  <c:v>1.6599999666214</c:v>
                </c:pt>
                <c:pt idx="7">
                  <c:v>1.53999996185303</c:v>
                </c:pt>
                <c:pt idx="8">
                  <c:v>1.52999997138977</c:v>
                </c:pt>
                <c:pt idx="9">
                  <c:v>1.6599999666214</c:v>
                </c:pt>
                <c:pt idx="10">
                  <c:v>1.45000004768372</c:v>
                </c:pt>
                <c:pt idx="11">
                  <c:v>1.46000003814697</c:v>
                </c:pt>
                <c:pt idx="12">
                  <c:v>1.62000000476837</c:v>
                </c:pt>
                <c:pt idx="13">
                  <c:v>1.72000002861023</c:v>
                </c:pt>
                <c:pt idx="14">
                  <c:v>1.79999995231628</c:v>
                </c:pt>
                <c:pt idx="15">
                  <c:v>1.82000005245209</c:v>
                </c:pt>
                <c:pt idx="16">
                  <c:v>1.79999995231628</c:v>
                </c:pt>
                <c:pt idx="17">
                  <c:v>1.62000000476837</c:v>
                </c:pt>
                <c:pt idx="18">
                  <c:v>1.57000005245209</c:v>
                </c:pt>
                <c:pt idx="19">
                  <c:v>1.51999998092651</c:v>
                </c:pt>
                <c:pt idx="20">
                  <c:v>1.49000000953674</c:v>
                </c:pt>
                <c:pt idx="21">
                  <c:v>1.44000005722046</c:v>
                </c:pt>
                <c:pt idx="22">
                  <c:v>1.47000002861023</c:v>
                </c:pt>
                <c:pt idx="23">
                  <c:v>1.5</c:v>
                </c:pt>
              </c:numCache>
            </c:numRef>
          </c:val>
          <c:smooth val="0"/>
        </c:ser>
        <c:dLbls>
          <c:showLegendKey val="0"/>
          <c:showVal val="0"/>
          <c:showCatName val="0"/>
          <c:showSerName val="0"/>
          <c:showPercent val="0"/>
          <c:showBubbleSize val="0"/>
        </c:dLbls>
        <c:marker val="1"/>
        <c:smooth val="0"/>
        <c:axId val="565678448"/>
        <c:axId val="565672464"/>
      </c:lineChart>
      <c:catAx>
        <c:axId val="565678448"/>
        <c:scaling>
          <c:orientation val="minMax"/>
        </c:scaling>
        <c:delete val="0"/>
        <c:axPos val="b"/>
        <c:numFmt formatCode="General"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565672464"/>
        <c:crosses val="autoZero"/>
        <c:auto val="1"/>
        <c:lblAlgn val="ctr"/>
        <c:lblOffset val="100"/>
        <c:tickLblSkip val="1"/>
        <c:noMultiLvlLbl val="0"/>
      </c:catAx>
      <c:valAx>
        <c:axId val="565672464"/>
        <c:scaling>
          <c:orientation val="minMax"/>
        </c:scaling>
        <c:delete val="0"/>
        <c:axPos val="l"/>
        <c:majorGridlines>
          <c:spPr>
            <a:ln w="3175" cap="flat" cmpd="sng" algn="ctr">
              <a:solidFill>
                <a:srgbClr val="000000"/>
              </a:solidFill>
              <a:prstDash val="solid"/>
              <a:round/>
            </a:ln>
          </c:spPr>
        </c:majorGridlines>
        <c:title>
          <c:tx>
            <c:rich>
              <a:bodyPr rot="-54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a:t>风速</a:t>
                </a:r>
                <a:r>
                  <a:rPr lang="en-US" altLang="zh-CN"/>
                  <a:t>(m/s)</a:t>
                </a:r>
                <a:endParaRPr lang="en-US" altLang="zh-CN"/>
              </a:p>
            </c:rich>
          </c:tx>
          <c:layout>
            <c:manualLayout>
              <c:xMode val="edge"/>
              <c:yMode val="edge"/>
              <c:x val="0.0205198358413133"/>
              <c:y val="0.373770491803279"/>
            </c:manualLayout>
          </c:layout>
          <c:overlay val="0"/>
          <c:spPr>
            <a:noFill/>
            <a:ln w="25400">
              <a:noFill/>
            </a:ln>
          </c:spPr>
        </c:title>
        <c:numFmt formatCode="0.00_ " sourceLinked="0"/>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565678448"/>
        <c:crosses val="autoZero"/>
        <c:crossBetween val="between"/>
      </c:valAx>
      <c:spPr>
        <a:solidFill>
          <a:srgbClr val="C0C0C0"/>
        </a:solidFill>
        <a:ln w="12700">
          <a:solidFill>
            <a:srgbClr val="808080"/>
          </a:solidFill>
          <a:prstDash val="solid"/>
        </a:ln>
      </c:spPr>
    </c:plotArea>
    <c:legend>
      <c:legendPos val="r"/>
      <c:layout>
        <c:manualLayout>
          <c:xMode val="edge"/>
          <c:yMode val="edge"/>
          <c:x val="0.856361149110807"/>
          <c:y val="0.19672131147541"/>
          <c:w val="0.125854993160055"/>
          <c:h val="0.511475409836066"/>
        </c:manualLayout>
      </c:layout>
      <c:overlay val="0"/>
      <c:spPr>
        <a:solidFill>
          <a:srgbClr val="FFFFFF"/>
        </a:solidFill>
        <a:ln w="3175">
          <a:solidFill>
            <a:srgbClr val="000000"/>
          </a:solidFill>
          <a:prstDash val="solid"/>
        </a:ln>
      </c:spPr>
      <c:txPr>
        <a:bodyPr rot="0" spcFirstLastPara="0" vertOverflow="ellipsis" vert="horz" wrap="square" anchor="ctr" anchorCtr="1"/>
        <a:lstStyle/>
        <a:p>
          <a:pPr>
            <a:defRPr lang="zh-CN" sz="11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legend>
    <c:plotVisOnly val="1"/>
    <c:dispBlanksAs val="gap"/>
    <c:showDLblsOverMax val="0"/>
  </c:chart>
  <c:spPr>
    <a:solidFill>
      <a:srgbClr val="FFFFFF"/>
    </a:solidFill>
    <a:ln w="3175" cap="flat" cmpd="sng" algn="ctr">
      <a:solidFill>
        <a:srgbClr val="000000"/>
      </a:solidFill>
      <a:prstDash val="solid"/>
      <a:round/>
    </a:ln>
  </c:spPr>
  <c:txPr>
    <a:bodyPr/>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207</Pages>
  <Words>4371</Words>
  <Characters>5040</Characters>
  <Lines>0</Lines>
  <Paragraphs>0</Paragraphs>
  <TotalTime>24</TotalTime>
  <ScaleCrop>false</ScaleCrop>
  <LinksUpToDate>false</LinksUpToDate>
  <CharactersWithSpaces>5216</CharactersWithSpaces>
  <Application>WPS Office_11.8.2.12055_F1E327BC-269C-435d-A152-05C5408002CA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2023-08-10T03:09:00Z</dcterms:created>
  <dc:creator>Administrator</dc:creator>
  <cp:lastModifiedBy>Administrator</cp:lastModifiedBy>
  <cp:lastPrinted>2025-07-23T03:03:00Z</cp:lastPrinted>
  <dcterms:modified xsi:type="dcterms:W3CDTF">2025-08-08T09:48:45Z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2052-11.8.2.12055</vt:lpwstr>
  </property>
  <property fmtid="{D5CDD505-2E9C-101B-9397-08002B2CF9AE}" pid="3" name="ICV">
    <vt:lpwstr>0DD8D0D54DE5458F9D48549F2590625F_12</vt:lpwstr>
  </property>
  <property fmtid="{D5CDD505-2E9C-101B-9397-08002B2CF9AE}" pid="4" name="KSOTemplateDocerSaveRecord">
    <vt:lpwstr>eyJoZGlkIjoiYzU4ODNlMzY2Y2IwOWI2OGJhZmU5NWQwMWVjMzJhZDkiLCJ1c2VySWQiOiI0NTQ3MzI3ODIifQ==</vt:lpwstr>
  </property>
</Properties>
</file>