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rPr>
        <w:t>塔城地区推进高标准农田建设项目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color w:val="auto"/>
          <w:spacing w:val="0"/>
          <w:sz w:val="32"/>
          <w:szCs w:val="32"/>
          <w:highlight w:val="none"/>
          <w:lang w:val="en-US" w:eastAsia="zh-CN"/>
        </w:rPr>
      </w:pPr>
      <w:r>
        <w:rPr>
          <w:rFonts w:hint="eastAsia" w:ascii="方正小标宋简体" w:hAnsi="方正小标宋简体" w:eastAsia="方正小标宋简体" w:cs="方正小标宋简体"/>
          <w:color w:val="auto"/>
          <w:spacing w:val="0"/>
          <w:sz w:val="44"/>
          <w:szCs w:val="44"/>
          <w:highlight w:val="none"/>
        </w:rPr>
        <w:t>工作实施方案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pacing w:val="0"/>
          <w:kern w:val="0"/>
          <w:sz w:val="32"/>
          <w:szCs w:val="32"/>
          <w:highlight w:val="none"/>
          <w:lang w:eastAsia="zh-CN"/>
        </w:rPr>
      </w:pPr>
      <w:r>
        <w:rPr>
          <w:rFonts w:hint="eastAsia" w:ascii="仿宋_GB2312" w:hAnsi="仿宋_GB2312" w:eastAsia="仿宋_GB2312" w:cs="仿宋_GB2312"/>
          <w:color w:val="auto"/>
          <w:spacing w:val="0"/>
          <w:sz w:val="32"/>
          <w:szCs w:val="32"/>
          <w:highlight w:val="none"/>
          <w:lang w:val="en-US" w:eastAsia="zh-CN"/>
        </w:rPr>
        <w:t>为加强高标准农田项目建设，推动全地区农田建设高质量发展，依据中共中央办公厅 国务院办公厅《逐步把永久基本农田建成高标准农田实施方案》，农业农村部《高标准农田建设质量管理办法》及自治区人民政府办公厅《新疆维吾尔自治区高标准农田建设实施意见》等文件精神，</w:t>
      </w:r>
      <w:r>
        <w:rPr>
          <w:rFonts w:hint="eastAsia" w:ascii="Times New Roman" w:hAnsi="Times New Roman" w:eastAsia="仿宋_GB2312" w:cs="Times New Roman"/>
          <w:color w:val="auto"/>
          <w:spacing w:val="0"/>
          <w:kern w:val="0"/>
          <w:sz w:val="32"/>
          <w:szCs w:val="32"/>
          <w:highlight w:val="none"/>
          <w:lang w:eastAsia="zh-CN"/>
        </w:rPr>
        <w:t>结合</w:t>
      </w:r>
      <w:r>
        <w:rPr>
          <w:rFonts w:hint="default" w:ascii="Times New Roman" w:hAnsi="Times New Roman" w:eastAsia="仿宋_GB2312" w:cs="Times New Roman"/>
          <w:color w:val="auto"/>
          <w:spacing w:val="0"/>
          <w:kern w:val="0"/>
          <w:sz w:val="32"/>
          <w:szCs w:val="32"/>
          <w:highlight w:val="none"/>
          <w:lang w:eastAsia="zh-CN"/>
        </w:rPr>
        <w:t>地区</w:t>
      </w:r>
      <w:r>
        <w:rPr>
          <w:rFonts w:hint="eastAsia" w:ascii="Times New Roman" w:hAnsi="Times New Roman" w:eastAsia="仿宋_GB2312" w:cs="Times New Roman"/>
          <w:color w:val="auto"/>
          <w:spacing w:val="0"/>
          <w:kern w:val="0"/>
          <w:sz w:val="32"/>
          <w:szCs w:val="32"/>
          <w:highlight w:val="none"/>
          <w:lang w:eastAsia="zh-CN"/>
        </w:rPr>
        <w:t>实际</w:t>
      </w:r>
      <w:r>
        <w:rPr>
          <w:rFonts w:hint="default" w:ascii="Times New Roman" w:hAnsi="Times New Roman" w:eastAsia="仿宋_GB2312" w:cs="Times New Roman"/>
          <w:color w:val="auto"/>
          <w:spacing w:val="0"/>
          <w:kern w:val="0"/>
          <w:sz w:val="32"/>
          <w:szCs w:val="32"/>
          <w:highlight w:val="none"/>
          <w:lang w:eastAsia="zh-CN"/>
        </w:rPr>
        <w:t>，</w:t>
      </w:r>
      <w:r>
        <w:rPr>
          <w:rFonts w:hint="eastAsia" w:ascii="Times New Roman" w:hAnsi="Times New Roman" w:eastAsia="仿宋_GB2312" w:cs="Times New Roman"/>
          <w:color w:val="auto"/>
          <w:spacing w:val="0"/>
          <w:kern w:val="0"/>
          <w:sz w:val="32"/>
          <w:szCs w:val="32"/>
          <w:highlight w:val="none"/>
          <w:lang w:eastAsia="zh-CN"/>
        </w:rPr>
        <w:t>制定本方案。</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eastAsia="zh-CN"/>
        </w:rPr>
        <w:t>依据</w:t>
      </w:r>
      <w:r>
        <w:rPr>
          <w:rFonts w:hint="eastAsia" w:ascii="Times New Roman" w:hAnsi="Times New Roman" w:eastAsia="仿宋_GB2312" w:cs="Times New Roman"/>
          <w:color w:val="auto"/>
          <w:spacing w:val="0"/>
          <w:kern w:val="0"/>
          <w:sz w:val="32"/>
          <w:szCs w:val="32"/>
          <w:highlight w:val="none"/>
          <w:lang w:val="en-US" w:eastAsia="zh-CN"/>
        </w:rPr>
        <w:t>2023年国土变更调查数据（地方），</w:t>
      </w:r>
      <w:r>
        <w:rPr>
          <w:rFonts w:hint="default" w:ascii="Times New Roman" w:hAnsi="Times New Roman" w:eastAsia="仿宋_GB2312" w:cs="Times New Roman"/>
          <w:color w:val="auto"/>
          <w:spacing w:val="0"/>
          <w:kern w:val="0"/>
          <w:sz w:val="32"/>
          <w:szCs w:val="32"/>
          <w:highlight w:val="none"/>
          <w:lang w:eastAsia="zh-CN"/>
        </w:rPr>
        <w:t>全地区</w:t>
      </w:r>
      <w:r>
        <w:rPr>
          <w:rFonts w:hint="default" w:ascii="Times New Roman" w:hAnsi="Times New Roman" w:eastAsia="仿宋_GB2312" w:cs="Times New Roman"/>
          <w:color w:val="auto"/>
          <w:spacing w:val="0"/>
          <w:kern w:val="0"/>
          <w:sz w:val="32"/>
          <w:szCs w:val="32"/>
          <w:highlight w:val="none"/>
          <w:lang w:val="en-US" w:eastAsia="zh-CN"/>
        </w:rPr>
        <w:t>现有耕地面积1069.77万亩，</w:t>
      </w:r>
      <w:r>
        <w:rPr>
          <w:rFonts w:hint="eastAsia" w:ascii="Times New Roman" w:hAnsi="Times New Roman" w:eastAsia="仿宋_GB2312" w:cs="Times New Roman"/>
          <w:color w:val="auto"/>
          <w:spacing w:val="0"/>
          <w:kern w:val="0"/>
          <w:sz w:val="32"/>
          <w:szCs w:val="32"/>
          <w:highlight w:val="none"/>
          <w:lang w:val="en-US" w:eastAsia="zh-CN"/>
        </w:rPr>
        <w:t>根据各县（市）高标准农田项目上图入库数据核实已</w:t>
      </w:r>
      <w:r>
        <w:rPr>
          <w:rFonts w:hint="default" w:ascii="Times New Roman" w:hAnsi="Times New Roman" w:eastAsia="仿宋_GB2312" w:cs="Times New Roman"/>
          <w:b w:val="0"/>
          <w:bCs w:val="0"/>
          <w:color w:val="auto"/>
          <w:spacing w:val="0"/>
          <w:kern w:val="0"/>
          <w:sz w:val="32"/>
          <w:szCs w:val="32"/>
          <w:highlight w:val="none"/>
        </w:rPr>
        <w:t>建</w:t>
      </w:r>
      <w:r>
        <w:rPr>
          <w:rFonts w:hint="default" w:ascii="Times New Roman" w:hAnsi="Times New Roman" w:eastAsia="仿宋_GB2312" w:cs="Times New Roman"/>
          <w:b w:val="0"/>
          <w:bCs w:val="0"/>
          <w:color w:val="auto"/>
          <w:spacing w:val="0"/>
          <w:kern w:val="0"/>
          <w:sz w:val="32"/>
          <w:szCs w:val="32"/>
          <w:highlight w:val="none"/>
          <w:lang w:eastAsia="zh-CN"/>
        </w:rPr>
        <w:t>成</w:t>
      </w:r>
      <w:r>
        <w:rPr>
          <w:rFonts w:hint="default" w:ascii="Times New Roman" w:hAnsi="Times New Roman" w:eastAsia="仿宋_GB2312" w:cs="Times New Roman"/>
          <w:b w:val="0"/>
          <w:bCs w:val="0"/>
          <w:color w:val="auto"/>
          <w:spacing w:val="0"/>
          <w:kern w:val="0"/>
          <w:sz w:val="32"/>
          <w:szCs w:val="32"/>
          <w:highlight w:val="none"/>
        </w:rPr>
        <w:t>高</w:t>
      </w:r>
      <w:r>
        <w:rPr>
          <w:rFonts w:hint="default" w:ascii="Times New Roman" w:hAnsi="Times New Roman" w:eastAsia="仿宋_GB2312" w:cs="Times New Roman"/>
          <w:color w:val="auto"/>
          <w:spacing w:val="0"/>
          <w:kern w:val="0"/>
          <w:sz w:val="32"/>
          <w:szCs w:val="32"/>
          <w:highlight w:val="none"/>
        </w:rPr>
        <w:t>标准农田</w:t>
      </w:r>
      <w:r>
        <w:rPr>
          <w:rFonts w:hint="default" w:ascii="Times New Roman" w:hAnsi="Times New Roman" w:eastAsia="仿宋_GB2312" w:cs="Times New Roman"/>
          <w:color w:val="auto"/>
          <w:spacing w:val="0"/>
          <w:kern w:val="0"/>
          <w:sz w:val="32"/>
          <w:szCs w:val="32"/>
          <w:highlight w:val="none"/>
          <w:lang w:val="en-US" w:eastAsia="zh-CN"/>
        </w:rPr>
        <w:t>414.46</w:t>
      </w:r>
      <w:r>
        <w:rPr>
          <w:rFonts w:hint="default" w:ascii="Times New Roman" w:hAnsi="Times New Roman" w:eastAsia="仿宋_GB2312" w:cs="Times New Roman"/>
          <w:color w:val="auto"/>
          <w:spacing w:val="0"/>
          <w:kern w:val="0"/>
          <w:sz w:val="32"/>
          <w:szCs w:val="32"/>
          <w:highlight w:val="none"/>
        </w:rPr>
        <w:t>万亩</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占比38.74%。</w:t>
      </w:r>
      <w:r>
        <w:rPr>
          <w:rFonts w:hint="eastAsia" w:ascii="Times New Roman" w:hAnsi="Times New Roman" w:eastAsia="仿宋_GB2312" w:cs="Times New Roman"/>
          <w:color w:val="auto"/>
          <w:spacing w:val="0"/>
          <w:kern w:val="0"/>
          <w:sz w:val="32"/>
          <w:szCs w:val="32"/>
          <w:highlight w:val="none"/>
          <w:lang w:val="en-US" w:eastAsia="zh-CN"/>
        </w:rPr>
        <w:t>依据2024年国家下发永久基本农田核实处置数据，全地区</w:t>
      </w:r>
      <w:r>
        <w:rPr>
          <w:rFonts w:hint="default" w:ascii="Times New Roman" w:hAnsi="Times New Roman" w:eastAsia="仿宋_GB2312" w:cs="Times New Roman"/>
          <w:color w:val="auto"/>
          <w:spacing w:val="0"/>
          <w:kern w:val="0"/>
          <w:sz w:val="32"/>
          <w:szCs w:val="32"/>
          <w:highlight w:val="none"/>
        </w:rPr>
        <w:t>永久基本农田864.</w:t>
      </w:r>
      <w:r>
        <w:rPr>
          <w:rFonts w:hint="eastAsia" w:ascii="Times New Roman" w:hAnsi="Times New Roman" w:eastAsia="仿宋_GB2312" w:cs="Times New Roman"/>
          <w:color w:val="auto"/>
          <w:spacing w:val="0"/>
          <w:kern w:val="0"/>
          <w:sz w:val="32"/>
          <w:szCs w:val="32"/>
          <w:highlight w:val="none"/>
          <w:lang w:val="en-US" w:eastAsia="zh-CN"/>
        </w:rPr>
        <w:t>30</w:t>
      </w:r>
      <w:r>
        <w:rPr>
          <w:rFonts w:hint="default" w:ascii="Times New Roman" w:hAnsi="Times New Roman" w:eastAsia="仿宋_GB2312" w:cs="Times New Roman"/>
          <w:color w:val="auto"/>
          <w:spacing w:val="0"/>
          <w:kern w:val="0"/>
          <w:sz w:val="32"/>
          <w:szCs w:val="32"/>
          <w:highlight w:val="none"/>
          <w:lang w:val="en-US" w:eastAsia="zh-CN"/>
        </w:rPr>
        <w:t>万亩，具备建设条件的833.65万亩，不具备</w:t>
      </w:r>
      <w:r>
        <w:rPr>
          <w:rFonts w:hint="default" w:ascii="Times New Roman" w:hAnsi="Times New Roman" w:eastAsia="仿宋_GB2312" w:cs="Times New Roman"/>
          <w:color w:val="auto"/>
          <w:spacing w:val="0"/>
          <w:kern w:val="0"/>
          <w:sz w:val="32"/>
          <w:szCs w:val="32"/>
          <w:highlight w:val="none"/>
          <w:lang w:eastAsia="zh-CN"/>
        </w:rPr>
        <w:t>建设</w:t>
      </w:r>
      <w:r>
        <w:rPr>
          <w:rFonts w:hint="default" w:ascii="Times New Roman" w:hAnsi="Times New Roman" w:eastAsia="仿宋_GB2312" w:cs="Times New Roman"/>
          <w:color w:val="auto"/>
          <w:spacing w:val="0"/>
          <w:kern w:val="0"/>
          <w:sz w:val="32"/>
          <w:szCs w:val="32"/>
          <w:highlight w:val="none"/>
          <w:lang w:val="en-US" w:eastAsia="zh-CN"/>
        </w:rPr>
        <w:t>条件</w:t>
      </w:r>
      <w:r>
        <w:rPr>
          <w:rFonts w:hint="default" w:ascii="Times New Roman" w:hAnsi="Times New Roman" w:eastAsia="仿宋_GB2312" w:cs="Times New Roman"/>
          <w:color w:val="auto"/>
          <w:spacing w:val="0"/>
          <w:kern w:val="0"/>
          <w:sz w:val="32"/>
          <w:szCs w:val="32"/>
          <w:highlight w:val="none"/>
          <w:lang w:eastAsia="zh-CN"/>
        </w:rPr>
        <w:t>的</w:t>
      </w:r>
      <w:r>
        <w:rPr>
          <w:rFonts w:hint="default" w:ascii="Times New Roman" w:hAnsi="Times New Roman" w:eastAsia="楷体_GB2312" w:cs="Times New Roman"/>
          <w:color w:val="auto"/>
          <w:spacing w:val="0"/>
          <w:kern w:val="0"/>
          <w:sz w:val="32"/>
          <w:szCs w:val="32"/>
          <w:highlight w:val="none"/>
          <w:lang w:val="en-US" w:eastAsia="zh-CN"/>
        </w:rPr>
        <w:t>（无水源、生态红线内、退耕还林还草等）</w:t>
      </w:r>
      <w:r>
        <w:rPr>
          <w:rFonts w:hint="default" w:ascii="Times New Roman" w:hAnsi="Times New Roman" w:eastAsia="仿宋_GB2312" w:cs="Times New Roman"/>
          <w:color w:val="auto"/>
          <w:spacing w:val="0"/>
          <w:kern w:val="0"/>
          <w:sz w:val="32"/>
          <w:szCs w:val="32"/>
          <w:highlight w:val="none"/>
          <w:lang w:val="en-US" w:eastAsia="zh-CN"/>
        </w:rPr>
        <w:t>3</w:t>
      </w:r>
      <w:r>
        <w:rPr>
          <w:rFonts w:hint="eastAsia" w:ascii="Times New Roman" w:hAnsi="Times New Roman" w:eastAsia="仿宋_GB2312" w:cs="Times New Roman"/>
          <w:color w:val="auto"/>
          <w:spacing w:val="0"/>
          <w:kern w:val="0"/>
          <w:sz w:val="32"/>
          <w:szCs w:val="32"/>
          <w:highlight w:val="none"/>
          <w:lang w:val="en-US" w:eastAsia="zh-CN"/>
        </w:rPr>
        <w:t>0.65</w:t>
      </w:r>
      <w:r>
        <w:rPr>
          <w:rFonts w:hint="default" w:ascii="Times New Roman" w:hAnsi="Times New Roman" w:eastAsia="仿宋_GB2312" w:cs="Times New Roman"/>
          <w:color w:val="auto"/>
          <w:spacing w:val="0"/>
          <w:kern w:val="0"/>
          <w:sz w:val="32"/>
          <w:szCs w:val="32"/>
          <w:highlight w:val="none"/>
          <w:lang w:val="en-US" w:eastAsia="zh-CN"/>
        </w:rPr>
        <w:t>万亩，</w:t>
      </w:r>
      <w:r>
        <w:rPr>
          <w:rFonts w:hint="default" w:ascii="Times New Roman" w:hAnsi="Times New Roman" w:eastAsia="仿宋_GB2312" w:cs="Times New Roman"/>
          <w:color w:val="auto"/>
          <w:spacing w:val="0"/>
          <w:kern w:val="0"/>
          <w:sz w:val="32"/>
          <w:szCs w:val="32"/>
          <w:highlight w:val="none"/>
          <w:lang w:eastAsia="zh-CN"/>
        </w:rPr>
        <w:t>已建成高标准农田</w:t>
      </w:r>
      <w:r>
        <w:rPr>
          <w:rFonts w:hint="default" w:ascii="Times New Roman" w:hAnsi="Times New Roman" w:eastAsia="仿宋_GB2312" w:cs="Times New Roman"/>
          <w:color w:val="auto"/>
          <w:spacing w:val="0"/>
          <w:kern w:val="0"/>
          <w:sz w:val="32"/>
          <w:szCs w:val="32"/>
          <w:highlight w:val="none"/>
          <w:lang w:val="en-US" w:eastAsia="zh-CN"/>
        </w:rPr>
        <w:t>381.59万亩，</w:t>
      </w:r>
      <w:r>
        <w:rPr>
          <w:rFonts w:hint="default" w:ascii="Times New Roman" w:hAnsi="Times New Roman" w:eastAsia="仿宋_GB2312" w:cs="Times New Roman"/>
          <w:color w:val="auto"/>
          <w:spacing w:val="0"/>
          <w:kern w:val="0"/>
          <w:sz w:val="32"/>
          <w:szCs w:val="32"/>
          <w:highlight w:val="none"/>
        </w:rPr>
        <w:t>占</w:t>
      </w:r>
      <w:r>
        <w:rPr>
          <w:rFonts w:hint="default" w:ascii="Times New Roman" w:hAnsi="Times New Roman" w:eastAsia="仿宋_GB2312" w:cs="Times New Roman"/>
          <w:color w:val="auto"/>
          <w:spacing w:val="0"/>
          <w:kern w:val="0"/>
          <w:sz w:val="32"/>
          <w:szCs w:val="32"/>
          <w:highlight w:val="none"/>
          <w:lang w:eastAsia="zh-CN"/>
        </w:rPr>
        <w:t>比</w:t>
      </w:r>
      <w:r>
        <w:rPr>
          <w:rFonts w:hint="default" w:ascii="Times New Roman" w:hAnsi="Times New Roman" w:eastAsia="仿宋_GB2312" w:cs="Times New Roman"/>
          <w:color w:val="auto"/>
          <w:spacing w:val="0"/>
          <w:kern w:val="0"/>
          <w:sz w:val="32"/>
          <w:szCs w:val="32"/>
          <w:highlight w:val="none"/>
        </w:rPr>
        <w:t>4</w:t>
      </w:r>
      <w:r>
        <w:rPr>
          <w:rFonts w:hint="default" w:ascii="Times New Roman" w:hAnsi="Times New Roman" w:eastAsia="仿宋_GB2312" w:cs="Times New Roman"/>
          <w:color w:val="auto"/>
          <w:spacing w:val="0"/>
          <w:kern w:val="0"/>
          <w:sz w:val="32"/>
          <w:szCs w:val="32"/>
          <w:highlight w:val="none"/>
          <w:lang w:val="en-US" w:eastAsia="zh-CN"/>
        </w:rPr>
        <w:t>5.77</w:t>
      </w:r>
      <w:r>
        <w:rPr>
          <w:rFonts w:hint="default" w:ascii="Times New Roman" w:hAnsi="Times New Roman" w:eastAsia="仿宋_GB2312" w:cs="Times New Roman"/>
          <w:color w:val="auto"/>
          <w:spacing w:val="0"/>
          <w:kern w:val="0"/>
          <w:sz w:val="32"/>
          <w:szCs w:val="32"/>
          <w:highlight w:val="none"/>
        </w:rPr>
        <w:t>%</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符合建设条件的</w:t>
      </w:r>
      <w:r>
        <w:rPr>
          <w:rFonts w:hint="eastAsia" w:ascii="Times New Roman" w:hAnsi="Times New Roman" w:eastAsia="仿宋_GB2312" w:cs="Times New Roman"/>
          <w:color w:val="auto"/>
          <w:spacing w:val="0"/>
          <w:kern w:val="0"/>
          <w:sz w:val="32"/>
          <w:szCs w:val="32"/>
          <w:highlight w:val="none"/>
          <w:lang w:eastAsia="zh-CN"/>
        </w:rPr>
        <w:t>未建</w:t>
      </w:r>
      <w:r>
        <w:rPr>
          <w:rFonts w:hint="default" w:ascii="Times New Roman" w:hAnsi="Times New Roman" w:eastAsia="仿宋_GB2312" w:cs="Times New Roman"/>
          <w:color w:val="auto"/>
          <w:spacing w:val="0"/>
          <w:kern w:val="0"/>
          <w:sz w:val="32"/>
          <w:szCs w:val="32"/>
          <w:highlight w:val="none"/>
          <w:lang w:val="en-US" w:eastAsia="zh-CN"/>
        </w:rPr>
        <w:t>耕地591.37万</w:t>
      </w:r>
      <w:r>
        <w:rPr>
          <w:rFonts w:hint="default" w:ascii="Times New Roman" w:hAnsi="Times New Roman" w:eastAsia="仿宋_GB2312" w:cs="Times New Roman"/>
          <w:color w:val="auto"/>
          <w:spacing w:val="0"/>
          <w:kern w:val="0"/>
          <w:sz w:val="32"/>
          <w:szCs w:val="32"/>
          <w:highlight w:val="none"/>
        </w:rPr>
        <w:t>亩</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其中</w:t>
      </w:r>
      <w:r>
        <w:rPr>
          <w:rFonts w:hint="eastAsia"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color w:val="auto"/>
          <w:spacing w:val="0"/>
          <w:kern w:val="0"/>
          <w:sz w:val="32"/>
          <w:szCs w:val="32"/>
          <w:highlight w:val="none"/>
        </w:rPr>
        <w:t>永久基本农田</w:t>
      </w:r>
      <w:r>
        <w:rPr>
          <w:rFonts w:hint="default" w:ascii="Times New Roman" w:hAnsi="Times New Roman" w:eastAsia="仿宋_GB2312" w:cs="Times New Roman"/>
          <w:color w:val="auto"/>
          <w:spacing w:val="0"/>
          <w:kern w:val="0"/>
          <w:sz w:val="32"/>
          <w:szCs w:val="32"/>
          <w:highlight w:val="none"/>
          <w:lang w:val="en-US" w:eastAsia="zh-CN"/>
        </w:rPr>
        <w:t>452.06万亩，一般耕地139.31万亩</w:t>
      </w:r>
      <w:r>
        <w:rPr>
          <w:rFonts w:hint="default" w:ascii="Times New Roman" w:hAnsi="Times New Roman" w:eastAsia="仿宋_GB2312" w:cs="Times New Roman"/>
          <w:color w:val="auto"/>
          <w:spacing w:val="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kern w:val="0"/>
          <w:sz w:val="32"/>
          <w:szCs w:val="32"/>
          <w:highlight w:val="none"/>
          <w:lang w:eastAsia="zh-CN"/>
        </w:rPr>
      </w:pPr>
      <w:r>
        <w:rPr>
          <w:rFonts w:hint="eastAsia" w:ascii="黑体" w:hAnsi="黑体" w:eastAsia="黑体" w:cs="黑体"/>
          <w:color w:val="auto"/>
          <w:spacing w:val="0"/>
          <w:kern w:val="0"/>
          <w:sz w:val="32"/>
          <w:szCs w:val="32"/>
          <w:highlight w:val="none"/>
          <w:lang w:val="en-US" w:eastAsia="zh-CN"/>
        </w:rPr>
        <w:t>一</w:t>
      </w:r>
      <w:r>
        <w:rPr>
          <w:rFonts w:hint="eastAsia" w:ascii="黑体" w:hAnsi="黑体" w:eastAsia="黑体" w:cs="黑体"/>
          <w:color w:val="auto"/>
          <w:spacing w:val="0"/>
          <w:kern w:val="0"/>
          <w:sz w:val="32"/>
          <w:szCs w:val="32"/>
          <w:highlight w:val="none"/>
          <w:lang w:eastAsia="zh-CN"/>
        </w:rPr>
        <w:t>、主要目标</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到2030年，力争把全地区剩余的452.06万亩具备条件的永久基本农田全部建设成高标准农田，其中：塔城市72.36万亩，额敏县84.1</w:t>
      </w:r>
      <w:r>
        <w:rPr>
          <w:rFonts w:hint="eastAsia" w:ascii="Times New Roman" w:hAnsi="Times New Roman" w:eastAsia="仿宋_GB2312" w:cs="Times New Roman"/>
          <w:color w:val="auto"/>
          <w:spacing w:val="0"/>
          <w:kern w:val="0"/>
          <w:sz w:val="32"/>
          <w:szCs w:val="32"/>
          <w:highlight w:val="none"/>
          <w:lang w:val="en-US" w:eastAsia="zh-CN" w:bidi="ar-SA"/>
        </w:rPr>
        <w:t>8</w:t>
      </w:r>
      <w:r>
        <w:rPr>
          <w:rFonts w:hint="default" w:ascii="Times New Roman" w:hAnsi="Times New Roman" w:eastAsia="仿宋_GB2312" w:cs="Times New Roman"/>
          <w:color w:val="auto"/>
          <w:spacing w:val="0"/>
          <w:kern w:val="0"/>
          <w:sz w:val="32"/>
          <w:szCs w:val="32"/>
          <w:highlight w:val="none"/>
          <w:lang w:val="en-US" w:eastAsia="zh-CN" w:bidi="ar-SA"/>
        </w:rPr>
        <w:t>万亩，乌苏市135.0</w:t>
      </w:r>
      <w:r>
        <w:rPr>
          <w:rFonts w:hint="eastAsia" w:ascii="Times New Roman" w:hAnsi="Times New Roman" w:eastAsia="仿宋_GB2312" w:cs="Times New Roman"/>
          <w:color w:val="auto"/>
          <w:spacing w:val="0"/>
          <w:kern w:val="0"/>
          <w:sz w:val="32"/>
          <w:szCs w:val="32"/>
          <w:highlight w:val="none"/>
          <w:lang w:val="en-US" w:eastAsia="zh-CN" w:bidi="ar-SA"/>
        </w:rPr>
        <w:t>4</w:t>
      </w:r>
      <w:r>
        <w:rPr>
          <w:rFonts w:hint="default" w:ascii="Times New Roman" w:hAnsi="Times New Roman" w:eastAsia="仿宋_GB2312" w:cs="Times New Roman"/>
          <w:color w:val="auto"/>
          <w:spacing w:val="0"/>
          <w:kern w:val="0"/>
          <w:sz w:val="32"/>
          <w:szCs w:val="32"/>
          <w:highlight w:val="none"/>
          <w:lang w:val="en-US" w:eastAsia="zh-CN" w:bidi="ar-SA"/>
        </w:rPr>
        <w:t>万亩，沙湾市86.53万亩，托里县21.60万亩，</w:t>
      </w:r>
      <w:r>
        <w:rPr>
          <w:rFonts w:hint="eastAsia" w:ascii="Times New Roman" w:hAnsi="Times New Roman" w:eastAsia="仿宋_GB2312" w:cs="Times New Roman"/>
          <w:color w:val="auto"/>
          <w:spacing w:val="0"/>
          <w:kern w:val="0"/>
          <w:sz w:val="32"/>
          <w:szCs w:val="32"/>
          <w:highlight w:val="none"/>
          <w:lang w:val="en-US" w:eastAsia="zh-CN" w:bidi="ar-SA"/>
        </w:rPr>
        <w:t>裕民县34.05万亩，</w:t>
      </w:r>
      <w:r>
        <w:rPr>
          <w:rFonts w:hint="default" w:ascii="Times New Roman" w:hAnsi="Times New Roman" w:eastAsia="仿宋_GB2312" w:cs="Times New Roman"/>
          <w:color w:val="auto"/>
          <w:spacing w:val="0"/>
          <w:kern w:val="0"/>
          <w:sz w:val="32"/>
          <w:szCs w:val="32"/>
          <w:highlight w:val="none"/>
          <w:lang w:val="en-US" w:eastAsia="zh-CN" w:bidi="ar-SA"/>
        </w:rPr>
        <w:t>和布克赛尔县18.3</w:t>
      </w:r>
      <w:r>
        <w:rPr>
          <w:rFonts w:hint="eastAsia" w:ascii="Times New Roman" w:hAnsi="Times New Roman" w:eastAsia="仿宋_GB2312" w:cs="Times New Roman"/>
          <w:color w:val="auto"/>
          <w:spacing w:val="0"/>
          <w:kern w:val="0"/>
          <w:sz w:val="32"/>
          <w:szCs w:val="32"/>
          <w:highlight w:val="none"/>
          <w:lang w:val="en-US" w:eastAsia="zh-CN" w:bidi="ar-SA"/>
        </w:rPr>
        <w:t>0</w:t>
      </w:r>
      <w:r>
        <w:rPr>
          <w:rFonts w:hint="default" w:ascii="Times New Roman" w:hAnsi="Times New Roman" w:eastAsia="仿宋_GB2312" w:cs="Times New Roman"/>
          <w:color w:val="auto"/>
          <w:spacing w:val="0"/>
          <w:kern w:val="0"/>
          <w:sz w:val="32"/>
          <w:szCs w:val="32"/>
          <w:highlight w:val="none"/>
          <w:lang w:val="en-US" w:eastAsia="zh-CN" w:bidi="ar-SA"/>
        </w:rPr>
        <w:t>万亩；到2035年，力争把符合建设条件的139.31万亩一般耕地全部建成高标准农田，其中：塔城市16.8</w:t>
      </w:r>
      <w:r>
        <w:rPr>
          <w:rFonts w:hint="eastAsia" w:ascii="Times New Roman" w:hAnsi="Times New Roman" w:eastAsia="仿宋_GB2312" w:cs="Times New Roman"/>
          <w:color w:val="auto"/>
          <w:spacing w:val="0"/>
          <w:kern w:val="0"/>
          <w:sz w:val="32"/>
          <w:szCs w:val="32"/>
          <w:highlight w:val="none"/>
          <w:lang w:val="en-US" w:eastAsia="zh-CN" w:bidi="ar-SA"/>
        </w:rPr>
        <w:t>1</w:t>
      </w:r>
      <w:r>
        <w:rPr>
          <w:rFonts w:hint="default" w:ascii="Times New Roman" w:hAnsi="Times New Roman" w:eastAsia="仿宋_GB2312" w:cs="Times New Roman"/>
          <w:color w:val="auto"/>
          <w:spacing w:val="0"/>
          <w:kern w:val="0"/>
          <w:sz w:val="32"/>
          <w:szCs w:val="32"/>
          <w:highlight w:val="none"/>
          <w:lang w:val="en-US" w:eastAsia="zh-CN" w:bidi="ar-SA"/>
        </w:rPr>
        <w:t>万亩，额敏县17.1</w:t>
      </w:r>
      <w:r>
        <w:rPr>
          <w:rFonts w:hint="eastAsia" w:ascii="Times New Roman" w:hAnsi="Times New Roman" w:eastAsia="仿宋_GB2312" w:cs="Times New Roman"/>
          <w:color w:val="auto"/>
          <w:spacing w:val="0"/>
          <w:kern w:val="0"/>
          <w:sz w:val="32"/>
          <w:szCs w:val="32"/>
          <w:highlight w:val="none"/>
          <w:lang w:val="en-US" w:eastAsia="zh-CN" w:bidi="ar-SA"/>
        </w:rPr>
        <w:t>9</w:t>
      </w:r>
      <w:r>
        <w:rPr>
          <w:rFonts w:hint="default" w:ascii="Times New Roman" w:hAnsi="Times New Roman" w:eastAsia="仿宋_GB2312" w:cs="Times New Roman"/>
          <w:color w:val="auto"/>
          <w:spacing w:val="0"/>
          <w:kern w:val="0"/>
          <w:sz w:val="32"/>
          <w:szCs w:val="32"/>
          <w:highlight w:val="none"/>
          <w:lang w:val="en-US" w:eastAsia="zh-CN" w:bidi="ar-SA"/>
        </w:rPr>
        <w:t>万亩，乌苏市30.7</w:t>
      </w:r>
      <w:r>
        <w:rPr>
          <w:rFonts w:hint="eastAsia" w:ascii="Times New Roman" w:hAnsi="Times New Roman" w:eastAsia="仿宋_GB2312" w:cs="Times New Roman"/>
          <w:color w:val="auto"/>
          <w:spacing w:val="0"/>
          <w:kern w:val="0"/>
          <w:sz w:val="32"/>
          <w:szCs w:val="32"/>
          <w:highlight w:val="none"/>
          <w:lang w:val="en-US" w:eastAsia="zh-CN" w:bidi="ar-SA"/>
        </w:rPr>
        <w:t>4</w:t>
      </w:r>
      <w:r>
        <w:rPr>
          <w:rFonts w:hint="default" w:ascii="Times New Roman" w:hAnsi="Times New Roman" w:eastAsia="仿宋_GB2312" w:cs="Times New Roman"/>
          <w:color w:val="auto"/>
          <w:spacing w:val="0"/>
          <w:kern w:val="0"/>
          <w:sz w:val="32"/>
          <w:szCs w:val="32"/>
          <w:highlight w:val="none"/>
          <w:lang w:val="en-US" w:eastAsia="zh-CN" w:bidi="ar-SA"/>
        </w:rPr>
        <w:t>万亩，沙湾市46.8</w:t>
      </w:r>
      <w:r>
        <w:rPr>
          <w:rFonts w:hint="eastAsia" w:ascii="Times New Roman" w:hAnsi="Times New Roman" w:eastAsia="仿宋_GB2312" w:cs="Times New Roman"/>
          <w:color w:val="auto"/>
          <w:spacing w:val="0"/>
          <w:kern w:val="0"/>
          <w:sz w:val="32"/>
          <w:szCs w:val="32"/>
          <w:highlight w:val="none"/>
          <w:lang w:val="en-US" w:eastAsia="zh-CN" w:bidi="ar-SA"/>
        </w:rPr>
        <w:t>1</w:t>
      </w:r>
      <w:r>
        <w:rPr>
          <w:rFonts w:hint="default" w:ascii="Times New Roman" w:hAnsi="Times New Roman" w:eastAsia="仿宋_GB2312" w:cs="Times New Roman"/>
          <w:color w:val="auto"/>
          <w:spacing w:val="0"/>
          <w:kern w:val="0"/>
          <w:sz w:val="32"/>
          <w:szCs w:val="32"/>
          <w:highlight w:val="none"/>
          <w:lang w:val="en-US" w:eastAsia="zh-CN" w:bidi="ar-SA"/>
        </w:rPr>
        <w:t>万亩，托里县9.5</w:t>
      </w:r>
      <w:r>
        <w:rPr>
          <w:rFonts w:hint="eastAsia" w:ascii="Times New Roman" w:hAnsi="Times New Roman" w:eastAsia="仿宋_GB2312" w:cs="Times New Roman"/>
          <w:color w:val="auto"/>
          <w:spacing w:val="0"/>
          <w:kern w:val="0"/>
          <w:sz w:val="32"/>
          <w:szCs w:val="32"/>
          <w:highlight w:val="none"/>
          <w:lang w:val="en-US" w:eastAsia="zh-CN" w:bidi="ar-SA"/>
        </w:rPr>
        <w:t>9</w:t>
      </w:r>
      <w:r>
        <w:rPr>
          <w:rFonts w:hint="default" w:ascii="Times New Roman" w:hAnsi="Times New Roman" w:eastAsia="仿宋_GB2312" w:cs="Times New Roman"/>
          <w:color w:val="auto"/>
          <w:spacing w:val="0"/>
          <w:kern w:val="0"/>
          <w:sz w:val="32"/>
          <w:szCs w:val="32"/>
          <w:highlight w:val="none"/>
          <w:lang w:val="en-US" w:eastAsia="zh-CN" w:bidi="ar-SA"/>
        </w:rPr>
        <w:t>万亩，</w:t>
      </w:r>
      <w:r>
        <w:rPr>
          <w:rFonts w:hint="eastAsia" w:ascii="Times New Roman" w:hAnsi="Times New Roman" w:eastAsia="仿宋_GB2312" w:cs="Times New Roman"/>
          <w:color w:val="auto"/>
          <w:spacing w:val="0"/>
          <w:kern w:val="0"/>
          <w:sz w:val="32"/>
          <w:szCs w:val="32"/>
          <w:highlight w:val="none"/>
          <w:lang w:val="en-US" w:eastAsia="zh-CN" w:bidi="ar-SA"/>
        </w:rPr>
        <w:t>裕民县7.26万亩，</w:t>
      </w:r>
      <w:r>
        <w:rPr>
          <w:rFonts w:hint="default" w:ascii="Times New Roman" w:hAnsi="Times New Roman" w:eastAsia="仿宋_GB2312" w:cs="Times New Roman"/>
          <w:color w:val="auto"/>
          <w:spacing w:val="0"/>
          <w:kern w:val="0"/>
          <w:sz w:val="32"/>
          <w:szCs w:val="32"/>
          <w:highlight w:val="none"/>
          <w:lang w:val="en-US" w:eastAsia="zh-CN" w:bidi="ar-SA"/>
        </w:rPr>
        <w:t>和布克赛尔县10.9</w:t>
      </w:r>
      <w:r>
        <w:rPr>
          <w:rFonts w:hint="eastAsia" w:ascii="Times New Roman" w:hAnsi="Times New Roman" w:eastAsia="仿宋_GB2312" w:cs="Times New Roman"/>
          <w:color w:val="auto"/>
          <w:spacing w:val="0"/>
          <w:kern w:val="0"/>
          <w:sz w:val="32"/>
          <w:szCs w:val="32"/>
          <w:highlight w:val="none"/>
          <w:lang w:val="en-US" w:eastAsia="zh-CN" w:bidi="ar-SA"/>
        </w:rPr>
        <w:t>1</w:t>
      </w:r>
      <w:r>
        <w:rPr>
          <w:rFonts w:hint="default" w:ascii="Times New Roman" w:hAnsi="Times New Roman" w:eastAsia="仿宋_GB2312" w:cs="Times New Roman"/>
          <w:color w:val="auto"/>
          <w:spacing w:val="0"/>
          <w:kern w:val="0"/>
          <w:sz w:val="32"/>
          <w:szCs w:val="32"/>
          <w:highlight w:val="none"/>
          <w:lang w:val="en-US" w:eastAsia="zh-CN" w:bidi="ar-SA"/>
        </w:rPr>
        <w:t>万亩。建成后全地区累计建设高标准农田</w:t>
      </w:r>
      <w:r>
        <w:rPr>
          <w:rFonts w:hint="eastAsia" w:ascii="Times New Roman" w:hAnsi="Times New Roman" w:eastAsia="仿宋_GB2312" w:cs="Times New Roman"/>
          <w:color w:val="auto"/>
          <w:spacing w:val="0"/>
          <w:kern w:val="0"/>
          <w:sz w:val="32"/>
          <w:szCs w:val="32"/>
          <w:highlight w:val="none"/>
          <w:lang w:val="en-US" w:eastAsia="zh-CN" w:bidi="ar-SA"/>
        </w:rPr>
        <w:t>1005.83</w:t>
      </w:r>
      <w:r>
        <w:rPr>
          <w:rFonts w:hint="default" w:ascii="Times New Roman" w:hAnsi="Times New Roman" w:eastAsia="仿宋_GB2312" w:cs="Times New Roman"/>
          <w:color w:val="auto"/>
          <w:spacing w:val="0"/>
          <w:kern w:val="0"/>
          <w:sz w:val="32"/>
          <w:szCs w:val="32"/>
          <w:highlight w:val="none"/>
          <w:lang w:val="en-US" w:eastAsia="zh-CN" w:bidi="ar-SA"/>
        </w:rPr>
        <w:t>万亩。</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塔城地区452.06万亩永久基本农田建设计划表</w:t>
      </w:r>
    </w:p>
    <w:tbl>
      <w:tblPr>
        <w:tblStyle w:val="9"/>
        <w:tblW w:w="84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982"/>
        <w:gridCol w:w="995"/>
        <w:gridCol w:w="968"/>
        <w:gridCol w:w="1037"/>
        <w:gridCol w:w="1036"/>
        <w:gridCol w:w="1050"/>
        <w:gridCol w:w="1009"/>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1"/>
                <w:szCs w:val="21"/>
                <w:highlight w:val="none"/>
                <w:u w:val="none"/>
                <w:lang w:val="en-US" w:eastAsia="zh-CN" w:bidi="ar"/>
              </w:rPr>
              <w:t>序号</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县市</w:t>
            </w:r>
          </w:p>
        </w:tc>
        <w:tc>
          <w:tcPr>
            <w:tcW w:w="69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永久基本农田面积（万亩）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黑体" w:hAnsi="黑体" w:eastAsia="黑体" w:cs="黑体"/>
                <w:i w:val="0"/>
                <w:iCs w:val="0"/>
                <w:color w:val="auto"/>
                <w:sz w:val="24"/>
                <w:szCs w:val="24"/>
                <w:highlight w:val="none"/>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黑体" w:hAnsi="黑体" w:eastAsia="黑体" w:cs="黑体"/>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2025年</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2026年</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2027年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2028年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2029年</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2030年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塔城市</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72.36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9.28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13.08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额敏县</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84.18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12.68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乌苏市</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135.04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22.15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沙湾市</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86.53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0.50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托里县</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21.60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3.80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裕民县</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34.05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8.99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5.2343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3.0314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5.5978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5.5978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和布克赛尔县</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18.30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0.94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4.12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4.12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56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452.06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54.36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79.47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75.75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85.82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80.42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76.24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二、建设重点</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依据《新疆维吾尔自治区高标准农田建设实施意见》（新政办发〔2025〕7号），围绕“一平整、两突出、三畅通、四提升”建设重点，统筹田、土、水、路、林、电、技、管综合治理，全力推进高标准农田建设。</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eastAsia" w:ascii="楷体_GB2312" w:hAnsi="楷体_GB2312" w:eastAsia="楷体_GB2312" w:cs="楷体_GB2312"/>
          <w:b/>
          <w:bCs/>
          <w:color w:val="auto"/>
          <w:spacing w:val="0"/>
          <w:kern w:val="0"/>
          <w:sz w:val="32"/>
          <w:szCs w:val="32"/>
          <w:highlight w:val="none"/>
          <w:lang w:val="en-US" w:eastAsia="zh-CN"/>
        </w:rPr>
        <w:t>“一平整”。</w:t>
      </w:r>
      <w:r>
        <w:rPr>
          <w:rFonts w:hint="eastAsia" w:ascii="Times New Roman" w:hAnsi="Times New Roman" w:eastAsia="仿宋_GB2312" w:cs="Times New Roman"/>
          <w:color w:val="auto"/>
          <w:spacing w:val="0"/>
          <w:kern w:val="0"/>
          <w:sz w:val="32"/>
          <w:szCs w:val="32"/>
          <w:highlight w:val="none"/>
          <w:lang w:val="en-US" w:eastAsia="zh-CN" w:bidi="ar-SA"/>
        </w:rPr>
        <w:t>田</w:t>
      </w:r>
      <w:r>
        <w:rPr>
          <w:rFonts w:hint="default" w:ascii="Times New Roman" w:hAnsi="Times New Roman" w:eastAsia="仿宋_GB2312" w:cs="Times New Roman"/>
          <w:color w:val="auto"/>
          <w:spacing w:val="0"/>
          <w:kern w:val="0"/>
          <w:sz w:val="32"/>
          <w:szCs w:val="32"/>
          <w:highlight w:val="none"/>
          <w:lang w:val="en-US" w:eastAsia="zh-CN" w:bidi="ar-SA"/>
        </w:rPr>
        <w:t>块平整，充分尊重农户意愿，结合地形地貌、水土资源、作物种类等，按照</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宜大则大、宜小则小</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原则，科学规划田块布局，合理划分耕作单元，因地制宜开展田块平整。对地势平坦的</w:t>
      </w:r>
      <w:r>
        <w:rPr>
          <w:rFonts w:hint="eastAsia" w:ascii="Times New Roman" w:hAnsi="Times New Roman" w:eastAsia="仿宋_GB2312" w:cs="Times New Roman"/>
          <w:color w:val="auto"/>
          <w:spacing w:val="0"/>
          <w:kern w:val="0"/>
          <w:sz w:val="32"/>
          <w:szCs w:val="32"/>
          <w:highlight w:val="none"/>
          <w:lang w:val="en-US" w:eastAsia="zh-CN" w:bidi="ar-SA"/>
        </w:rPr>
        <w:t>冲</w:t>
      </w:r>
      <w:r>
        <w:rPr>
          <w:rFonts w:hint="default" w:ascii="Times New Roman" w:hAnsi="Times New Roman" w:eastAsia="仿宋_GB2312" w:cs="Times New Roman"/>
          <w:color w:val="auto"/>
          <w:spacing w:val="0"/>
          <w:kern w:val="0"/>
          <w:sz w:val="32"/>
          <w:szCs w:val="32"/>
          <w:highlight w:val="none"/>
          <w:lang w:val="en-US" w:eastAsia="zh-CN" w:bidi="ar-SA"/>
        </w:rPr>
        <w:t>积扇中下游地区推进小田并大田，实现耕作田块相对集中。对落差较大的坡耕地和山旱地，应平行于等高线修筑田块，做到耕作单元内地块相对平整，便于机械作业</w:t>
      </w:r>
      <w:r>
        <w:rPr>
          <w:rFonts w:hint="eastAsia" w:ascii="Times New Roman" w:hAnsi="Times New Roman" w:eastAsia="仿宋_GB2312" w:cs="Times New Roman"/>
          <w:color w:val="auto"/>
          <w:spacing w:val="0"/>
          <w:kern w:val="0"/>
          <w:sz w:val="32"/>
          <w:szCs w:val="32"/>
          <w:highlight w:val="none"/>
          <w:lang w:val="en-US" w:eastAsia="zh-CN" w:bidi="ar-SA"/>
        </w:rPr>
        <w:t>。</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default" w:ascii="楷体_GB2312" w:hAnsi="楷体_GB2312" w:eastAsia="楷体_GB2312" w:cs="楷体_GB2312"/>
          <w:b/>
          <w:bCs/>
          <w:color w:val="auto"/>
          <w:spacing w:val="0"/>
          <w:kern w:val="0"/>
          <w:sz w:val="32"/>
          <w:szCs w:val="32"/>
          <w:highlight w:val="none"/>
          <w:lang w:val="en-US" w:eastAsia="zh-CN"/>
        </w:rPr>
        <w:t>“两突出”。</w:t>
      </w:r>
      <w:r>
        <w:rPr>
          <w:rFonts w:hint="default" w:ascii="Times New Roman" w:hAnsi="Times New Roman" w:eastAsia="仿宋_GB2312" w:cs="Times New Roman"/>
          <w:color w:val="auto"/>
          <w:spacing w:val="0"/>
          <w:kern w:val="0"/>
          <w:sz w:val="32"/>
          <w:szCs w:val="32"/>
          <w:highlight w:val="none"/>
          <w:lang w:val="en-US" w:eastAsia="zh-CN" w:bidi="ar-SA"/>
        </w:rPr>
        <w:t>突出高效节水，立足解决水土资源矛盾、提升水肥施用效率、促进作物增产提质，加快高效节水灌溉工程建设，推广</w:t>
      </w:r>
      <w:r>
        <w:rPr>
          <w:rFonts w:hint="eastAsia" w:ascii="Times New Roman" w:hAnsi="Times New Roman" w:eastAsia="仿宋_GB2312" w:cs="Times New Roman"/>
          <w:color w:val="auto"/>
          <w:spacing w:val="0"/>
          <w:kern w:val="0"/>
          <w:sz w:val="32"/>
          <w:szCs w:val="32"/>
          <w:highlight w:val="none"/>
          <w:lang w:val="en-US" w:eastAsia="zh-CN" w:bidi="ar-SA"/>
        </w:rPr>
        <w:t>干</w:t>
      </w:r>
      <w:r>
        <w:rPr>
          <w:rFonts w:hint="default" w:ascii="Times New Roman" w:hAnsi="Times New Roman" w:eastAsia="仿宋_GB2312" w:cs="Times New Roman"/>
          <w:color w:val="auto"/>
          <w:spacing w:val="0"/>
          <w:kern w:val="0"/>
          <w:sz w:val="32"/>
          <w:szCs w:val="32"/>
          <w:highlight w:val="none"/>
          <w:lang w:val="en-US" w:eastAsia="zh-CN" w:bidi="ar-SA"/>
        </w:rPr>
        <w:t>播湿出、水肥一体化等农艺节水技术，全</w:t>
      </w:r>
      <w:r>
        <w:rPr>
          <w:rFonts w:hint="eastAsia" w:ascii="Times New Roman" w:hAnsi="Times New Roman" w:eastAsia="仿宋_GB2312" w:cs="Times New Roman"/>
          <w:color w:val="auto"/>
          <w:spacing w:val="0"/>
          <w:kern w:val="0"/>
          <w:sz w:val="32"/>
          <w:szCs w:val="32"/>
          <w:highlight w:val="none"/>
          <w:lang w:val="en-US" w:eastAsia="zh-CN" w:bidi="ar-SA"/>
        </w:rPr>
        <w:t>面提升</w:t>
      </w:r>
      <w:r>
        <w:rPr>
          <w:rFonts w:hint="default" w:ascii="Times New Roman" w:hAnsi="Times New Roman" w:eastAsia="仿宋_GB2312" w:cs="Times New Roman"/>
          <w:color w:val="auto"/>
          <w:spacing w:val="0"/>
          <w:kern w:val="0"/>
          <w:sz w:val="32"/>
          <w:szCs w:val="32"/>
          <w:highlight w:val="none"/>
          <w:lang w:val="en-US" w:eastAsia="zh-CN" w:bidi="ar-SA"/>
        </w:rPr>
        <w:t>综合节水能力。地表水灌区要加强渠道防渗、高效节水</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水肥一体化等设施配套建设，高效利用地表水资源</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井灌区要</w:t>
      </w:r>
      <w:r>
        <w:rPr>
          <w:rFonts w:hint="eastAsia" w:ascii="Times New Roman" w:hAnsi="Times New Roman" w:eastAsia="仿宋_GB2312" w:cs="Times New Roman"/>
          <w:color w:val="auto"/>
          <w:spacing w:val="0"/>
          <w:kern w:val="0"/>
          <w:sz w:val="32"/>
          <w:szCs w:val="32"/>
          <w:highlight w:val="none"/>
          <w:lang w:val="en-US" w:eastAsia="zh-CN" w:bidi="ar-SA"/>
        </w:rPr>
        <w:t>加</w:t>
      </w:r>
      <w:r>
        <w:rPr>
          <w:rFonts w:hint="default" w:ascii="Times New Roman" w:hAnsi="Times New Roman" w:eastAsia="仿宋_GB2312" w:cs="Times New Roman"/>
          <w:color w:val="auto"/>
          <w:spacing w:val="0"/>
          <w:kern w:val="0"/>
          <w:sz w:val="32"/>
          <w:szCs w:val="32"/>
          <w:highlight w:val="none"/>
          <w:lang w:val="en-US" w:eastAsia="zh-CN" w:bidi="ar-SA"/>
        </w:rPr>
        <w:t>强电力、高效节水等设施配套建设，合理利用地下水资源</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突出盐碱地综合利用，立足盐碱地分布、规模、成因等，结合高标准农田建设，</w:t>
      </w:r>
      <w:r>
        <w:rPr>
          <w:rFonts w:hint="eastAsia" w:ascii="Times New Roman" w:hAnsi="Times New Roman" w:eastAsia="仿宋_GB2312" w:cs="Times New Roman"/>
          <w:color w:val="auto"/>
          <w:spacing w:val="0"/>
          <w:kern w:val="0"/>
          <w:sz w:val="32"/>
          <w:szCs w:val="32"/>
          <w:highlight w:val="none"/>
          <w:lang w:val="en-US" w:eastAsia="zh-CN" w:bidi="ar-SA"/>
        </w:rPr>
        <w:t>加</w:t>
      </w:r>
      <w:r>
        <w:rPr>
          <w:rFonts w:hint="default" w:ascii="Times New Roman" w:hAnsi="Times New Roman" w:eastAsia="仿宋_GB2312" w:cs="Times New Roman"/>
          <w:color w:val="auto"/>
          <w:spacing w:val="0"/>
          <w:kern w:val="0"/>
          <w:sz w:val="32"/>
          <w:szCs w:val="32"/>
          <w:highlight w:val="none"/>
          <w:lang w:val="en-US" w:eastAsia="zh-CN" w:bidi="ar-SA"/>
        </w:rPr>
        <w:t>快治</w:t>
      </w:r>
      <w:r>
        <w:rPr>
          <w:rFonts w:hint="eastAsia" w:ascii="Times New Roman" w:hAnsi="Times New Roman" w:eastAsia="仿宋_GB2312" w:cs="Times New Roman"/>
          <w:color w:val="auto"/>
          <w:spacing w:val="0"/>
          <w:kern w:val="0"/>
          <w:sz w:val="32"/>
          <w:szCs w:val="32"/>
          <w:highlight w:val="none"/>
          <w:lang w:val="en-US" w:eastAsia="zh-CN" w:bidi="ar-SA"/>
        </w:rPr>
        <w:t>水</w:t>
      </w:r>
      <w:r>
        <w:rPr>
          <w:rFonts w:hint="default" w:ascii="Times New Roman" w:hAnsi="Times New Roman" w:eastAsia="仿宋_GB2312" w:cs="Times New Roman"/>
          <w:color w:val="auto"/>
          <w:spacing w:val="0"/>
          <w:kern w:val="0"/>
          <w:sz w:val="32"/>
          <w:szCs w:val="32"/>
          <w:highlight w:val="none"/>
          <w:lang w:val="en-US" w:eastAsia="zh-CN" w:bidi="ar-SA"/>
        </w:rPr>
        <w:t>、改土，育种、产</w:t>
      </w:r>
      <w:r>
        <w:rPr>
          <w:rFonts w:hint="eastAsia" w:ascii="Times New Roman" w:hAnsi="Times New Roman" w:eastAsia="仿宋_GB2312" w:cs="Times New Roman"/>
          <w:color w:val="auto"/>
          <w:spacing w:val="0"/>
          <w:kern w:val="0"/>
          <w:sz w:val="32"/>
          <w:szCs w:val="32"/>
          <w:highlight w:val="none"/>
          <w:lang w:val="en-US" w:eastAsia="zh-CN" w:bidi="ar-SA"/>
        </w:rPr>
        <w:t>业</w:t>
      </w:r>
      <w:r>
        <w:rPr>
          <w:rFonts w:hint="default" w:ascii="Times New Roman" w:hAnsi="Times New Roman" w:eastAsia="仿宋_GB2312" w:cs="Times New Roman"/>
          <w:color w:val="auto"/>
          <w:spacing w:val="0"/>
          <w:kern w:val="0"/>
          <w:sz w:val="32"/>
          <w:szCs w:val="32"/>
          <w:highlight w:val="none"/>
          <w:lang w:val="en-US" w:eastAsia="zh-CN" w:bidi="ar-SA"/>
        </w:rPr>
        <w:t>培育等措施一体推进，强化工程、农艺、化学、生物等技术创新集成，全面提升耕地质量。</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default" w:ascii="楷体_GB2312" w:hAnsi="楷体_GB2312" w:eastAsia="楷体_GB2312" w:cs="楷体_GB2312"/>
          <w:b/>
          <w:bCs/>
          <w:color w:val="auto"/>
          <w:spacing w:val="0"/>
          <w:kern w:val="0"/>
          <w:sz w:val="32"/>
          <w:szCs w:val="32"/>
          <w:highlight w:val="none"/>
          <w:lang w:val="en-US" w:eastAsia="zh-CN"/>
        </w:rPr>
        <w:t>“三畅通”。</w:t>
      </w:r>
      <w:r>
        <w:rPr>
          <w:rFonts w:hint="default" w:ascii="Times New Roman" w:hAnsi="Times New Roman" w:eastAsia="仿宋_GB2312" w:cs="Times New Roman"/>
          <w:color w:val="auto"/>
          <w:spacing w:val="0"/>
          <w:kern w:val="0"/>
          <w:sz w:val="32"/>
          <w:szCs w:val="32"/>
          <w:highlight w:val="none"/>
          <w:lang w:val="en-US" w:eastAsia="zh-CN" w:bidi="ar-SA"/>
        </w:rPr>
        <w:t>畅通</w:t>
      </w:r>
      <w:r>
        <w:rPr>
          <w:rFonts w:hint="eastAsia" w:ascii="Times New Roman" w:hAnsi="Times New Roman" w:eastAsia="仿宋_GB2312" w:cs="Times New Roman"/>
          <w:color w:val="auto"/>
          <w:spacing w:val="0"/>
          <w:kern w:val="0"/>
          <w:sz w:val="32"/>
          <w:szCs w:val="32"/>
          <w:highlight w:val="none"/>
          <w:lang w:val="en-US" w:eastAsia="zh-CN" w:bidi="ar-SA"/>
        </w:rPr>
        <w:t>水</w:t>
      </w:r>
      <w:r>
        <w:rPr>
          <w:rFonts w:hint="default" w:ascii="Times New Roman" w:hAnsi="Times New Roman" w:eastAsia="仿宋_GB2312" w:cs="Times New Roman"/>
          <w:color w:val="auto"/>
          <w:spacing w:val="0"/>
          <w:kern w:val="0"/>
          <w:sz w:val="32"/>
          <w:szCs w:val="32"/>
          <w:highlight w:val="none"/>
          <w:lang w:val="en-US" w:eastAsia="zh-CN" w:bidi="ar-SA"/>
        </w:rPr>
        <w:t>路</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着力加强田间灌排工程与灌区骨干工程衔接配套，加快补齐农田灌排设施短板，大力推进高效节水灌溉工程建设，形成从水源到田间的完整灌排体系，确保旱能浇、涝能排。畅通道路，结合农业机械化作业要求，坚持</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经济实用、方便通行、生态环保</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原则，优化完善田间道路，合理配套农机下田桥涵等，实现农田道路外通内达，保障机械化作业</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农资运输等农业生产需求，平原区、</w:t>
      </w:r>
      <w:r>
        <w:rPr>
          <w:rFonts w:hint="eastAsia" w:ascii="Times New Roman" w:hAnsi="Times New Roman" w:eastAsia="仿宋_GB2312" w:cs="Times New Roman"/>
          <w:color w:val="auto"/>
          <w:spacing w:val="0"/>
          <w:kern w:val="0"/>
          <w:sz w:val="32"/>
          <w:szCs w:val="32"/>
          <w:highlight w:val="none"/>
          <w:lang w:val="en-US" w:eastAsia="zh-CN" w:bidi="ar-SA"/>
        </w:rPr>
        <w:t>山区</w:t>
      </w:r>
      <w:r>
        <w:rPr>
          <w:rFonts w:hint="default" w:ascii="Times New Roman" w:hAnsi="Times New Roman" w:eastAsia="仿宋_GB2312" w:cs="Times New Roman"/>
          <w:color w:val="auto"/>
          <w:spacing w:val="0"/>
          <w:kern w:val="0"/>
          <w:sz w:val="32"/>
          <w:szCs w:val="32"/>
          <w:highlight w:val="none"/>
          <w:lang w:val="en-US" w:eastAsia="zh-CN" w:bidi="ar-SA"/>
        </w:rPr>
        <w:t>农田道路</w:t>
      </w:r>
      <w:r>
        <w:rPr>
          <w:rFonts w:hint="eastAsia" w:ascii="Times New Roman" w:hAnsi="Times New Roman" w:eastAsia="仿宋_GB2312" w:cs="Times New Roman"/>
          <w:color w:val="auto"/>
          <w:spacing w:val="0"/>
          <w:kern w:val="0"/>
          <w:sz w:val="32"/>
          <w:szCs w:val="32"/>
          <w:highlight w:val="none"/>
          <w:lang w:val="en-US" w:eastAsia="zh-CN" w:bidi="ar-SA"/>
        </w:rPr>
        <w:t>通</w:t>
      </w:r>
      <w:r>
        <w:rPr>
          <w:rFonts w:hint="default" w:ascii="Times New Roman" w:hAnsi="Times New Roman" w:eastAsia="仿宋_GB2312" w:cs="Times New Roman"/>
          <w:color w:val="auto"/>
          <w:spacing w:val="0"/>
          <w:kern w:val="0"/>
          <w:sz w:val="32"/>
          <w:szCs w:val="32"/>
          <w:highlight w:val="none"/>
          <w:lang w:val="en-US" w:eastAsia="zh-CN" w:bidi="ar-SA"/>
        </w:rPr>
        <w:t>达度分别达100%</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90%以上。畅通电路，结合农业生产和</w:t>
      </w:r>
      <w:r>
        <w:rPr>
          <w:rFonts w:hint="eastAsia" w:ascii="Times New Roman" w:hAnsi="Times New Roman" w:eastAsia="仿宋_GB2312" w:cs="Times New Roman"/>
          <w:color w:val="auto"/>
          <w:spacing w:val="0"/>
          <w:kern w:val="0"/>
          <w:sz w:val="32"/>
          <w:szCs w:val="32"/>
          <w:highlight w:val="none"/>
          <w:lang w:val="en-US" w:eastAsia="zh-CN" w:bidi="ar-SA"/>
        </w:rPr>
        <w:t>灌溉</w:t>
      </w:r>
      <w:r>
        <w:rPr>
          <w:rFonts w:hint="default" w:ascii="Times New Roman" w:hAnsi="Times New Roman" w:eastAsia="仿宋_GB2312" w:cs="Times New Roman"/>
          <w:color w:val="auto"/>
          <w:spacing w:val="0"/>
          <w:kern w:val="0"/>
          <w:sz w:val="32"/>
          <w:szCs w:val="32"/>
          <w:highlight w:val="none"/>
          <w:lang w:val="en-US" w:eastAsia="zh-CN" w:bidi="ar-SA"/>
        </w:rPr>
        <w:t>、</w:t>
      </w:r>
      <w:r>
        <w:rPr>
          <w:rFonts w:hint="eastAsia" w:ascii="Times New Roman" w:hAnsi="Times New Roman" w:eastAsia="仿宋_GB2312" w:cs="Times New Roman"/>
          <w:color w:val="auto"/>
          <w:spacing w:val="0"/>
          <w:kern w:val="0"/>
          <w:sz w:val="32"/>
          <w:szCs w:val="32"/>
          <w:highlight w:val="none"/>
          <w:lang w:val="en-US" w:eastAsia="zh-CN" w:bidi="ar-SA"/>
        </w:rPr>
        <w:t>排</w:t>
      </w:r>
      <w:r>
        <w:rPr>
          <w:rFonts w:hint="default" w:ascii="Times New Roman" w:hAnsi="Times New Roman" w:eastAsia="仿宋_GB2312" w:cs="Times New Roman"/>
          <w:color w:val="auto"/>
          <w:spacing w:val="0"/>
          <w:kern w:val="0"/>
          <w:sz w:val="32"/>
          <w:szCs w:val="32"/>
          <w:highlight w:val="none"/>
          <w:lang w:val="en-US" w:eastAsia="zh-CN" w:bidi="ar-SA"/>
        </w:rPr>
        <w:t>水等实际，综合配套农田输配电线路、变配电设施、弱电设施等，充分保障农田机井、泵站及相关设施设备等用电需求。</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default" w:ascii="楷体_GB2312" w:hAnsi="楷体_GB2312" w:eastAsia="楷体_GB2312" w:cs="楷体_GB2312"/>
          <w:b/>
          <w:bCs/>
          <w:color w:val="auto"/>
          <w:spacing w:val="0"/>
          <w:kern w:val="0"/>
          <w:sz w:val="32"/>
          <w:szCs w:val="32"/>
          <w:highlight w:val="none"/>
          <w:lang w:val="en-US" w:eastAsia="zh-CN"/>
        </w:rPr>
        <w:t>“四提升”。</w:t>
      </w:r>
      <w:r>
        <w:rPr>
          <w:rFonts w:hint="default" w:ascii="Times New Roman" w:hAnsi="Times New Roman" w:eastAsia="仿宋_GB2312" w:cs="Times New Roman"/>
          <w:color w:val="auto"/>
          <w:spacing w:val="0"/>
          <w:kern w:val="0"/>
          <w:sz w:val="32"/>
          <w:szCs w:val="32"/>
          <w:highlight w:val="none"/>
          <w:lang w:val="en-US" w:eastAsia="zh-CN" w:bidi="ar-SA"/>
        </w:rPr>
        <w:t>提升耕地地力，统筹推进田间基础设施和地力提升工程，因地制宜采取深耕深松、测土配方施肥、增施有机肥等措施，鼓励农户自主开展种养循环、种植绿肥、秸秆还田等，培肥土壤、提升地力。提升土地利用效率，因地制宜布置耕作田块，优化整合路林田沟渠埂，推动地块集中连片，增</w:t>
      </w:r>
      <w:r>
        <w:rPr>
          <w:rFonts w:hint="eastAsia" w:ascii="Times New Roman" w:hAnsi="Times New Roman" w:eastAsia="仿宋_GB2312" w:cs="Times New Roman"/>
          <w:color w:val="auto"/>
          <w:spacing w:val="0"/>
          <w:kern w:val="0"/>
          <w:sz w:val="32"/>
          <w:szCs w:val="32"/>
          <w:highlight w:val="none"/>
          <w:lang w:val="en-US" w:eastAsia="zh-CN" w:bidi="ar-SA"/>
        </w:rPr>
        <w:t>加</w:t>
      </w:r>
      <w:r>
        <w:rPr>
          <w:rFonts w:hint="default" w:ascii="Times New Roman" w:hAnsi="Times New Roman" w:eastAsia="仿宋_GB2312" w:cs="Times New Roman"/>
          <w:color w:val="auto"/>
          <w:spacing w:val="0"/>
          <w:kern w:val="0"/>
          <w:sz w:val="32"/>
          <w:szCs w:val="32"/>
          <w:highlight w:val="none"/>
          <w:lang w:val="en-US" w:eastAsia="zh-CN" w:bidi="ar-SA"/>
        </w:rPr>
        <w:t>有效耕种面积，提升土地规模化效益。提升宜机</w:t>
      </w:r>
      <w:r>
        <w:rPr>
          <w:rFonts w:hint="eastAsia" w:ascii="Times New Roman" w:hAnsi="Times New Roman" w:eastAsia="仿宋_GB2312" w:cs="Times New Roman"/>
          <w:color w:val="auto"/>
          <w:spacing w:val="0"/>
          <w:kern w:val="0"/>
          <w:sz w:val="32"/>
          <w:szCs w:val="32"/>
          <w:highlight w:val="none"/>
          <w:lang w:val="en-US" w:eastAsia="zh-CN" w:bidi="ar-SA"/>
        </w:rPr>
        <w:t>化</w:t>
      </w:r>
      <w:r>
        <w:rPr>
          <w:rFonts w:hint="default" w:ascii="Times New Roman" w:hAnsi="Times New Roman" w:eastAsia="仿宋_GB2312" w:cs="Times New Roman"/>
          <w:color w:val="auto"/>
          <w:spacing w:val="0"/>
          <w:kern w:val="0"/>
          <w:sz w:val="32"/>
          <w:szCs w:val="32"/>
          <w:highlight w:val="none"/>
          <w:lang w:val="en-US" w:eastAsia="zh-CN" w:bidi="ar-SA"/>
        </w:rPr>
        <w:t>水平，加</w:t>
      </w:r>
      <w:r>
        <w:rPr>
          <w:rFonts w:hint="eastAsia" w:ascii="Times New Roman" w:hAnsi="Times New Roman" w:eastAsia="仿宋_GB2312" w:cs="Times New Roman"/>
          <w:color w:val="auto"/>
          <w:spacing w:val="0"/>
          <w:kern w:val="0"/>
          <w:sz w:val="32"/>
          <w:szCs w:val="32"/>
          <w:highlight w:val="none"/>
          <w:lang w:val="en-US" w:eastAsia="zh-CN" w:bidi="ar-SA"/>
        </w:rPr>
        <w:t>快</w:t>
      </w:r>
      <w:r>
        <w:rPr>
          <w:rFonts w:hint="default" w:ascii="Times New Roman" w:hAnsi="Times New Roman" w:eastAsia="仿宋_GB2312" w:cs="Times New Roman"/>
          <w:color w:val="auto"/>
          <w:spacing w:val="0"/>
          <w:kern w:val="0"/>
          <w:sz w:val="32"/>
          <w:szCs w:val="32"/>
          <w:highlight w:val="none"/>
          <w:lang w:val="en-US" w:eastAsia="zh-CN" w:bidi="ar-SA"/>
        </w:rPr>
        <w:t>推进条田标准</w:t>
      </w:r>
      <w:r>
        <w:rPr>
          <w:rFonts w:hint="eastAsia" w:ascii="Times New Roman" w:hAnsi="Times New Roman" w:eastAsia="仿宋_GB2312" w:cs="Times New Roman"/>
          <w:color w:val="auto"/>
          <w:spacing w:val="0"/>
          <w:kern w:val="0"/>
          <w:sz w:val="32"/>
          <w:szCs w:val="32"/>
          <w:highlight w:val="none"/>
          <w:lang w:val="en-US" w:eastAsia="zh-CN" w:bidi="ar-SA"/>
        </w:rPr>
        <w:t>化</w:t>
      </w:r>
      <w:r>
        <w:rPr>
          <w:rFonts w:hint="default" w:ascii="Times New Roman" w:hAnsi="Times New Roman" w:eastAsia="仿宋_GB2312" w:cs="Times New Roman"/>
          <w:color w:val="auto"/>
          <w:spacing w:val="0"/>
          <w:kern w:val="0"/>
          <w:sz w:val="32"/>
          <w:szCs w:val="32"/>
          <w:highlight w:val="none"/>
          <w:lang w:val="en-US" w:eastAsia="zh-CN" w:bidi="ar-SA"/>
        </w:rPr>
        <w:t>建设，提升农田机械化</w:t>
      </w:r>
      <w:r>
        <w:rPr>
          <w:rFonts w:hint="eastAsia" w:ascii="Times New Roman" w:hAnsi="Times New Roman" w:eastAsia="仿宋_GB2312" w:cs="Times New Roman"/>
          <w:color w:val="auto"/>
          <w:spacing w:val="0"/>
          <w:kern w:val="0"/>
          <w:sz w:val="32"/>
          <w:szCs w:val="32"/>
          <w:highlight w:val="none"/>
          <w:lang w:val="en-US" w:eastAsia="zh-CN" w:bidi="ar-SA"/>
        </w:rPr>
        <w:t>水</w:t>
      </w:r>
      <w:r>
        <w:rPr>
          <w:rFonts w:hint="default" w:ascii="Times New Roman" w:hAnsi="Times New Roman" w:eastAsia="仿宋_GB2312" w:cs="Times New Roman"/>
          <w:color w:val="auto"/>
          <w:spacing w:val="0"/>
          <w:kern w:val="0"/>
          <w:sz w:val="32"/>
          <w:szCs w:val="32"/>
          <w:highlight w:val="none"/>
          <w:lang w:val="en-US" w:eastAsia="zh-CN" w:bidi="ar-SA"/>
        </w:rPr>
        <w:t>平，项</w:t>
      </w:r>
      <w:r>
        <w:rPr>
          <w:rFonts w:hint="eastAsia" w:ascii="Times New Roman" w:hAnsi="Times New Roman" w:eastAsia="仿宋_GB2312" w:cs="Times New Roman"/>
          <w:color w:val="auto"/>
          <w:spacing w:val="0"/>
          <w:kern w:val="0"/>
          <w:sz w:val="32"/>
          <w:szCs w:val="32"/>
          <w:highlight w:val="none"/>
          <w:lang w:val="en-US" w:eastAsia="zh-CN" w:bidi="ar-SA"/>
        </w:rPr>
        <w:t>目</w:t>
      </w:r>
      <w:r>
        <w:rPr>
          <w:rFonts w:hint="default" w:ascii="Times New Roman" w:hAnsi="Times New Roman" w:eastAsia="仿宋_GB2312" w:cs="Times New Roman"/>
          <w:color w:val="auto"/>
          <w:spacing w:val="0"/>
          <w:kern w:val="0"/>
          <w:sz w:val="32"/>
          <w:szCs w:val="32"/>
          <w:highlight w:val="none"/>
          <w:lang w:val="en-US" w:eastAsia="zh-CN" w:bidi="ar-SA"/>
        </w:rPr>
        <w:t>区耕种收</w:t>
      </w:r>
      <w:r>
        <w:rPr>
          <w:rFonts w:hint="eastAsia" w:ascii="Times New Roman" w:hAnsi="Times New Roman" w:eastAsia="仿宋_GB2312" w:cs="Times New Roman"/>
          <w:color w:val="auto"/>
          <w:spacing w:val="0"/>
          <w:kern w:val="0"/>
          <w:sz w:val="32"/>
          <w:szCs w:val="32"/>
          <w:highlight w:val="none"/>
          <w:lang w:val="en-US" w:eastAsia="zh-CN" w:bidi="ar-SA"/>
        </w:rPr>
        <w:t>综合</w:t>
      </w:r>
      <w:r>
        <w:rPr>
          <w:rFonts w:hint="default" w:ascii="Times New Roman" w:hAnsi="Times New Roman" w:eastAsia="仿宋_GB2312" w:cs="Times New Roman"/>
          <w:color w:val="auto"/>
          <w:spacing w:val="0"/>
          <w:kern w:val="0"/>
          <w:sz w:val="32"/>
          <w:szCs w:val="32"/>
          <w:highlight w:val="none"/>
          <w:lang w:val="en-US" w:eastAsia="zh-CN" w:bidi="ar-SA"/>
        </w:rPr>
        <w:t>机械化率达9</w:t>
      </w:r>
      <w:r>
        <w:rPr>
          <w:rFonts w:hint="eastAsia" w:ascii="Times New Roman" w:hAnsi="Times New Roman" w:eastAsia="仿宋_GB2312" w:cs="Times New Roman"/>
          <w:color w:val="auto"/>
          <w:spacing w:val="0"/>
          <w:kern w:val="0"/>
          <w:sz w:val="32"/>
          <w:szCs w:val="32"/>
          <w:highlight w:val="none"/>
          <w:lang w:val="en-US" w:eastAsia="zh-CN" w:bidi="ar-SA"/>
        </w:rPr>
        <w:t>9</w:t>
      </w:r>
      <w:r>
        <w:rPr>
          <w:rFonts w:hint="default" w:ascii="Times New Roman" w:hAnsi="Times New Roman" w:eastAsia="仿宋_GB2312" w:cs="Times New Roman"/>
          <w:color w:val="auto"/>
          <w:spacing w:val="0"/>
          <w:kern w:val="0"/>
          <w:sz w:val="32"/>
          <w:szCs w:val="32"/>
          <w:highlight w:val="none"/>
          <w:lang w:val="en-US" w:eastAsia="zh-CN" w:bidi="ar-SA"/>
        </w:rPr>
        <w:t>%以上。提升产量水平，统筹高标准农田</w:t>
      </w:r>
      <w:r>
        <w:rPr>
          <w:rFonts w:hint="eastAsia" w:ascii="Times New Roman" w:hAnsi="Times New Roman" w:eastAsia="仿宋_GB2312" w:cs="Times New Roman"/>
          <w:color w:val="auto"/>
          <w:spacing w:val="0"/>
          <w:kern w:val="0"/>
          <w:sz w:val="32"/>
          <w:szCs w:val="32"/>
          <w:highlight w:val="none"/>
          <w:lang w:val="en-US" w:eastAsia="zh-CN" w:bidi="ar-SA"/>
        </w:rPr>
        <w:t>建设</w:t>
      </w:r>
      <w:r>
        <w:rPr>
          <w:rFonts w:hint="default" w:ascii="Times New Roman" w:hAnsi="Times New Roman" w:eastAsia="仿宋_GB2312" w:cs="Times New Roman"/>
          <w:color w:val="auto"/>
          <w:spacing w:val="0"/>
          <w:kern w:val="0"/>
          <w:sz w:val="32"/>
          <w:szCs w:val="32"/>
          <w:highlight w:val="none"/>
          <w:lang w:val="en-US" w:eastAsia="zh-CN" w:bidi="ar-SA"/>
        </w:rPr>
        <w:t>和良种良机良法良制综合配套，促进粮食等农作物大面积单</w:t>
      </w:r>
      <w:r>
        <w:rPr>
          <w:rFonts w:hint="eastAsia" w:ascii="Times New Roman" w:hAnsi="Times New Roman" w:eastAsia="仿宋_GB2312" w:cs="Times New Roman"/>
          <w:color w:val="auto"/>
          <w:spacing w:val="0"/>
          <w:kern w:val="0"/>
          <w:sz w:val="32"/>
          <w:szCs w:val="32"/>
          <w:highlight w:val="none"/>
          <w:lang w:val="en-US" w:eastAsia="zh-CN" w:bidi="ar-SA"/>
        </w:rPr>
        <w:t>产</w:t>
      </w:r>
      <w:r>
        <w:rPr>
          <w:rFonts w:hint="default" w:ascii="Times New Roman" w:hAnsi="Times New Roman" w:eastAsia="仿宋_GB2312" w:cs="Times New Roman"/>
          <w:color w:val="auto"/>
          <w:spacing w:val="0"/>
          <w:kern w:val="0"/>
          <w:sz w:val="32"/>
          <w:szCs w:val="32"/>
          <w:highlight w:val="none"/>
          <w:lang w:val="en-US" w:eastAsia="zh-CN" w:bidi="ar-SA"/>
        </w:rPr>
        <w:t>提升，增强农</w:t>
      </w:r>
      <w:r>
        <w:rPr>
          <w:rFonts w:hint="eastAsia" w:ascii="Times New Roman" w:hAnsi="Times New Roman" w:eastAsia="仿宋_GB2312" w:cs="Times New Roman"/>
          <w:color w:val="auto"/>
          <w:spacing w:val="0"/>
          <w:kern w:val="0"/>
          <w:sz w:val="32"/>
          <w:szCs w:val="32"/>
          <w:highlight w:val="none"/>
          <w:lang w:val="en-US" w:eastAsia="zh-CN" w:bidi="ar-SA"/>
        </w:rPr>
        <w:t>业</w:t>
      </w:r>
      <w:r>
        <w:rPr>
          <w:rFonts w:hint="default" w:ascii="Times New Roman" w:hAnsi="Times New Roman" w:eastAsia="仿宋_GB2312" w:cs="Times New Roman"/>
          <w:color w:val="auto"/>
          <w:spacing w:val="0"/>
          <w:kern w:val="0"/>
          <w:sz w:val="32"/>
          <w:szCs w:val="32"/>
          <w:highlight w:val="none"/>
          <w:lang w:val="en-US" w:eastAsia="zh-CN" w:bidi="ar-SA"/>
        </w:rPr>
        <w:t>综合生产能力。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三、工作措施</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楷体_GB2312" w:cs="Times New Roman"/>
          <w:b/>
          <w:bCs/>
          <w:color w:val="auto"/>
          <w:spacing w:val="0"/>
          <w:kern w:val="0"/>
          <w:sz w:val="32"/>
          <w:szCs w:val="32"/>
          <w:highlight w:val="none"/>
          <w:lang w:eastAsia="zh-CN"/>
        </w:rPr>
      </w:pPr>
      <w:r>
        <w:rPr>
          <w:rFonts w:hint="eastAsia" w:ascii="Times New Roman" w:hAnsi="Times New Roman" w:eastAsia="楷体_GB2312" w:cs="Times New Roman"/>
          <w:b/>
          <w:bCs/>
          <w:color w:val="auto"/>
          <w:spacing w:val="0"/>
          <w:kern w:val="0"/>
          <w:sz w:val="32"/>
          <w:szCs w:val="32"/>
          <w:highlight w:val="none"/>
          <w:lang w:eastAsia="zh-CN"/>
        </w:rPr>
        <w:t>（一）明确项目规划。</w:t>
      </w:r>
      <w:r>
        <w:rPr>
          <w:rFonts w:hint="eastAsia" w:ascii="Times New Roman" w:hAnsi="Times New Roman" w:eastAsia="仿宋_GB2312" w:cs="Times New Roman"/>
          <w:b w:val="0"/>
          <w:bCs w:val="0"/>
          <w:color w:val="auto"/>
          <w:spacing w:val="0"/>
          <w:kern w:val="0"/>
          <w:sz w:val="32"/>
          <w:szCs w:val="32"/>
          <w:highlight w:val="none"/>
          <w:lang w:val="en-US" w:eastAsia="zh-CN" w:bidi="ar-SA"/>
        </w:rPr>
        <w:t>按照“永久基本农田‘率先’、粮食生产功能区和重要农产品生产保护区‘优先’、具备水利灌溉条件”原则，突出重点、集中连片，整体推进、分期建设。</w:t>
      </w:r>
      <w:r>
        <w:rPr>
          <w:rFonts w:hint="eastAsia" w:ascii="仿宋_GB2312" w:hAnsi="仿宋_GB2312" w:eastAsia="仿宋_GB2312" w:cs="仿宋_GB2312"/>
          <w:b/>
          <w:bCs/>
          <w:color w:val="auto"/>
          <w:spacing w:val="0"/>
          <w:kern w:val="0"/>
          <w:sz w:val="32"/>
          <w:szCs w:val="32"/>
          <w:highlight w:val="none"/>
          <w:lang w:eastAsia="zh-CN"/>
        </w:rPr>
        <w:t>一是</w:t>
      </w:r>
      <w:r>
        <w:rPr>
          <w:rFonts w:hint="eastAsia" w:ascii="仿宋_GB2312" w:hAnsi="仿宋_GB2312" w:eastAsia="仿宋_GB2312" w:cs="仿宋_GB2312"/>
          <w:b w:val="0"/>
          <w:bCs w:val="0"/>
          <w:color w:val="auto"/>
          <w:spacing w:val="0"/>
          <w:kern w:val="0"/>
          <w:sz w:val="32"/>
          <w:szCs w:val="32"/>
          <w:highlight w:val="none"/>
          <w:lang w:eastAsia="zh-CN"/>
        </w:rPr>
        <w:t>规划编制要坚持“下级规划服从上级规划、等位规划相互协调”的原则，要综合考虑资源环境承载力、粮食保障要求、农业产业发展需求等因素，以经济社会发展规划为统领，充分做好与国土空间规划、水资源利用等相关规划的衔接，并科学规划农田防护林布局，农田防护面积比例≥</w:t>
      </w:r>
      <w:r>
        <w:rPr>
          <w:rFonts w:hint="eastAsia" w:ascii="仿宋_GB2312" w:hAnsi="仿宋_GB2312" w:eastAsia="仿宋_GB2312" w:cs="仿宋_GB2312"/>
          <w:b w:val="0"/>
          <w:bCs w:val="0"/>
          <w:color w:val="auto"/>
          <w:spacing w:val="0"/>
          <w:kern w:val="0"/>
          <w:sz w:val="32"/>
          <w:szCs w:val="32"/>
          <w:highlight w:val="none"/>
          <w:lang w:val="en-US" w:eastAsia="zh-CN"/>
        </w:rPr>
        <w:t>90%，</w:t>
      </w:r>
      <w:r>
        <w:rPr>
          <w:rFonts w:hint="eastAsia" w:ascii="仿宋_GB2312" w:hAnsi="仿宋_GB2312" w:eastAsia="仿宋_GB2312" w:cs="仿宋_GB2312"/>
          <w:b w:val="0"/>
          <w:bCs w:val="0"/>
          <w:color w:val="auto"/>
          <w:spacing w:val="0"/>
          <w:kern w:val="0"/>
          <w:sz w:val="32"/>
          <w:szCs w:val="32"/>
          <w:highlight w:val="none"/>
          <w:lang w:eastAsia="zh-CN"/>
        </w:rPr>
        <w:t>深入调查研究，优化高标准农田建设区域布局，突出粮食产能目标，落实落细重点举</w:t>
      </w:r>
      <w:bookmarkStart w:id="0" w:name="_GoBack"/>
      <w:bookmarkEnd w:id="0"/>
      <w:r>
        <w:rPr>
          <w:rFonts w:hint="eastAsia" w:ascii="仿宋_GB2312" w:hAnsi="仿宋_GB2312" w:eastAsia="仿宋_GB2312" w:cs="仿宋_GB2312"/>
          <w:b w:val="0"/>
          <w:bCs w:val="0"/>
          <w:color w:val="auto"/>
          <w:spacing w:val="0"/>
          <w:kern w:val="0"/>
          <w:sz w:val="32"/>
          <w:szCs w:val="32"/>
          <w:highlight w:val="none"/>
          <w:lang w:eastAsia="zh-CN"/>
        </w:rPr>
        <w:t>措，实现规划在底图、底数、目标、标准等方面融合统一。</w:t>
      </w:r>
      <w:r>
        <w:rPr>
          <w:rFonts w:hint="eastAsia" w:ascii="Times New Roman" w:hAnsi="Times New Roman" w:eastAsia="仿宋_GB2312" w:cs="Times New Roman"/>
          <w:b/>
          <w:bCs/>
          <w:color w:val="auto"/>
          <w:spacing w:val="0"/>
          <w:kern w:val="0"/>
          <w:sz w:val="32"/>
          <w:szCs w:val="32"/>
          <w:highlight w:val="none"/>
          <w:lang w:val="en-US" w:eastAsia="zh-CN" w:bidi="ar-SA"/>
        </w:rPr>
        <w:t>二是</w:t>
      </w:r>
      <w:r>
        <w:rPr>
          <w:rFonts w:hint="eastAsia" w:ascii="Times New Roman" w:hAnsi="Times New Roman" w:eastAsia="仿宋_GB2312" w:cs="Times New Roman"/>
          <w:color w:val="auto"/>
          <w:spacing w:val="0"/>
          <w:kern w:val="0"/>
          <w:sz w:val="32"/>
          <w:szCs w:val="32"/>
          <w:highlight w:val="none"/>
          <w:lang w:val="en-US" w:eastAsia="zh-CN" w:bidi="ar-SA"/>
        </w:rPr>
        <w:t>地县农业农村部门分别负责编制本级永久基本农田逐步建成高标准农田规划，指导有序开展高标准农田建设，并与同级水利、自然资源等部门规划衔接。县(市)建设规划重点将建设任务落实到地块，明确时序安排，形成规划项目布局图和项目库，为项目和投资及时落地提前做好准备、打好基础。</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eastAsia="zh-CN"/>
        </w:rPr>
        <w:t>（</w:t>
      </w:r>
      <w:r>
        <w:rPr>
          <w:rFonts w:hint="eastAsia" w:ascii="Times New Roman" w:hAnsi="Times New Roman" w:eastAsia="楷体_GB2312" w:cs="Times New Roman"/>
          <w:b/>
          <w:bCs/>
          <w:color w:val="auto"/>
          <w:spacing w:val="0"/>
          <w:kern w:val="0"/>
          <w:sz w:val="32"/>
          <w:szCs w:val="32"/>
          <w:highlight w:val="none"/>
          <w:lang w:eastAsia="zh-CN"/>
        </w:rPr>
        <w:t>二）明确</w:t>
      </w:r>
      <w:r>
        <w:rPr>
          <w:rFonts w:hint="default" w:ascii="Times New Roman" w:hAnsi="Times New Roman" w:eastAsia="楷体_GB2312" w:cs="Times New Roman"/>
          <w:b/>
          <w:bCs/>
          <w:color w:val="auto"/>
          <w:spacing w:val="0"/>
          <w:kern w:val="0"/>
          <w:sz w:val="32"/>
          <w:szCs w:val="32"/>
          <w:highlight w:val="none"/>
          <w:lang w:eastAsia="zh-CN"/>
        </w:rPr>
        <w:t>项目</w:t>
      </w:r>
      <w:r>
        <w:rPr>
          <w:rFonts w:hint="eastAsia" w:ascii="Times New Roman" w:hAnsi="Times New Roman" w:eastAsia="楷体_GB2312" w:cs="Times New Roman"/>
          <w:b/>
          <w:bCs/>
          <w:color w:val="auto"/>
          <w:spacing w:val="0"/>
          <w:kern w:val="0"/>
          <w:sz w:val="32"/>
          <w:szCs w:val="32"/>
          <w:highlight w:val="none"/>
          <w:lang w:eastAsia="zh-CN"/>
        </w:rPr>
        <w:t>储备</w:t>
      </w:r>
      <w:r>
        <w:rPr>
          <w:rFonts w:hint="default" w:ascii="Times New Roman" w:hAnsi="Times New Roman" w:eastAsia="楷体_GB2312" w:cs="Times New Roman"/>
          <w:b/>
          <w:bCs/>
          <w:color w:val="auto"/>
          <w:spacing w:val="0"/>
          <w:kern w:val="0"/>
          <w:sz w:val="32"/>
          <w:szCs w:val="32"/>
          <w:highlight w:val="none"/>
        </w:rPr>
        <w:t>。</w:t>
      </w:r>
      <w:r>
        <w:rPr>
          <w:rFonts w:hint="eastAsia" w:ascii="Times New Roman" w:hAnsi="Times New Roman" w:eastAsia="仿宋_GB2312" w:cs="Times New Roman"/>
          <w:color w:val="auto"/>
          <w:spacing w:val="0"/>
          <w:kern w:val="0"/>
          <w:sz w:val="32"/>
          <w:szCs w:val="32"/>
          <w:highlight w:val="none"/>
          <w:lang w:val="en-US" w:eastAsia="zh-CN" w:bidi="ar-SA"/>
        </w:rPr>
        <w:t>高标准农田项目储备库建设遵循科学论证、合理排序、动态管理原则，做到先储备，后立项实施。</w:t>
      </w:r>
      <w:r>
        <w:rPr>
          <w:rFonts w:hint="eastAsia" w:ascii="仿宋_GB2312" w:hAnsi="仿宋_GB2312" w:eastAsia="仿宋_GB2312" w:cs="仿宋_GB2312"/>
          <w:b/>
          <w:bCs/>
          <w:color w:val="auto"/>
          <w:spacing w:val="0"/>
          <w:kern w:val="0"/>
          <w:sz w:val="32"/>
          <w:szCs w:val="32"/>
          <w:highlight w:val="none"/>
          <w:lang w:eastAsia="zh-CN"/>
        </w:rPr>
        <w:t>一是</w:t>
      </w:r>
      <w:r>
        <w:rPr>
          <w:rFonts w:hint="default" w:ascii="Times New Roman" w:hAnsi="Times New Roman" w:eastAsia="仿宋_GB2312" w:cs="Times New Roman"/>
          <w:color w:val="auto"/>
          <w:spacing w:val="0"/>
          <w:kern w:val="0"/>
          <w:sz w:val="32"/>
          <w:szCs w:val="32"/>
          <w:highlight w:val="none"/>
          <w:lang w:val="en-US" w:eastAsia="zh-CN" w:bidi="ar-SA"/>
        </w:rPr>
        <w:t>县</w:t>
      </w:r>
      <w:r>
        <w:rPr>
          <w:rFonts w:hint="eastAsia" w:ascii="Times New Roman" w:hAnsi="Times New Roman" w:eastAsia="仿宋_GB2312" w:cs="Times New Roman"/>
          <w:color w:val="auto"/>
          <w:spacing w:val="0"/>
          <w:kern w:val="0"/>
          <w:sz w:val="32"/>
          <w:szCs w:val="32"/>
          <w:highlight w:val="none"/>
          <w:lang w:val="en-US" w:eastAsia="zh-CN" w:bidi="ar-SA"/>
        </w:rPr>
        <w:t>级</w:t>
      </w:r>
      <w:r>
        <w:rPr>
          <w:rFonts w:hint="default" w:ascii="Times New Roman" w:hAnsi="Times New Roman" w:eastAsia="仿宋_GB2312" w:cs="Times New Roman"/>
          <w:color w:val="auto"/>
          <w:spacing w:val="0"/>
          <w:kern w:val="0"/>
          <w:sz w:val="32"/>
          <w:szCs w:val="32"/>
          <w:highlight w:val="none"/>
          <w:lang w:val="en-US" w:eastAsia="zh-CN" w:bidi="ar-SA"/>
        </w:rPr>
        <w:t>农业农村部门负责建设、维护和管理本区域高标准农田建设项目储备库</w:t>
      </w:r>
      <w:r>
        <w:rPr>
          <w:rFonts w:hint="eastAsia" w:ascii="Times New Roman" w:hAnsi="Times New Roman" w:eastAsia="仿宋_GB2312" w:cs="Times New Roman"/>
          <w:color w:val="auto"/>
          <w:spacing w:val="0"/>
          <w:kern w:val="0"/>
          <w:sz w:val="32"/>
          <w:szCs w:val="32"/>
          <w:highlight w:val="none"/>
          <w:lang w:val="en-US" w:eastAsia="zh-CN" w:bidi="ar-SA"/>
        </w:rPr>
        <w:t>，综合考虑规划布局、水源保障、基础设施现状、连片面积、建设周期、资金投入、农民意愿、实施效益等因素，</w:t>
      </w:r>
      <w:r>
        <w:rPr>
          <w:rFonts w:hint="default" w:ascii="Times New Roman" w:hAnsi="Times New Roman" w:eastAsia="仿宋_GB2312" w:cs="Times New Roman"/>
          <w:color w:val="auto"/>
          <w:spacing w:val="0"/>
          <w:kern w:val="0"/>
          <w:sz w:val="32"/>
          <w:szCs w:val="32"/>
          <w:highlight w:val="none"/>
          <w:lang w:val="en-US" w:eastAsia="zh-CN" w:bidi="ar-SA"/>
        </w:rPr>
        <w:t>紧抓申报超长期国债高标准农田建设项目</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一年编制三年设计方案</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时机，加大项目</w:t>
      </w:r>
      <w:r>
        <w:rPr>
          <w:rFonts w:hint="eastAsia" w:ascii="Times New Roman" w:hAnsi="Times New Roman" w:eastAsia="仿宋_GB2312" w:cs="Times New Roman"/>
          <w:color w:val="auto"/>
          <w:spacing w:val="0"/>
          <w:kern w:val="0"/>
          <w:sz w:val="32"/>
          <w:szCs w:val="32"/>
          <w:highlight w:val="none"/>
          <w:lang w:val="en-US" w:eastAsia="zh-CN" w:bidi="ar-SA"/>
        </w:rPr>
        <w:t>储备</w:t>
      </w:r>
      <w:r>
        <w:rPr>
          <w:rFonts w:hint="default" w:ascii="Times New Roman" w:hAnsi="Times New Roman" w:eastAsia="仿宋_GB2312" w:cs="Times New Roman"/>
          <w:color w:val="auto"/>
          <w:spacing w:val="0"/>
          <w:kern w:val="0"/>
          <w:sz w:val="32"/>
          <w:szCs w:val="32"/>
          <w:highlight w:val="none"/>
          <w:lang w:val="en-US" w:eastAsia="zh-CN" w:bidi="ar-SA"/>
        </w:rPr>
        <w:t>力度，</w:t>
      </w:r>
      <w:r>
        <w:rPr>
          <w:rFonts w:hint="eastAsia" w:ascii="Times New Roman" w:hAnsi="Times New Roman" w:eastAsia="仿宋_GB2312" w:cs="Times New Roman"/>
          <w:color w:val="auto"/>
          <w:spacing w:val="0"/>
          <w:kern w:val="0"/>
          <w:sz w:val="32"/>
          <w:szCs w:val="32"/>
          <w:highlight w:val="none"/>
          <w:lang w:val="en-US" w:eastAsia="zh-CN" w:bidi="ar-SA"/>
        </w:rPr>
        <w:t>实行动态管理。</w:t>
      </w:r>
      <w:r>
        <w:rPr>
          <w:rFonts w:hint="eastAsia" w:ascii="Times New Roman" w:hAnsi="Times New Roman" w:eastAsia="仿宋_GB2312" w:cs="Times New Roman"/>
          <w:b/>
          <w:bCs/>
          <w:color w:val="auto"/>
          <w:spacing w:val="0"/>
          <w:kern w:val="0"/>
          <w:sz w:val="32"/>
          <w:szCs w:val="32"/>
          <w:highlight w:val="none"/>
          <w:lang w:val="en-US" w:eastAsia="zh-CN" w:bidi="ar-SA"/>
        </w:rPr>
        <w:t>二是</w:t>
      </w:r>
      <w:r>
        <w:rPr>
          <w:rFonts w:hint="eastAsia" w:ascii="Times New Roman" w:hAnsi="Times New Roman" w:eastAsia="仿宋_GB2312" w:cs="Times New Roman"/>
          <w:color w:val="auto"/>
          <w:spacing w:val="0"/>
          <w:kern w:val="0"/>
          <w:sz w:val="32"/>
          <w:szCs w:val="32"/>
          <w:highlight w:val="none"/>
          <w:lang w:val="en-US" w:eastAsia="zh-CN" w:bidi="ar-SA"/>
        </w:rPr>
        <w:t>县级农业农村部门牵头组织具有相应测绘勘察、设计资质机构，在征求项目区村级组织和农户意见，完成实地测绘和勘察的基础上，</w:t>
      </w:r>
      <w:r>
        <w:rPr>
          <w:rFonts w:hint="default" w:ascii="Times New Roman" w:hAnsi="Times New Roman" w:eastAsia="仿宋_GB2312" w:cs="Times New Roman"/>
          <w:color w:val="auto"/>
          <w:spacing w:val="0"/>
          <w:kern w:val="0"/>
          <w:sz w:val="32"/>
          <w:szCs w:val="32"/>
          <w:highlight w:val="none"/>
          <w:lang w:val="en-US" w:eastAsia="zh-CN" w:bidi="ar-SA"/>
        </w:rPr>
        <w:t>以</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一平</w:t>
      </w:r>
      <w:r>
        <w:rPr>
          <w:rFonts w:hint="eastAsia" w:ascii="Times New Roman" w:hAnsi="Times New Roman" w:eastAsia="仿宋_GB2312" w:cs="Times New Roman"/>
          <w:color w:val="auto"/>
          <w:spacing w:val="0"/>
          <w:kern w:val="0"/>
          <w:sz w:val="32"/>
          <w:szCs w:val="32"/>
          <w:highlight w:val="none"/>
          <w:lang w:val="en-US" w:eastAsia="zh-CN" w:bidi="ar-SA"/>
        </w:rPr>
        <w:t>整、两突出、三畅通、四提升”</w:t>
      </w:r>
      <w:r>
        <w:rPr>
          <w:rFonts w:hint="default" w:ascii="Times New Roman" w:hAnsi="Times New Roman" w:eastAsia="仿宋_GB2312" w:cs="Times New Roman"/>
          <w:color w:val="auto"/>
          <w:spacing w:val="0"/>
          <w:kern w:val="0"/>
          <w:sz w:val="32"/>
          <w:szCs w:val="32"/>
          <w:highlight w:val="none"/>
          <w:lang w:val="en-US" w:eastAsia="zh-CN" w:bidi="ar-SA"/>
        </w:rPr>
        <w:t>为</w:t>
      </w:r>
      <w:r>
        <w:rPr>
          <w:rFonts w:hint="eastAsia" w:ascii="Times New Roman" w:hAnsi="Times New Roman" w:eastAsia="仿宋_GB2312" w:cs="Times New Roman"/>
          <w:color w:val="auto"/>
          <w:spacing w:val="0"/>
          <w:kern w:val="0"/>
          <w:sz w:val="32"/>
          <w:szCs w:val="32"/>
          <w:highlight w:val="none"/>
          <w:lang w:val="en-US" w:eastAsia="zh-CN" w:bidi="ar-SA"/>
        </w:rPr>
        <w:t>重点，</w:t>
      </w:r>
      <w:r>
        <w:rPr>
          <w:rFonts w:hint="default" w:ascii="Times New Roman" w:hAnsi="Times New Roman" w:eastAsia="仿宋_GB2312" w:cs="Times New Roman"/>
          <w:color w:val="auto"/>
          <w:spacing w:val="0"/>
          <w:kern w:val="0"/>
          <w:sz w:val="32"/>
          <w:szCs w:val="32"/>
          <w:highlight w:val="none"/>
          <w:lang w:val="en-US" w:eastAsia="zh-CN" w:bidi="ar-SA"/>
        </w:rPr>
        <w:t>明确</w:t>
      </w:r>
      <w:r>
        <w:rPr>
          <w:rFonts w:hint="eastAsia" w:ascii="Times New Roman" w:hAnsi="Times New Roman" w:eastAsia="仿宋_GB2312" w:cs="Times New Roman"/>
          <w:color w:val="auto"/>
          <w:spacing w:val="0"/>
          <w:kern w:val="0"/>
          <w:sz w:val="32"/>
          <w:szCs w:val="32"/>
          <w:highlight w:val="none"/>
          <w:lang w:val="en-US" w:eastAsia="zh-CN" w:bidi="ar-SA"/>
        </w:rPr>
        <w:t>具体区域、具体地块和目标任务、建设时序后，编制项目初步设计文件，并在项目所在地公示，并于每年6月底前向地区农业农村部门报送下年度储备项目初步设计。</w:t>
      </w:r>
      <w:r>
        <w:rPr>
          <w:rFonts w:hint="eastAsia" w:ascii="Times New Roman" w:hAnsi="Times New Roman" w:eastAsia="仿宋_GB2312" w:cs="Times New Roman"/>
          <w:b/>
          <w:bCs/>
          <w:color w:val="auto"/>
          <w:spacing w:val="0"/>
          <w:kern w:val="0"/>
          <w:sz w:val="32"/>
          <w:szCs w:val="32"/>
          <w:highlight w:val="none"/>
          <w:lang w:val="en-US" w:eastAsia="zh-CN" w:bidi="ar-SA"/>
        </w:rPr>
        <w:t>三是</w:t>
      </w:r>
      <w:r>
        <w:rPr>
          <w:rFonts w:hint="default" w:ascii="Times New Roman" w:hAnsi="Times New Roman" w:eastAsia="仿宋_GB2312" w:cs="Times New Roman"/>
          <w:color w:val="auto"/>
          <w:spacing w:val="0"/>
          <w:kern w:val="0"/>
          <w:sz w:val="32"/>
          <w:szCs w:val="32"/>
          <w:highlight w:val="none"/>
          <w:lang w:val="en-US" w:eastAsia="zh-CN" w:bidi="ar-SA"/>
        </w:rPr>
        <w:t>地区</w:t>
      </w:r>
      <w:r>
        <w:rPr>
          <w:rFonts w:hint="eastAsia" w:ascii="Times New Roman" w:hAnsi="Times New Roman" w:eastAsia="仿宋_GB2312" w:cs="Times New Roman"/>
          <w:color w:val="auto"/>
          <w:spacing w:val="0"/>
          <w:kern w:val="0"/>
          <w:sz w:val="32"/>
          <w:szCs w:val="32"/>
          <w:highlight w:val="none"/>
          <w:lang w:val="en-US" w:eastAsia="zh-CN" w:bidi="ar-SA"/>
        </w:rPr>
        <w:t>农业农村部门组织相关部门专家加强入库项目初步设计审核，</w:t>
      </w:r>
      <w:r>
        <w:rPr>
          <w:rFonts w:hint="default" w:ascii="Times New Roman" w:hAnsi="Times New Roman" w:eastAsia="仿宋_GB2312" w:cs="Times New Roman"/>
          <w:color w:val="auto"/>
          <w:spacing w:val="0"/>
          <w:kern w:val="0"/>
          <w:sz w:val="32"/>
          <w:szCs w:val="32"/>
          <w:highlight w:val="none"/>
          <w:lang w:val="en-US" w:eastAsia="zh-CN" w:bidi="ar-SA"/>
        </w:rPr>
        <w:t>7月底前将通过审核的初步设计报自治区农业农村厅，纳入项目储备库</w:t>
      </w:r>
      <w:r>
        <w:rPr>
          <w:rFonts w:hint="eastAsia" w:ascii="Times New Roman" w:hAnsi="Times New Roman" w:eastAsia="仿宋_GB2312" w:cs="Times New Roman"/>
          <w:color w:val="auto"/>
          <w:spacing w:val="0"/>
          <w:kern w:val="0"/>
          <w:sz w:val="32"/>
          <w:szCs w:val="32"/>
          <w:highlight w:val="none"/>
          <w:lang w:val="en-US" w:eastAsia="zh-CN" w:bidi="ar-SA"/>
        </w:rPr>
        <w:t>，并</w:t>
      </w:r>
      <w:r>
        <w:rPr>
          <w:rFonts w:hint="default" w:ascii="Times New Roman" w:hAnsi="Times New Roman" w:eastAsia="仿宋_GB2312" w:cs="Times New Roman"/>
          <w:color w:val="auto"/>
          <w:spacing w:val="0"/>
          <w:kern w:val="0"/>
          <w:sz w:val="32"/>
          <w:szCs w:val="32"/>
          <w:highlight w:val="none"/>
          <w:lang w:val="en-US" w:eastAsia="zh-CN" w:bidi="ar-SA"/>
        </w:rPr>
        <w:t>定期分析研判项目库运行情况，对已立项实施或因情况变化不符合入库要求的项目及时出库</w:t>
      </w:r>
      <w:r>
        <w:rPr>
          <w:rFonts w:hint="eastAsia" w:ascii="Times New Roman" w:hAnsi="Times New Roman" w:eastAsia="仿宋_GB2312" w:cs="Times New Roman"/>
          <w:color w:val="auto"/>
          <w:spacing w:val="0"/>
          <w:kern w:val="0"/>
          <w:sz w:val="32"/>
          <w:szCs w:val="32"/>
          <w:highlight w:val="none"/>
          <w:lang w:val="en-US" w:eastAsia="zh-CN" w:bidi="ar-SA"/>
        </w:rPr>
        <w:t>。</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（三）明确项目审批</w:t>
      </w:r>
      <w:r>
        <w:rPr>
          <w:rFonts w:hint="eastAsia" w:ascii="Times New Roman" w:hAnsi="Times New Roman" w:eastAsia="楷体_GB2312" w:cs="Times New Roman"/>
          <w:b/>
          <w:bCs/>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bidi="ar-SA"/>
        </w:rPr>
        <w:t>高标准农田建设项目应严格遵循“谁审批、谁调整”原则，任何单位及个人不得擅自调整、变更项目内容。</w:t>
      </w:r>
      <w:r>
        <w:rPr>
          <w:rFonts w:hint="eastAsia" w:ascii="仿宋_GB2312" w:hAnsi="仿宋_GB2312" w:eastAsia="仿宋_GB2312" w:cs="仿宋_GB2312"/>
          <w:b/>
          <w:bCs/>
          <w:color w:val="auto"/>
          <w:spacing w:val="0"/>
          <w:kern w:val="0"/>
          <w:sz w:val="32"/>
          <w:szCs w:val="32"/>
          <w:highlight w:val="none"/>
          <w:lang w:val="en-US" w:eastAsia="zh-CN" w:bidi="ar-SA"/>
        </w:rPr>
        <w:t>一是</w:t>
      </w:r>
      <w:r>
        <w:rPr>
          <w:rFonts w:hint="eastAsia" w:ascii="仿宋_GB2312" w:hAnsi="仿宋_GB2312" w:eastAsia="仿宋_GB2312" w:cs="仿宋_GB2312"/>
          <w:b w:val="0"/>
          <w:bCs w:val="0"/>
          <w:color w:val="auto"/>
          <w:sz w:val="32"/>
          <w:szCs w:val="32"/>
          <w:highlight w:val="none"/>
          <w:lang w:bidi="ar-SA"/>
        </w:rPr>
        <w:t>地</w:t>
      </w:r>
      <w:r>
        <w:rPr>
          <w:rFonts w:hint="eastAsia" w:ascii="仿宋_GB2312" w:hAnsi="仿宋_GB2312" w:eastAsia="仿宋_GB2312" w:cs="仿宋_GB2312"/>
          <w:b w:val="0"/>
          <w:bCs w:val="0"/>
          <w:color w:val="auto"/>
          <w:sz w:val="32"/>
          <w:szCs w:val="32"/>
          <w:highlight w:val="none"/>
          <w:lang w:eastAsia="zh-CN" w:bidi="ar-SA"/>
        </w:rPr>
        <w:t>区</w:t>
      </w:r>
      <w:r>
        <w:rPr>
          <w:rFonts w:hint="eastAsia" w:ascii="仿宋_GB2312" w:hAnsi="仿宋_GB2312" w:eastAsia="仿宋_GB2312" w:cs="仿宋_GB2312"/>
          <w:b w:val="0"/>
          <w:bCs w:val="0"/>
          <w:color w:val="auto"/>
          <w:sz w:val="32"/>
          <w:szCs w:val="32"/>
          <w:highlight w:val="none"/>
          <w:lang w:bidi="ar-SA"/>
        </w:rPr>
        <w:t>农</w:t>
      </w:r>
      <w:r>
        <w:rPr>
          <w:rFonts w:hint="eastAsia" w:ascii="仿宋_GB2312" w:hAnsi="仿宋_GB2312" w:eastAsia="仿宋_GB2312" w:cs="仿宋_GB2312"/>
          <w:b w:val="0"/>
          <w:bCs w:val="0"/>
          <w:color w:val="auto"/>
          <w:sz w:val="32"/>
          <w:szCs w:val="32"/>
          <w:highlight w:val="none"/>
          <w:lang w:eastAsia="zh-CN" w:bidi="ar-SA"/>
        </w:rPr>
        <w:t>业</w:t>
      </w:r>
      <w:r>
        <w:rPr>
          <w:rFonts w:hint="eastAsia" w:ascii="仿宋_GB2312" w:hAnsi="仿宋_GB2312" w:eastAsia="仿宋_GB2312" w:cs="仿宋_GB2312"/>
          <w:b w:val="0"/>
          <w:bCs w:val="0"/>
          <w:color w:val="auto"/>
          <w:sz w:val="32"/>
          <w:szCs w:val="32"/>
          <w:highlight w:val="none"/>
          <w:lang w:bidi="ar-SA"/>
        </w:rPr>
        <w:t>农村</w:t>
      </w:r>
      <w:r>
        <w:rPr>
          <w:rFonts w:hint="eastAsia" w:ascii="仿宋_GB2312" w:hAnsi="仿宋_GB2312" w:eastAsia="仿宋_GB2312" w:cs="仿宋_GB2312"/>
          <w:b w:val="0"/>
          <w:bCs w:val="0"/>
          <w:color w:val="auto"/>
          <w:sz w:val="32"/>
          <w:szCs w:val="32"/>
          <w:highlight w:val="none"/>
          <w:lang w:eastAsia="zh-CN" w:bidi="ar-SA"/>
        </w:rPr>
        <w:t>部门、地区发展改革委</w:t>
      </w:r>
      <w:r>
        <w:rPr>
          <w:rFonts w:hint="eastAsia" w:ascii="仿宋_GB2312" w:hAnsi="仿宋_GB2312" w:eastAsia="仿宋_GB2312" w:cs="仿宋_GB2312"/>
          <w:b w:val="0"/>
          <w:bCs w:val="0"/>
          <w:color w:val="auto"/>
          <w:sz w:val="32"/>
          <w:szCs w:val="32"/>
          <w:highlight w:val="none"/>
          <w:lang w:bidi="ar-SA"/>
        </w:rPr>
        <w:t>负责项目审查批复，</w:t>
      </w:r>
      <w:r>
        <w:rPr>
          <w:rFonts w:hint="eastAsia" w:ascii="仿宋_GB2312" w:hAnsi="仿宋_GB2312" w:eastAsia="仿宋_GB2312" w:cs="仿宋_GB2312"/>
          <w:b w:val="0"/>
          <w:bCs w:val="0"/>
          <w:color w:val="auto"/>
          <w:sz w:val="32"/>
          <w:szCs w:val="32"/>
          <w:highlight w:val="none"/>
          <w:lang w:eastAsia="zh-CN" w:bidi="ar-SA"/>
        </w:rPr>
        <w:t>在自治区下达建设任务后，</w:t>
      </w:r>
      <w:r>
        <w:rPr>
          <w:rFonts w:hint="eastAsia" w:ascii="仿宋_GB2312" w:hAnsi="仿宋_GB2312" w:eastAsia="仿宋_GB2312" w:cs="仿宋_GB2312"/>
          <w:b w:val="0"/>
          <w:bCs w:val="0"/>
          <w:color w:val="auto"/>
          <w:sz w:val="32"/>
          <w:szCs w:val="32"/>
          <w:highlight w:val="none"/>
          <w:lang w:bidi="ar-SA"/>
        </w:rPr>
        <w:t>按规定组织有关部门及行业领域专家，</w:t>
      </w:r>
      <w:r>
        <w:rPr>
          <w:rFonts w:hint="eastAsia" w:ascii="仿宋_GB2312" w:hAnsi="仿宋_GB2312" w:eastAsia="仿宋_GB2312" w:cs="仿宋_GB2312"/>
          <w:b w:val="0"/>
          <w:bCs w:val="0"/>
          <w:color w:val="auto"/>
          <w:sz w:val="32"/>
          <w:szCs w:val="32"/>
          <w:highlight w:val="none"/>
          <w:lang w:eastAsia="zh-CN" w:bidi="ar-SA"/>
        </w:rPr>
        <w:t>采取文本审核、现场核实等方式，</w:t>
      </w:r>
      <w:r>
        <w:rPr>
          <w:rFonts w:hint="eastAsia" w:ascii="仿宋_GB2312" w:hAnsi="仿宋_GB2312" w:eastAsia="仿宋_GB2312" w:cs="仿宋_GB2312"/>
          <w:b w:val="0"/>
          <w:bCs w:val="0"/>
          <w:color w:val="auto"/>
          <w:sz w:val="32"/>
          <w:szCs w:val="32"/>
          <w:highlight w:val="none"/>
          <w:lang w:bidi="ar-SA"/>
        </w:rPr>
        <w:t>加强对设计依据、建设方案、设计</w:t>
      </w:r>
      <w:r>
        <w:rPr>
          <w:rFonts w:hint="eastAsia" w:ascii="仿宋_GB2312" w:hAnsi="仿宋_GB2312" w:eastAsia="仿宋_GB2312" w:cs="仿宋_GB2312"/>
          <w:b w:val="0"/>
          <w:bCs w:val="0"/>
          <w:color w:val="auto"/>
          <w:sz w:val="32"/>
          <w:szCs w:val="32"/>
          <w:highlight w:val="none"/>
          <w:lang w:eastAsia="zh-CN" w:bidi="ar-SA"/>
        </w:rPr>
        <w:t>标准</w:t>
      </w:r>
      <w:r>
        <w:rPr>
          <w:rFonts w:hint="eastAsia" w:ascii="仿宋_GB2312" w:hAnsi="仿宋_GB2312" w:eastAsia="仿宋_GB2312" w:cs="仿宋_GB2312"/>
          <w:b w:val="0"/>
          <w:bCs w:val="0"/>
          <w:color w:val="auto"/>
          <w:sz w:val="32"/>
          <w:szCs w:val="32"/>
          <w:highlight w:val="none"/>
          <w:lang w:bidi="ar-SA"/>
        </w:rPr>
        <w:t>、概算编制、效益分析等内容的合规性、科学性、合理性、真实性审查。评审专家</w:t>
      </w:r>
      <w:r>
        <w:rPr>
          <w:rFonts w:hint="eastAsia" w:ascii="仿宋_GB2312" w:hAnsi="仿宋_GB2312" w:eastAsia="仿宋_GB2312" w:cs="仿宋_GB2312"/>
          <w:b w:val="0"/>
          <w:bCs w:val="0"/>
          <w:color w:val="auto"/>
          <w:sz w:val="32"/>
          <w:szCs w:val="32"/>
          <w:highlight w:val="none"/>
          <w:lang w:eastAsia="zh-CN" w:bidi="ar-SA"/>
        </w:rPr>
        <w:t>选取应实行回避制度，且在评审时</w:t>
      </w:r>
      <w:r>
        <w:rPr>
          <w:rFonts w:hint="eastAsia" w:ascii="仿宋_GB2312" w:hAnsi="仿宋_GB2312" w:eastAsia="仿宋_GB2312" w:cs="仿宋_GB2312"/>
          <w:b w:val="0"/>
          <w:bCs w:val="0"/>
          <w:color w:val="auto"/>
          <w:sz w:val="32"/>
          <w:szCs w:val="32"/>
          <w:highlight w:val="none"/>
          <w:lang w:bidi="ar-SA"/>
        </w:rPr>
        <w:t>要明确给出符合性评价意见，必要时可对申报、勘测、设计单位开展面对面质询。</w:t>
      </w:r>
      <w:r>
        <w:rPr>
          <w:rFonts w:hint="eastAsia" w:ascii="仿宋_GB2312" w:hAnsi="仿宋_GB2312" w:eastAsia="仿宋_GB2312" w:cs="仿宋_GB2312"/>
          <w:b/>
          <w:bCs/>
          <w:color w:val="auto"/>
          <w:sz w:val="32"/>
          <w:szCs w:val="32"/>
          <w:highlight w:val="none"/>
          <w:lang w:eastAsia="zh-CN" w:bidi="ar-SA"/>
        </w:rPr>
        <w:t>二是</w:t>
      </w:r>
      <w:r>
        <w:rPr>
          <w:rFonts w:hint="eastAsia" w:ascii="仿宋_GB2312" w:hAnsi="仿宋_GB2312" w:eastAsia="仿宋_GB2312" w:cs="仿宋_GB2312"/>
          <w:b w:val="0"/>
          <w:bCs w:val="0"/>
          <w:color w:val="auto"/>
          <w:sz w:val="32"/>
          <w:szCs w:val="32"/>
          <w:highlight w:val="none"/>
          <w:lang w:eastAsia="zh-CN" w:bidi="ar-SA"/>
        </w:rPr>
        <w:t>地区农业农村部门对</w:t>
      </w:r>
      <w:r>
        <w:rPr>
          <w:rFonts w:hint="eastAsia" w:ascii="仿宋_GB2312" w:hAnsi="仿宋_GB2312" w:eastAsia="仿宋_GB2312" w:cs="仿宋_GB2312"/>
          <w:b w:val="0"/>
          <w:bCs w:val="0"/>
          <w:color w:val="auto"/>
          <w:sz w:val="32"/>
          <w:szCs w:val="32"/>
          <w:highlight w:val="none"/>
          <w:lang w:bidi="ar-SA"/>
        </w:rPr>
        <w:t>评审可行的项目向社会公示(涉及国家秘密的内容除外),公示期一般不少于5个工作日。公示无异议的项目及时批复立项。</w:t>
      </w:r>
      <w:r>
        <w:rPr>
          <w:rFonts w:hint="default" w:ascii="仿宋_GB2312" w:hAnsi="仿宋_GB2312" w:eastAsia="仿宋_GB2312" w:cs="仿宋_GB2312"/>
          <w:b w:val="0"/>
          <w:bCs w:val="0"/>
          <w:color w:val="auto"/>
          <w:sz w:val="32"/>
          <w:szCs w:val="32"/>
          <w:highlight w:val="none"/>
          <w:lang w:bidi="ar-SA"/>
        </w:rPr>
        <w:t>对公示有异议的，经专家论证符合立项条件后及时批复立项。</w:t>
      </w:r>
      <w:r>
        <w:rPr>
          <w:rFonts w:hint="eastAsia" w:ascii="仿宋_GB2312" w:hAnsi="仿宋_GB2312" w:eastAsia="仿宋_GB2312" w:cs="仿宋_GB2312"/>
          <w:b w:val="0"/>
          <w:bCs w:val="0"/>
          <w:color w:val="auto"/>
          <w:sz w:val="32"/>
          <w:szCs w:val="32"/>
          <w:highlight w:val="none"/>
          <w:lang w:eastAsia="zh-CN" w:bidi="ar-SA"/>
        </w:rPr>
        <w:t>三是在项目实施过程中，因实际情况确需设计变更，由项目区村队、乡（镇）提出变更申请，重大变更、项目总投资变化超过</w:t>
      </w:r>
      <w:r>
        <w:rPr>
          <w:rFonts w:hint="eastAsia" w:ascii="仿宋_GB2312" w:hAnsi="仿宋_GB2312" w:eastAsia="仿宋_GB2312" w:cs="仿宋_GB2312"/>
          <w:b w:val="0"/>
          <w:bCs w:val="0"/>
          <w:color w:val="auto"/>
          <w:sz w:val="32"/>
          <w:szCs w:val="32"/>
          <w:highlight w:val="none"/>
          <w:lang w:val="en-US" w:eastAsia="zh-CN" w:bidi="ar-SA"/>
        </w:rPr>
        <w:t>10%的由地区农业农村局评审批复后实施，一般变更由县（市）农业农村局审查批复备案后实施。</w:t>
      </w:r>
    </w:p>
    <w:p>
      <w:pPr>
        <w:pStyle w:val="12"/>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楷体_GB2312" w:cs="Times New Roman"/>
          <w:b/>
          <w:bCs/>
          <w:color w:val="auto"/>
          <w:spacing w:val="0"/>
          <w:kern w:val="0"/>
          <w:sz w:val="32"/>
          <w:szCs w:val="32"/>
          <w:highlight w:val="none"/>
          <w:lang w:val="en-US" w:eastAsia="zh-CN"/>
        </w:rPr>
        <w:t>(四)明确</w:t>
      </w:r>
      <w:r>
        <w:rPr>
          <w:rFonts w:hint="default" w:ascii="Times New Roman" w:hAnsi="Times New Roman" w:eastAsia="楷体_GB2312" w:cs="Times New Roman"/>
          <w:b/>
          <w:bCs/>
          <w:color w:val="auto"/>
          <w:spacing w:val="0"/>
          <w:kern w:val="0"/>
          <w:sz w:val="32"/>
          <w:szCs w:val="32"/>
          <w:highlight w:val="none"/>
          <w:lang w:val="en-US" w:eastAsia="zh-CN"/>
        </w:rPr>
        <w:t>招投标</w:t>
      </w:r>
      <w:r>
        <w:rPr>
          <w:rFonts w:hint="eastAsia" w:ascii="Times New Roman" w:hAnsi="Times New Roman" w:eastAsia="楷体_GB2312" w:cs="Times New Roman"/>
          <w:b/>
          <w:bCs/>
          <w:color w:val="auto"/>
          <w:spacing w:val="0"/>
          <w:kern w:val="0"/>
          <w:sz w:val="32"/>
          <w:szCs w:val="32"/>
          <w:highlight w:val="none"/>
          <w:lang w:val="en-US" w:eastAsia="zh-CN"/>
        </w:rPr>
        <w:t>要求</w:t>
      </w:r>
      <w:r>
        <w:rPr>
          <w:rFonts w:hint="default" w:ascii="Times New Roman" w:hAnsi="Times New Roman" w:eastAsia="楷体_GB2312" w:cs="Times New Roman"/>
          <w:b/>
          <w:bCs/>
          <w:color w:val="auto"/>
          <w:spacing w:val="0"/>
          <w:kern w:val="0"/>
          <w:sz w:val="32"/>
          <w:szCs w:val="32"/>
          <w:highlight w:val="none"/>
          <w:lang w:val="en-US" w:eastAsia="zh-CN"/>
        </w:rPr>
        <w:t>。</w:t>
      </w:r>
      <w:r>
        <w:rPr>
          <w:rFonts w:hint="default" w:ascii="Times New Roman" w:hAnsi="Times New Roman" w:eastAsia="仿宋_GB2312" w:cs="Times New Roman"/>
          <w:color w:val="auto"/>
          <w:spacing w:val="0"/>
          <w:kern w:val="0"/>
          <w:sz w:val="32"/>
          <w:szCs w:val="32"/>
          <w:highlight w:val="none"/>
          <w:lang w:val="en-US" w:eastAsia="zh-CN" w:bidi="ar-SA"/>
        </w:rPr>
        <w:t>高标准农田建设项目</w:t>
      </w:r>
      <w:r>
        <w:rPr>
          <w:rFonts w:hint="eastAsia" w:ascii="Times New Roman" w:hAnsi="Times New Roman" w:eastAsia="仿宋_GB2312" w:cs="Times New Roman"/>
          <w:color w:val="auto"/>
          <w:spacing w:val="0"/>
          <w:kern w:val="0"/>
          <w:sz w:val="32"/>
          <w:szCs w:val="32"/>
          <w:highlight w:val="none"/>
          <w:lang w:val="en-US" w:eastAsia="zh-CN" w:bidi="ar-SA"/>
        </w:rPr>
        <w:t>需统一纳入公共资源交易平台，</w:t>
      </w:r>
      <w:r>
        <w:rPr>
          <w:rFonts w:hint="default" w:ascii="Times New Roman" w:hAnsi="Times New Roman" w:eastAsia="仿宋_GB2312" w:cs="Times New Roman"/>
          <w:color w:val="auto"/>
          <w:spacing w:val="0"/>
          <w:kern w:val="0"/>
          <w:sz w:val="32"/>
          <w:szCs w:val="32"/>
          <w:highlight w:val="none"/>
          <w:lang w:val="en-US" w:eastAsia="zh-CN" w:bidi="ar-SA"/>
        </w:rPr>
        <w:t>实行</w:t>
      </w:r>
      <w:r>
        <w:rPr>
          <w:rFonts w:hint="eastAsia" w:ascii="Times New Roman" w:hAnsi="Times New Roman" w:eastAsia="仿宋_GB2312" w:cs="Times New Roman"/>
          <w:color w:val="auto"/>
          <w:spacing w:val="0"/>
          <w:kern w:val="0"/>
          <w:sz w:val="32"/>
          <w:szCs w:val="32"/>
          <w:highlight w:val="none"/>
          <w:lang w:val="en-US" w:eastAsia="zh-CN" w:bidi="ar-SA"/>
        </w:rPr>
        <w:t>全流程电子化</w:t>
      </w:r>
      <w:r>
        <w:rPr>
          <w:rFonts w:hint="default" w:ascii="Times New Roman" w:hAnsi="Times New Roman" w:eastAsia="仿宋_GB2312" w:cs="Times New Roman"/>
          <w:color w:val="auto"/>
          <w:spacing w:val="0"/>
          <w:kern w:val="0"/>
          <w:sz w:val="32"/>
          <w:szCs w:val="32"/>
          <w:highlight w:val="none"/>
          <w:lang w:val="en-US" w:eastAsia="zh-CN" w:bidi="ar-SA"/>
        </w:rPr>
        <w:t>招标投标制。县级农业农村部门会同有关部门依法依规加强高标准农田建设招标投标和采购管理，强化公开公示、过程监管和事后监管</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eastAsia" w:ascii="方正仿宋_GB2312" w:hAnsi="方正仿宋_GB2312" w:eastAsia="方正仿宋_GB2312" w:cs="方正仿宋_GB2312"/>
          <w:b/>
          <w:bCs/>
          <w:color w:val="auto"/>
          <w:spacing w:val="0"/>
          <w:kern w:val="0"/>
          <w:sz w:val="32"/>
          <w:szCs w:val="32"/>
          <w:highlight w:val="none"/>
          <w:lang w:val="en-US" w:eastAsia="zh-CN"/>
        </w:rPr>
        <w:t>一是</w:t>
      </w:r>
      <w:r>
        <w:rPr>
          <w:rFonts w:hint="default" w:ascii="Times New Roman" w:hAnsi="Times New Roman" w:eastAsia="仿宋_GB2312" w:cs="Times New Roman"/>
          <w:color w:val="auto"/>
          <w:spacing w:val="0"/>
          <w:kern w:val="0"/>
          <w:sz w:val="32"/>
          <w:szCs w:val="32"/>
          <w:highlight w:val="none"/>
          <w:lang w:val="en-US" w:eastAsia="zh-CN" w:bidi="ar-SA"/>
        </w:rPr>
        <w:t>县级农业农村部门是高标准农田建设项目行政主管部门，项目批复后，行政主管部门应落实项目法人制，</w:t>
      </w:r>
      <w:r>
        <w:rPr>
          <w:rFonts w:hint="eastAsia" w:ascii="Times New Roman" w:hAnsi="Times New Roman" w:eastAsia="仿宋_GB2312" w:cs="Times New Roman"/>
          <w:color w:val="auto"/>
          <w:spacing w:val="0"/>
          <w:kern w:val="0"/>
          <w:sz w:val="32"/>
          <w:szCs w:val="32"/>
          <w:highlight w:val="none"/>
          <w:lang w:val="en-US" w:eastAsia="zh-CN" w:bidi="ar-SA"/>
        </w:rPr>
        <w:t>参照水利部《关于印发水利工程建设项目法人管理指导意见的通知》（水建设</w:t>
      </w:r>
      <w:r>
        <w:rPr>
          <w:rFonts w:hint="eastAsia" w:ascii="仿宋_GB2312" w:hAnsi="仿宋_GB2312" w:eastAsia="仿宋_GB2312" w:cs="仿宋_GB2312"/>
          <w:color w:val="auto"/>
          <w:spacing w:val="0"/>
          <w:kern w:val="0"/>
          <w:sz w:val="32"/>
          <w:szCs w:val="32"/>
          <w:highlight w:val="none"/>
          <w:lang w:val="en-US" w:eastAsia="zh-CN" w:bidi="ar-SA"/>
        </w:rPr>
        <w:t>〔</w:t>
      </w:r>
      <w:r>
        <w:rPr>
          <w:rFonts w:hint="eastAsia" w:ascii="Times New Roman" w:hAnsi="Times New Roman" w:eastAsia="仿宋_GB2312" w:cs="Times New Roman"/>
          <w:color w:val="auto"/>
          <w:spacing w:val="0"/>
          <w:kern w:val="0"/>
          <w:sz w:val="32"/>
          <w:szCs w:val="32"/>
          <w:highlight w:val="none"/>
          <w:lang w:val="en-US" w:eastAsia="zh-CN" w:bidi="ar-SA"/>
        </w:rPr>
        <w:t>2020</w:t>
      </w:r>
      <w:r>
        <w:rPr>
          <w:rFonts w:hint="eastAsia" w:ascii="仿宋_GB2312" w:hAnsi="仿宋_GB2312" w:eastAsia="仿宋_GB2312" w:cs="仿宋_GB2312"/>
          <w:color w:val="auto"/>
          <w:spacing w:val="0"/>
          <w:kern w:val="0"/>
          <w:sz w:val="32"/>
          <w:szCs w:val="32"/>
          <w:highlight w:val="none"/>
          <w:lang w:val="en-US" w:eastAsia="zh-CN" w:bidi="ar-SA"/>
        </w:rPr>
        <w:t>〕</w:t>
      </w:r>
      <w:r>
        <w:rPr>
          <w:rFonts w:hint="eastAsia" w:ascii="Times New Roman" w:hAnsi="Times New Roman" w:eastAsia="仿宋_GB2312" w:cs="Times New Roman"/>
          <w:color w:val="auto"/>
          <w:spacing w:val="0"/>
          <w:kern w:val="0"/>
          <w:sz w:val="32"/>
          <w:szCs w:val="32"/>
          <w:highlight w:val="none"/>
          <w:lang w:val="en-US" w:eastAsia="zh-CN" w:bidi="ar-SA"/>
        </w:rPr>
        <w:t>258号）</w:t>
      </w:r>
      <w:r>
        <w:rPr>
          <w:rFonts w:hint="default" w:ascii="Times New Roman" w:hAnsi="Times New Roman" w:eastAsia="仿宋_GB2312" w:cs="Times New Roman"/>
          <w:color w:val="auto"/>
          <w:spacing w:val="0"/>
          <w:kern w:val="0"/>
          <w:sz w:val="32"/>
          <w:szCs w:val="32"/>
          <w:highlight w:val="none"/>
          <w:lang w:val="en-US" w:eastAsia="zh-CN" w:bidi="ar-SA"/>
        </w:rPr>
        <w:t>及时组建</w:t>
      </w:r>
      <w:r>
        <w:rPr>
          <w:rFonts w:hint="eastAsia" w:ascii="Times New Roman" w:hAnsi="Times New Roman" w:eastAsia="仿宋_GB2312" w:cs="Times New Roman"/>
          <w:color w:val="auto"/>
          <w:spacing w:val="0"/>
          <w:kern w:val="0"/>
          <w:sz w:val="32"/>
          <w:szCs w:val="32"/>
          <w:highlight w:val="none"/>
          <w:lang w:val="en-US" w:eastAsia="zh-CN" w:bidi="ar-SA"/>
        </w:rPr>
        <w:t>具备基本条件的</w:t>
      </w:r>
      <w:r>
        <w:rPr>
          <w:rFonts w:hint="default" w:ascii="Times New Roman" w:hAnsi="Times New Roman" w:eastAsia="仿宋_GB2312" w:cs="Times New Roman"/>
          <w:color w:val="auto"/>
          <w:spacing w:val="0"/>
          <w:kern w:val="0"/>
          <w:sz w:val="32"/>
          <w:szCs w:val="32"/>
          <w:highlight w:val="none"/>
          <w:lang w:val="en-US" w:eastAsia="zh-CN" w:bidi="ar-SA"/>
        </w:rPr>
        <w:t>事业单位</w:t>
      </w:r>
      <w:r>
        <w:rPr>
          <w:rFonts w:hint="eastAsia" w:ascii="Times New Roman" w:hAnsi="Times New Roman" w:eastAsia="仿宋_GB2312" w:cs="Times New Roman"/>
          <w:color w:val="auto"/>
          <w:spacing w:val="0"/>
          <w:kern w:val="0"/>
          <w:sz w:val="32"/>
          <w:szCs w:val="32"/>
          <w:highlight w:val="none"/>
          <w:lang w:val="en-US" w:eastAsia="zh-CN" w:bidi="ar-SA"/>
        </w:rPr>
        <w:t>、国有企业、新型农业经营主体等</w:t>
      </w:r>
      <w:r>
        <w:rPr>
          <w:rFonts w:hint="default" w:ascii="Times New Roman" w:hAnsi="Times New Roman" w:eastAsia="仿宋_GB2312" w:cs="Times New Roman"/>
          <w:color w:val="auto"/>
          <w:spacing w:val="0"/>
          <w:kern w:val="0"/>
          <w:sz w:val="32"/>
          <w:szCs w:val="32"/>
          <w:highlight w:val="none"/>
          <w:lang w:val="en-US" w:eastAsia="zh-CN" w:bidi="ar-SA"/>
        </w:rPr>
        <w:t>作为项目法人，开展项目筹备、组织、实施、验收等工作。</w:t>
      </w:r>
      <w:r>
        <w:rPr>
          <w:rFonts w:hint="eastAsia" w:ascii="Times New Roman" w:hAnsi="Times New Roman" w:eastAsia="仿宋_GB2312" w:cs="Times New Roman"/>
          <w:b/>
          <w:bCs/>
          <w:color w:val="auto"/>
          <w:spacing w:val="0"/>
          <w:kern w:val="0"/>
          <w:sz w:val="32"/>
          <w:szCs w:val="32"/>
          <w:highlight w:val="none"/>
          <w:lang w:val="en-US" w:eastAsia="zh-CN" w:bidi="ar-SA"/>
        </w:rPr>
        <w:t>二是</w:t>
      </w:r>
      <w:r>
        <w:rPr>
          <w:rFonts w:hint="eastAsia" w:ascii="Times New Roman" w:hAnsi="Times New Roman" w:eastAsia="仿宋_GB2312" w:cs="Times New Roman"/>
          <w:color w:val="auto"/>
          <w:spacing w:val="0"/>
          <w:kern w:val="0"/>
          <w:sz w:val="32"/>
          <w:szCs w:val="32"/>
          <w:highlight w:val="none"/>
          <w:lang w:val="en-US" w:eastAsia="zh-CN" w:bidi="ar-SA"/>
        </w:rPr>
        <w:t>在</w:t>
      </w:r>
      <w:r>
        <w:rPr>
          <w:rFonts w:hint="default" w:ascii="Times New Roman" w:hAnsi="Times New Roman" w:eastAsia="仿宋_GB2312" w:cs="Times New Roman"/>
          <w:color w:val="auto"/>
          <w:spacing w:val="0"/>
          <w:kern w:val="0"/>
          <w:sz w:val="32"/>
          <w:szCs w:val="32"/>
          <w:highlight w:val="none"/>
          <w:lang w:val="en-US" w:eastAsia="zh-CN" w:bidi="ar-SA"/>
        </w:rPr>
        <w:t>招投标过程中，严格按照招投标法、招投标实施条例等相关政策法规执行</w:t>
      </w:r>
      <w:r>
        <w:rPr>
          <w:rFonts w:hint="eastAsia" w:ascii="Times New Roman" w:hAnsi="Times New Roman" w:eastAsia="仿宋_GB2312" w:cs="Times New Roman"/>
          <w:color w:val="auto"/>
          <w:spacing w:val="0"/>
          <w:kern w:val="0"/>
          <w:sz w:val="32"/>
          <w:szCs w:val="32"/>
          <w:highlight w:val="none"/>
          <w:lang w:val="en-US" w:eastAsia="zh-CN" w:bidi="ar-SA"/>
        </w:rPr>
        <w:t>，招标人（招标代理机构）应严格审查投标单位和人员的违法违规失信行为记录，严禁有围标、串标、违法分包和转让等不良行为记录，以及有违规出借资质行为的单位参与投标。</w:t>
      </w:r>
      <w:r>
        <w:rPr>
          <w:rFonts w:hint="eastAsia" w:ascii="Times New Roman" w:hAnsi="Times New Roman" w:eastAsia="仿宋_GB2312" w:cs="Times New Roman"/>
          <w:b/>
          <w:bCs/>
          <w:color w:val="auto"/>
          <w:spacing w:val="0"/>
          <w:kern w:val="0"/>
          <w:sz w:val="32"/>
          <w:szCs w:val="32"/>
          <w:highlight w:val="none"/>
          <w:lang w:val="en-US" w:eastAsia="zh-CN" w:bidi="ar-SA"/>
        </w:rPr>
        <w:t>三是</w:t>
      </w:r>
      <w:r>
        <w:rPr>
          <w:rFonts w:hint="default" w:ascii="Times New Roman" w:hAnsi="Times New Roman" w:eastAsia="仿宋_GB2312" w:cs="Times New Roman"/>
          <w:color w:val="auto"/>
          <w:spacing w:val="0"/>
          <w:kern w:val="0"/>
          <w:sz w:val="32"/>
          <w:szCs w:val="32"/>
          <w:highlight w:val="none"/>
          <w:lang w:val="en-US" w:eastAsia="zh-CN" w:bidi="ar-SA"/>
        </w:rPr>
        <w:t>在编制招标文件中，应明确与质量有关的参数、标准、工艺流程等具体要求，根据项目实际情况合理确定总工期、关键节点工期及相应质量目标，</w:t>
      </w:r>
      <w:r>
        <w:rPr>
          <w:rFonts w:hint="eastAsia" w:ascii="Times New Roman" w:hAnsi="Times New Roman" w:eastAsia="仿宋_GB2312" w:cs="Times New Roman"/>
          <w:color w:val="auto"/>
          <w:spacing w:val="0"/>
          <w:w w:val="100"/>
          <w:kern w:val="2"/>
          <w:sz w:val="32"/>
          <w:szCs w:val="32"/>
          <w:highlight w:val="none"/>
          <w:lang w:eastAsia="zh-CN"/>
        </w:rPr>
        <w:t>鼓励各县（市）运用“</w:t>
      </w:r>
      <w:r>
        <w:rPr>
          <w:rFonts w:hint="eastAsia" w:ascii="Times New Roman" w:hAnsi="Times New Roman" w:eastAsia="仿宋_GB2312" w:cs="Times New Roman"/>
          <w:color w:val="auto"/>
          <w:spacing w:val="0"/>
          <w:w w:val="100"/>
          <w:kern w:val="2"/>
          <w:sz w:val="32"/>
          <w:szCs w:val="32"/>
          <w:highlight w:val="none"/>
          <w:lang w:val="en-US" w:eastAsia="zh-CN"/>
        </w:rPr>
        <w:t>EPC+O”模式，利用本项目实施带动当地农民工就业，</w:t>
      </w:r>
      <w:r>
        <w:rPr>
          <w:rFonts w:hint="eastAsia" w:ascii="Times New Roman" w:hAnsi="Times New Roman" w:eastAsia="仿宋_GB2312" w:cs="Times New Roman"/>
          <w:color w:val="auto"/>
          <w:spacing w:val="0"/>
          <w:kern w:val="0"/>
          <w:sz w:val="32"/>
          <w:szCs w:val="32"/>
          <w:highlight w:val="none"/>
          <w:lang w:val="en-US" w:eastAsia="zh-CN" w:bidi="ar-SA"/>
        </w:rPr>
        <w:t>将</w:t>
      </w:r>
      <w:r>
        <w:rPr>
          <w:rFonts w:hint="default" w:ascii="Times New Roman" w:hAnsi="Times New Roman" w:eastAsia="仿宋_GB2312" w:cs="Times New Roman"/>
          <w:color w:val="auto"/>
          <w:spacing w:val="0"/>
          <w:kern w:val="0"/>
          <w:sz w:val="32"/>
          <w:szCs w:val="32"/>
          <w:highlight w:val="none"/>
          <w:lang w:val="en-US" w:eastAsia="zh-CN" w:bidi="ar-SA"/>
        </w:rPr>
        <w:t>保障工程质量、土建工程和设备的质保期作为合同条款进行约定，加强全过程质量控制。</w:t>
      </w:r>
      <w:r>
        <w:rPr>
          <w:rFonts w:hint="eastAsia" w:ascii="Times New Roman" w:hAnsi="Times New Roman" w:eastAsia="仿宋_GB2312" w:cs="Times New Roman"/>
          <w:b/>
          <w:bCs/>
          <w:color w:val="auto"/>
          <w:spacing w:val="0"/>
          <w:kern w:val="0"/>
          <w:sz w:val="32"/>
          <w:szCs w:val="32"/>
          <w:highlight w:val="none"/>
          <w:lang w:val="en-US" w:eastAsia="zh-CN" w:bidi="ar-SA"/>
        </w:rPr>
        <w:t>四是</w:t>
      </w:r>
      <w:r>
        <w:rPr>
          <w:rFonts w:hint="default" w:ascii="Times New Roman" w:hAnsi="Times New Roman" w:eastAsia="仿宋_GB2312" w:cs="Times New Roman"/>
          <w:color w:val="auto"/>
          <w:spacing w:val="0"/>
          <w:kern w:val="0"/>
          <w:sz w:val="32"/>
          <w:szCs w:val="32"/>
          <w:highlight w:val="none"/>
          <w:lang w:val="en-US" w:eastAsia="zh-CN" w:bidi="ar-SA"/>
        </w:rPr>
        <w:t>投标人应具备项目实施需要的专业技术人员、投标所需资质，严禁通过受让、租借或挂靠资质等违规获取投标资格。</w:t>
      </w:r>
      <w:r>
        <w:rPr>
          <w:rFonts w:hint="eastAsia" w:ascii="Times New Roman" w:hAnsi="Times New Roman" w:eastAsia="仿宋_GB2312" w:cs="Times New Roman"/>
          <w:b/>
          <w:bCs/>
          <w:color w:val="auto"/>
          <w:spacing w:val="0"/>
          <w:kern w:val="0"/>
          <w:sz w:val="32"/>
          <w:szCs w:val="32"/>
          <w:highlight w:val="none"/>
          <w:lang w:val="en-US" w:eastAsia="zh-CN" w:bidi="ar-SA"/>
        </w:rPr>
        <w:t>五是</w:t>
      </w:r>
      <w:r>
        <w:rPr>
          <w:rFonts w:hint="eastAsia" w:ascii="Times New Roman" w:hAnsi="Times New Roman" w:eastAsia="仿宋_GB2312" w:cs="Times New Roman"/>
          <w:color w:val="auto"/>
          <w:spacing w:val="0"/>
          <w:kern w:val="0"/>
          <w:sz w:val="32"/>
          <w:szCs w:val="32"/>
          <w:highlight w:val="none"/>
          <w:lang w:val="en-US" w:eastAsia="zh-CN" w:bidi="ar-SA"/>
        </w:rPr>
        <w:t>项目法人在中标通知书下达后30日内，与项目设计、施工、监理、材料供应等单位签订合同，承接单位不得转包（让）或违法分包任务。</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楷体_GB2312" w:cs="Times New Roman"/>
          <w:b/>
          <w:bCs/>
          <w:color w:val="auto"/>
          <w:spacing w:val="0"/>
          <w:kern w:val="0"/>
          <w:sz w:val="32"/>
          <w:szCs w:val="32"/>
          <w:highlight w:val="none"/>
          <w:lang w:val="en-US" w:eastAsia="zh-CN"/>
        </w:rPr>
        <w:t>（五）明确</w:t>
      </w:r>
      <w:r>
        <w:rPr>
          <w:rFonts w:hint="default" w:ascii="Times New Roman" w:hAnsi="Times New Roman" w:eastAsia="楷体_GB2312" w:cs="Times New Roman"/>
          <w:b/>
          <w:bCs/>
          <w:color w:val="auto"/>
          <w:spacing w:val="0"/>
          <w:kern w:val="0"/>
          <w:sz w:val="32"/>
          <w:szCs w:val="32"/>
          <w:highlight w:val="none"/>
          <w:lang w:val="en-US" w:eastAsia="zh-CN"/>
        </w:rPr>
        <w:t>施工管理。</w:t>
      </w:r>
      <w:r>
        <w:rPr>
          <w:rFonts w:hint="eastAsia" w:ascii="Times New Roman" w:hAnsi="Times New Roman" w:eastAsia="仿宋_GB2312" w:cs="Times New Roman"/>
          <w:color w:val="auto"/>
          <w:spacing w:val="0"/>
          <w:kern w:val="0"/>
          <w:sz w:val="32"/>
          <w:szCs w:val="32"/>
          <w:highlight w:val="none"/>
          <w:lang w:val="en-US" w:eastAsia="zh-CN" w:bidi="ar-SA"/>
        </w:rPr>
        <w:t>项目法人</w:t>
      </w:r>
      <w:r>
        <w:rPr>
          <w:rFonts w:hint="default" w:ascii="Times New Roman" w:hAnsi="Times New Roman" w:eastAsia="仿宋_GB2312" w:cs="Times New Roman"/>
          <w:color w:val="auto"/>
          <w:spacing w:val="0"/>
          <w:kern w:val="0"/>
          <w:sz w:val="32"/>
          <w:szCs w:val="32"/>
          <w:highlight w:val="none"/>
          <w:lang w:val="en-US" w:eastAsia="zh-CN" w:bidi="ar-SA"/>
        </w:rPr>
        <w:t>通过招投标选取合适可靠的监理、</w:t>
      </w:r>
      <w:r>
        <w:rPr>
          <w:rFonts w:hint="eastAsia" w:ascii="Times New Roman" w:hAnsi="Times New Roman" w:eastAsia="仿宋_GB2312" w:cs="Times New Roman"/>
          <w:color w:val="auto"/>
          <w:spacing w:val="0"/>
          <w:kern w:val="0"/>
          <w:sz w:val="32"/>
          <w:szCs w:val="32"/>
          <w:highlight w:val="none"/>
          <w:lang w:val="en-US" w:eastAsia="zh-CN" w:bidi="ar-SA"/>
        </w:rPr>
        <w:t>施工、</w:t>
      </w:r>
      <w:r>
        <w:rPr>
          <w:rFonts w:hint="default" w:ascii="Times New Roman" w:hAnsi="Times New Roman" w:eastAsia="仿宋_GB2312" w:cs="Times New Roman"/>
          <w:color w:val="auto"/>
          <w:spacing w:val="0"/>
          <w:kern w:val="0"/>
          <w:sz w:val="32"/>
          <w:szCs w:val="32"/>
          <w:highlight w:val="none"/>
          <w:lang w:val="en-US" w:eastAsia="zh-CN" w:bidi="ar-SA"/>
        </w:rPr>
        <w:t>质量检测等单位</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eastAsia" w:ascii="Times New Roman" w:hAnsi="Times New Roman" w:eastAsia="仿宋_GB2312" w:cs="Times New Roman"/>
          <w:b/>
          <w:bCs/>
          <w:color w:val="auto"/>
          <w:spacing w:val="0"/>
          <w:kern w:val="0"/>
          <w:sz w:val="32"/>
          <w:szCs w:val="32"/>
          <w:highlight w:val="none"/>
          <w:lang w:val="en-US" w:eastAsia="zh-CN" w:bidi="ar-SA"/>
        </w:rPr>
        <w:t>一是</w:t>
      </w:r>
      <w:r>
        <w:rPr>
          <w:rFonts w:hint="default" w:ascii="Times New Roman" w:hAnsi="Times New Roman" w:eastAsia="仿宋_GB2312" w:cs="Times New Roman"/>
          <w:color w:val="auto"/>
          <w:spacing w:val="0"/>
          <w:kern w:val="0"/>
          <w:sz w:val="32"/>
          <w:szCs w:val="32"/>
          <w:highlight w:val="none"/>
          <w:lang w:val="en-US" w:eastAsia="zh-CN" w:bidi="ar-SA"/>
        </w:rPr>
        <w:t>项目法人在高标准农田建设项目开工前应组织设计、监理、施工单位和项目区所在乡镇、</w:t>
      </w:r>
      <w:r>
        <w:rPr>
          <w:rFonts w:hint="eastAsia" w:ascii="Times New Roman" w:hAnsi="Times New Roman" w:eastAsia="仿宋_GB2312" w:cs="Times New Roman"/>
          <w:color w:val="auto"/>
          <w:spacing w:val="0"/>
          <w:kern w:val="0"/>
          <w:sz w:val="32"/>
          <w:szCs w:val="32"/>
          <w:highlight w:val="none"/>
          <w:lang w:val="en-US" w:eastAsia="zh-CN" w:bidi="ar-SA"/>
        </w:rPr>
        <w:t>村队</w:t>
      </w:r>
      <w:r>
        <w:rPr>
          <w:rFonts w:hint="default" w:ascii="Times New Roman" w:hAnsi="Times New Roman" w:eastAsia="仿宋_GB2312" w:cs="Times New Roman"/>
          <w:color w:val="auto"/>
          <w:spacing w:val="0"/>
          <w:kern w:val="0"/>
          <w:sz w:val="32"/>
          <w:szCs w:val="32"/>
          <w:highlight w:val="none"/>
          <w:lang w:val="en-US" w:eastAsia="zh-CN" w:bidi="ar-SA"/>
        </w:rPr>
        <w:t>、农民代表进行图纸会审和技术交底。</w:t>
      </w:r>
      <w:r>
        <w:rPr>
          <w:rFonts w:hint="eastAsia" w:ascii="Times New Roman" w:hAnsi="Times New Roman" w:eastAsia="仿宋_GB2312" w:cs="Times New Roman"/>
          <w:b/>
          <w:bCs/>
          <w:color w:val="auto"/>
          <w:spacing w:val="0"/>
          <w:kern w:val="0"/>
          <w:sz w:val="32"/>
          <w:szCs w:val="32"/>
          <w:highlight w:val="none"/>
          <w:lang w:val="en-US" w:eastAsia="zh-CN" w:bidi="ar-SA"/>
        </w:rPr>
        <w:t>二是</w:t>
      </w:r>
      <w:r>
        <w:rPr>
          <w:rFonts w:hint="default" w:ascii="Times New Roman" w:hAnsi="Times New Roman" w:eastAsia="仿宋_GB2312" w:cs="Times New Roman"/>
          <w:color w:val="auto"/>
          <w:spacing w:val="0"/>
          <w:kern w:val="0"/>
          <w:sz w:val="32"/>
          <w:szCs w:val="32"/>
          <w:highlight w:val="none"/>
          <w:lang w:val="en-US" w:eastAsia="zh-CN" w:bidi="ar-SA"/>
        </w:rPr>
        <w:t>施工单位应严格按照国家、地方、行业有关工程建设法律法规、技术标准以及设计文件和合同要求进行施工，严禁擅自降低标准，缩减规模。应加强隐蔽工程施工管理，在下一道工序施工前，应通过项目法人、设计、监理单位检查验收，并绘制隐蔽工程竣工图。隐蔽工程未经验收或验收不通过的，不得隐蔽</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eastAsia" w:ascii="Times New Roman" w:hAnsi="Times New Roman" w:eastAsia="仿宋_GB2312" w:cs="Times New Roman"/>
          <w:b/>
          <w:bCs/>
          <w:color w:val="auto"/>
          <w:spacing w:val="0"/>
          <w:kern w:val="0"/>
          <w:sz w:val="32"/>
          <w:szCs w:val="32"/>
          <w:highlight w:val="none"/>
          <w:lang w:val="en-US" w:eastAsia="zh-CN" w:bidi="ar-SA"/>
        </w:rPr>
        <w:t>三是</w:t>
      </w:r>
      <w:r>
        <w:rPr>
          <w:rFonts w:hint="default" w:ascii="Times New Roman" w:hAnsi="Times New Roman" w:eastAsia="仿宋_GB2312" w:cs="Times New Roman"/>
          <w:color w:val="auto"/>
          <w:spacing w:val="0"/>
          <w:kern w:val="0"/>
          <w:sz w:val="32"/>
          <w:szCs w:val="32"/>
          <w:highlight w:val="none"/>
          <w:lang w:val="en-US" w:eastAsia="zh-CN" w:bidi="ar-SA"/>
        </w:rPr>
        <w:t>项目监理单位应</w:t>
      </w:r>
      <w:r>
        <w:rPr>
          <w:rFonts w:hint="eastAsia" w:ascii="Times New Roman" w:hAnsi="Times New Roman" w:eastAsia="仿宋_GB2312" w:cs="Times New Roman"/>
          <w:color w:val="auto"/>
          <w:spacing w:val="0"/>
          <w:kern w:val="0"/>
          <w:sz w:val="32"/>
          <w:szCs w:val="32"/>
          <w:highlight w:val="none"/>
          <w:lang w:val="en-US" w:eastAsia="zh-CN" w:bidi="ar-SA"/>
        </w:rPr>
        <w:t>严格</w:t>
      </w:r>
      <w:r>
        <w:rPr>
          <w:rFonts w:hint="default" w:ascii="Times New Roman" w:hAnsi="Times New Roman" w:eastAsia="仿宋_GB2312" w:cs="Times New Roman"/>
          <w:color w:val="auto"/>
          <w:spacing w:val="0"/>
          <w:kern w:val="0"/>
          <w:sz w:val="32"/>
          <w:szCs w:val="32"/>
          <w:highlight w:val="none"/>
          <w:lang w:val="en-US" w:eastAsia="zh-CN" w:bidi="ar-SA"/>
        </w:rPr>
        <w:t>履行</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三管三控一协调</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职责</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按合同约定和监理规范采取旁站、巡视、平行检验等多种形式开展全过程监理，对施工现场存在的质量、进度、安全等问题及时督促整改并复查。</w:t>
      </w:r>
      <w:r>
        <w:rPr>
          <w:rFonts w:hint="eastAsia" w:ascii="Times New Roman" w:hAnsi="Times New Roman" w:eastAsia="仿宋_GB2312" w:cs="Times New Roman"/>
          <w:b/>
          <w:bCs/>
          <w:color w:val="auto"/>
          <w:spacing w:val="0"/>
          <w:kern w:val="0"/>
          <w:sz w:val="32"/>
          <w:szCs w:val="32"/>
          <w:highlight w:val="none"/>
          <w:lang w:val="en-US" w:eastAsia="zh-CN" w:bidi="ar-SA"/>
        </w:rPr>
        <w:t>四是</w:t>
      </w:r>
      <w:r>
        <w:rPr>
          <w:rFonts w:hint="default" w:ascii="Times New Roman" w:hAnsi="Times New Roman" w:eastAsia="仿宋_GB2312" w:cs="Times New Roman"/>
          <w:color w:val="auto"/>
          <w:spacing w:val="0"/>
          <w:kern w:val="0"/>
          <w:sz w:val="32"/>
          <w:szCs w:val="32"/>
          <w:highlight w:val="none"/>
          <w:lang w:val="en-US" w:eastAsia="zh-CN" w:bidi="ar-SA"/>
        </w:rPr>
        <w:t>县级农业农村部门、项目法人应组织对施工人员、监理人员开展资质审查和备案，采取随机抽检等方式加强对施工、监理履职情况和工程质量情况的监督。</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楷体_GB2312" w:cs="Times New Roman"/>
          <w:b/>
          <w:bCs/>
          <w:color w:val="auto"/>
          <w:spacing w:val="0"/>
          <w:kern w:val="0"/>
          <w:sz w:val="32"/>
          <w:szCs w:val="32"/>
          <w:highlight w:val="none"/>
          <w:lang w:val="en-US" w:eastAsia="zh-CN"/>
        </w:rPr>
        <w:t>（六）明确竣工</w:t>
      </w:r>
      <w:r>
        <w:rPr>
          <w:rFonts w:hint="default" w:ascii="Times New Roman" w:hAnsi="Times New Roman" w:eastAsia="楷体_GB2312" w:cs="Times New Roman"/>
          <w:b/>
          <w:bCs/>
          <w:color w:val="auto"/>
          <w:spacing w:val="0"/>
          <w:kern w:val="0"/>
          <w:sz w:val="32"/>
          <w:szCs w:val="32"/>
          <w:highlight w:val="none"/>
          <w:lang w:val="en-US" w:eastAsia="zh-CN"/>
        </w:rPr>
        <w:t>验收。</w:t>
      </w:r>
      <w:r>
        <w:rPr>
          <w:rFonts w:hint="eastAsia" w:ascii="Times New Roman" w:hAnsi="Times New Roman" w:eastAsia="仿宋_GB2312" w:cs="Times New Roman"/>
          <w:color w:val="auto"/>
          <w:spacing w:val="0"/>
          <w:kern w:val="0"/>
          <w:sz w:val="32"/>
          <w:szCs w:val="32"/>
          <w:highlight w:val="none"/>
          <w:lang w:val="en-US" w:eastAsia="zh-CN" w:bidi="ar-SA"/>
        </w:rPr>
        <w:t>坚持“</w:t>
      </w:r>
      <w:r>
        <w:rPr>
          <w:rFonts w:hint="default" w:ascii="Times New Roman" w:hAnsi="Times New Roman" w:eastAsia="仿宋_GB2312" w:cs="Times New Roman"/>
          <w:color w:val="auto"/>
          <w:spacing w:val="0"/>
          <w:kern w:val="0"/>
          <w:sz w:val="32"/>
          <w:szCs w:val="32"/>
          <w:highlight w:val="none"/>
          <w:lang w:val="en-US" w:eastAsia="zh-CN" w:bidi="ar-SA"/>
        </w:rPr>
        <w:t>四方自验、县级初验、地</w:t>
      </w:r>
      <w:r>
        <w:rPr>
          <w:rFonts w:hint="eastAsia" w:ascii="Times New Roman" w:hAnsi="Times New Roman" w:eastAsia="仿宋_GB2312" w:cs="Times New Roman"/>
          <w:color w:val="auto"/>
          <w:spacing w:val="0"/>
          <w:kern w:val="0"/>
          <w:sz w:val="32"/>
          <w:szCs w:val="32"/>
          <w:highlight w:val="none"/>
          <w:lang w:val="en-US" w:eastAsia="zh-CN" w:bidi="ar-SA"/>
        </w:rPr>
        <w:t>区</w:t>
      </w:r>
      <w:r>
        <w:rPr>
          <w:rFonts w:hint="default" w:ascii="Times New Roman" w:hAnsi="Times New Roman" w:eastAsia="仿宋_GB2312" w:cs="Times New Roman"/>
          <w:color w:val="auto"/>
          <w:spacing w:val="0"/>
          <w:kern w:val="0"/>
          <w:sz w:val="32"/>
          <w:szCs w:val="32"/>
          <w:highlight w:val="none"/>
          <w:lang w:val="en-US" w:eastAsia="zh-CN" w:bidi="ar-SA"/>
        </w:rPr>
        <w:t>竣工验收</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三级验收程序</w:t>
      </w:r>
      <w:r>
        <w:rPr>
          <w:rFonts w:hint="eastAsia" w:ascii="Times New Roman" w:hAnsi="Times New Roman" w:eastAsia="仿宋_GB2312" w:cs="Times New Roman"/>
          <w:color w:val="auto"/>
          <w:spacing w:val="0"/>
          <w:kern w:val="0"/>
          <w:sz w:val="32"/>
          <w:szCs w:val="32"/>
          <w:highlight w:val="none"/>
          <w:lang w:val="en-US" w:eastAsia="zh-CN" w:bidi="ar-SA"/>
        </w:rPr>
        <w:t>，坚持</w:t>
      </w:r>
      <w:r>
        <w:rPr>
          <w:rFonts w:hint="default" w:ascii="Times New Roman" w:hAnsi="Times New Roman" w:eastAsia="仿宋_GB2312" w:cs="Times New Roman"/>
          <w:color w:val="auto"/>
          <w:spacing w:val="0"/>
          <w:kern w:val="0"/>
          <w:sz w:val="32"/>
          <w:szCs w:val="32"/>
          <w:highlight w:val="none"/>
          <w:lang w:val="en-US" w:eastAsia="zh-CN" w:bidi="ar-SA"/>
        </w:rPr>
        <w:t>实事求是、客观公正，规范有序、讲求质效的要求</w:t>
      </w:r>
      <w:r>
        <w:rPr>
          <w:rFonts w:hint="eastAsia" w:ascii="Times New Roman" w:hAnsi="Times New Roman" w:eastAsia="仿宋_GB2312" w:cs="Times New Roman"/>
          <w:color w:val="auto"/>
          <w:spacing w:val="0"/>
          <w:kern w:val="0"/>
          <w:sz w:val="32"/>
          <w:szCs w:val="32"/>
          <w:highlight w:val="none"/>
          <w:lang w:val="en-US" w:eastAsia="zh-CN" w:bidi="ar-SA"/>
        </w:rPr>
        <w:t>，做到逐标段、逐系统、逐内容全覆盖验收。</w:t>
      </w:r>
      <w:r>
        <w:rPr>
          <w:rFonts w:hint="eastAsia" w:ascii="方正仿宋_GB2312" w:hAnsi="方正仿宋_GB2312" w:eastAsia="方正仿宋_GB2312" w:cs="方正仿宋_GB2312"/>
          <w:b/>
          <w:bCs/>
          <w:color w:val="auto"/>
          <w:spacing w:val="0"/>
          <w:kern w:val="0"/>
          <w:sz w:val="32"/>
          <w:szCs w:val="32"/>
          <w:highlight w:val="none"/>
          <w:lang w:val="en-US" w:eastAsia="zh-CN"/>
        </w:rPr>
        <w:t>一是</w:t>
      </w:r>
      <w:r>
        <w:rPr>
          <w:rFonts w:hint="eastAsia" w:ascii="Times New Roman" w:hAnsi="Times New Roman" w:eastAsia="仿宋_GB2312" w:cs="Times New Roman"/>
          <w:color w:val="auto"/>
          <w:spacing w:val="0"/>
          <w:kern w:val="0"/>
          <w:sz w:val="32"/>
          <w:szCs w:val="32"/>
          <w:highlight w:val="none"/>
          <w:lang w:val="en-US" w:eastAsia="zh-CN" w:bidi="ar-SA"/>
        </w:rPr>
        <w:t>项目在完成所有建设内容后，由项目法人组织设计、监理、施工单位开展四方自验工作，合格后，县级农业农村部门会同有关行业部门开展县级初验。</w:t>
      </w:r>
      <w:r>
        <w:rPr>
          <w:rFonts w:hint="eastAsia" w:ascii="Times New Roman" w:hAnsi="Times New Roman" w:eastAsia="仿宋_GB2312" w:cs="Times New Roman"/>
          <w:b/>
          <w:bCs/>
          <w:color w:val="auto"/>
          <w:spacing w:val="0"/>
          <w:kern w:val="0"/>
          <w:sz w:val="32"/>
          <w:szCs w:val="32"/>
          <w:highlight w:val="none"/>
          <w:lang w:val="en-US" w:eastAsia="zh-CN" w:bidi="ar-SA"/>
        </w:rPr>
        <w:t>二是</w:t>
      </w:r>
      <w:r>
        <w:rPr>
          <w:rFonts w:hint="eastAsia" w:ascii="Times New Roman" w:hAnsi="Times New Roman" w:eastAsia="仿宋_GB2312" w:cs="Times New Roman"/>
          <w:color w:val="auto"/>
          <w:spacing w:val="0"/>
          <w:kern w:val="0"/>
          <w:sz w:val="32"/>
          <w:szCs w:val="32"/>
          <w:highlight w:val="none"/>
          <w:lang w:val="en-US" w:eastAsia="zh-CN" w:bidi="ar-SA"/>
        </w:rPr>
        <w:t>初验合格后，地区农业农村部门在收到项目竣工验收申请60天内，组织有关行业部门、技术专家、项目区农户等开展竣工验收，并出具验收意见、形成竣工验收报告，核发合格证书，并在项目区规范设立标识标牌。</w:t>
      </w:r>
      <w:r>
        <w:rPr>
          <w:rFonts w:hint="eastAsia" w:ascii="Times New Roman" w:hAnsi="Times New Roman" w:eastAsia="仿宋_GB2312" w:cs="Times New Roman"/>
          <w:b/>
          <w:bCs/>
          <w:color w:val="auto"/>
          <w:spacing w:val="0"/>
          <w:kern w:val="0"/>
          <w:sz w:val="32"/>
          <w:szCs w:val="32"/>
          <w:highlight w:val="none"/>
          <w:lang w:val="en-US" w:eastAsia="zh-CN" w:bidi="ar-SA"/>
        </w:rPr>
        <w:t>三是</w:t>
      </w:r>
      <w:r>
        <w:rPr>
          <w:rFonts w:hint="eastAsia" w:ascii="Times New Roman" w:hAnsi="Times New Roman" w:eastAsia="仿宋_GB2312" w:cs="Times New Roman"/>
          <w:color w:val="auto"/>
          <w:spacing w:val="0"/>
          <w:kern w:val="0"/>
          <w:sz w:val="32"/>
          <w:szCs w:val="32"/>
          <w:highlight w:val="none"/>
          <w:lang w:val="en-US" w:eastAsia="zh-CN" w:bidi="ar-SA"/>
        </w:rPr>
        <w:t>项目竣工半年内组织完成竣工验收工作，验收组人数为5人或5人以上单数，且技术专家不少于2/3。验收过程中，应听取项目区所在村队、农户等意见建议，自觉接受社会和群众监督。竣工验收后，项目法人及时按照有关规定办理工程设施资产、管护移交手续。</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楷体_GB2312" w:cs="Times New Roman"/>
          <w:b/>
          <w:bCs/>
          <w:color w:val="auto"/>
          <w:spacing w:val="0"/>
          <w:kern w:val="0"/>
          <w:sz w:val="32"/>
          <w:szCs w:val="32"/>
          <w:highlight w:val="none"/>
          <w:lang w:val="en-US" w:eastAsia="zh-CN"/>
        </w:rPr>
        <w:t>（七）明确建后管护。</w:t>
      </w:r>
      <w:r>
        <w:rPr>
          <w:rFonts w:hint="eastAsia" w:ascii="Times New Roman" w:hAnsi="Times New Roman" w:eastAsia="仿宋_GB2312" w:cs="Times New Roman"/>
          <w:color w:val="auto"/>
          <w:spacing w:val="0"/>
          <w:kern w:val="0"/>
          <w:sz w:val="32"/>
          <w:szCs w:val="32"/>
          <w:highlight w:val="none"/>
          <w:lang w:val="en-US" w:eastAsia="zh-CN" w:bidi="ar-SA"/>
        </w:rPr>
        <w:t>坚持“谁受益、谁管护，谁使用、谁管护”原则，鼓励探索网格化管护、第三方管护、工程质量保险等管护模式，确保管长远、长受益。</w:t>
      </w:r>
      <w:r>
        <w:rPr>
          <w:rFonts w:hint="eastAsia" w:ascii="方正仿宋_GB2312" w:hAnsi="方正仿宋_GB2312" w:eastAsia="方正仿宋_GB2312" w:cs="方正仿宋_GB2312"/>
          <w:b/>
          <w:bCs/>
          <w:color w:val="auto"/>
          <w:spacing w:val="0"/>
          <w:kern w:val="0"/>
          <w:sz w:val="32"/>
          <w:szCs w:val="32"/>
          <w:highlight w:val="none"/>
          <w:lang w:val="en-US" w:eastAsia="zh-CN"/>
        </w:rPr>
        <w:t>一是</w:t>
      </w:r>
      <w:r>
        <w:rPr>
          <w:rFonts w:hint="eastAsia" w:ascii="Times New Roman" w:hAnsi="Times New Roman" w:eastAsia="仿宋_GB2312" w:cs="Times New Roman"/>
          <w:color w:val="auto"/>
          <w:spacing w:val="0"/>
          <w:kern w:val="0"/>
          <w:sz w:val="32"/>
          <w:szCs w:val="32"/>
          <w:highlight w:val="none"/>
          <w:lang w:val="en-US" w:eastAsia="zh-CN" w:bidi="ar-SA"/>
        </w:rPr>
        <w:t>地区农业农村部门牵头建立符合实际的管护制度。县（市）人民政府承担管护监督职责，负责探索建立管护模式、筹措管护资金等工作，统筹做好建后管护。乡村两级承担管护主体责任，负责组建管护组织、落实管护措施等工作，围绕田、土、水、路、林、电等工程设施开展建后管护。土地使用者作为直接受益主体，应自觉维护工程设施，积极参与建后管护。</w:t>
      </w:r>
      <w:r>
        <w:rPr>
          <w:rFonts w:hint="eastAsia" w:ascii="Times New Roman" w:hAnsi="Times New Roman" w:eastAsia="仿宋_GB2312" w:cs="Times New Roman"/>
          <w:b/>
          <w:bCs/>
          <w:color w:val="auto"/>
          <w:spacing w:val="0"/>
          <w:kern w:val="0"/>
          <w:sz w:val="32"/>
          <w:szCs w:val="32"/>
          <w:highlight w:val="none"/>
          <w:lang w:val="en-US" w:eastAsia="zh-CN" w:bidi="ar-SA"/>
        </w:rPr>
        <w:t>二是</w:t>
      </w:r>
      <w:r>
        <w:rPr>
          <w:rFonts w:hint="eastAsia" w:ascii="Times New Roman" w:hAnsi="Times New Roman" w:eastAsia="仿宋_GB2312" w:cs="Times New Roman"/>
          <w:color w:val="auto"/>
          <w:spacing w:val="0"/>
          <w:kern w:val="0"/>
          <w:sz w:val="32"/>
          <w:szCs w:val="32"/>
          <w:highlight w:val="none"/>
          <w:lang w:val="en-US" w:eastAsia="zh-CN" w:bidi="ar-SA"/>
        </w:rPr>
        <w:t>项目建成后，在田块整治工程上，确保田块平整，田埂、护坡、下田通道等无垮塌破损；在耕地地力上，确保土壤有机质含量不降低、土壤结构有改善，耕地质量稳步提升；在高效节水灌溉设施上，确保首部枢纽、设施设备等正常运行，农田防护林灌溉设施健全，保障农田防护林生态用水；在田间道路设施上，确保路面平整、通行畅通；在农田防护林上，确保林木首年成活率达90%以上，三年后保存率达85%以上；在农田输配电设施上，确保输电线路、变配电装置等设施完善、运行安全。</w:t>
      </w:r>
      <w:r>
        <w:rPr>
          <w:rFonts w:hint="eastAsia" w:ascii="Times New Roman" w:hAnsi="Times New Roman" w:eastAsia="仿宋_GB2312" w:cs="Times New Roman"/>
          <w:b/>
          <w:bCs/>
          <w:color w:val="auto"/>
          <w:spacing w:val="0"/>
          <w:kern w:val="0"/>
          <w:sz w:val="32"/>
          <w:szCs w:val="32"/>
          <w:highlight w:val="none"/>
          <w:lang w:val="en-US" w:eastAsia="zh-CN" w:bidi="ar-SA"/>
        </w:rPr>
        <w:t>三是</w:t>
      </w:r>
      <w:r>
        <w:rPr>
          <w:rFonts w:hint="eastAsia" w:ascii="Times New Roman" w:hAnsi="Times New Roman" w:eastAsia="仿宋_GB2312" w:cs="Times New Roman"/>
          <w:color w:val="auto"/>
          <w:kern w:val="0"/>
          <w:sz w:val="32"/>
          <w:szCs w:val="32"/>
          <w:highlight w:val="none"/>
          <w:lang w:val="en-US" w:eastAsia="zh-CN" w:bidi="ar-SA"/>
        </w:rPr>
        <w:t>对于田间地头日常使用率高的小型农田水利设施，村级可通过设置公益性岗位、购买劳务服务、自主投工筹资等方式，开展日常运营管护。</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楷体_GB2312" w:cs="Times New Roman"/>
          <w:b/>
          <w:bCs/>
          <w:color w:val="auto"/>
          <w:spacing w:val="0"/>
          <w:kern w:val="0"/>
          <w:sz w:val="32"/>
          <w:szCs w:val="32"/>
          <w:highlight w:val="none"/>
          <w:lang w:val="en-US" w:eastAsia="zh-CN"/>
        </w:rPr>
        <w:t>（</w:t>
      </w:r>
      <w:r>
        <w:rPr>
          <w:rFonts w:hint="eastAsia" w:ascii="Times New Roman" w:hAnsi="Times New Roman" w:eastAsia="楷体_GB2312" w:cs="Times New Roman"/>
          <w:b/>
          <w:bCs/>
          <w:color w:val="auto"/>
          <w:spacing w:val="0"/>
          <w:kern w:val="0"/>
          <w:sz w:val="32"/>
          <w:szCs w:val="32"/>
          <w:highlight w:val="none"/>
          <w:lang w:val="en-US" w:eastAsia="zh-CN"/>
        </w:rPr>
        <w:t>八</w:t>
      </w:r>
      <w:r>
        <w:rPr>
          <w:rFonts w:hint="default" w:ascii="Times New Roman" w:hAnsi="Times New Roman" w:eastAsia="楷体_GB2312" w:cs="Times New Roman"/>
          <w:b/>
          <w:bCs/>
          <w:color w:val="auto"/>
          <w:spacing w:val="0"/>
          <w:kern w:val="0"/>
          <w:sz w:val="32"/>
          <w:szCs w:val="32"/>
          <w:highlight w:val="none"/>
          <w:lang w:val="en-US" w:eastAsia="zh-CN"/>
        </w:rPr>
        <w:t>）</w:t>
      </w:r>
      <w:r>
        <w:rPr>
          <w:rFonts w:hint="eastAsia" w:ascii="Times New Roman" w:hAnsi="Times New Roman" w:eastAsia="楷体_GB2312" w:cs="Times New Roman"/>
          <w:b/>
          <w:bCs/>
          <w:color w:val="auto"/>
          <w:spacing w:val="0"/>
          <w:kern w:val="0"/>
          <w:sz w:val="32"/>
          <w:szCs w:val="32"/>
          <w:highlight w:val="none"/>
          <w:lang w:val="en-US" w:eastAsia="zh-CN"/>
        </w:rPr>
        <w:t>明确</w:t>
      </w:r>
      <w:r>
        <w:rPr>
          <w:rFonts w:hint="default" w:ascii="Times New Roman" w:hAnsi="Times New Roman" w:eastAsia="楷体_GB2312" w:cs="Times New Roman"/>
          <w:b/>
          <w:bCs/>
          <w:color w:val="auto"/>
          <w:spacing w:val="0"/>
          <w:kern w:val="0"/>
          <w:sz w:val="32"/>
          <w:szCs w:val="32"/>
          <w:highlight w:val="none"/>
          <w:lang w:eastAsia="zh-CN"/>
        </w:rPr>
        <w:t>全</w:t>
      </w:r>
      <w:r>
        <w:rPr>
          <w:rFonts w:hint="default" w:ascii="Times New Roman" w:hAnsi="Times New Roman" w:eastAsia="楷体_GB2312" w:cs="Times New Roman"/>
          <w:b/>
          <w:bCs/>
          <w:color w:val="auto"/>
          <w:spacing w:val="0"/>
          <w:kern w:val="0"/>
          <w:sz w:val="32"/>
          <w:szCs w:val="32"/>
          <w:highlight w:val="none"/>
        </w:rPr>
        <w:t>产业链。</w:t>
      </w:r>
      <w:r>
        <w:rPr>
          <w:rFonts w:hint="eastAsia" w:ascii="方正仿宋_GB2312" w:hAnsi="方正仿宋_GB2312" w:eastAsia="方正仿宋_GB2312" w:cs="方正仿宋_GB2312"/>
          <w:b/>
          <w:bCs/>
          <w:color w:val="auto"/>
          <w:spacing w:val="0"/>
          <w:kern w:val="0"/>
          <w:sz w:val="32"/>
          <w:szCs w:val="32"/>
          <w:highlight w:val="none"/>
          <w:lang w:val="en-US" w:eastAsia="zh-CN"/>
        </w:rPr>
        <w:t>一是</w:t>
      </w:r>
      <w:r>
        <w:rPr>
          <w:rFonts w:hint="default" w:ascii="Times New Roman" w:hAnsi="Times New Roman" w:eastAsia="仿宋_GB2312" w:cs="Times New Roman"/>
          <w:color w:val="auto"/>
          <w:spacing w:val="0"/>
          <w:kern w:val="0"/>
          <w:sz w:val="32"/>
          <w:szCs w:val="32"/>
          <w:highlight w:val="none"/>
          <w:lang w:val="en-US" w:eastAsia="zh-CN" w:bidi="ar-SA"/>
        </w:rPr>
        <w:t>科学合理布局</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全面摸排区域设备生产企业、产能及技术水平情况，每个县（市）按照</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区域统筹、集约发展</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原则，结合实际区域布局，培育</w:t>
      </w:r>
      <w:r>
        <w:rPr>
          <w:rFonts w:hint="eastAsia" w:ascii="Times New Roman" w:hAnsi="Times New Roman" w:eastAsia="仿宋_GB2312" w:cs="Times New Roman"/>
          <w:color w:val="auto"/>
          <w:spacing w:val="0"/>
          <w:kern w:val="0"/>
          <w:sz w:val="32"/>
          <w:szCs w:val="32"/>
          <w:highlight w:val="none"/>
          <w:lang w:val="en-US" w:eastAsia="zh-CN" w:bidi="ar-SA"/>
        </w:rPr>
        <w:t>2</w:t>
      </w:r>
      <w:r>
        <w:rPr>
          <w:rFonts w:hint="default" w:ascii="Times New Roman" w:hAnsi="Times New Roman" w:eastAsia="仿宋_GB2312" w:cs="Times New Roman"/>
          <w:color w:val="auto"/>
          <w:spacing w:val="0"/>
          <w:kern w:val="0"/>
          <w:sz w:val="32"/>
          <w:szCs w:val="32"/>
          <w:highlight w:val="none"/>
          <w:lang w:val="en-US" w:eastAsia="zh-CN" w:bidi="ar-SA"/>
        </w:rPr>
        <w:t>家</w:t>
      </w:r>
      <w:r>
        <w:rPr>
          <w:rFonts w:hint="eastAsia" w:ascii="Times New Roman" w:hAnsi="Times New Roman" w:eastAsia="仿宋_GB2312" w:cs="Times New Roman"/>
          <w:color w:val="auto"/>
          <w:spacing w:val="0"/>
          <w:kern w:val="0"/>
          <w:sz w:val="32"/>
          <w:szCs w:val="32"/>
          <w:highlight w:val="none"/>
          <w:lang w:val="en-US" w:eastAsia="zh-CN" w:bidi="ar-SA"/>
        </w:rPr>
        <w:t>以上</w:t>
      </w:r>
      <w:r>
        <w:rPr>
          <w:rFonts w:hint="default" w:ascii="Times New Roman" w:hAnsi="Times New Roman" w:eastAsia="仿宋_GB2312" w:cs="Times New Roman"/>
          <w:color w:val="auto"/>
          <w:spacing w:val="0"/>
          <w:kern w:val="0"/>
          <w:sz w:val="32"/>
          <w:szCs w:val="32"/>
          <w:highlight w:val="none"/>
          <w:lang w:val="en-US" w:eastAsia="zh-CN" w:bidi="ar-SA"/>
        </w:rPr>
        <w:t>核心企业，推动滴灌带厂、管材厂等资源整合，减轻分散生产带来的环境污染，规避同质化恶性竞争，确保规划</w:t>
      </w:r>
      <w:r>
        <w:rPr>
          <w:rFonts w:hint="eastAsia" w:ascii="Times New Roman" w:hAnsi="Times New Roman" w:eastAsia="仿宋_GB2312" w:cs="Times New Roman"/>
          <w:color w:val="auto"/>
          <w:spacing w:val="0"/>
          <w:kern w:val="0"/>
          <w:sz w:val="32"/>
          <w:szCs w:val="32"/>
          <w:highlight w:val="none"/>
          <w:lang w:val="en-US" w:eastAsia="zh-CN" w:bidi="ar-SA"/>
        </w:rPr>
        <w:t>布局</w:t>
      </w:r>
      <w:r>
        <w:rPr>
          <w:rFonts w:hint="default" w:ascii="Times New Roman" w:hAnsi="Times New Roman" w:eastAsia="仿宋_GB2312" w:cs="Times New Roman"/>
          <w:color w:val="auto"/>
          <w:spacing w:val="0"/>
          <w:kern w:val="0"/>
          <w:sz w:val="32"/>
          <w:szCs w:val="32"/>
          <w:highlight w:val="none"/>
          <w:lang w:val="en-US" w:eastAsia="zh-CN" w:bidi="ar-SA"/>
        </w:rPr>
        <w:t>与区域发展战略深度契合，实现资源高效利用。</w:t>
      </w:r>
      <w:r>
        <w:rPr>
          <w:rFonts w:hint="eastAsia" w:ascii="Times New Roman" w:hAnsi="Times New Roman" w:eastAsia="仿宋_GB2312" w:cs="Times New Roman"/>
          <w:b/>
          <w:bCs/>
          <w:color w:val="auto"/>
          <w:spacing w:val="0"/>
          <w:kern w:val="0"/>
          <w:sz w:val="32"/>
          <w:szCs w:val="32"/>
          <w:highlight w:val="none"/>
          <w:lang w:val="en-US" w:eastAsia="zh-CN" w:bidi="ar-SA"/>
        </w:rPr>
        <w:t>二是</w:t>
      </w:r>
      <w:r>
        <w:rPr>
          <w:rFonts w:hint="default" w:ascii="Times New Roman" w:hAnsi="Times New Roman" w:eastAsia="仿宋_GB2312" w:cs="Times New Roman"/>
          <w:color w:val="auto"/>
          <w:spacing w:val="0"/>
          <w:kern w:val="0"/>
          <w:sz w:val="32"/>
          <w:szCs w:val="32"/>
          <w:highlight w:val="none"/>
          <w:lang w:val="en-US" w:eastAsia="zh-CN" w:bidi="ar-SA"/>
        </w:rPr>
        <w:t>绘制产业图谱</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围绕高标准农田建设全流程需求，精心绘制产业发展图谱，明确产业链各环节发展方向。在同等质量标准下，</w:t>
      </w:r>
      <w:r>
        <w:rPr>
          <w:rFonts w:hint="eastAsia" w:ascii="Times New Roman" w:hAnsi="Times New Roman" w:eastAsia="仿宋_GB2312" w:cs="Times New Roman"/>
          <w:color w:val="auto"/>
          <w:spacing w:val="0"/>
          <w:kern w:val="0"/>
          <w:sz w:val="32"/>
          <w:szCs w:val="32"/>
          <w:highlight w:val="none"/>
          <w:lang w:val="en-US" w:eastAsia="zh-CN" w:bidi="ar-SA"/>
        </w:rPr>
        <w:t>积极推广使用优质优价及售后服务好的企业</w:t>
      </w:r>
      <w:r>
        <w:rPr>
          <w:rFonts w:hint="default" w:ascii="Times New Roman" w:hAnsi="Times New Roman" w:eastAsia="仿宋_GB2312" w:cs="Times New Roman"/>
          <w:color w:val="auto"/>
          <w:spacing w:val="0"/>
          <w:kern w:val="0"/>
          <w:sz w:val="32"/>
          <w:szCs w:val="32"/>
          <w:highlight w:val="none"/>
          <w:lang w:val="en-US" w:eastAsia="zh-CN" w:bidi="ar-SA"/>
        </w:rPr>
        <w:t>。通过政策倾斜、资金支持和技术帮扶，扩大生产规模、提升技术水平，力争培育一批规模以上企业。</w:t>
      </w:r>
      <w:r>
        <w:rPr>
          <w:rFonts w:hint="eastAsia" w:ascii="Times New Roman" w:hAnsi="Times New Roman" w:eastAsia="仿宋_GB2312" w:cs="Times New Roman"/>
          <w:b/>
          <w:bCs/>
          <w:color w:val="auto"/>
          <w:spacing w:val="0"/>
          <w:kern w:val="0"/>
          <w:sz w:val="32"/>
          <w:szCs w:val="32"/>
          <w:highlight w:val="none"/>
          <w:lang w:val="en-US" w:eastAsia="zh-CN" w:bidi="ar-SA"/>
        </w:rPr>
        <w:t>三是</w:t>
      </w:r>
      <w:r>
        <w:rPr>
          <w:rFonts w:hint="default" w:ascii="Times New Roman" w:hAnsi="Times New Roman" w:eastAsia="仿宋_GB2312" w:cs="Times New Roman"/>
          <w:color w:val="auto"/>
          <w:spacing w:val="0"/>
          <w:kern w:val="0"/>
          <w:sz w:val="32"/>
          <w:szCs w:val="32"/>
          <w:highlight w:val="none"/>
          <w:lang w:val="en-US" w:eastAsia="zh-CN" w:bidi="ar-SA"/>
        </w:rPr>
        <w:t>强化精准招商</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深入分析产业链薄弱环节，聚焦管材、智能闸阀、滴灌带厂、高端灌溉设备等关键领域，明确本地企业需求方向，靶向开展招商引资</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为高标准农田建设提供全方位、高质量的设备保障。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textAlignment w:val="auto"/>
        <w:rPr>
          <w:rFonts w:hint="eastAsia"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rPr>
        <w:t>（</w:t>
      </w:r>
      <w:r>
        <w:rPr>
          <w:rFonts w:hint="eastAsia" w:ascii="Times New Roman" w:hAnsi="Times New Roman" w:eastAsia="楷体_GB2312" w:cs="Times New Roman"/>
          <w:b/>
          <w:bCs/>
          <w:color w:val="auto"/>
          <w:spacing w:val="0"/>
          <w:kern w:val="0"/>
          <w:sz w:val="32"/>
          <w:szCs w:val="32"/>
          <w:highlight w:val="none"/>
          <w:lang w:val="en-US" w:eastAsia="zh-CN"/>
        </w:rPr>
        <w:t>九</w:t>
      </w:r>
      <w:r>
        <w:rPr>
          <w:rFonts w:hint="default" w:ascii="Times New Roman" w:hAnsi="Times New Roman" w:eastAsia="楷体_GB2312" w:cs="Times New Roman"/>
          <w:b/>
          <w:bCs/>
          <w:color w:val="auto"/>
          <w:spacing w:val="0"/>
          <w:kern w:val="0"/>
          <w:sz w:val="32"/>
          <w:szCs w:val="32"/>
          <w:highlight w:val="none"/>
          <w:lang w:val="en-US" w:eastAsia="zh-CN"/>
        </w:rPr>
        <w:t>）</w:t>
      </w:r>
      <w:r>
        <w:rPr>
          <w:rFonts w:hint="eastAsia" w:ascii="Times New Roman" w:hAnsi="Times New Roman" w:eastAsia="楷体_GB2312" w:cs="Times New Roman"/>
          <w:b/>
          <w:bCs/>
          <w:color w:val="auto"/>
          <w:spacing w:val="0"/>
          <w:kern w:val="0"/>
          <w:sz w:val="32"/>
          <w:szCs w:val="32"/>
          <w:highlight w:val="none"/>
          <w:lang w:val="en-US" w:eastAsia="zh-CN"/>
        </w:rPr>
        <w:t>明确</w:t>
      </w:r>
      <w:r>
        <w:rPr>
          <w:rFonts w:hint="eastAsia" w:ascii="Times New Roman" w:hAnsi="Times New Roman" w:eastAsia="楷体_GB2312" w:cs="Times New Roman"/>
          <w:b/>
          <w:bCs/>
          <w:color w:val="auto"/>
          <w:spacing w:val="0"/>
          <w:kern w:val="0"/>
          <w:sz w:val="32"/>
          <w:szCs w:val="32"/>
          <w:highlight w:val="none"/>
          <w:lang w:eastAsia="zh-CN"/>
        </w:rPr>
        <w:t>监</w:t>
      </w:r>
      <w:r>
        <w:rPr>
          <w:rFonts w:hint="default" w:ascii="Times New Roman" w:hAnsi="Times New Roman" w:eastAsia="楷体_GB2312" w:cs="Times New Roman"/>
          <w:b/>
          <w:bCs/>
          <w:color w:val="auto"/>
          <w:spacing w:val="0"/>
          <w:kern w:val="0"/>
          <w:sz w:val="32"/>
          <w:szCs w:val="32"/>
          <w:highlight w:val="none"/>
          <w:lang w:eastAsia="zh-CN"/>
        </w:rPr>
        <w:t>测评估。</w:t>
      </w:r>
      <w:r>
        <w:rPr>
          <w:rFonts w:hint="eastAsia" w:ascii="Times New Roman" w:hAnsi="Times New Roman" w:eastAsia="仿宋_GB2312" w:cs="Times New Roman"/>
          <w:b/>
          <w:bCs/>
          <w:color w:val="auto"/>
          <w:spacing w:val="0"/>
          <w:kern w:val="0"/>
          <w:sz w:val="32"/>
          <w:szCs w:val="32"/>
          <w:highlight w:val="none"/>
          <w:lang w:val="en-US" w:eastAsia="zh-CN" w:bidi="ar-SA"/>
        </w:rPr>
        <w:t>一是</w:t>
      </w:r>
      <w:r>
        <w:rPr>
          <w:rFonts w:hint="eastAsia" w:ascii="Times New Roman" w:hAnsi="Times New Roman" w:eastAsia="仿宋_GB2312" w:cs="Times New Roman"/>
          <w:color w:val="auto"/>
          <w:spacing w:val="0"/>
          <w:kern w:val="0"/>
          <w:sz w:val="32"/>
          <w:szCs w:val="32"/>
          <w:highlight w:val="none"/>
          <w:lang w:val="en-US" w:eastAsia="zh-CN" w:bidi="ar-SA"/>
        </w:rPr>
        <w:t>地区农业农</w:t>
      </w:r>
      <w:r>
        <w:rPr>
          <w:rFonts w:hint="eastAsia" w:ascii="Times New Roman" w:hAnsi="Times New Roman" w:eastAsia="仿宋_GB2312" w:cs="Times New Roman"/>
          <w:color w:val="auto"/>
          <w:spacing w:val="0"/>
          <w:kern w:val="0"/>
          <w:sz w:val="32"/>
          <w:szCs w:val="32"/>
          <w:highlight w:val="none"/>
          <w:u w:val="none"/>
          <w:lang w:val="en-US" w:eastAsia="zh-CN" w:bidi="ar-SA"/>
        </w:rPr>
        <w:t>村</w:t>
      </w:r>
      <w:r>
        <w:rPr>
          <w:rFonts w:hint="eastAsia" w:ascii="Times New Roman" w:hAnsi="Times New Roman" w:eastAsia="仿宋_GB2312" w:cs="Times New Roman"/>
          <w:color w:val="auto"/>
          <w:spacing w:val="0"/>
          <w:kern w:val="0"/>
          <w:sz w:val="32"/>
          <w:szCs w:val="32"/>
          <w:highlight w:val="none"/>
          <w:lang w:val="en-US" w:eastAsia="zh-CN" w:bidi="ar-SA"/>
        </w:rPr>
        <w:t>局制定落实塔城地区小麦、玉米、棉花、番茄等4种作物节水田间试验方案，建立试验田27个，其中，在7个县（市）布设小麦和玉米监测点18个，在乌苏市、沙湾市、和布克赛尔县布设棉花监测点5个，在塔城市、额敏县、乌苏市、沙湾市布设加工番茄监测点4个。</w:t>
      </w:r>
      <w:r>
        <w:rPr>
          <w:rFonts w:hint="eastAsia" w:ascii="Times New Roman" w:hAnsi="Times New Roman" w:eastAsia="仿宋_GB2312" w:cs="Times New Roman"/>
          <w:b/>
          <w:bCs/>
          <w:color w:val="auto"/>
          <w:spacing w:val="0"/>
          <w:kern w:val="0"/>
          <w:sz w:val="32"/>
          <w:szCs w:val="32"/>
          <w:highlight w:val="none"/>
          <w:lang w:val="en-US" w:eastAsia="zh-CN" w:bidi="ar-SA"/>
        </w:rPr>
        <w:t>二是</w:t>
      </w:r>
      <w:r>
        <w:rPr>
          <w:rFonts w:hint="eastAsia" w:ascii="Times New Roman" w:hAnsi="Times New Roman" w:eastAsia="仿宋_GB2312" w:cs="Times New Roman"/>
          <w:color w:val="auto"/>
          <w:spacing w:val="0"/>
          <w:kern w:val="0"/>
          <w:sz w:val="32"/>
          <w:szCs w:val="32"/>
          <w:highlight w:val="none"/>
          <w:lang w:val="en-US" w:eastAsia="zh-CN" w:bidi="ar-SA"/>
        </w:rPr>
        <w:t>县（市）农业农村部门牵头、水利部门配合建立专项数据监测组，跟踪监测用水、用肥情况，明确在高标准农田上种植的小麦、玉米、棉花、加工番茄每次合理灌水、施肥、用药用量，形成监测对比分析报告。</w:t>
      </w:r>
      <w:r>
        <w:rPr>
          <w:rFonts w:hint="eastAsia" w:ascii="Times New Roman" w:hAnsi="Times New Roman" w:eastAsia="仿宋_GB2312" w:cs="Times New Roman"/>
          <w:b/>
          <w:bCs/>
          <w:color w:val="auto"/>
          <w:spacing w:val="0"/>
          <w:kern w:val="0"/>
          <w:sz w:val="32"/>
          <w:szCs w:val="32"/>
          <w:highlight w:val="none"/>
          <w:lang w:val="en-US" w:eastAsia="zh-CN" w:bidi="ar-SA"/>
        </w:rPr>
        <w:t>三是</w:t>
      </w:r>
      <w:r>
        <w:rPr>
          <w:rFonts w:hint="eastAsia" w:ascii="Times New Roman" w:hAnsi="Times New Roman" w:eastAsia="仿宋_GB2312" w:cs="Times New Roman"/>
          <w:color w:val="auto"/>
          <w:spacing w:val="0"/>
          <w:kern w:val="0"/>
          <w:sz w:val="32"/>
          <w:szCs w:val="32"/>
          <w:highlight w:val="none"/>
          <w:lang w:val="en-US" w:eastAsia="zh-CN" w:bidi="ar-SA"/>
        </w:rPr>
        <w:t>强化与节水企业合作，数据共享，制定高标准农田水肥一体化地方标准，并指导农户科学合理施肥、灌溉、用药等田间管理，达到节本增效增收目的。同时，推广智能设备，在现有滴灌系统基础上，加装土壤墒情传感器、水肥一体化控制器，实现数据实时上传至农业云平台。</w:t>
      </w:r>
      <w:r>
        <w:rPr>
          <w:rFonts w:hint="eastAsia" w:ascii="Times New Roman" w:hAnsi="Times New Roman" w:eastAsia="仿宋_GB2312" w:cs="Times New Roman"/>
          <w:b/>
          <w:bCs/>
          <w:color w:val="auto"/>
          <w:spacing w:val="0"/>
          <w:kern w:val="0"/>
          <w:sz w:val="32"/>
          <w:szCs w:val="32"/>
          <w:highlight w:val="none"/>
          <w:lang w:val="en-US" w:eastAsia="zh-CN" w:bidi="ar-SA"/>
        </w:rPr>
        <w:t>四是</w:t>
      </w:r>
      <w:r>
        <w:rPr>
          <w:rFonts w:hint="eastAsia" w:ascii="Times New Roman" w:hAnsi="Times New Roman" w:eastAsia="仿宋_GB2312" w:cs="Times New Roman"/>
          <w:color w:val="auto"/>
          <w:spacing w:val="0"/>
          <w:kern w:val="0"/>
          <w:sz w:val="32"/>
          <w:szCs w:val="32"/>
          <w:highlight w:val="none"/>
          <w:lang w:val="en-US" w:eastAsia="zh-CN" w:bidi="ar-SA"/>
        </w:rPr>
        <w:t>由县级农业农村部门组织专家或聘请第三方，按照《高标准农田建设评价规范》（GB/T 33130-2024）要求，对高标准农田项目区田、土、水、路、粮及农田建设质量进行评价，并编写评价报告。</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Times New Roman"/>
          <w:color w:val="auto"/>
          <w:spacing w:val="0"/>
          <w:kern w:val="0"/>
          <w:sz w:val="32"/>
          <w:szCs w:val="32"/>
          <w:highlight w:val="none"/>
          <w:lang w:val="en-US" w:eastAsia="zh-CN" w:bidi="ar-SA"/>
        </w:rPr>
      </w:pPr>
      <w:r>
        <w:rPr>
          <w:rFonts w:hint="eastAsia" w:ascii="Times New Roman" w:hAnsi="Times New Roman" w:eastAsia="楷体_GB2312" w:cs="Times New Roman"/>
          <w:b/>
          <w:bCs/>
          <w:color w:val="auto"/>
          <w:spacing w:val="0"/>
          <w:kern w:val="0"/>
          <w:sz w:val="32"/>
          <w:szCs w:val="32"/>
          <w:highlight w:val="none"/>
          <w:lang w:val="en-US" w:eastAsia="zh-CN"/>
        </w:rPr>
        <w:t>（十）明确</w:t>
      </w:r>
      <w:r>
        <w:rPr>
          <w:rFonts w:hint="default" w:ascii="Times New Roman" w:hAnsi="Times New Roman" w:eastAsia="楷体_GB2312" w:cs="Times New Roman"/>
          <w:b/>
          <w:bCs/>
          <w:color w:val="auto"/>
          <w:spacing w:val="0"/>
          <w:kern w:val="0"/>
          <w:sz w:val="32"/>
          <w:szCs w:val="32"/>
          <w:highlight w:val="none"/>
          <w:lang w:val="en-US" w:eastAsia="zh-CN"/>
        </w:rPr>
        <w:t>资金保障。</w:t>
      </w:r>
      <w:r>
        <w:rPr>
          <w:rFonts w:hint="eastAsia" w:ascii="Times New Roman" w:hAnsi="Times New Roman" w:eastAsia="仿宋_GB2312" w:cs="Times New Roman"/>
          <w:color w:val="auto"/>
          <w:spacing w:val="0"/>
          <w:kern w:val="0"/>
          <w:sz w:val="32"/>
          <w:szCs w:val="32"/>
          <w:highlight w:val="none"/>
          <w:lang w:val="en-US" w:eastAsia="zh-CN" w:bidi="ar-SA"/>
        </w:rPr>
        <w:t>着力构建“中央财政补、自治区财政配、地县多元筹、社会资本融、农户自主投”多元投入机制。</w:t>
      </w:r>
      <w:r>
        <w:rPr>
          <w:rFonts w:hint="eastAsia" w:ascii="Times New Roman" w:hAnsi="Times New Roman" w:eastAsia="仿宋_GB2312" w:cs="Times New Roman"/>
          <w:b/>
          <w:bCs/>
          <w:color w:val="auto"/>
          <w:spacing w:val="0"/>
          <w:kern w:val="0"/>
          <w:sz w:val="32"/>
          <w:szCs w:val="32"/>
          <w:highlight w:val="none"/>
          <w:lang w:val="en-US" w:eastAsia="zh-CN" w:bidi="ar-SA"/>
        </w:rPr>
        <w:t>一是</w:t>
      </w:r>
      <w:r>
        <w:rPr>
          <w:rFonts w:hint="eastAsia" w:ascii="Times New Roman" w:hAnsi="Times New Roman" w:eastAsia="仿宋_GB2312" w:cs="Times New Roman"/>
          <w:color w:val="auto"/>
          <w:spacing w:val="0"/>
          <w:kern w:val="0"/>
          <w:sz w:val="32"/>
          <w:szCs w:val="32"/>
          <w:highlight w:val="none"/>
          <w:lang w:val="en-US" w:eastAsia="zh-CN" w:bidi="ar-SA"/>
        </w:rPr>
        <w:t>充分发挥政府投资带动作用，鼓励引导金融机构、社会资本和新型农业经营主体等积极参与，持续拓宽投融贷筹等渠道，稳步提升高标准农田建设投入水平，推动亩均投入逐步达到3000元国家规划标准。</w:t>
      </w:r>
      <w:r>
        <w:rPr>
          <w:rFonts w:hint="eastAsia" w:ascii="Times New Roman" w:hAnsi="Times New Roman" w:eastAsia="仿宋_GB2312" w:cs="Times New Roman"/>
          <w:b/>
          <w:bCs/>
          <w:color w:val="auto"/>
          <w:spacing w:val="0"/>
          <w:kern w:val="0"/>
          <w:sz w:val="32"/>
          <w:szCs w:val="32"/>
          <w:highlight w:val="none"/>
          <w:lang w:val="en-US" w:eastAsia="zh-CN" w:bidi="ar-SA"/>
        </w:rPr>
        <w:t>二是</w:t>
      </w:r>
      <w:r>
        <w:rPr>
          <w:rFonts w:hint="eastAsia" w:ascii="Times New Roman" w:hAnsi="Times New Roman" w:eastAsia="仿宋_GB2312" w:cs="Times New Roman"/>
          <w:color w:val="auto"/>
          <w:spacing w:val="0"/>
          <w:kern w:val="0"/>
          <w:sz w:val="32"/>
          <w:szCs w:val="32"/>
          <w:highlight w:val="none"/>
          <w:lang w:val="en-US" w:eastAsia="zh-CN" w:bidi="ar-SA"/>
        </w:rPr>
        <w:t>落实</w:t>
      </w:r>
      <w:r>
        <w:rPr>
          <w:rFonts w:hint="default" w:ascii="Times New Roman" w:hAnsi="Times New Roman" w:eastAsia="仿宋_GB2312" w:cs="Times New Roman"/>
          <w:color w:val="auto"/>
          <w:spacing w:val="0"/>
          <w:kern w:val="0"/>
          <w:sz w:val="32"/>
          <w:szCs w:val="32"/>
          <w:highlight w:val="none"/>
          <w:lang w:val="en-US" w:eastAsia="zh-CN" w:bidi="ar-SA"/>
        </w:rPr>
        <w:t>日常监管、预警监控、专项核查，</w:t>
      </w:r>
      <w:r>
        <w:rPr>
          <w:rFonts w:hint="eastAsia" w:ascii="Times New Roman" w:hAnsi="Times New Roman" w:eastAsia="仿宋_GB2312" w:cs="Times New Roman"/>
          <w:color w:val="auto"/>
          <w:spacing w:val="0"/>
          <w:kern w:val="0"/>
          <w:sz w:val="32"/>
          <w:szCs w:val="32"/>
          <w:highlight w:val="none"/>
          <w:lang w:val="en-US" w:eastAsia="zh-CN" w:bidi="ar-SA"/>
        </w:rPr>
        <w:t>高标准农田结余资金必须用于建后管护或下一年高标准农田建设等相关支出。</w:t>
      </w:r>
      <w:r>
        <w:rPr>
          <w:rFonts w:hint="default" w:ascii="Times New Roman" w:hAnsi="Times New Roman" w:eastAsia="仿宋_GB2312" w:cs="Times New Roman"/>
          <w:color w:val="auto"/>
          <w:spacing w:val="0"/>
          <w:kern w:val="0"/>
          <w:sz w:val="32"/>
          <w:szCs w:val="32"/>
          <w:highlight w:val="none"/>
          <w:lang w:val="en-US" w:eastAsia="zh-CN" w:bidi="ar-SA"/>
        </w:rPr>
        <w:t>对预算下达不及时、未按项目建设进度支付等问题，及时提醒和纠正，坚决防止出现以拨代支、套取截留、挤占挪用等问题</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eastAsia" w:ascii="方正仿宋_GB2312" w:hAnsi="方正仿宋_GB2312" w:eastAsia="方正仿宋_GB2312" w:cs="方正仿宋_GB2312"/>
          <w:b/>
          <w:bCs/>
          <w:color w:val="auto"/>
          <w:spacing w:val="0"/>
          <w:kern w:val="0"/>
          <w:sz w:val="32"/>
          <w:szCs w:val="32"/>
          <w:highlight w:val="none"/>
          <w:lang w:val="en-US" w:eastAsia="zh-CN" w:bidi="ar-SA"/>
        </w:rPr>
        <w:t>三是</w:t>
      </w:r>
      <w:r>
        <w:rPr>
          <w:rFonts w:hint="default" w:ascii="Times New Roman" w:hAnsi="Times New Roman" w:eastAsia="仿宋_GB2312" w:cs="Times New Roman"/>
          <w:color w:val="auto"/>
          <w:spacing w:val="0"/>
          <w:kern w:val="0"/>
          <w:sz w:val="32"/>
          <w:szCs w:val="32"/>
          <w:highlight w:val="none"/>
          <w:lang w:val="en-US" w:eastAsia="zh-CN" w:bidi="ar-SA"/>
        </w:rPr>
        <w:t>按照中共中央办公厅、国务院办公厅印发《逐步把永久基本农田建成高标准农田实施方案》要求，</w:t>
      </w:r>
      <w:r>
        <w:rPr>
          <w:rFonts w:hint="default" w:ascii="Times New Roman" w:hAnsi="Times New Roman" w:eastAsia="仿宋_GB2312" w:cs="Times New Roman"/>
          <w:color w:val="auto"/>
          <w:sz w:val="32"/>
          <w:szCs w:val="32"/>
          <w:highlight w:val="none"/>
          <w:lang w:bidi="ar-SA"/>
        </w:rPr>
        <w:t>在自治区财政厅一体化系统中进行统一设置并通知人民银行国库进行相应修改后，在县级财政部门或乡镇的国库单一账户下设置高标准农田建设资金专门子账户</w:t>
      </w:r>
      <w:r>
        <w:rPr>
          <w:rFonts w:hint="default" w:ascii="Times New Roman" w:hAnsi="Times New Roman" w:eastAsia="仿宋_GB2312" w:cs="Times New Roman"/>
          <w:color w:val="auto"/>
          <w:spacing w:val="0"/>
          <w:kern w:val="0"/>
          <w:sz w:val="32"/>
          <w:szCs w:val="32"/>
          <w:highlight w:val="none"/>
          <w:lang w:val="en-US" w:eastAsia="zh-CN" w:bidi="ar-SA"/>
        </w:rPr>
        <w:t>，实现专账监管、专账调拨、专账清算，真正把资金用到耕地上。</w:t>
      </w:r>
      <w:r>
        <w:rPr>
          <w:rFonts w:hint="eastAsia" w:ascii="Times New Roman" w:hAnsi="Times New Roman" w:eastAsia="仿宋_GB2312" w:cs="Times New Roman"/>
          <w:b/>
          <w:bCs/>
          <w:color w:val="auto"/>
          <w:spacing w:val="0"/>
          <w:kern w:val="0"/>
          <w:sz w:val="32"/>
          <w:szCs w:val="32"/>
          <w:highlight w:val="none"/>
          <w:lang w:val="en-US" w:eastAsia="zh-CN" w:bidi="ar-SA"/>
        </w:rPr>
        <w:t>四是</w:t>
      </w:r>
      <w:r>
        <w:rPr>
          <w:rFonts w:hint="default" w:ascii="Times New Roman" w:hAnsi="Times New Roman" w:eastAsia="仿宋_GB2312" w:cs="Times New Roman"/>
          <w:color w:val="auto"/>
          <w:spacing w:val="0"/>
          <w:kern w:val="0"/>
          <w:sz w:val="32"/>
          <w:szCs w:val="32"/>
          <w:highlight w:val="none"/>
          <w:lang w:val="en-US" w:eastAsia="zh-CN" w:bidi="ar-SA"/>
        </w:rPr>
        <w:t>地、县财政部门</w:t>
      </w:r>
      <w:r>
        <w:rPr>
          <w:rFonts w:hint="eastAsia" w:ascii="Times New Roman" w:hAnsi="Times New Roman" w:eastAsia="仿宋_GB2312" w:cs="Times New Roman"/>
          <w:color w:val="auto"/>
          <w:spacing w:val="0"/>
          <w:w w:val="100"/>
          <w:kern w:val="2"/>
          <w:sz w:val="32"/>
          <w:szCs w:val="32"/>
          <w:highlight w:val="none"/>
          <w:lang w:val="en-US" w:eastAsia="zh-CN" w:bidi="ar-SA"/>
        </w:rPr>
        <w:t>统筹农业农村部门公用经费和年度农田建设工作专项经费</w:t>
      </w:r>
      <w:r>
        <w:rPr>
          <w:rFonts w:hint="default" w:ascii="Times New Roman" w:hAnsi="Times New Roman" w:eastAsia="仿宋_GB2312" w:cs="Times New Roman"/>
          <w:color w:val="auto"/>
          <w:spacing w:val="0"/>
          <w:kern w:val="0"/>
          <w:sz w:val="32"/>
          <w:szCs w:val="32"/>
          <w:highlight w:val="none"/>
          <w:lang w:val="en-US" w:eastAsia="zh-CN" w:bidi="ar-SA"/>
        </w:rPr>
        <w:t>，加大地、县两级在聘请专家、日常监督检查、竣工验收、一张图建设等方面的资金支持力度，保障项目规范运行。</w:t>
      </w:r>
      <w:r>
        <w:rPr>
          <w:rFonts w:hint="eastAsia" w:ascii="Times New Roman" w:hAnsi="Times New Roman" w:eastAsia="仿宋_GB2312" w:cs="Times New Roman"/>
          <w:b/>
          <w:bCs/>
          <w:color w:val="auto"/>
          <w:spacing w:val="0"/>
          <w:kern w:val="0"/>
          <w:sz w:val="32"/>
          <w:szCs w:val="32"/>
          <w:highlight w:val="none"/>
          <w:lang w:val="en-US" w:eastAsia="zh-CN" w:bidi="ar-SA"/>
        </w:rPr>
        <w:t>五是</w:t>
      </w:r>
      <w:r>
        <w:rPr>
          <w:rFonts w:hint="eastAsia" w:ascii="Times New Roman" w:hAnsi="Times New Roman" w:eastAsia="仿宋_GB2312" w:cs="Times New Roman"/>
          <w:color w:val="auto"/>
          <w:spacing w:val="0"/>
          <w:kern w:val="0"/>
          <w:sz w:val="32"/>
          <w:szCs w:val="32"/>
          <w:highlight w:val="none"/>
          <w:lang w:val="en-US" w:eastAsia="zh-CN" w:bidi="ar-SA"/>
        </w:rPr>
        <w:t>高标准农田建设项目前期经费不足部分由县级财政资金补齐，提高项目前期规划和设计质量，确保项目建设的质量和效益。</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楷体_GB2312" w:cs="Times New Roman"/>
          <w:b/>
          <w:bCs/>
          <w:color w:val="auto"/>
          <w:spacing w:val="0"/>
          <w:kern w:val="0"/>
          <w:sz w:val="32"/>
          <w:szCs w:val="32"/>
          <w:highlight w:val="none"/>
          <w:lang w:val="en-US" w:eastAsia="zh-CN"/>
        </w:rPr>
      </w:pPr>
      <w:r>
        <w:rPr>
          <w:rFonts w:hint="eastAsia" w:ascii="Times New Roman" w:hAnsi="Times New Roman" w:eastAsia="楷体_GB2312" w:cs="Times New Roman"/>
          <w:b/>
          <w:bCs/>
          <w:color w:val="auto"/>
          <w:spacing w:val="0"/>
          <w:kern w:val="0"/>
          <w:sz w:val="32"/>
          <w:szCs w:val="32"/>
          <w:highlight w:val="none"/>
          <w:lang w:val="en-US" w:eastAsia="zh-CN"/>
        </w:rPr>
        <w:t>（十一）明确责任追究。</w:t>
      </w:r>
      <w:r>
        <w:rPr>
          <w:rFonts w:hint="eastAsia" w:ascii="Times New Roman" w:hAnsi="Times New Roman" w:eastAsia="仿宋_GB2312" w:cs="Times New Roman"/>
          <w:color w:val="auto"/>
          <w:spacing w:val="0"/>
          <w:kern w:val="0"/>
          <w:sz w:val="32"/>
          <w:szCs w:val="32"/>
          <w:highlight w:val="none"/>
          <w:lang w:val="en-US" w:eastAsia="zh-CN" w:bidi="ar-SA"/>
        </w:rPr>
        <w:t>突出关键工序和关键部位，强化高标准农田建设工程全周期责任倒查和终身追责。</w:t>
      </w:r>
      <w:r>
        <w:rPr>
          <w:rFonts w:hint="eastAsia" w:ascii="方正仿宋_GB2312" w:hAnsi="方正仿宋_GB2312" w:eastAsia="方正仿宋_GB2312" w:cs="方正仿宋_GB2312"/>
          <w:b/>
          <w:bCs/>
          <w:color w:val="auto"/>
          <w:spacing w:val="0"/>
          <w:kern w:val="0"/>
          <w:sz w:val="32"/>
          <w:szCs w:val="32"/>
          <w:highlight w:val="none"/>
          <w:lang w:val="en-US" w:eastAsia="zh-CN"/>
        </w:rPr>
        <w:t>一是</w:t>
      </w:r>
      <w:r>
        <w:rPr>
          <w:rFonts w:hint="eastAsia" w:ascii="Times New Roman" w:hAnsi="Times New Roman" w:eastAsia="仿宋_GB2312" w:cs="Times New Roman"/>
          <w:color w:val="auto"/>
          <w:spacing w:val="0"/>
          <w:kern w:val="0"/>
          <w:sz w:val="32"/>
          <w:szCs w:val="32"/>
          <w:highlight w:val="none"/>
          <w:lang w:val="en-US" w:eastAsia="zh-CN" w:bidi="ar-SA"/>
        </w:rPr>
        <w:t>建立高标准农田参建单位信用评价办法，按照A、B、C、D四个等级对参建单位进行分类监管，年度信用评价为D级的参建单位，地县两级农业农村部门将其列入信用“黑名单”，</w:t>
      </w:r>
      <w:r>
        <w:rPr>
          <w:rFonts w:hint="eastAsia" w:ascii="仿宋_GB2312" w:hAnsi="仿宋_GB2312" w:eastAsia="仿宋_GB2312" w:cs="仿宋_GB2312"/>
          <w:i w:val="0"/>
          <w:iCs w:val="0"/>
          <w:caps w:val="0"/>
          <w:color w:val="auto"/>
          <w:spacing w:val="0"/>
          <w:sz w:val="32"/>
          <w:szCs w:val="32"/>
          <w:highlight w:val="none"/>
          <w:shd w:val="clear" w:fill="FFFFFF"/>
        </w:rPr>
        <w:t>信用评价定级为A级的参建单位，在高标准农田建设项目招投标活动中可给予信用分满分</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信用评价定级为B级的参建单位，在高标准农田建设项目招投标活动中可给予信用分满分的70%</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信用评价定级为C级的参建单位，招标投标活动中给予信用分零分</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Times New Roman" w:hAnsi="Times New Roman" w:eastAsia="仿宋_GB2312" w:cs="Times New Roman"/>
          <w:color w:val="auto"/>
          <w:spacing w:val="0"/>
          <w:kern w:val="0"/>
          <w:sz w:val="32"/>
          <w:szCs w:val="32"/>
          <w:highlight w:val="none"/>
          <w:lang w:val="en-US" w:eastAsia="zh-CN" w:bidi="ar-SA"/>
        </w:rPr>
        <w:t>各县（市）每年要对辖区内高标准农田建设参建单位进行年度信用等级评价、上报；地区农业农村部门对参建单位年度信用等级评价结果进行汇总与审定，并向社会公开。</w:t>
      </w:r>
      <w:r>
        <w:rPr>
          <w:rFonts w:hint="eastAsia" w:ascii="Times New Roman" w:hAnsi="Times New Roman" w:eastAsia="仿宋_GB2312" w:cs="Times New Roman"/>
          <w:b/>
          <w:bCs/>
          <w:color w:val="auto"/>
          <w:spacing w:val="0"/>
          <w:kern w:val="0"/>
          <w:sz w:val="32"/>
          <w:szCs w:val="32"/>
          <w:highlight w:val="none"/>
          <w:lang w:val="en-US" w:eastAsia="zh-CN" w:bidi="ar-SA"/>
        </w:rPr>
        <w:t>二是</w:t>
      </w:r>
      <w:r>
        <w:rPr>
          <w:rFonts w:hint="eastAsia" w:ascii="Times New Roman" w:hAnsi="Times New Roman" w:eastAsia="仿宋_GB2312" w:cs="Times New Roman"/>
          <w:color w:val="auto"/>
          <w:spacing w:val="0"/>
          <w:kern w:val="0"/>
          <w:sz w:val="32"/>
          <w:szCs w:val="32"/>
          <w:highlight w:val="none"/>
          <w:lang w:val="en-US" w:eastAsia="zh-CN" w:bidi="ar-SA"/>
        </w:rPr>
        <w:t>建设项目实施过程中发现存在严重违法违规问题的，项目法人应及时终止项目，追回项目资金，并追究相关人员责任。对施工单位未经批准，擅自改变项目建设内容，造成工程质量存在安全隐患和功能不能满足需要的；监理单位未按照有关要求履行工程监理职责，监理人员不具备资质、无证上岗、玩忽职守、与施工单位串通抱团，提供虚假情况的；设计单位未按照有关要求编制设计文件，未达工程设计深度，造成严重缺项、漏项，或不符合功能需求和超投资概算的；测绘勘察单位提供不实测绘勘察报告，造成初步设计无法满足项目建设需要和超投资概算的；工程中介咨询机构和人员、参与项目咨询审查专家，在开展项目审查和评审过程中，与项目法人或施工单位私通一气，严重影响项目评审公平、公开、公正和资金使用效益的，由项目法人及时向其行业主管部门建议纳入不良信用记录，对情节严重的，依法追究责任。</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32" w:firstLineChars="200"/>
        <w:jc w:val="both"/>
        <w:textAlignment w:val="auto"/>
        <w:rPr>
          <w:rFonts w:hint="eastAsia" w:ascii="黑体" w:hAnsi="黑体" w:eastAsia="黑体" w:cs="黑体"/>
          <w:color w:val="auto"/>
          <w:spacing w:val="0"/>
          <w:w w:val="99"/>
          <w:kern w:val="0"/>
          <w:sz w:val="32"/>
          <w:szCs w:val="32"/>
          <w:highlight w:val="none"/>
        </w:rPr>
      </w:pPr>
      <w:r>
        <w:rPr>
          <w:rFonts w:hint="eastAsia" w:ascii="黑体" w:hAnsi="黑体" w:eastAsia="黑体" w:cs="黑体"/>
          <w:color w:val="auto"/>
          <w:spacing w:val="0"/>
          <w:w w:val="99"/>
          <w:kern w:val="0"/>
          <w:sz w:val="32"/>
          <w:szCs w:val="32"/>
          <w:highlight w:val="none"/>
          <w:lang w:val="en-US" w:eastAsia="zh-CN"/>
        </w:rPr>
        <w:t>四</w:t>
      </w:r>
      <w:r>
        <w:rPr>
          <w:rFonts w:hint="eastAsia" w:ascii="黑体" w:hAnsi="黑体" w:eastAsia="黑体" w:cs="黑体"/>
          <w:color w:val="auto"/>
          <w:spacing w:val="0"/>
          <w:w w:val="99"/>
          <w:kern w:val="0"/>
          <w:sz w:val="32"/>
          <w:szCs w:val="32"/>
          <w:highlight w:val="none"/>
        </w:rPr>
        <w:t>、工作要求</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35"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eastAsia" w:ascii="楷体_GB2312" w:hAnsi="楷体_GB2312" w:eastAsia="楷体_GB2312" w:cs="楷体_GB2312"/>
          <w:b/>
          <w:bCs/>
          <w:color w:val="auto"/>
          <w:spacing w:val="0"/>
          <w:w w:val="99"/>
          <w:kern w:val="0"/>
          <w:sz w:val="32"/>
          <w:szCs w:val="32"/>
          <w:highlight w:val="none"/>
          <w:lang w:eastAsia="zh-CN"/>
        </w:rPr>
        <w:t>（一）</w:t>
      </w:r>
      <w:r>
        <w:rPr>
          <w:rFonts w:hint="eastAsia" w:ascii="Times New Roman" w:hAnsi="Times New Roman" w:eastAsia="楷体_GB2312" w:cs="Times New Roman"/>
          <w:b/>
          <w:bCs/>
          <w:color w:val="auto"/>
          <w:spacing w:val="0"/>
          <w:kern w:val="0"/>
          <w:sz w:val="32"/>
          <w:szCs w:val="32"/>
          <w:highlight w:val="none"/>
          <w:lang w:val="en-US" w:eastAsia="zh-CN"/>
        </w:rPr>
        <w:t>严格</w:t>
      </w:r>
      <w:r>
        <w:rPr>
          <w:rFonts w:hint="default" w:ascii="Times New Roman" w:hAnsi="Times New Roman" w:eastAsia="楷体_GB2312" w:cs="Times New Roman"/>
          <w:b/>
          <w:bCs/>
          <w:color w:val="auto"/>
          <w:spacing w:val="0"/>
          <w:kern w:val="0"/>
          <w:sz w:val="32"/>
          <w:szCs w:val="32"/>
          <w:highlight w:val="none"/>
          <w:lang w:val="en-US" w:eastAsia="zh-CN"/>
        </w:rPr>
        <w:t>施工节点</w:t>
      </w:r>
      <w:r>
        <w:rPr>
          <w:rFonts w:hint="default" w:ascii="Times New Roman" w:hAnsi="Times New Roman" w:eastAsia="楷体_GB2312" w:cs="Times New Roman"/>
          <w:b/>
          <w:bCs/>
          <w:color w:val="auto"/>
          <w:spacing w:val="0"/>
          <w:kern w:val="0"/>
          <w:sz w:val="32"/>
          <w:szCs w:val="32"/>
          <w:highlight w:val="none"/>
        </w:rPr>
        <w:t>。</w:t>
      </w:r>
      <w:r>
        <w:rPr>
          <w:rFonts w:hint="default" w:ascii="Times New Roman" w:hAnsi="Times New Roman" w:eastAsia="仿宋_GB2312" w:cs="Times New Roman"/>
          <w:color w:val="auto"/>
          <w:spacing w:val="0"/>
          <w:kern w:val="0"/>
          <w:sz w:val="32"/>
          <w:szCs w:val="32"/>
          <w:highlight w:val="none"/>
          <w:lang w:val="en-US" w:eastAsia="zh-CN" w:bidi="ar-SA"/>
        </w:rPr>
        <w:t>按照资金到位时序，科学安排项目实施节点，具体分两个阶段实施，对提前下达资金的项目，3月底前必须开工，</w:t>
      </w:r>
      <w:r>
        <w:rPr>
          <w:rFonts w:hint="eastAsia" w:ascii="Times New Roman" w:hAnsi="Times New Roman" w:eastAsia="仿宋_GB2312" w:cs="Times New Roman"/>
          <w:color w:val="auto"/>
          <w:spacing w:val="0"/>
          <w:kern w:val="0"/>
          <w:sz w:val="32"/>
          <w:szCs w:val="32"/>
          <w:highlight w:val="none"/>
          <w:lang w:val="en-US" w:eastAsia="zh-CN" w:bidi="ar-SA"/>
        </w:rPr>
        <w:t>20天内</w:t>
      </w:r>
      <w:r>
        <w:rPr>
          <w:rFonts w:hint="default" w:ascii="Times New Roman" w:hAnsi="Times New Roman" w:eastAsia="仿宋_GB2312" w:cs="Times New Roman"/>
          <w:color w:val="auto"/>
          <w:spacing w:val="0"/>
          <w:kern w:val="0"/>
          <w:sz w:val="32"/>
          <w:szCs w:val="32"/>
          <w:highlight w:val="none"/>
          <w:lang w:val="en-US" w:eastAsia="zh-CN" w:bidi="ar-SA"/>
        </w:rPr>
        <w:t>完成田间管道施工，道路、电力等工程在10月之前完成；对后续到位的项目资金，立即开展招投标工作，先行组织开展道路、电力等其他工程建设，田间工程在作物收获后</w:t>
      </w:r>
      <w:r>
        <w:rPr>
          <w:rFonts w:hint="eastAsia" w:ascii="Times New Roman" w:hAnsi="Times New Roman" w:eastAsia="仿宋_GB2312" w:cs="Times New Roman"/>
          <w:color w:val="auto"/>
          <w:spacing w:val="0"/>
          <w:kern w:val="0"/>
          <w:sz w:val="32"/>
          <w:szCs w:val="32"/>
          <w:highlight w:val="none"/>
          <w:lang w:val="en-US" w:eastAsia="zh-CN" w:bidi="ar-SA"/>
        </w:rPr>
        <w:t>20天</w:t>
      </w:r>
      <w:r>
        <w:rPr>
          <w:rFonts w:hint="default" w:ascii="Times New Roman" w:hAnsi="Times New Roman" w:eastAsia="仿宋_GB2312" w:cs="Times New Roman"/>
          <w:color w:val="auto"/>
          <w:spacing w:val="0"/>
          <w:kern w:val="0"/>
          <w:sz w:val="32"/>
          <w:szCs w:val="32"/>
          <w:highlight w:val="none"/>
          <w:lang w:val="en-US" w:eastAsia="zh-CN" w:bidi="ar-SA"/>
        </w:rPr>
        <w:t>全部完成。</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35"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eastAsia" w:ascii="楷体_GB2312" w:hAnsi="楷体_GB2312" w:eastAsia="楷体_GB2312" w:cs="楷体_GB2312"/>
          <w:b/>
          <w:bCs/>
          <w:color w:val="auto"/>
          <w:spacing w:val="0"/>
          <w:w w:val="99"/>
          <w:kern w:val="0"/>
          <w:sz w:val="32"/>
          <w:szCs w:val="32"/>
          <w:highlight w:val="none"/>
        </w:rPr>
        <w:t>（</w:t>
      </w:r>
      <w:r>
        <w:rPr>
          <w:rFonts w:hint="eastAsia" w:ascii="楷体_GB2312" w:hAnsi="楷体_GB2312" w:eastAsia="楷体_GB2312" w:cs="楷体_GB2312"/>
          <w:b/>
          <w:bCs/>
          <w:color w:val="auto"/>
          <w:spacing w:val="0"/>
          <w:w w:val="99"/>
          <w:kern w:val="0"/>
          <w:sz w:val="32"/>
          <w:szCs w:val="32"/>
          <w:highlight w:val="none"/>
          <w:lang w:val="en-US" w:eastAsia="zh-CN"/>
        </w:rPr>
        <w:t>二</w:t>
      </w:r>
      <w:r>
        <w:rPr>
          <w:rFonts w:hint="eastAsia" w:ascii="楷体_GB2312" w:hAnsi="楷体_GB2312" w:eastAsia="楷体_GB2312" w:cs="楷体_GB2312"/>
          <w:b/>
          <w:bCs/>
          <w:color w:val="auto"/>
          <w:spacing w:val="0"/>
          <w:w w:val="99"/>
          <w:kern w:val="0"/>
          <w:sz w:val="32"/>
          <w:szCs w:val="32"/>
          <w:highlight w:val="none"/>
        </w:rPr>
        <w:t>）构建部门合力。</w:t>
      </w:r>
      <w:r>
        <w:rPr>
          <w:rFonts w:hint="default" w:ascii="Times New Roman" w:hAnsi="Times New Roman" w:eastAsia="仿宋_GB2312" w:cs="Times New Roman"/>
          <w:color w:val="auto"/>
          <w:spacing w:val="0"/>
          <w:kern w:val="0"/>
          <w:sz w:val="32"/>
          <w:szCs w:val="32"/>
          <w:highlight w:val="none"/>
          <w:lang w:val="en-US" w:eastAsia="zh-CN" w:bidi="ar-SA"/>
        </w:rPr>
        <w:t>落实塔城地区涉农资金项目管理工作机制，形成</w:t>
      </w:r>
      <w:r>
        <w:rPr>
          <w:rFonts w:hint="eastAsia" w:ascii="Times New Roman" w:hAnsi="Times New Roman" w:eastAsia="仿宋_GB2312" w:cs="Times New Roman"/>
          <w:color w:val="auto"/>
          <w:spacing w:val="0"/>
          <w:kern w:val="0"/>
          <w:sz w:val="32"/>
          <w:szCs w:val="32"/>
          <w:highlight w:val="none"/>
          <w:lang w:val="en-US" w:eastAsia="zh-CN" w:bidi="ar-SA"/>
        </w:rPr>
        <w:t>工作</w:t>
      </w:r>
      <w:r>
        <w:rPr>
          <w:rFonts w:hint="default" w:ascii="Times New Roman" w:hAnsi="Times New Roman" w:eastAsia="仿宋_GB2312" w:cs="Times New Roman"/>
          <w:color w:val="auto"/>
          <w:spacing w:val="0"/>
          <w:kern w:val="0"/>
          <w:sz w:val="32"/>
          <w:szCs w:val="32"/>
          <w:highlight w:val="none"/>
          <w:lang w:val="en-US" w:eastAsia="zh-CN" w:bidi="ar-SA"/>
        </w:rPr>
        <w:t>合力，农业农村部门履行农田建设统一集中管理职责，</w:t>
      </w:r>
      <w:r>
        <w:rPr>
          <w:rFonts w:hint="eastAsia" w:ascii="Times New Roman" w:hAnsi="Times New Roman" w:eastAsia="仿宋_GB2312" w:cs="Times New Roman"/>
          <w:color w:val="auto"/>
          <w:spacing w:val="0"/>
          <w:kern w:val="0"/>
          <w:sz w:val="32"/>
          <w:szCs w:val="32"/>
          <w:highlight w:val="none"/>
          <w:lang w:val="en-US" w:eastAsia="zh-CN" w:bidi="ar-SA"/>
        </w:rPr>
        <w:t>负责</w:t>
      </w:r>
      <w:r>
        <w:rPr>
          <w:rFonts w:hint="default" w:ascii="Times New Roman" w:hAnsi="Times New Roman" w:eastAsia="仿宋_GB2312" w:cs="Times New Roman"/>
          <w:color w:val="auto"/>
          <w:spacing w:val="0"/>
          <w:kern w:val="0"/>
          <w:sz w:val="32"/>
          <w:szCs w:val="32"/>
          <w:highlight w:val="none"/>
          <w:lang w:val="en-US" w:eastAsia="zh-CN" w:bidi="ar-SA"/>
        </w:rPr>
        <w:t>项目储备库的建立，提出年度建设任务</w:t>
      </w:r>
      <w:r>
        <w:rPr>
          <w:rFonts w:hint="eastAsia" w:ascii="Times New Roman" w:hAnsi="Times New Roman" w:eastAsia="仿宋_GB2312" w:cs="Times New Roman"/>
          <w:color w:val="auto"/>
          <w:spacing w:val="0"/>
          <w:kern w:val="0"/>
          <w:sz w:val="32"/>
          <w:szCs w:val="32"/>
          <w:highlight w:val="none"/>
          <w:lang w:val="en-US" w:eastAsia="zh-CN" w:bidi="ar-SA"/>
        </w:rPr>
        <w:t>需求</w:t>
      </w:r>
      <w:r>
        <w:rPr>
          <w:rFonts w:hint="default" w:ascii="Times New Roman" w:hAnsi="Times New Roman" w:eastAsia="仿宋_GB2312" w:cs="Times New Roman"/>
          <w:color w:val="auto"/>
          <w:spacing w:val="0"/>
          <w:kern w:val="0"/>
          <w:sz w:val="32"/>
          <w:szCs w:val="32"/>
          <w:highlight w:val="none"/>
          <w:lang w:val="en-US" w:eastAsia="zh-CN" w:bidi="ar-SA"/>
        </w:rPr>
        <w:t>、制定任务分解和资金分配方案，负责</w:t>
      </w:r>
      <w:r>
        <w:rPr>
          <w:rFonts w:hint="eastAsia" w:ascii="Times New Roman" w:hAnsi="Times New Roman" w:eastAsia="仿宋_GB2312" w:cs="Times New Roman"/>
          <w:color w:val="auto"/>
          <w:spacing w:val="0"/>
          <w:kern w:val="0"/>
          <w:sz w:val="32"/>
          <w:szCs w:val="32"/>
          <w:highlight w:val="none"/>
          <w:lang w:val="en-US" w:eastAsia="zh-CN" w:bidi="ar-SA"/>
        </w:rPr>
        <w:t>项目</w:t>
      </w:r>
      <w:r>
        <w:rPr>
          <w:rFonts w:hint="default" w:ascii="Times New Roman" w:hAnsi="Times New Roman" w:eastAsia="仿宋_GB2312" w:cs="Times New Roman"/>
          <w:color w:val="auto"/>
          <w:spacing w:val="0"/>
          <w:kern w:val="0"/>
          <w:sz w:val="32"/>
          <w:szCs w:val="32"/>
          <w:highlight w:val="none"/>
          <w:lang w:val="en-US" w:eastAsia="zh-CN" w:bidi="ar-SA"/>
        </w:rPr>
        <w:t>组织、实施、验收、资金使用管理等</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水利部门做好项目区用水保障审查、调水、用水，发挥地、县</w:t>
      </w:r>
      <w:r>
        <w:rPr>
          <w:rFonts w:hint="eastAsia" w:ascii="Times New Roman" w:hAnsi="Times New Roman" w:eastAsia="仿宋_GB2312" w:cs="Times New Roman"/>
          <w:color w:val="auto"/>
          <w:spacing w:val="0"/>
          <w:kern w:val="0"/>
          <w:sz w:val="32"/>
          <w:szCs w:val="32"/>
          <w:highlight w:val="none"/>
          <w:lang w:val="en-US" w:eastAsia="zh-CN" w:bidi="ar-SA"/>
        </w:rPr>
        <w:t>水利部门</w:t>
      </w:r>
      <w:r>
        <w:rPr>
          <w:rFonts w:hint="default" w:ascii="Times New Roman" w:hAnsi="Times New Roman" w:eastAsia="仿宋_GB2312" w:cs="Times New Roman"/>
          <w:color w:val="auto"/>
          <w:spacing w:val="0"/>
          <w:kern w:val="0"/>
          <w:sz w:val="32"/>
          <w:szCs w:val="32"/>
          <w:highlight w:val="none"/>
          <w:lang w:val="en-US" w:eastAsia="zh-CN" w:bidi="ar-SA"/>
        </w:rPr>
        <w:t>专业优势，给予帮助指导，确保建设管理规范</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发改部门规范招投标管理，指导完善优化招投标代理和专家库管理等有关制度办法</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财政部门保障高标准农田建设资金</w:t>
      </w:r>
      <w:r>
        <w:rPr>
          <w:rFonts w:hint="eastAsia" w:ascii="Times New Roman" w:hAnsi="Times New Roman" w:eastAsia="仿宋_GB2312" w:cs="Times New Roman"/>
          <w:color w:val="auto"/>
          <w:spacing w:val="0"/>
          <w:kern w:val="0"/>
          <w:sz w:val="32"/>
          <w:szCs w:val="32"/>
          <w:highlight w:val="none"/>
          <w:lang w:val="en-US" w:eastAsia="zh-CN" w:bidi="ar-SA"/>
        </w:rPr>
        <w:t>、工作经费</w:t>
      </w:r>
      <w:r>
        <w:rPr>
          <w:rFonts w:hint="default" w:ascii="Times New Roman" w:hAnsi="Times New Roman" w:eastAsia="仿宋_GB2312" w:cs="Times New Roman"/>
          <w:color w:val="auto"/>
          <w:spacing w:val="0"/>
          <w:kern w:val="0"/>
          <w:sz w:val="32"/>
          <w:szCs w:val="32"/>
          <w:highlight w:val="none"/>
          <w:lang w:val="en-US" w:eastAsia="zh-CN" w:bidi="ar-SA"/>
        </w:rPr>
        <w:t>及时拨付</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自然资源部门共享年度国土变更调查、“三区三线”等相关信息数据，开展地类审核确认，占用地审查</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林草部门共享退耕还林还草数据，指导开展项目区林地、草地等占用</w:t>
      </w:r>
      <w:r>
        <w:rPr>
          <w:rFonts w:hint="eastAsia" w:ascii="Times New Roman" w:hAnsi="Times New Roman" w:eastAsia="仿宋_GB2312" w:cs="Times New Roman"/>
          <w:color w:val="auto"/>
          <w:spacing w:val="0"/>
          <w:kern w:val="0"/>
          <w:sz w:val="32"/>
          <w:szCs w:val="32"/>
          <w:highlight w:val="none"/>
          <w:lang w:val="en-US" w:eastAsia="zh-CN" w:bidi="ar-SA"/>
        </w:rPr>
        <w:t>林草资源</w:t>
      </w:r>
      <w:r>
        <w:rPr>
          <w:rFonts w:hint="default" w:ascii="Times New Roman" w:hAnsi="Times New Roman" w:eastAsia="仿宋_GB2312" w:cs="Times New Roman"/>
          <w:color w:val="auto"/>
          <w:spacing w:val="0"/>
          <w:kern w:val="0"/>
          <w:sz w:val="32"/>
          <w:szCs w:val="32"/>
          <w:highlight w:val="none"/>
          <w:lang w:val="en-US" w:eastAsia="zh-CN" w:bidi="ar-SA"/>
        </w:rPr>
        <w:t>审批工作。</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35"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楷体_GB2312" w:hAnsi="楷体_GB2312" w:eastAsia="楷体_GB2312" w:cs="楷体_GB2312"/>
          <w:b/>
          <w:bCs/>
          <w:color w:val="auto"/>
          <w:spacing w:val="0"/>
          <w:w w:val="99"/>
          <w:kern w:val="0"/>
          <w:sz w:val="32"/>
          <w:szCs w:val="32"/>
          <w:highlight w:val="none"/>
        </w:rPr>
        <w:t>（</w:t>
      </w:r>
      <w:r>
        <w:rPr>
          <w:rFonts w:hint="eastAsia" w:ascii="楷体_GB2312" w:hAnsi="楷体_GB2312" w:eastAsia="楷体_GB2312" w:cs="楷体_GB2312"/>
          <w:b/>
          <w:bCs/>
          <w:color w:val="auto"/>
          <w:spacing w:val="0"/>
          <w:w w:val="99"/>
          <w:kern w:val="0"/>
          <w:sz w:val="32"/>
          <w:szCs w:val="32"/>
          <w:highlight w:val="none"/>
          <w:lang w:val="en-US" w:eastAsia="zh-CN"/>
        </w:rPr>
        <w:t>三</w:t>
      </w:r>
      <w:r>
        <w:rPr>
          <w:rFonts w:hint="default" w:ascii="楷体_GB2312" w:hAnsi="楷体_GB2312" w:eastAsia="楷体_GB2312" w:cs="楷体_GB2312"/>
          <w:b/>
          <w:bCs/>
          <w:color w:val="auto"/>
          <w:spacing w:val="0"/>
          <w:w w:val="99"/>
          <w:kern w:val="0"/>
          <w:sz w:val="32"/>
          <w:szCs w:val="32"/>
          <w:highlight w:val="none"/>
        </w:rPr>
        <w:t>）</w:t>
      </w:r>
      <w:r>
        <w:rPr>
          <w:rFonts w:hint="eastAsia" w:ascii="楷体_GB2312" w:hAnsi="楷体_GB2312" w:eastAsia="楷体_GB2312" w:cs="楷体_GB2312"/>
          <w:b/>
          <w:bCs/>
          <w:color w:val="auto"/>
          <w:spacing w:val="0"/>
          <w:w w:val="99"/>
          <w:kern w:val="0"/>
          <w:sz w:val="32"/>
          <w:szCs w:val="32"/>
          <w:highlight w:val="none"/>
          <w:lang w:eastAsia="zh-CN"/>
        </w:rPr>
        <w:t>增强节水意识。</w:t>
      </w:r>
      <w:r>
        <w:rPr>
          <w:rFonts w:hint="eastAsia" w:ascii="Times New Roman" w:hAnsi="Times New Roman" w:eastAsia="仿宋_GB2312" w:cs="Times New Roman"/>
          <w:color w:val="auto"/>
          <w:spacing w:val="0"/>
          <w:kern w:val="0"/>
          <w:sz w:val="32"/>
          <w:szCs w:val="32"/>
          <w:highlight w:val="none"/>
          <w:lang w:val="en-US" w:eastAsia="zh-CN" w:bidi="ar-SA"/>
        </w:rPr>
        <w:t>积极采取</w:t>
      </w:r>
      <w:r>
        <w:rPr>
          <w:rFonts w:hint="default" w:ascii="Times New Roman" w:hAnsi="Times New Roman" w:eastAsia="仿宋_GB2312" w:cs="Times New Roman"/>
          <w:color w:val="auto"/>
          <w:spacing w:val="0"/>
          <w:kern w:val="0"/>
          <w:sz w:val="32"/>
          <w:szCs w:val="32"/>
          <w:highlight w:val="none"/>
          <w:lang w:val="en-US" w:eastAsia="zh-CN" w:bidi="ar-SA"/>
        </w:rPr>
        <w:t>聘请资深水利专家对地县两级农业农村、水利专业技术人员进行培训，系统讲解灌溉原理、方法、优势及操作要点，提升专业技术人员业务水平；由专业技术人员深入乡镇、村队向农户宣传节水灌溉的理念与好处；组织县</w:t>
      </w:r>
      <w:r>
        <w:rPr>
          <w:rFonts w:hint="eastAsia" w:ascii="Times New Roman" w:hAnsi="Times New Roman" w:eastAsia="仿宋_GB2312" w:cs="Times New Roman"/>
          <w:color w:val="auto"/>
          <w:spacing w:val="0"/>
          <w:kern w:val="0"/>
          <w:sz w:val="32"/>
          <w:szCs w:val="32"/>
          <w:highlight w:val="none"/>
          <w:lang w:val="en-US" w:eastAsia="zh-CN" w:bidi="ar-SA"/>
        </w:rPr>
        <w:t>（市）</w:t>
      </w:r>
      <w:r>
        <w:rPr>
          <w:rFonts w:hint="default" w:ascii="Times New Roman" w:hAnsi="Times New Roman" w:eastAsia="仿宋_GB2312" w:cs="Times New Roman"/>
          <w:color w:val="auto"/>
          <w:spacing w:val="0"/>
          <w:kern w:val="0"/>
          <w:sz w:val="32"/>
          <w:szCs w:val="32"/>
          <w:highlight w:val="none"/>
          <w:lang w:val="en-US" w:eastAsia="zh-CN" w:bidi="ar-SA"/>
        </w:rPr>
        <w:t>、乡镇、村队干部、农民合作社成员、种植大户、村民代表等</w:t>
      </w:r>
      <w:r>
        <w:rPr>
          <w:rFonts w:hint="eastAsia" w:ascii="Times New Roman" w:hAnsi="Times New Roman" w:eastAsia="仿宋_GB2312" w:cs="Times New Roman"/>
          <w:color w:val="auto"/>
          <w:spacing w:val="0"/>
          <w:kern w:val="0"/>
          <w:sz w:val="32"/>
          <w:szCs w:val="32"/>
          <w:highlight w:val="none"/>
          <w:lang w:val="en-US" w:eastAsia="zh-CN" w:bidi="ar-SA"/>
        </w:rPr>
        <w:t>赴</w:t>
      </w:r>
      <w:r>
        <w:rPr>
          <w:rFonts w:hint="default" w:ascii="Times New Roman" w:hAnsi="Times New Roman" w:eastAsia="仿宋_GB2312" w:cs="Times New Roman"/>
          <w:color w:val="auto"/>
          <w:spacing w:val="0"/>
          <w:kern w:val="0"/>
          <w:sz w:val="32"/>
          <w:szCs w:val="32"/>
          <w:highlight w:val="none"/>
          <w:lang w:val="en-US" w:eastAsia="zh-CN" w:bidi="ar-SA"/>
        </w:rPr>
        <w:t>周边地州节水灌溉示范基地观摩，提升农民的灌溉节水意识</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充分依托互联网、抖音、微信、广播电视等现代化信息平台，扩大宣传覆盖面，增强农民的节水意识。</w:t>
      </w:r>
    </w:p>
    <w:p>
      <w:pPr>
        <w:rPr>
          <w:color w:val="auto"/>
          <w:highlight w:val="none"/>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5840"/>
    <w:rsid w:val="03035935"/>
    <w:rsid w:val="04082AD7"/>
    <w:rsid w:val="049E6222"/>
    <w:rsid w:val="06391A8F"/>
    <w:rsid w:val="06A96F2C"/>
    <w:rsid w:val="079B1C32"/>
    <w:rsid w:val="07A94120"/>
    <w:rsid w:val="09350CB7"/>
    <w:rsid w:val="093977C1"/>
    <w:rsid w:val="09B05084"/>
    <w:rsid w:val="09F15029"/>
    <w:rsid w:val="0AE91C2F"/>
    <w:rsid w:val="0B2C69E0"/>
    <w:rsid w:val="0B6945C0"/>
    <w:rsid w:val="0B786E60"/>
    <w:rsid w:val="0CAF4D68"/>
    <w:rsid w:val="0D586823"/>
    <w:rsid w:val="0DB04F49"/>
    <w:rsid w:val="0DE314D8"/>
    <w:rsid w:val="0EBA2435"/>
    <w:rsid w:val="113060AA"/>
    <w:rsid w:val="14193893"/>
    <w:rsid w:val="1438633F"/>
    <w:rsid w:val="145665D8"/>
    <w:rsid w:val="14A30D26"/>
    <w:rsid w:val="14FC74F0"/>
    <w:rsid w:val="16DE3414"/>
    <w:rsid w:val="172F7158"/>
    <w:rsid w:val="178905CA"/>
    <w:rsid w:val="17FF6183"/>
    <w:rsid w:val="19461628"/>
    <w:rsid w:val="19632D1C"/>
    <w:rsid w:val="1A62560F"/>
    <w:rsid w:val="1A8C3B1A"/>
    <w:rsid w:val="1B667EC7"/>
    <w:rsid w:val="1CD4055C"/>
    <w:rsid w:val="1D5929B3"/>
    <w:rsid w:val="1D9A5679"/>
    <w:rsid w:val="1DE21EE4"/>
    <w:rsid w:val="1FA662D8"/>
    <w:rsid w:val="1FBF5811"/>
    <w:rsid w:val="20570FE3"/>
    <w:rsid w:val="20831F76"/>
    <w:rsid w:val="21B24356"/>
    <w:rsid w:val="21B56CD9"/>
    <w:rsid w:val="22185880"/>
    <w:rsid w:val="236906A5"/>
    <w:rsid w:val="239E33A1"/>
    <w:rsid w:val="24451ED6"/>
    <w:rsid w:val="24855FBD"/>
    <w:rsid w:val="248908BF"/>
    <w:rsid w:val="24C02178"/>
    <w:rsid w:val="250E63F0"/>
    <w:rsid w:val="25882297"/>
    <w:rsid w:val="25C244A4"/>
    <w:rsid w:val="25E1336D"/>
    <w:rsid w:val="266A18D4"/>
    <w:rsid w:val="267F2438"/>
    <w:rsid w:val="27623D3E"/>
    <w:rsid w:val="299918E3"/>
    <w:rsid w:val="2A4E43D2"/>
    <w:rsid w:val="2A7508E1"/>
    <w:rsid w:val="2A9206CC"/>
    <w:rsid w:val="2DB104C8"/>
    <w:rsid w:val="2DB42494"/>
    <w:rsid w:val="2E24038A"/>
    <w:rsid w:val="2E436BA9"/>
    <w:rsid w:val="2E7D06D3"/>
    <w:rsid w:val="2F422887"/>
    <w:rsid w:val="2FE85042"/>
    <w:rsid w:val="31893E3E"/>
    <w:rsid w:val="31A76E83"/>
    <w:rsid w:val="32990C1B"/>
    <w:rsid w:val="3408045D"/>
    <w:rsid w:val="345C39F7"/>
    <w:rsid w:val="34F603EE"/>
    <w:rsid w:val="35180181"/>
    <w:rsid w:val="364069DD"/>
    <w:rsid w:val="397845E5"/>
    <w:rsid w:val="3A127D55"/>
    <w:rsid w:val="3A922B1F"/>
    <w:rsid w:val="3AA52F72"/>
    <w:rsid w:val="3BAE7CDB"/>
    <w:rsid w:val="3EA200C3"/>
    <w:rsid w:val="3F9D79EB"/>
    <w:rsid w:val="407A1958"/>
    <w:rsid w:val="40EE0612"/>
    <w:rsid w:val="41205969"/>
    <w:rsid w:val="42002A64"/>
    <w:rsid w:val="42330CA9"/>
    <w:rsid w:val="431C7C04"/>
    <w:rsid w:val="44015A22"/>
    <w:rsid w:val="44317DEE"/>
    <w:rsid w:val="44644441"/>
    <w:rsid w:val="44BD3F4D"/>
    <w:rsid w:val="44CA2EEC"/>
    <w:rsid w:val="46935C55"/>
    <w:rsid w:val="46B34DB6"/>
    <w:rsid w:val="473C166C"/>
    <w:rsid w:val="48A94587"/>
    <w:rsid w:val="48EE04A5"/>
    <w:rsid w:val="49D518F1"/>
    <w:rsid w:val="4AD4712D"/>
    <w:rsid w:val="4AFF30E7"/>
    <w:rsid w:val="4BA32EDC"/>
    <w:rsid w:val="4C1A3595"/>
    <w:rsid w:val="4C93212D"/>
    <w:rsid w:val="4DA62712"/>
    <w:rsid w:val="4DC13669"/>
    <w:rsid w:val="4EB31DFA"/>
    <w:rsid w:val="4F9751E7"/>
    <w:rsid w:val="500876A5"/>
    <w:rsid w:val="521E1ABB"/>
    <w:rsid w:val="524C5390"/>
    <w:rsid w:val="52925986"/>
    <w:rsid w:val="52A6104C"/>
    <w:rsid w:val="54512A0D"/>
    <w:rsid w:val="553075D7"/>
    <w:rsid w:val="572B3C88"/>
    <w:rsid w:val="575A58DF"/>
    <w:rsid w:val="57885129"/>
    <w:rsid w:val="57C03085"/>
    <w:rsid w:val="585E7BDB"/>
    <w:rsid w:val="58A17850"/>
    <w:rsid w:val="58B34F38"/>
    <w:rsid w:val="5906188B"/>
    <w:rsid w:val="59A90764"/>
    <w:rsid w:val="5A62624E"/>
    <w:rsid w:val="5A83754C"/>
    <w:rsid w:val="5AA9184E"/>
    <w:rsid w:val="5BBB03A7"/>
    <w:rsid w:val="5CF42225"/>
    <w:rsid w:val="5D6C67DA"/>
    <w:rsid w:val="5E867220"/>
    <w:rsid w:val="60AA0793"/>
    <w:rsid w:val="60D05F1B"/>
    <w:rsid w:val="617A1A94"/>
    <w:rsid w:val="621177D5"/>
    <w:rsid w:val="621F577A"/>
    <w:rsid w:val="639D4CF9"/>
    <w:rsid w:val="64410F8F"/>
    <w:rsid w:val="6459460A"/>
    <w:rsid w:val="64693149"/>
    <w:rsid w:val="66FF570B"/>
    <w:rsid w:val="67074BA4"/>
    <w:rsid w:val="678D43EA"/>
    <w:rsid w:val="679A200A"/>
    <w:rsid w:val="688A2B6F"/>
    <w:rsid w:val="689A54AC"/>
    <w:rsid w:val="68C90E51"/>
    <w:rsid w:val="68D53C50"/>
    <w:rsid w:val="69247985"/>
    <w:rsid w:val="693A17B3"/>
    <w:rsid w:val="697605E7"/>
    <w:rsid w:val="6B0C435D"/>
    <w:rsid w:val="6B5B4FDB"/>
    <w:rsid w:val="6CEE3336"/>
    <w:rsid w:val="6D364908"/>
    <w:rsid w:val="6DD36398"/>
    <w:rsid w:val="6F046E40"/>
    <w:rsid w:val="6F146FCA"/>
    <w:rsid w:val="6F9824AF"/>
    <w:rsid w:val="7052640A"/>
    <w:rsid w:val="706C6A24"/>
    <w:rsid w:val="722F17E6"/>
    <w:rsid w:val="728B1D53"/>
    <w:rsid w:val="74147F1A"/>
    <w:rsid w:val="75A00389"/>
    <w:rsid w:val="75D83866"/>
    <w:rsid w:val="783A77CC"/>
    <w:rsid w:val="783C2CCF"/>
    <w:rsid w:val="7B373EB9"/>
    <w:rsid w:val="7DB85F4F"/>
    <w:rsid w:val="7F567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99"/>
    <w:pPr>
      <w:spacing w:after="120"/>
      <w:ind w:left="420" w:leftChars="200"/>
    </w:pPr>
  </w:style>
  <w:style w:type="paragraph" w:styleId="4">
    <w:name w:val="Body Text First Indent 2"/>
    <w:basedOn w:val="3"/>
    <w:next w:val="5"/>
    <w:qFormat/>
    <w:uiPriority w:val="99"/>
    <w:pPr>
      <w:ind w:firstLine="420" w:firstLineChars="200"/>
    </w:pPr>
  </w:style>
  <w:style w:type="paragraph" w:styleId="5">
    <w:name w:val="Plain Text"/>
    <w:basedOn w:val="1"/>
    <w:qFormat/>
    <w:uiPriority w:val="0"/>
    <w:rPr>
      <w:rFonts w:ascii="宋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7592</Words>
  <Characters>7975</Characters>
  <Lines>0</Lines>
  <Paragraphs>0</Paragraphs>
  <TotalTime>0</TotalTime>
  <ScaleCrop>false</ScaleCrop>
  <LinksUpToDate>false</LinksUpToDate>
  <CharactersWithSpaces>7998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2025-05-26T04:37:00Z</dcterms:created>
  <dc:creator>Administrator</dc:creator>
  <cp:lastModifiedBy>Administrator</cp:lastModifiedBy>
  <cp:lastPrinted>2025-06-25T07:18:00Z</cp:lastPrinted>
  <dcterms:modified xsi:type="dcterms:W3CDTF">2026-02-27T11:25:40Z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831E53BECDA14762932126DCB822756C_13</vt:lpwstr>
  </property>
  <property fmtid="{D5CDD505-2E9C-101B-9397-08002B2CF9AE}" pid="4" name="KSOTemplateDocerSaveRecord">
    <vt:lpwstr>eyJoZGlkIjoiYWE2Y2YxOTAyMzgzZjQ3MDJmYTQ1MTIzZjVkZmU1YWIiLCJ1c2VySWQiOiI3MjkwNTQzMzkifQ==</vt:lpwstr>
  </property>
</Properties>
</file>