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57FD5">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托里县库普乡阿克塔什1号石灰石矿矿山开采加工及配套设施建设项目环境影响报告表公示稿</w:t>
      </w:r>
    </w:p>
    <w:p w14:paraId="580DAD19">
      <w:pPr>
        <w:jc w:val="center"/>
        <w:rPr>
          <w:rFonts w:hint="eastAsia" w:ascii="宋体" w:hAnsi="宋体" w:eastAsia="宋体" w:cs="宋体"/>
          <w:b/>
          <w:bCs/>
          <w:sz w:val="36"/>
          <w:szCs w:val="36"/>
          <w:lang w:val="en-US" w:eastAsia="zh-CN"/>
        </w:rPr>
      </w:pPr>
    </w:p>
    <w:p w14:paraId="132B7D63">
      <w:pPr>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一、工程概况</w:t>
      </w:r>
    </w:p>
    <w:p w14:paraId="3FC612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项目名称：</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托里县库普乡阿克塔什1号石灰石矿矿山开采加工及配套设施建设项目</w:t>
      </w:r>
    </w:p>
    <w:p w14:paraId="653638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建设单位：</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托里县疆达矿业有限公司</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6B03F4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建设性质：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新建</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4C6CE6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建设规模：</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年开采石灰石矿95万吨，服务年限为31</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64年；单日破碎3167吨的石灰石破碎生产线，年产0mm～10mm石灰岩11.4万吨（产率约12%），10mm～20mm石灰岩17.1万吨（产率约18%）、20mm～40mm石灰岩28.5万吨（产率约30%）、40mm～80mm石灰岩38万吨（产率约40%）四个粒级的石灰岩成品料，0mm～10mm石灰岩用于生产细度为200目D80重钙粉；</w:t>
      </w:r>
    </w:p>
    <w:p w14:paraId="58B243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工程总投资：总投资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10380</w:t>
      </w:r>
      <w:r>
        <w:rPr>
          <w:rFonts w:hint="default" w:ascii="Times New Roman" w:hAnsi="Times New Roman" w:eastAsia="宋体" w:cs="Times New Roman"/>
          <w:color w:val="000000" w:themeColor="text1"/>
          <w:sz w:val="24"/>
          <w:szCs w:val="24"/>
          <w:highlight w:val="none"/>
          <w14:textFill>
            <w14:solidFill>
              <w14:schemeClr w14:val="tx1"/>
            </w14:solidFill>
          </w14:textFill>
        </w:rPr>
        <w:t>万元</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均为企业自筹</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BFE8F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建设地点：</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新疆维吾尔自治区塔城地区托里县西南243°方位，直线距离38km处，项目中心地理坐标为：</w:t>
      </w:r>
      <w:r>
        <w:rPr>
          <w:rFonts w:hint="default" w:ascii="Times New Roman" w:hAnsi="Times New Roman" w:eastAsia="宋体" w:cs="Times New Roman"/>
          <w:color w:val="auto"/>
          <w:spacing w:val="4"/>
          <w:sz w:val="24"/>
          <w:szCs w:val="24"/>
          <w:lang w:val="en-US" w:eastAsia="zh-CN"/>
        </w:rPr>
        <w:t>东经83°10′9.915″，北纬45°47′33.727″</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CDE30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建设内容：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本项目新建1座露天采场，1处工业场地、1座排土场、1处生活区及矿区道路</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总占地</w:t>
      </w:r>
      <w:r>
        <w:rPr>
          <w:rFonts w:hint="default" w:ascii="Times New Roman" w:hAnsi="Times New Roman" w:eastAsia="宋体" w:cs="Times New Roman"/>
          <w:color w:val="000000" w:themeColor="text1"/>
          <w:sz w:val="24"/>
          <w:szCs w:val="24"/>
          <w:highlight w:val="none"/>
          <w14:textFill>
            <w14:solidFill>
              <w14:schemeClr w14:val="tx1"/>
            </w14:solidFill>
          </w14:textFill>
        </w:rPr>
        <w:t>面积</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为129.26h</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主要进行</w:t>
      </w:r>
      <w:r>
        <w:rPr>
          <w:rFonts w:hint="default" w:ascii="Times New Roman" w:hAnsi="Times New Roman" w:eastAsia="宋体" w:cs="Times New Roman"/>
          <w:color w:val="000000" w:themeColor="text1"/>
          <w:sz w:val="24"/>
          <w:szCs w:val="24"/>
          <w:lang w:eastAsia="zh-CN"/>
          <w14:textFill>
            <w14:solidFill>
              <w14:schemeClr w14:val="tx1"/>
            </w14:solidFill>
          </w14:textFill>
        </w:rPr>
        <w:t>石灰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石</w:t>
      </w:r>
      <w:r>
        <w:rPr>
          <w:rFonts w:hint="default" w:ascii="Times New Roman" w:hAnsi="Times New Roman" w:eastAsia="宋体" w:cs="Times New Roman"/>
          <w:color w:val="000000" w:themeColor="text1"/>
          <w:sz w:val="24"/>
          <w:szCs w:val="24"/>
          <w14:textFill>
            <w14:solidFill>
              <w14:schemeClr w14:val="tx1"/>
            </w14:solidFill>
          </w14:textFill>
        </w:rPr>
        <w:t>矿开采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及破碎筛分</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矿区</w:t>
      </w:r>
      <w:r>
        <w:rPr>
          <w:rFonts w:hint="default" w:ascii="Times New Roman" w:hAnsi="Times New Roman" w:eastAsia="宋体" w:cs="Times New Roman"/>
          <w:color w:val="000000" w:themeColor="text1"/>
          <w:sz w:val="24"/>
          <w:szCs w:val="24"/>
          <w14:textFill>
            <w14:solidFill>
              <w14:schemeClr w14:val="tx1"/>
            </w14:solidFill>
          </w14:textFill>
        </w:rPr>
        <w:t>包括露天采场、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排土场、工业场地、生活区及矿区道路，工业场地包括原矿堆场、一段破碎筛分车间、二段破碎车间、成品料仓、成品临时堆场、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粉磨车间、密闭</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输送廊道、集控室、休息间、机修间及材料库等，生活区包括办公楼、宿舍等</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6690DB6E">
      <w:pPr>
        <w:pStyle w:val="2"/>
        <w:rPr>
          <w:rFonts w:hint="eastAsia"/>
          <w:b/>
          <w:bCs/>
          <w:lang w:val="en-US" w:eastAsia="zh-CN"/>
        </w:rPr>
      </w:pPr>
      <w:r>
        <w:rPr>
          <w:rFonts w:hint="eastAsia"/>
          <w:b/>
          <w:bCs/>
          <w:lang w:val="en-US" w:eastAsia="zh-CN"/>
        </w:rPr>
        <w:t>二、主要环境影响及预防或者减轻不良环境影响的对策和措施</w:t>
      </w:r>
    </w:p>
    <w:p w14:paraId="6E0EB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（一）生态环境保护措施</w:t>
      </w:r>
    </w:p>
    <w:p w14:paraId="68AA77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施工过程中严格控制车辆和各类工作人员的活动范围，使之限于在施工区范围内活动，最大限度减少对植物生存环境的踩踏破坏。运输车辆严格管理，实施封闭运输，控制车速，进出车辆冲洗等措施。施工工作面定期洒水降尘，施工场地设置围挡、物料堆放密目网遮盖，建设垃圾妥善处置等措施。运营期加强管理，禁止人员及车辆越界，运输车辆不得随意驶离道路，严禁人员捕任何野生动物。矿山开采采取边开采边治理措施，矿山开采结束后进行生态恢复措施。</w:t>
      </w:r>
      <w:r>
        <w:rPr>
          <w:rFonts w:hint="default" w:ascii="Times New Roman" w:hAnsi="Times New Roman" w:eastAsia="宋体" w:cs="Times New Roman"/>
          <w:bCs/>
          <w:color w:val="000000" w:themeColor="text1"/>
          <w:sz w:val="24"/>
          <w:szCs w:val="24"/>
          <w:highlight w:val="none"/>
          <w:lang w:val="en-GB" w:eastAsia="zh-CN"/>
          <w14:textFill>
            <w14:solidFill>
              <w14:schemeClr w14:val="tx1"/>
            </w14:solidFill>
          </w14:textFill>
        </w:rPr>
        <w:t>避免在春季大风季节以及夏季暴雨时节进行作业</w:t>
      </w:r>
      <w:r>
        <w:rPr>
          <w:rFonts w:hint="eastAsia" w:ascii="Times New Roman" w:hAnsi="Times New Roman" w:eastAsia="宋体" w:cs="Times New Roman"/>
          <w:bCs/>
          <w:color w:val="000000" w:themeColor="text1"/>
          <w:sz w:val="24"/>
          <w:szCs w:val="24"/>
          <w:highlight w:val="none"/>
          <w:lang w:val="en-GB" w:eastAsia="zh-CN"/>
          <w14:textFill>
            <w14:solidFill>
              <w14:schemeClr w14:val="tx1"/>
            </w14:solidFill>
          </w14:textFill>
        </w:rPr>
        <w:t>，</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闭矿期平整土地，拆除地面附属设施，进行土地复垦，播撒草籽等生态恢复措施，拆除的建筑垃圾全部清运至建筑垃圾填埋场处理。露天采场、排土场等区域开挖截排水沟，开挖土方加以利用，</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严格控制和管理运输车辆及重型机械的运行范围</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。在可能发生地质灾害区设警示标志。</w:t>
      </w:r>
    </w:p>
    <w:p w14:paraId="2A0EE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（二）大气污染防治措施</w:t>
      </w:r>
    </w:p>
    <w:p w14:paraId="24F5ED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施工过程中严格控制扰动面积，尽量减少施工材料的临时堆放</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严禁将建设施工材料乱堆乱放</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加强对施工队伍的宣传、教育和管理，限定施工人员活动范围</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加强运输调度管理，禁止车辆在非工作道路上到处碾压，尽可能保护原始地貌地面状态</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控制车速。施工区域设置围挡，定期洒水降尘。开采粉尘对产尘点进行洒水降尘；爆破作业前后洒水降尘，采用先进爆破设备，钻孔设备设有收尘装置；排土场采取密目网遮盖废石及表土堆放区，定期洒水降尘；</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装卸时间</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尽量</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避免大风及下雨天气，矿石堆放、装卸过程中应尽量降低落差，装卸场所应经常洒水及清扫</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运输道路定期洒水降尘，车辆篷布遮盖运输，控制车速，进出场地车辆冲洗；一段破碎筛分车间、二段破碎车间、粉磨车间进出料口设喷淋装置，一段破碎筛分车间、二段破碎车间生产过程采用脉冲布袋收尘除尘设备处理，各通过15m排气筒排放，粉磨车间采用气箱脉冲收尘除尘设备处理，通过15m排气筒排放；原矿堆场采用围挡，矿石堆放于半封闭料仓内，定期洒水降尘，进出车辆冲洗等措施抑尘；成品临时堆场采用围挡、定期洒水降尘等措施抑尘，粉磨车间生产的重钙粉采用桶装储存，暂存于成品临时堆场；4座成品料仓采取半封闭仓房、定期洒水降尘措施抑尘；工业场地内一段破碎筛分车间、二段破碎车间、粉磨车间、4座成品料仓之间物料均通过密闭输送廊道运输物料，可有效降低粉尘的排放；工业场地各产尘点均采取定期洒水降尘等措施抑尘。</w:t>
      </w:r>
    </w:p>
    <w:p w14:paraId="3A549F37">
      <w:pPr>
        <w:pStyle w:val="2"/>
        <w:keepNext w:val="0"/>
        <w:keepLines w:val="0"/>
        <w:pageBreakBefore w:val="0"/>
        <w:widowControl w:val="0"/>
        <w:kinsoku/>
        <w:wordWrap/>
        <w:overflowPunct/>
        <w:topLinePunct w:val="0"/>
        <w:autoSpaceDE/>
        <w:autoSpaceDN/>
        <w:bidi w:val="0"/>
        <w:adjustRightInd/>
        <w:snapToGrid/>
        <w:spacing w:after="0" w:afterLines="0" w:line="360" w:lineRule="auto"/>
        <w:ind w:firstLine="480" w:firstLineChars="200"/>
        <w:textAlignment w:val="auto"/>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（三）水污染防治措施</w:t>
      </w:r>
    </w:p>
    <w:p w14:paraId="45FDF7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施工人员不在矿区食宿，无生活污水产生，施工废水主要为运输车辆冲洗废水，经临时沉淀池处理后用于矿区洒水降尘；运营期矿坑涌水为大气降雨，矿坑积水时采用柴油高压水泵抽至矿区高位水池处理后用于矿区洒水降尘，</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生活污水经</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生活区地埋式一体化污水处理设施</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处理后</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用于矿区洒水降尘、绿化</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w:t>
      </w:r>
    </w:p>
    <w:p w14:paraId="0DC446DD">
      <w:pPr>
        <w:pStyle w:val="2"/>
        <w:keepNext w:val="0"/>
        <w:keepLines w:val="0"/>
        <w:pageBreakBefore w:val="0"/>
        <w:widowControl w:val="0"/>
        <w:kinsoku/>
        <w:wordWrap/>
        <w:overflowPunct/>
        <w:topLinePunct w:val="0"/>
        <w:autoSpaceDE/>
        <w:autoSpaceDN/>
        <w:bidi w:val="0"/>
        <w:adjustRightInd/>
        <w:snapToGrid/>
        <w:spacing w:after="0" w:afterLines="0" w:line="360" w:lineRule="auto"/>
        <w:ind w:firstLine="480" w:firstLineChars="200"/>
        <w:textAlignment w:val="auto"/>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（四）噪声防治措施</w:t>
      </w:r>
    </w:p>
    <w:p w14:paraId="73087E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施工机械采用低噪声设备；加强设备维护及保养，对噪声较大的设备采取基础减</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震</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措施。加强施工场地管理，合理疏导进入施工区的车辆，禁止运输车辆随意高声鸣笛。</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运营期</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严格控制生产时间，运输车辆应避开休息时间</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加强设备维护，对运输车辆进行定期检查、维护</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，选用低噪声设备，工业场地基础减震</w:t>
      </w:r>
      <w:bookmarkStart w:id="0" w:name="_GoBack"/>
      <w:bookmarkEnd w:id="0"/>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，厂房隔音；爆破作业白天进行，夜间不进行高噪声作业。</w:t>
      </w:r>
    </w:p>
    <w:p w14:paraId="64E21103">
      <w:pPr>
        <w:pStyle w:val="2"/>
        <w:keepNext w:val="0"/>
        <w:keepLines w:val="0"/>
        <w:pageBreakBefore w:val="0"/>
        <w:widowControl w:val="0"/>
        <w:kinsoku/>
        <w:wordWrap/>
        <w:overflowPunct/>
        <w:topLinePunct w:val="0"/>
        <w:autoSpaceDE/>
        <w:autoSpaceDN/>
        <w:bidi w:val="0"/>
        <w:adjustRightInd/>
        <w:snapToGrid/>
        <w:spacing w:after="0" w:afterLines="0" w:line="360" w:lineRule="auto"/>
        <w:ind w:firstLine="480" w:firstLineChars="200"/>
        <w:textAlignment w:val="auto"/>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（五）固体废物污染防治措施</w:t>
      </w:r>
    </w:p>
    <w:p w14:paraId="19D16EB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360" w:lineRule="auto"/>
        <w:ind w:left="0" w:right="0" w:firstLine="480" w:firstLineChars="200"/>
        <w:jc w:val="left"/>
        <w:textAlignment w:val="baseline"/>
        <w:rPr>
          <w:rFonts w:hint="default" w:ascii="Times New Roman" w:hAnsi="Times New Roman"/>
          <w:color w:val="auto"/>
          <w:sz w:val="24"/>
          <w:lang w:val="en-US" w:eastAsia="zh-CN"/>
        </w:rPr>
      </w:pP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施工期固体废物主要包括建设开挖产生的土石方及施工人员的生活垃圾。土石方</w:t>
      </w:r>
      <w:r>
        <w:rPr>
          <w:rFonts w:hint="eastAsia" w:ascii="Times New Roman" w:hAnsi="Times New Roman" w:eastAsia="宋体" w:cs="Times New Roman"/>
          <w:color w:val="000000" w:themeColor="text1"/>
          <w:spacing w:val="0"/>
          <w:position w:val="0"/>
          <w:sz w:val="24"/>
          <w:szCs w:val="24"/>
          <w:lang w:val="en-US" w:eastAsia="zh-CN"/>
          <w14:textFill>
            <w14:solidFill>
              <w14:schemeClr w14:val="tx1"/>
            </w14:solidFill>
          </w14:textFill>
        </w:rPr>
        <w:t>用于</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修筑场地和道路</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eastAsia" w:ascii="Times New Roman" w:hAnsi="Times New Roman" w:eastAsia="宋体" w:cs="Times New Roman"/>
          <w:color w:val="000000" w:themeColor="text1"/>
          <w:spacing w:val="0"/>
          <w:position w:val="0"/>
          <w:sz w:val="24"/>
          <w:szCs w:val="24"/>
          <w:lang w:val="en-US" w:eastAsia="zh-CN"/>
          <w14:textFill>
            <w14:solidFill>
              <w14:schemeClr w14:val="tx1"/>
            </w14:solidFill>
          </w14:textFill>
        </w:rPr>
        <w:t>生活垃圾</w:t>
      </w:r>
      <w:r>
        <w:rPr>
          <w:rFonts w:hint="eastAsia" w:eastAsia="宋体" w:cs="Times New Roman"/>
          <w:color w:val="000000" w:themeColor="text1"/>
          <w:spacing w:val="0"/>
          <w:position w:val="0"/>
          <w:sz w:val="24"/>
          <w:szCs w:val="24"/>
          <w:lang w:val="en-US" w:eastAsia="zh-CN"/>
          <w14:textFill>
            <w14:solidFill>
              <w14:schemeClr w14:val="tx1"/>
            </w14:solidFill>
          </w14:textFill>
        </w:rPr>
        <w:t>集中收集，定期清运至当地生活垃圾填埋场处理。运营期</w:t>
      </w:r>
      <w:r>
        <w:rPr>
          <w:rFonts w:hint="default" w:ascii="Times New Roman" w:hAnsi="Times New Roman" w:cs="Times New Roman"/>
          <w:color w:val="000000" w:themeColor="text1"/>
          <w:sz w:val="24"/>
          <w:highlight w:val="none"/>
          <w:lang w:val="en-US" w:eastAsia="zh-CN"/>
          <w14:textFill>
            <w14:solidFill>
              <w14:schemeClr w14:val="tx1"/>
            </w14:solidFill>
          </w14:textFill>
        </w:rPr>
        <w:t>生活垃圾设垃圾桶集中收集后统一送往</w:t>
      </w:r>
      <w:r>
        <w:rPr>
          <w:rFonts w:hint="eastAsia" w:cs="Times New Roman"/>
          <w:color w:val="000000" w:themeColor="text1"/>
          <w:sz w:val="24"/>
          <w:highlight w:val="none"/>
          <w:lang w:val="en-US" w:eastAsia="zh-CN"/>
          <w14:textFill>
            <w14:solidFill>
              <w14:schemeClr w14:val="tx1"/>
            </w14:solidFill>
          </w14:textFill>
        </w:rPr>
        <w:t>当地</w:t>
      </w:r>
      <w:r>
        <w:rPr>
          <w:rFonts w:hint="default" w:ascii="Times New Roman" w:hAnsi="Times New Roman" w:cs="Times New Roman"/>
          <w:color w:val="000000" w:themeColor="text1"/>
          <w:sz w:val="24"/>
          <w:highlight w:val="none"/>
          <w:lang w:val="en-US" w:eastAsia="zh-CN"/>
          <w14:textFill>
            <w14:solidFill>
              <w14:schemeClr w14:val="tx1"/>
            </w14:solidFill>
          </w14:textFill>
        </w:rPr>
        <w:t>垃圾填埋场集中处置</w:t>
      </w:r>
      <w:r>
        <w:rPr>
          <w:rFonts w:hint="eastAsia" w:ascii="Times New Roman" w:hAnsi="Times New Roman" w:cs="Times New Roman"/>
          <w:color w:val="000000" w:themeColor="text1"/>
          <w:sz w:val="24"/>
          <w:highlight w:val="none"/>
          <w:lang w:val="en-US" w:eastAsia="zh-CN"/>
          <w14:textFill>
            <w14:solidFill>
              <w14:schemeClr w14:val="tx1"/>
            </w14:solidFill>
          </w14:textFill>
        </w:rPr>
        <w:t>；</w:t>
      </w:r>
      <w:r>
        <w:rPr>
          <w:rFonts w:hint="eastAsia"/>
          <w:color w:val="auto"/>
          <w:sz w:val="24"/>
          <w:lang w:val="en-US" w:eastAsia="zh-CN"/>
        </w:rPr>
        <w:t>废石、表土分区堆放至排土场</w:t>
      </w:r>
      <w:r>
        <w:rPr>
          <w:rFonts w:hint="eastAsia"/>
          <w:color w:val="auto"/>
          <w:sz w:val="24"/>
          <w:lang w:eastAsia="zh-CN"/>
        </w:rPr>
        <w:t>，</w:t>
      </w:r>
      <w:r>
        <w:rPr>
          <w:rFonts w:hint="eastAsia" w:ascii="Times New Roman" w:hAnsi="Times New Roman"/>
          <w:color w:val="auto"/>
          <w:sz w:val="24"/>
          <w:lang w:eastAsia="zh-CN"/>
        </w:rPr>
        <w:t>采场剥离废石</w:t>
      </w:r>
      <w:r>
        <w:rPr>
          <w:rFonts w:hint="eastAsia" w:ascii="Times New Roman" w:hAnsi="Times New Roman"/>
          <w:color w:val="auto"/>
          <w:sz w:val="24"/>
          <w:lang w:val="en-US" w:eastAsia="zh-CN"/>
        </w:rPr>
        <w:t>前期</w:t>
      </w:r>
      <w:r>
        <w:rPr>
          <w:rFonts w:hint="eastAsia" w:ascii="Times New Roman" w:hAnsi="Times New Roman"/>
          <w:color w:val="auto"/>
          <w:sz w:val="24"/>
          <w:lang w:eastAsia="zh-CN"/>
        </w:rPr>
        <w:t>利用于简易道路铺填修复、采场边坡修护及</w:t>
      </w:r>
      <w:r>
        <w:rPr>
          <w:rFonts w:hint="eastAsia" w:ascii="Times New Roman" w:hAnsi="Times New Roman"/>
          <w:color w:val="auto"/>
          <w:sz w:val="24"/>
          <w:lang w:val="en-US" w:eastAsia="zh-CN"/>
        </w:rPr>
        <w:t>排土场</w:t>
      </w:r>
      <w:r>
        <w:rPr>
          <w:rFonts w:hint="eastAsia" w:ascii="Times New Roman" w:hAnsi="Times New Roman"/>
          <w:color w:val="auto"/>
          <w:sz w:val="24"/>
          <w:lang w:eastAsia="zh-CN"/>
        </w:rPr>
        <w:t>围堰、截排水沟修建</w:t>
      </w:r>
      <w:r>
        <w:rPr>
          <w:rFonts w:hint="eastAsia" w:ascii="Times New Roman" w:hAnsi="Times New Roman"/>
          <w:color w:val="auto"/>
          <w:sz w:val="24"/>
          <w:lang w:val="en-US" w:eastAsia="zh-CN"/>
        </w:rPr>
        <w:t>等</w:t>
      </w:r>
      <w:r>
        <w:rPr>
          <w:rFonts w:hint="eastAsia" w:ascii="Times New Roman" w:hAnsi="Times New Roman"/>
          <w:color w:val="auto"/>
          <w:sz w:val="24"/>
          <w:lang w:eastAsia="zh-CN"/>
        </w:rPr>
        <w:t>矿建设施建设后，</w:t>
      </w:r>
      <w:r>
        <w:rPr>
          <w:rFonts w:hint="eastAsia" w:ascii="Times New Roman" w:hAnsi="Times New Roman"/>
          <w:color w:val="auto"/>
          <w:sz w:val="24"/>
          <w:lang w:val="en-US" w:eastAsia="zh-CN"/>
        </w:rPr>
        <w:t>剩余</w:t>
      </w:r>
      <w:r>
        <w:rPr>
          <w:rFonts w:hint="eastAsia" w:ascii="Times New Roman" w:hAnsi="Times New Roman"/>
          <w:color w:val="auto"/>
          <w:sz w:val="24"/>
          <w:lang w:eastAsia="zh-CN"/>
        </w:rPr>
        <w:t>废石进入废石场堆存，</w:t>
      </w:r>
      <w:r>
        <w:rPr>
          <w:rFonts w:hint="eastAsia" w:ascii="Times New Roman" w:hAnsi="Times New Roman"/>
          <w:color w:val="auto"/>
          <w:sz w:val="24"/>
          <w:lang w:val="en-US" w:eastAsia="zh-CN"/>
        </w:rPr>
        <w:t>表土播撒草籽，自然恢复</w:t>
      </w:r>
      <w:r>
        <w:rPr>
          <w:rFonts w:hint="eastAsia" w:ascii="Times New Roman" w:hAnsi="Times New Roman"/>
          <w:color w:val="auto"/>
          <w:sz w:val="24"/>
          <w:lang w:eastAsia="zh-CN"/>
        </w:rPr>
        <w:t>，</w:t>
      </w:r>
      <w:r>
        <w:rPr>
          <w:rFonts w:hint="eastAsia" w:ascii="Times New Roman" w:hAnsi="Times New Roman"/>
          <w:color w:val="auto"/>
          <w:sz w:val="24"/>
          <w:lang w:val="en-US" w:eastAsia="zh-CN"/>
        </w:rPr>
        <w:t>待矿山进行土地复垦工程时将剩余废石、表土全部利用进行回填。矿区设备维护，、保养产生少量的废矿物油，集中收集至机修间内危废暂存点贮存，定期委托有资质的危废处置单位进行处置。</w:t>
      </w:r>
    </w:p>
    <w:p w14:paraId="09C973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eastAsia="宋体"/>
          <w:spacing w:val="0"/>
          <w:position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39CD03"/>
    <w:multiLevelType w:val="singleLevel"/>
    <w:tmpl w:val="0B39CD03"/>
    <w:lvl w:ilvl="0" w:tentative="0">
      <w:start w:val="1"/>
      <w:numFmt w:val="bullet"/>
      <w:pStyle w:val="4"/>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8807B2"/>
    <w:rsid w:val="19632179"/>
    <w:rsid w:val="6B246D54"/>
    <w:rsid w:val="6D880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after="0" w:afterLines="0" w:line="480" w:lineRule="exact"/>
      <w:ind w:firstLine="567" w:firstLineChars="0"/>
    </w:pPr>
    <w:rPr>
      <w:rFonts w:ascii="宋体"/>
      <w:sz w:val="28"/>
    </w:rPr>
  </w:style>
  <w:style w:type="paragraph" w:styleId="3">
    <w:name w:val="Body Text"/>
    <w:basedOn w:val="1"/>
    <w:next w:val="4"/>
    <w:qFormat/>
    <w:uiPriority w:val="0"/>
  </w:style>
  <w:style w:type="paragraph" w:styleId="4">
    <w:name w:val="List Bullet 5"/>
    <w:basedOn w:val="1"/>
    <w:qFormat/>
    <w:uiPriority w:val="0"/>
    <w:pPr>
      <w:numPr>
        <w:ilvl w:val="0"/>
        <w:numId w:val="1"/>
      </w:numPr>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2075</Words>
  <Characters>2178</Characters>
  <Lines>0</Lines>
  <Paragraphs>0</Paragraphs>
  <TotalTime>3</TotalTime>
  <ScaleCrop>false</ScaleCrop>
  <LinksUpToDate>false</LinksUpToDate>
  <CharactersWithSpaces>2178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2026-06-25T03:36:00Z</dcterms:created>
  <dc:creator>Ember</dc:creator>
  <cp:lastModifiedBy>Ember</cp:lastModifiedBy>
  <dcterms:modified xsi:type="dcterms:W3CDTF">2026-06-30T08:53:47Z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8BFCB29F34C0489F8DFB2B725D7BE24E_13</vt:lpwstr>
  </property>
  <property fmtid="{D5CDD505-2E9C-101B-9397-08002B2CF9AE}" pid="4" name="KSOTemplateDocerSaveRecord">
    <vt:lpwstr>eyJoZGlkIjoiMDJjOTEzMjQzYzUyM2Y1MmE2NWY5M2VkMGU0MDczZjEiLCJ1c2VySWQiOiIxMTMyMzE0ODY4In0=</vt:lpwstr>
  </property>
</Properties>
</file>