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AC4B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heme="majorEastAsia" w:hAnsiTheme="majorEastAsia" w:eastAsiaTheme="majorEastAsia" w:cstheme="majorEastAsia"/>
          <w:b/>
          <w:bCs/>
          <w:i w:val="0"/>
          <w:caps w:val="0"/>
          <w:color w:val="333333"/>
          <w:spacing w:val="-20"/>
          <w:sz w:val="44"/>
          <w:szCs w:val="44"/>
          <w:lang w:eastAsia="zh-CN"/>
        </w:rPr>
      </w:pPr>
    </w:p>
    <w:p w14:paraId="7E2F824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heme="majorEastAsia" w:hAnsiTheme="majorEastAsia" w:eastAsiaTheme="majorEastAsia" w:cstheme="majorEastAsia"/>
          <w:b/>
          <w:bCs/>
          <w:i w:val="0"/>
          <w:caps w:val="0"/>
          <w:color w:val="333333"/>
          <w:spacing w:val="-20"/>
          <w:sz w:val="44"/>
          <w:szCs w:val="44"/>
          <w:lang w:eastAsia="zh-CN"/>
        </w:rPr>
      </w:pPr>
    </w:p>
    <w:p w14:paraId="3F4AD321">
      <w:pPr>
        <w:pStyle w:val="5"/>
        <w:widowControl/>
        <w:spacing w:beforeAutospacing="0" w:afterAutospacing="0" w:line="560" w:lineRule="exact"/>
        <w:contextualSpacing/>
        <w:jc w:val="center"/>
        <w:rPr>
          <w:rFonts w:hint="eastAsia" w:ascii="方正小标宋简体" w:hAnsi="方正小标宋简体" w:eastAsia="方正小标宋简体" w:cs="方正小标宋简体"/>
          <w:b w:val="0"/>
          <w:bCs/>
          <w:color w:val="000000" w:themeColor="text1"/>
          <w:sz w:val="44"/>
          <w:szCs w:val="44"/>
          <w:shd w:val="clear" w:color="auto" w:fill="FFFFFF"/>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shd w:val="clear" w:color="auto" w:fill="FFFFFF"/>
          <w14:textFill>
            <w14:solidFill>
              <w14:schemeClr w14:val="tx1"/>
            </w14:solidFill>
          </w14:textFill>
        </w:rPr>
        <w:t>关于开展建材产品质量</w:t>
      </w:r>
      <w:r>
        <w:rPr>
          <w:rFonts w:hint="eastAsia" w:ascii="方正小标宋简体" w:hAnsi="方正小标宋简体" w:eastAsia="方正小标宋简体" w:cs="方正小标宋简体"/>
          <w:b w:val="0"/>
          <w:bCs/>
          <w:color w:val="000000" w:themeColor="text1"/>
          <w:sz w:val="44"/>
          <w:szCs w:val="44"/>
          <w:shd w:val="clear" w:color="auto" w:fill="FFFFFF"/>
          <w:lang w:eastAsia="zh-CN"/>
          <w14:textFill>
            <w14:solidFill>
              <w14:schemeClr w14:val="tx1"/>
            </w14:solidFill>
          </w14:textFill>
        </w:rPr>
        <w:t>监督抽查和质量提升行动</w:t>
      </w:r>
      <w:r>
        <w:rPr>
          <w:rFonts w:hint="eastAsia" w:ascii="方正小标宋简体" w:hAnsi="方正小标宋简体" w:eastAsia="方正小标宋简体" w:cs="方正小标宋简体"/>
          <w:b w:val="0"/>
          <w:bCs/>
          <w:color w:val="000000" w:themeColor="text1"/>
          <w:sz w:val="44"/>
          <w:szCs w:val="44"/>
          <w:shd w:val="clear" w:color="auto" w:fill="FFFFFF"/>
          <w14:textFill>
            <w14:solidFill>
              <w14:schemeClr w14:val="tx1"/>
            </w14:solidFill>
          </w14:textFill>
        </w:rPr>
        <w:t>的通知</w:t>
      </w:r>
    </w:p>
    <w:p w14:paraId="1CB7A3F0">
      <w:pPr>
        <w:pStyle w:val="5"/>
        <w:widowControl/>
        <w:spacing w:beforeAutospacing="0" w:afterAutospacing="0" w:line="560" w:lineRule="exact"/>
        <w:contextualSpacing/>
        <w:jc w:val="both"/>
        <w:rPr>
          <w:rFonts w:ascii="仿宋_GB2312" w:hAnsi="仿宋_GB2312" w:eastAsia="仿宋_GB2312" w:cs="仿宋_GB2312"/>
          <w:color w:val="000000" w:themeColor="text1"/>
          <w:sz w:val="44"/>
          <w:szCs w:val="44"/>
          <w:shd w:val="clear" w:color="auto" w:fill="FFFFFF"/>
          <w14:textFill>
            <w14:solidFill>
              <w14:schemeClr w14:val="tx1"/>
            </w14:solidFill>
          </w14:textFill>
        </w:rPr>
      </w:pPr>
      <w:bookmarkStart w:id="0" w:name="_GoBack"/>
      <w:bookmarkEnd w:id="0"/>
    </w:p>
    <w:p w14:paraId="0C9CEC80">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 xml:space="preserve">各县（市）市场监督管理局，地区质量与计量检测所： </w:t>
      </w:r>
    </w:p>
    <w:p w14:paraId="29CB5C06">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为切实加强建材产品质量</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安全</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监管，</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督促生产和销售者切实履行产品质量安全主体责任，</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提升全地区建材产品质量，</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为消费者提供高质量的产品</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地</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区</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市场监督管理局</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根据《关于印发202</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年产品质量监督检査计划和重点产商品监督抽查工作计划的通知》</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工作安排，</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自</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年7月至9月，</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在全地区范围内开展</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建材</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产品质量监督抽查和</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质量提升</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行动，促进建材产品高质量发展，</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现将有关</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事项</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 xml:space="preserve">通知如下： </w:t>
      </w:r>
    </w:p>
    <w:p w14:paraId="24C5A9F1">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contextualSpacing/>
        <w:jc w:val="both"/>
        <w:textAlignment w:val="auto"/>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一、</w:t>
      </w:r>
      <w:r>
        <w:rPr>
          <w:rFonts w:hint="default" w:ascii="Times New Roman" w:hAnsi="Times New Roman" w:eastAsia="黑体" w:cs="Times New Roman"/>
          <w:color w:val="000000" w:themeColor="text1"/>
          <w:sz w:val="32"/>
          <w:szCs w:val="32"/>
          <w:shd w:val="clear" w:color="auto" w:fill="FFFFFF"/>
          <w:lang w:eastAsia="zh-CN"/>
          <w14:textFill>
            <w14:solidFill>
              <w14:schemeClr w14:val="tx1"/>
            </w14:solidFill>
          </w14:textFill>
        </w:rPr>
        <w:t>坚持分类监管，明确重点方向</w:t>
      </w: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 xml:space="preserve"> </w:t>
      </w:r>
    </w:p>
    <w:p w14:paraId="3E123E5E">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3"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lang w:eastAsia="zh-CN"/>
          <w14:textFill>
            <w14:solidFill>
              <w14:schemeClr w14:val="tx1"/>
            </w14:solidFill>
          </w14:textFill>
        </w:rPr>
        <w:t>（一）重点产品。</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本次质量提升行动以</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建筑用砖、砂石料、预拌混凝土、</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防水卷材、墙体保温材料、涂料、水泥等建材产品为重点。</w:t>
      </w:r>
    </w:p>
    <w:p w14:paraId="019BCC08">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3"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lang w:eastAsia="zh-CN"/>
          <w14:textFill>
            <w14:solidFill>
              <w14:schemeClr w14:val="tx1"/>
            </w14:solidFill>
          </w14:textFill>
        </w:rPr>
        <w:t>（二）重点区域。</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以本辖区建材产品生产企业、销售流通集中区为重点区域开展专项整治。</w:t>
      </w:r>
    </w:p>
    <w:p w14:paraId="7CAD6F4C">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3"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eastAsia" w:ascii="楷体_GB2312" w:hAnsi="楷体_GB2312" w:eastAsia="楷体_GB2312" w:cs="楷体_GB2312"/>
          <w:b/>
          <w:bCs/>
          <w:color w:val="000000" w:themeColor="text1"/>
          <w:sz w:val="32"/>
          <w:szCs w:val="32"/>
          <w:shd w:val="clear" w:color="auto" w:fill="FFFFFF"/>
          <w:lang w:eastAsia="zh-CN"/>
          <w14:textFill>
            <w14:solidFill>
              <w14:schemeClr w14:val="tx1"/>
            </w14:solidFill>
          </w14:textFill>
        </w:rPr>
        <w:t>（三）重点问题。</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专项整治重点针对生产或销售不符合国家标准要求的建材产品等问题进行。</w:t>
      </w:r>
    </w:p>
    <w:p w14:paraId="5C9B5EAC">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shd w:val="clear" w:color="auto" w:fill="FFFFFF"/>
          <w:lang w:eastAsia="zh-CN"/>
          <w14:textFill>
            <w14:solidFill>
              <w14:schemeClr w14:val="tx1"/>
            </w14:solidFill>
          </w14:textFill>
        </w:rPr>
        <w:t>（四）重点抽查。</w:t>
      </w:r>
      <w:r>
        <w:rPr>
          <w:rFonts w:hint="default" w:ascii="Times New Roman" w:hAnsi="Times New Roman" w:eastAsia="仿宋_GB2312" w:cs="Times New Roman"/>
          <w:color w:val="000000" w:themeColor="text1"/>
          <w:sz w:val="32"/>
          <w:szCs w:val="32"/>
          <w14:textFill>
            <w14:solidFill>
              <w14:schemeClr w14:val="tx1"/>
            </w14:solidFill>
          </w14:textFill>
        </w:rPr>
        <w:t>监督抽查产品范围包括烧结普通砖</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烧结多孔砖和多孔砌块</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混凝土路面砖、混凝土实心砖、绝热用模塑聚苯乙烯泡沫塑料、绝热用挤塑聚苯乙烯泡沫塑料、蒸压加气混凝土砌块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检验项目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以</w:t>
      </w:r>
      <w:r>
        <w:rPr>
          <w:rFonts w:hint="default" w:ascii="Times New Roman" w:hAnsi="Times New Roman" w:eastAsia="仿宋_GB2312" w:cs="Times New Roman"/>
          <w:color w:val="000000" w:themeColor="text1"/>
          <w:sz w:val="32"/>
          <w:szCs w:val="32"/>
          <w14:textFill>
            <w14:solidFill>
              <w14:schemeClr w14:val="tx1"/>
            </w14:solidFill>
          </w14:textFill>
        </w:rPr>
        <w:t>强度等级</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密度等级、</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尺寸允许偏差、</w:t>
      </w:r>
      <w:r>
        <w:rPr>
          <w:rFonts w:hint="default" w:ascii="Times New Roman" w:hAnsi="Times New Roman" w:eastAsia="仿宋_GB2312" w:cs="Times New Roman"/>
          <w:color w:val="000000" w:themeColor="text1"/>
          <w:sz w:val="32"/>
          <w:szCs w:val="32"/>
          <w14:textFill>
            <w14:solidFill>
              <w14:schemeClr w14:val="tx1"/>
            </w14:solidFill>
          </w14:textFill>
        </w:rPr>
        <w:t>吸水率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压缩强度、尺寸稳定性、</w:t>
      </w:r>
      <w:r>
        <w:rPr>
          <w:rFonts w:hint="default" w:ascii="Times New Roman" w:hAnsi="Times New Roman" w:eastAsia="仿宋_GB2312" w:cs="Times New Roman"/>
          <w:color w:val="000000" w:themeColor="text1"/>
          <w:sz w:val="32"/>
          <w:szCs w:val="32"/>
          <w14:textFill>
            <w14:solidFill>
              <w14:schemeClr w14:val="tx1"/>
            </w14:solidFill>
          </w14:textFill>
        </w:rPr>
        <w:t>抗压强度</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为主</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14:paraId="2B21FCAD">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contextualSpacing/>
        <w:jc w:val="both"/>
        <w:textAlignment w:val="auto"/>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二、</w:t>
      </w:r>
      <w:r>
        <w:rPr>
          <w:rFonts w:hint="default" w:ascii="Times New Roman" w:hAnsi="Times New Roman" w:eastAsia="黑体" w:cs="Times New Roman"/>
          <w:color w:val="000000" w:themeColor="text1"/>
          <w:sz w:val="32"/>
          <w:szCs w:val="32"/>
          <w:shd w:val="clear" w:color="auto" w:fill="FFFFFF"/>
          <w:lang w:eastAsia="zh-CN"/>
          <w14:textFill>
            <w14:solidFill>
              <w14:schemeClr w14:val="tx1"/>
            </w14:solidFill>
          </w14:textFill>
        </w:rPr>
        <w:t>采取有效措施，推进工作落实</w:t>
      </w: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 xml:space="preserve"> </w:t>
      </w:r>
    </w:p>
    <w:p w14:paraId="55BAD5D5">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3"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14:textFill>
            <w14:solidFill>
              <w14:schemeClr w14:val="tx1"/>
            </w14:solidFill>
          </w14:textFill>
        </w:rPr>
        <w:t>（一）</w:t>
      </w:r>
      <w:r>
        <w:rPr>
          <w:rFonts w:hint="default" w:ascii="Times New Roman" w:hAnsi="Times New Roman" w:eastAsia="楷体_GB2312" w:cs="Times New Roman"/>
          <w:b/>
          <w:bCs/>
          <w:color w:val="000000" w:themeColor="text1"/>
          <w:sz w:val="32"/>
          <w:szCs w:val="32"/>
          <w:shd w:val="clear" w:color="auto" w:fill="FFFFFF"/>
          <w:lang w:eastAsia="zh-CN"/>
          <w14:textFill>
            <w14:solidFill>
              <w14:schemeClr w14:val="tx1"/>
            </w14:solidFill>
          </w14:textFill>
        </w:rPr>
        <w:t>落实建材企业质量安全主体责任。</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严格落实生产、销售企业75、76号令工作职责，建立健全日管控、周排查、月调度工作制度；</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各县（市）市场监管局要实现辖区相关产品生产企业检查全覆盖，建材销售流通市场检查全覆盖。并组织辖区建材产品生产企业和销售经营单位开展全面自查，对发现的问题和风险隐患及时进行整改。企业自查和整改报告需报本辖区市场监管部门备案。</w:t>
      </w:r>
    </w:p>
    <w:p w14:paraId="05AB4681">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3"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lang w:eastAsia="zh-CN"/>
          <w14:textFill>
            <w14:solidFill>
              <w14:schemeClr w14:val="tx1"/>
            </w14:solidFill>
          </w14:textFill>
        </w:rPr>
        <w:t>（二）助推建材行业质量提升。</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各县（市）市场监管局要以质量强企活动为抓手，全面开展建材产品质量提升行动，针对中小微建材企业开展“质量明白人”培训，</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设立首席质量官，</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引导建材企业加强质量文化建设，通过“质量月”等活动，引据质量文化，不断提高建材企业的质量、诚信、责任意识。</w:t>
      </w:r>
    </w:p>
    <w:p w14:paraId="0B919BF7">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3"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lang w:eastAsia="zh-CN"/>
          <w14:textFill>
            <w14:solidFill>
              <w14:schemeClr w14:val="tx1"/>
            </w14:solidFill>
          </w14:textFill>
        </w:rPr>
        <w:t>（三）加强建材生产企业质量安全隐患排查。</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各县（市）市场监管局要摸清建材产品生产企业底数，</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分别建立监管台账，要对建材生产企业进行分类评价，强力推进分级监管工作</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。全面开展建材生产企业质量安全隐患排查，突出检查可能造成产品质量不合格的重要环节，梳理问题清单，责令企业对发现的问题和隐患整改到位，逐一销账。</w:t>
      </w:r>
    </w:p>
    <w:p w14:paraId="1DF887AD">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3"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lang w:eastAsia="zh-CN"/>
          <w14:textFill>
            <w14:solidFill>
              <w14:schemeClr w14:val="tx1"/>
            </w14:solidFill>
          </w14:textFill>
        </w:rPr>
        <w:t>（四）强化建材生产经营企业监督检查。</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各县（市）市场监管局要按照分类监管要求，加大对辖区建材产品生产、销售经营单位的监督检查力度和频次，检查企业是否按要求开展自查和整改，监管人员逐一进销账。对生产企业，</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检查重点以下</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五</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个方面内容：</w:t>
      </w:r>
      <w:r>
        <w:rPr>
          <w:rFonts w:hint="default" w:ascii="Times New Roman" w:hAnsi="Times New Roman" w:eastAsia="仿宋_GB2312" w:cs="Times New Roman"/>
          <w:b/>
          <w:bCs/>
          <w:color w:val="000000" w:themeColor="text1"/>
          <w:sz w:val="32"/>
          <w:szCs w:val="32"/>
          <w:shd w:val="clear" w:color="auto" w:fill="FFFFFF"/>
          <w14:textFill>
            <w14:solidFill>
              <w14:schemeClr w14:val="tx1"/>
            </w14:solidFill>
          </w14:textFill>
        </w:rPr>
        <w:t>一查</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企业是否制定关键质量控制点操作程序，记录是否完整；</w:t>
      </w:r>
      <w:r>
        <w:rPr>
          <w:rFonts w:hint="default" w:ascii="Times New Roman" w:hAnsi="Times New Roman" w:eastAsia="仿宋_GB2312" w:cs="Times New Roman"/>
          <w:b/>
          <w:bCs/>
          <w:color w:val="000000" w:themeColor="text1"/>
          <w:sz w:val="32"/>
          <w:szCs w:val="32"/>
          <w:shd w:val="clear" w:color="auto" w:fill="FFFFFF"/>
          <w:lang w:eastAsia="zh-CN"/>
          <w14:textFill>
            <w14:solidFill>
              <w14:schemeClr w14:val="tx1"/>
            </w14:solidFill>
          </w14:textFill>
        </w:rPr>
        <w:t>二查</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企业原辅料进厂是否进行登记，查验相关合格证明（生产许可证、检验报告）、主要原料是否建立进厂检验制度；</w:t>
      </w:r>
      <w:r>
        <w:rPr>
          <w:rFonts w:hint="default" w:ascii="Times New Roman" w:hAnsi="Times New Roman" w:eastAsia="仿宋_GB2312" w:cs="Times New Roman"/>
          <w:b/>
          <w:bCs/>
          <w:color w:val="000000" w:themeColor="text1"/>
          <w:sz w:val="32"/>
          <w:szCs w:val="32"/>
          <w:shd w:val="clear" w:color="auto" w:fill="FFFFFF"/>
          <w:lang w:eastAsia="zh-CN"/>
          <w14:textFill>
            <w14:solidFill>
              <w14:schemeClr w14:val="tx1"/>
            </w14:solidFill>
          </w14:textFill>
        </w:rPr>
        <w:t>三</w:t>
      </w:r>
      <w:r>
        <w:rPr>
          <w:rFonts w:hint="default" w:ascii="Times New Roman" w:hAnsi="Times New Roman" w:eastAsia="仿宋_GB2312" w:cs="Times New Roman"/>
          <w:b/>
          <w:bCs/>
          <w:color w:val="000000" w:themeColor="text1"/>
          <w:sz w:val="32"/>
          <w:szCs w:val="32"/>
          <w:shd w:val="clear" w:color="auto" w:fill="FFFFFF"/>
          <w14:textFill>
            <w14:solidFill>
              <w14:schemeClr w14:val="tx1"/>
            </w14:solidFill>
          </w14:textFill>
        </w:rPr>
        <w:t>查</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企业是否具备相应的检验能力和条件，满足质量检验要求。企业是否按标准组织生产，是否建立了生产记录台帐；</w:t>
      </w:r>
      <w:r>
        <w:rPr>
          <w:rFonts w:hint="default" w:ascii="Times New Roman" w:hAnsi="Times New Roman" w:eastAsia="仿宋_GB2312" w:cs="Times New Roman"/>
          <w:b/>
          <w:bCs/>
          <w:color w:val="000000" w:themeColor="text1"/>
          <w:sz w:val="32"/>
          <w:szCs w:val="32"/>
          <w:shd w:val="clear" w:color="auto" w:fill="FFFFFF"/>
          <w:lang w:eastAsia="zh-CN"/>
          <w14:textFill>
            <w14:solidFill>
              <w14:schemeClr w14:val="tx1"/>
            </w14:solidFill>
          </w14:textFill>
        </w:rPr>
        <w:t>四</w:t>
      </w:r>
      <w:r>
        <w:rPr>
          <w:rFonts w:hint="default" w:ascii="Times New Roman" w:hAnsi="Times New Roman" w:eastAsia="仿宋_GB2312" w:cs="Times New Roman"/>
          <w:b/>
          <w:bCs/>
          <w:color w:val="000000" w:themeColor="text1"/>
          <w:sz w:val="32"/>
          <w:szCs w:val="32"/>
          <w:shd w:val="clear" w:color="auto" w:fill="FFFFFF"/>
          <w14:textFill>
            <w14:solidFill>
              <w14:schemeClr w14:val="tx1"/>
            </w14:solidFill>
          </w14:textFill>
        </w:rPr>
        <w:t>查</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企业产品是否经检验合格出厂，产品标识是否符合有关要求，是否建立销售台帐；</w:t>
      </w:r>
      <w:r>
        <w:rPr>
          <w:rFonts w:hint="default" w:ascii="Times New Roman" w:hAnsi="Times New Roman" w:eastAsia="仿宋_GB2312" w:cs="Times New Roman"/>
          <w:b/>
          <w:bCs/>
          <w:color w:val="000000" w:themeColor="text1"/>
          <w:sz w:val="32"/>
          <w:szCs w:val="32"/>
          <w:shd w:val="clear" w:color="auto" w:fill="FFFFFF"/>
          <w:lang w:eastAsia="zh-CN"/>
          <w14:textFill>
            <w14:solidFill>
              <w14:schemeClr w14:val="tx1"/>
            </w14:solidFill>
          </w14:textFill>
        </w:rPr>
        <w:t>五</w:t>
      </w:r>
      <w:r>
        <w:rPr>
          <w:rFonts w:hint="default" w:ascii="Times New Roman" w:hAnsi="Times New Roman" w:eastAsia="仿宋_GB2312" w:cs="Times New Roman"/>
          <w:b/>
          <w:bCs/>
          <w:color w:val="000000" w:themeColor="text1"/>
          <w:sz w:val="32"/>
          <w:szCs w:val="32"/>
          <w:shd w:val="clear" w:color="auto" w:fill="FFFFFF"/>
          <w14:textFill>
            <w14:solidFill>
              <w14:schemeClr w14:val="tx1"/>
            </w14:solidFill>
          </w14:textFill>
        </w:rPr>
        <w:t>查</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企业</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产品标准是否齐全，是否</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有当年</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的产品质量检验报告等。</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对销售经营单位，重点检查以下内容：是否建立和执行进货验收制度；是否健全销售台账；是否存在销售不符合国家标准的产品等。</w:t>
      </w:r>
    </w:p>
    <w:p w14:paraId="5653CCA2">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3"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lang w:eastAsia="zh-CN"/>
          <w14:textFill>
            <w14:solidFill>
              <w14:schemeClr w14:val="tx1"/>
            </w14:solidFill>
          </w14:textFill>
        </w:rPr>
        <w:t>（五）加大建材产品质量监督抽查力度。</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各县（市）市场监管局可根据本辖区情况，统筹安排监督抽查。原则上以发现问题多的产品、销售流通集中区域为主。监督抽查检验突出关键项目和安全性能指标。地区市场监督管理局根据年初的监督抽查计划，委托塔城地区质量与计量检验所组织开展生产及流通领域建材产品地区监督抽查工作。</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具体要求详见附件1。</w:t>
      </w:r>
    </w:p>
    <w:p w14:paraId="6BA7387F">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3"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lang w:eastAsia="zh-CN"/>
          <w14:textFill>
            <w14:solidFill>
              <w14:schemeClr w14:val="tx1"/>
            </w14:solidFill>
          </w14:textFill>
        </w:rPr>
        <w:t>（六）严厉查处建材产品违法经营行为。</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各县（市）市场监管局要加大对生产和流通领域建材产品执法检查力度，严厉打击“三无”产品。对生产、销售假冒伪劣建材产品的违法行为，或无生产许可证、强制性产品认证证书组织生产的违法行为，依法严厉打击；对涉嫌犯罪的，移送司法机关处理；对严重违法企业，报请当地政府依法取缔。</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 xml:space="preserve"> </w:t>
      </w:r>
    </w:p>
    <w:p w14:paraId="0C32676F">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contextualSpacing/>
        <w:jc w:val="both"/>
        <w:textAlignment w:val="auto"/>
        <w:rPr>
          <w:rFonts w:hint="default" w:ascii="Times New Roman" w:hAnsi="Times New Roman" w:eastAsia="黑体"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三、</w:t>
      </w:r>
      <w:r>
        <w:rPr>
          <w:rFonts w:hint="default" w:ascii="Times New Roman" w:hAnsi="Times New Roman" w:eastAsia="黑体" w:cs="Times New Roman"/>
          <w:color w:val="000000" w:themeColor="text1"/>
          <w:sz w:val="32"/>
          <w:szCs w:val="32"/>
          <w:shd w:val="clear" w:color="auto" w:fill="FFFFFF"/>
          <w:lang w:eastAsia="zh-CN"/>
          <w14:textFill>
            <w14:solidFill>
              <w14:schemeClr w14:val="tx1"/>
            </w14:solidFill>
          </w14:textFill>
        </w:rPr>
        <w:t>强化工作落实，提升整治效果</w:t>
      </w:r>
    </w:p>
    <w:p w14:paraId="3BD7568B">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3"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14:textFill>
            <w14:solidFill>
              <w14:schemeClr w14:val="tx1"/>
            </w14:solidFill>
          </w14:textFill>
        </w:rPr>
        <w:t>（一）</w:t>
      </w:r>
      <w:r>
        <w:rPr>
          <w:rFonts w:hint="default" w:ascii="Times New Roman" w:hAnsi="Times New Roman" w:eastAsia="楷体_GB2312" w:cs="Times New Roman"/>
          <w:b/>
          <w:bCs/>
          <w:color w:val="000000" w:themeColor="text1"/>
          <w:sz w:val="32"/>
          <w:szCs w:val="32"/>
          <w:shd w:val="clear" w:color="auto" w:fill="FFFFFF"/>
          <w:lang w:eastAsia="zh-CN"/>
          <w14:textFill>
            <w14:solidFill>
              <w14:schemeClr w14:val="tx1"/>
            </w14:solidFill>
          </w14:textFill>
        </w:rPr>
        <w:t>提高政治站位，强化责任担当。</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各县（市）</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市场监管</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局要</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高度</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重视</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本次质量提升行动</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对发现的问题和隐患要盯住不放，进行现场核查、巡查回访、到期复检，确保整改到位。要主动向当地政府汇报建材产品质量状况，为政府提供质量信息支持。同时，要及时将辖区内建材产品质量状况形成专题报告，通报给各乡镇（场）及有关部门。</w:t>
      </w:r>
    </w:p>
    <w:p w14:paraId="64809B52">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3"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14:textFill>
            <w14:solidFill>
              <w14:schemeClr w14:val="tx1"/>
            </w14:solidFill>
          </w14:textFill>
        </w:rPr>
        <w:t>（二）</w:t>
      </w:r>
      <w:r>
        <w:rPr>
          <w:rFonts w:hint="default" w:ascii="Times New Roman" w:hAnsi="Times New Roman" w:eastAsia="楷体_GB2312" w:cs="Times New Roman"/>
          <w:b/>
          <w:bCs/>
          <w:color w:val="000000" w:themeColor="text1"/>
          <w:sz w:val="32"/>
          <w:szCs w:val="32"/>
          <w:shd w:val="clear" w:color="auto" w:fill="FFFFFF"/>
          <w:lang w:eastAsia="zh-CN"/>
          <w14:textFill>
            <w14:solidFill>
              <w14:schemeClr w14:val="tx1"/>
            </w14:solidFill>
          </w14:textFill>
        </w:rPr>
        <w:t>强化后处理工作，确保整治成果。</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各县（市）</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市场监管</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局严格按照《中华人民共和国产品质量法》、《产品质量监督抽查管理办法》和《产品质量国家监督抽查不合格产品生产企业后处理工作规定》等有关法律法规，认真做好产品质量检验不合格企业的后处理工作。对监督检查中产品不合格的生产企业，限期整改，问题严重的责令停止生产销售该类产品。待产品质量合格后，经申报批准，方可销售。</w:t>
      </w:r>
    </w:p>
    <w:p w14:paraId="59603DBF">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3"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14:textFill>
            <w14:solidFill>
              <w14:schemeClr w14:val="tx1"/>
            </w14:solidFill>
          </w14:textFill>
        </w:rPr>
        <w:t>（三）</w:t>
      </w:r>
      <w:r>
        <w:rPr>
          <w:rFonts w:hint="default" w:ascii="Times New Roman" w:hAnsi="Times New Roman" w:eastAsia="楷体_GB2312" w:cs="Times New Roman"/>
          <w:b/>
          <w:bCs/>
          <w:color w:val="000000" w:themeColor="text1"/>
          <w:sz w:val="32"/>
          <w:szCs w:val="32"/>
          <w:shd w:val="clear" w:color="auto" w:fill="FFFFFF"/>
          <w:lang w:eastAsia="zh-CN"/>
          <w14:textFill>
            <w14:solidFill>
              <w14:schemeClr w14:val="tx1"/>
            </w14:solidFill>
          </w14:textFill>
        </w:rPr>
        <w:t>运用信息系统，依法实施信用约束。</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各县（市）局要按照“谁管辖、谁负责，谁检查、谁录入”的原则，及时将</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建材产品生产、销售企业的违法违规信息、监督检查信息、监督</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抽查</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检验</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情况</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录入“产品质量监管平台”。</w:t>
      </w:r>
    </w:p>
    <w:p w14:paraId="2F0CFD5A">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3"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楷体_GB2312" w:cs="Times New Roman"/>
          <w:b/>
          <w:bCs/>
          <w:color w:val="000000" w:themeColor="text1"/>
          <w:sz w:val="32"/>
          <w:szCs w:val="32"/>
          <w:shd w:val="clear" w:color="auto" w:fill="FFFFFF"/>
          <w:lang w:eastAsia="zh-CN"/>
          <w14:textFill>
            <w14:solidFill>
              <w14:schemeClr w14:val="tx1"/>
            </w14:solidFill>
          </w14:textFill>
        </w:rPr>
        <w:t>（四）加强信息报送，推广经验做法。</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各县（市）市场监管局</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就日常检查、抽查数据归集整理，并及时总结好经验、好做法，以信息形式及时上报。9月25日前报送将工作总结完成情况和附件3报送地区局质量监督科。地区质计所在监督抽查工作结束后，将附件1（包括附录1、2）上报地区局质量监督科。</w:t>
      </w:r>
    </w:p>
    <w:p w14:paraId="5C96359A">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联</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系</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人：常 亮</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18099305106</w:t>
      </w:r>
    </w:p>
    <w:p w14:paraId="24E1C7A0">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电子邮箱：tcdqzlk@tc.xjaic.gov.cn</w:t>
      </w:r>
    </w:p>
    <w:p w14:paraId="5FCDF91E">
      <w:pPr>
        <w:pStyle w:val="5"/>
        <w:keepNext w:val="0"/>
        <w:keepLines w:val="0"/>
        <w:pageBreakBefore w:val="0"/>
        <w:widowControl/>
        <w:kinsoku/>
        <w:wordWrap/>
        <w:overflowPunct/>
        <w:topLinePunct w:val="0"/>
        <w:autoSpaceDE/>
        <w:autoSpaceDN/>
        <w:bidi w:val="0"/>
        <w:spacing w:beforeAutospacing="0" w:afterAutospacing="0" w:line="560" w:lineRule="exact"/>
        <w:ind w:left="0" w:leftChars="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p w14:paraId="1AF889D6">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附件：1.</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塔城地区开展建材产品质量</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监督抽查的实施意见</w:t>
      </w:r>
    </w:p>
    <w:p w14:paraId="66CE3F54">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1600" w:firstLineChars="5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2.塔城地区建材生产企业名单汇总表</w:t>
      </w:r>
    </w:p>
    <w:p w14:paraId="69D7FCB0">
      <w:pPr>
        <w:pStyle w:val="5"/>
        <w:keepNext w:val="0"/>
        <w:keepLines w:val="0"/>
        <w:pageBreakBefore w:val="0"/>
        <w:widowControl/>
        <w:kinsoku/>
        <w:wordWrap/>
        <w:overflowPunct/>
        <w:topLinePunct w:val="0"/>
        <w:autoSpaceDE/>
        <w:autoSpaceDN/>
        <w:bidi w:val="0"/>
        <w:spacing w:beforeAutospacing="0" w:afterAutospacing="0" w:line="560" w:lineRule="exact"/>
        <w:ind w:left="0" w:leftChars="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 xml:space="preserve"> 3.塔城地区建材专项监督检查统计表</w:t>
      </w:r>
    </w:p>
    <w:p w14:paraId="0FFE50A6">
      <w:pPr>
        <w:pStyle w:val="5"/>
        <w:keepNext w:val="0"/>
        <w:keepLines w:val="0"/>
        <w:pageBreakBefore w:val="0"/>
        <w:widowControl/>
        <w:kinsoku/>
        <w:wordWrap/>
        <w:overflowPunct/>
        <w:topLinePunct w:val="0"/>
        <w:autoSpaceDE/>
        <w:autoSpaceDN/>
        <w:bidi w:val="0"/>
        <w:spacing w:beforeAutospacing="0" w:afterAutospacing="0" w:line="560" w:lineRule="exact"/>
        <w:ind w:left="0" w:leftChars="0"/>
        <w:contextualSpacing/>
        <w:jc w:val="both"/>
        <w:textAlignment w:val="auto"/>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 xml:space="preserve">    </w:t>
      </w:r>
    </w:p>
    <w:p w14:paraId="26B74BB9">
      <w:pPr>
        <w:pStyle w:val="5"/>
        <w:keepNext w:val="0"/>
        <w:keepLines w:val="0"/>
        <w:pageBreakBefore w:val="0"/>
        <w:widowControl/>
        <w:kinsoku/>
        <w:wordWrap/>
        <w:overflowPunct/>
        <w:topLinePunct w:val="0"/>
        <w:autoSpaceDE/>
        <w:autoSpaceDN/>
        <w:bidi w:val="0"/>
        <w:spacing w:beforeAutospacing="0" w:afterAutospacing="0" w:line="560" w:lineRule="exact"/>
        <w:ind w:left="0" w:leftChars="0"/>
        <w:contextualSpacing/>
        <w:jc w:val="both"/>
        <w:textAlignment w:val="auto"/>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pPr>
    </w:p>
    <w:p w14:paraId="5762138E">
      <w:pPr>
        <w:pStyle w:val="5"/>
        <w:keepNext w:val="0"/>
        <w:keepLines w:val="0"/>
        <w:pageBreakBefore w:val="0"/>
        <w:widowControl/>
        <w:kinsoku/>
        <w:wordWrap/>
        <w:overflowPunct/>
        <w:topLinePunct w:val="0"/>
        <w:autoSpaceDE/>
        <w:autoSpaceDN/>
        <w:bidi w:val="0"/>
        <w:spacing w:beforeAutospacing="0" w:afterAutospacing="0" w:line="560" w:lineRule="exact"/>
        <w:ind w:left="0" w:leftChars="0"/>
        <w:contextualSpacing/>
        <w:jc w:val="both"/>
        <w:textAlignment w:val="auto"/>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pPr>
    </w:p>
    <w:p w14:paraId="62140B32">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4480" w:firstLineChars="14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塔城地区市场监督管理局</w:t>
      </w:r>
    </w:p>
    <w:p w14:paraId="3B24892D">
      <w:pPr>
        <w:pStyle w:val="5"/>
        <w:keepNext w:val="0"/>
        <w:keepLines w:val="0"/>
        <w:pageBreakBefore w:val="0"/>
        <w:widowControl/>
        <w:kinsoku/>
        <w:wordWrap/>
        <w:overflowPunct/>
        <w:topLinePunct w:val="0"/>
        <w:autoSpaceDE/>
        <w:autoSpaceDN/>
        <w:bidi w:val="0"/>
        <w:spacing w:beforeAutospacing="0" w:afterAutospacing="0" w:line="560" w:lineRule="exact"/>
        <w:ind w:left="0" w:leftChars="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年</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月</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日</w:t>
      </w:r>
    </w:p>
    <w:p w14:paraId="0249721E">
      <w:pPr>
        <w:pStyle w:val="5"/>
        <w:keepNext w:val="0"/>
        <w:keepLines w:val="0"/>
        <w:pageBreakBefore w:val="0"/>
        <w:widowControl/>
        <w:kinsoku/>
        <w:wordWrap/>
        <w:overflowPunct/>
        <w:topLinePunct w:val="0"/>
        <w:autoSpaceDE/>
        <w:autoSpaceDN/>
        <w:bidi w:val="0"/>
        <w:spacing w:beforeAutospacing="0" w:afterAutospacing="0" w:line="560" w:lineRule="exact"/>
        <w:ind w:left="0" w:leftChars="0"/>
        <w:contextualSpacing/>
        <w:jc w:val="both"/>
        <w:textAlignment w:val="auto"/>
        <w:rPr>
          <w:rFonts w:hint="default" w:ascii="Times New Roman" w:hAnsi="Times New Roman" w:eastAsia="仿宋_GB2312" w:cs="Times New Roman"/>
          <w:color w:val="000000" w:themeColor="text1"/>
          <w:sz w:val="30"/>
          <w:szCs w:val="30"/>
          <w:shd w:val="clear" w:color="auto" w:fill="FFFFFF"/>
          <w14:textFill>
            <w14:solidFill>
              <w14:schemeClr w14:val="tx1"/>
            </w14:solidFill>
          </w14:textFill>
        </w:rPr>
      </w:pPr>
    </w:p>
    <w:p w14:paraId="6B6B07AE">
      <w:pPr>
        <w:pStyle w:val="5"/>
        <w:keepNext w:val="0"/>
        <w:keepLines w:val="0"/>
        <w:pageBreakBefore w:val="0"/>
        <w:widowControl/>
        <w:kinsoku/>
        <w:wordWrap/>
        <w:overflowPunct/>
        <w:topLinePunct w:val="0"/>
        <w:autoSpaceDE/>
        <w:autoSpaceDN/>
        <w:bidi w:val="0"/>
        <w:spacing w:beforeAutospacing="0" w:afterAutospacing="0" w:line="560" w:lineRule="exact"/>
        <w:ind w:left="0" w:leftChars="0"/>
        <w:contextualSpacing/>
        <w:jc w:val="both"/>
        <w:textAlignment w:val="auto"/>
        <w:rPr>
          <w:rFonts w:hint="eastAsia" w:ascii="黑体" w:hAnsi="黑体" w:eastAsia="黑体" w:cs="黑体"/>
          <w:color w:val="000000" w:themeColor="text1"/>
          <w:sz w:val="32"/>
          <w:szCs w:val="32"/>
          <w:shd w:val="clear" w:color="auto" w:fill="FFFFFF"/>
          <w14:textFill>
            <w14:solidFill>
              <w14:schemeClr w14:val="tx1"/>
            </w14:solidFill>
          </w14:textFill>
        </w:rPr>
      </w:pPr>
    </w:p>
    <w:p w14:paraId="59EAA31D">
      <w:pPr>
        <w:pStyle w:val="5"/>
        <w:keepNext w:val="0"/>
        <w:keepLines w:val="0"/>
        <w:pageBreakBefore w:val="0"/>
        <w:widowControl/>
        <w:kinsoku/>
        <w:wordWrap/>
        <w:overflowPunct/>
        <w:topLinePunct w:val="0"/>
        <w:autoSpaceDE/>
        <w:autoSpaceDN/>
        <w:bidi w:val="0"/>
        <w:spacing w:beforeAutospacing="0" w:afterAutospacing="0" w:line="560" w:lineRule="exact"/>
        <w:ind w:left="0" w:leftChars="0"/>
        <w:contextualSpacing/>
        <w:jc w:val="both"/>
        <w:textAlignment w:val="auto"/>
        <w:rPr>
          <w:rFonts w:hint="eastAsia" w:ascii="黑体" w:hAnsi="黑体" w:eastAsia="黑体" w:cs="黑体"/>
          <w:color w:val="000000" w:themeColor="text1"/>
          <w:sz w:val="32"/>
          <w:szCs w:val="32"/>
          <w:shd w:val="clear" w:color="auto" w:fill="FFFFFF"/>
          <w14:textFill>
            <w14:solidFill>
              <w14:schemeClr w14:val="tx1"/>
            </w14:solidFill>
          </w14:textFill>
        </w:rPr>
      </w:pPr>
    </w:p>
    <w:p w14:paraId="4B2998E5">
      <w:pPr>
        <w:pStyle w:val="5"/>
        <w:keepNext w:val="0"/>
        <w:keepLines w:val="0"/>
        <w:pageBreakBefore w:val="0"/>
        <w:widowControl/>
        <w:kinsoku/>
        <w:wordWrap/>
        <w:overflowPunct/>
        <w:topLinePunct w:val="0"/>
        <w:autoSpaceDE/>
        <w:autoSpaceDN/>
        <w:bidi w:val="0"/>
        <w:spacing w:beforeAutospacing="0" w:afterAutospacing="0" w:line="560" w:lineRule="exact"/>
        <w:ind w:left="0" w:leftChars="0"/>
        <w:contextualSpacing/>
        <w:jc w:val="both"/>
        <w:textAlignment w:val="auto"/>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附件1</w:t>
      </w:r>
    </w:p>
    <w:p w14:paraId="3E055D55">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p w14:paraId="0A24BF60">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440" w:firstLineChars="100"/>
        <w:contextualSpacing/>
        <w:jc w:val="center"/>
        <w:textAlignment w:val="auto"/>
        <w:rPr>
          <w:rFonts w:hint="eastAsia" w:ascii="方正小标宋简体" w:hAnsi="方正小标宋简体" w:eastAsia="方正小标宋简体" w:cs="方正小标宋简体"/>
          <w:b w:val="0"/>
          <w:bCs/>
          <w:color w:val="000000" w:themeColor="text1"/>
          <w:sz w:val="44"/>
          <w:szCs w:val="44"/>
          <w:shd w:val="clear" w:color="auto" w:fill="FFFFFF"/>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shd w:val="clear" w:color="auto" w:fill="FFFFFF"/>
          <w:lang w:eastAsia="zh-CN"/>
          <w14:textFill>
            <w14:solidFill>
              <w14:schemeClr w14:val="tx1"/>
            </w14:solidFill>
          </w14:textFill>
        </w:rPr>
        <w:t>塔城地区开展建材产品质量</w:t>
      </w:r>
      <w:r>
        <w:rPr>
          <w:rFonts w:hint="eastAsia" w:ascii="方正小标宋简体" w:hAnsi="方正小标宋简体" w:eastAsia="方正小标宋简体" w:cs="方正小标宋简体"/>
          <w:b w:val="0"/>
          <w:bCs/>
          <w:color w:val="000000" w:themeColor="text1"/>
          <w:sz w:val="44"/>
          <w:szCs w:val="44"/>
          <w:shd w:val="clear" w:color="auto" w:fill="FFFFFF"/>
          <w14:textFill>
            <w14:solidFill>
              <w14:schemeClr w14:val="tx1"/>
            </w14:solidFill>
          </w14:textFill>
        </w:rPr>
        <w:t>监督抽查的</w:t>
      </w:r>
    </w:p>
    <w:p w14:paraId="2CDA1DB3">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440" w:firstLineChars="100"/>
        <w:contextualSpacing/>
        <w:jc w:val="center"/>
        <w:textAlignment w:val="auto"/>
        <w:rPr>
          <w:rFonts w:hint="eastAsia" w:ascii="方正小标宋简体" w:hAnsi="方正小标宋简体" w:eastAsia="方正小标宋简体" w:cs="方正小标宋简体"/>
          <w:b w:val="0"/>
          <w:bCs/>
          <w:color w:val="000000" w:themeColor="text1"/>
          <w:sz w:val="44"/>
          <w:szCs w:val="44"/>
          <w:shd w:val="clear" w:color="auto" w:fill="FFFFFF"/>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shd w:val="clear" w:color="auto" w:fill="FFFFFF"/>
          <w14:textFill>
            <w14:solidFill>
              <w14:schemeClr w14:val="tx1"/>
            </w14:solidFill>
          </w14:textFill>
        </w:rPr>
        <w:t>实施意见</w:t>
      </w:r>
    </w:p>
    <w:p w14:paraId="47154B91">
      <w:pPr>
        <w:pStyle w:val="5"/>
        <w:keepNext w:val="0"/>
        <w:keepLines w:val="0"/>
        <w:pageBreakBefore w:val="0"/>
        <w:widowControl/>
        <w:kinsoku/>
        <w:wordWrap/>
        <w:overflowPunct/>
        <w:topLinePunct w:val="0"/>
        <w:autoSpaceDE/>
        <w:autoSpaceDN/>
        <w:bidi w:val="0"/>
        <w:spacing w:beforeAutospacing="0" w:afterAutospacing="0" w:line="560" w:lineRule="exact"/>
        <w:ind w:left="0" w:leftChars="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p w14:paraId="16D0CBFF">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为加强产品质量监管，按照《中华人民共和国产品质量法》和《产品质量监督抽查管理办法》的有关规定，根据地区产品质量监督抽查计划安排，决定在全地区范围内开展</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建材产品</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产品质量监督抽查。现就有关工作安排如下：</w:t>
      </w:r>
    </w:p>
    <w:p w14:paraId="385FDCCF">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一、任务承检单位</w:t>
      </w:r>
    </w:p>
    <w:p w14:paraId="3C16989D">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此次监督抽查工作由地区局质量监督科统一协调。塔城地区质量与计量检测所承担监督抽查的抽样、检验工作，监督抽查企业的现场监督检查工作由各县（市）局组织开展。</w:t>
      </w:r>
    </w:p>
    <w:p w14:paraId="62B86FBF">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二、监督抽查费用</w:t>
      </w:r>
    </w:p>
    <w:p w14:paraId="1FBD909F">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本次监督抽查所需费用由地区财政划拨，承检单位不得向被抽检单位收取任何费用。</w:t>
      </w:r>
    </w:p>
    <w:p w14:paraId="6C393609">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三、监督抽查内容</w:t>
      </w:r>
    </w:p>
    <w:p w14:paraId="4A71B0D3">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本次监督抽查的产品为</w:t>
      </w:r>
      <w:r>
        <w:rPr>
          <w:rFonts w:hint="default" w:ascii="Times New Roman" w:hAnsi="Times New Roman" w:eastAsia="仿宋_GB2312" w:cs="Times New Roman"/>
          <w:color w:val="000000" w:themeColor="text1"/>
          <w:sz w:val="32"/>
          <w:szCs w:val="32"/>
          <w14:textFill>
            <w14:solidFill>
              <w14:schemeClr w14:val="tx1"/>
            </w14:solidFill>
          </w14:textFill>
        </w:rPr>
        <w:t>烧结普通砖</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烧结多孔砖和多孔砌块</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混凝土路面砖、混凝土实心砖、绝热用模塑聚苯乙烯泡沫塑料、绝热用挤塑聚苯乙烯泡沫塑料、蒸压加气混凝土砌块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检验项目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以</w:t>
      </w:r>
      <w:r>
        <w:rPr>
          <w:rFonts w:hint="default" w:ascii="Times New Roman" w:hAnsi="Times New Roman" w:eastAsia="仿宋_GB2312" w:cs="Times New Roman"/>
          <w:color w:val="000000" w:themeColor="text1"/>
          <w:sz w:val="32"/>
          <w:szCs w:val="32"/>
          <w14:textFill>
            <w14:solidFill>
              <w14:schemeClr w14:val="tx1"/>
            </w14:solidFill>
          </w14:textFill>
        </w:rPr>
        <w:t>强度等级</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密度等级、</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尺寸允许偏差、</w:t>
      </w:r>
      <w:r>
        <w:rPr>
          <w:rFonts w:hint="default" w:ascii="Times New Roman" w:hAnsi="Times New Roman" w:eastAsia="仿宋_GB2312" w:cs="Times New Roman"/>
          <w:color w:val="000000" w:themeColor="text1"/>
          <w:sz w:val="32"/>
          <w:szCs w:val="32"/>
          <w14:textFill>
            <w14:solidFill>
              <w14:schemeClr w14:val="tx1"/>
            </w14:solidFill>
          </w14:textFill>
        </w:rPr>
        <w:t>吸水率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压缩强度、尺寸稳定性、</w:t>
      </w:r>
      <w:r>
        <w:rPr>
          <w:rFonts w:hint="default" w:ascii="Times New Roman" w:hAnsi="Times New Roman" w:eastAsia="仿宋_GB2312" w:cs="Times New Roman"/>
          <w:color w:val="000000" w:themeColor="text1"/>
          <w:sz w:val="32"/>
          <w:szCs w:val="32"/>
          <w14:textFill>
            <w14:solidFill>
              <w14:schemeClr w14:val="tx1"/>
            </w14:solidFill>
          </w14:textFill>
        </w:rPr>
        <w:t>抗压强度</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为主</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14:paraId="61B1239A">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四、监督抽查依据</w:t>
      </w:r>
    </w:p>
    <w:p w14:paraId="044DC341">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本次监督抽查的技术规范为原国家质量监督检验检疫总局发布的有关产品质量监督抽查实施规范和塔城地区市场监督管理局批准的《塔城地区</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建材产品</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产品质量监督抽查实施细则》。</w:t>
      </w:r>
    </w:p>
    <w:p w14:paraId="2095EE53">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五、工作要求</w:t>
      </w:r>
    </w:p>
    <w:p w14:paraId="3A3E9AD0">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（一）本次产品质量监督抽查严格执行《</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建材产品</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产品质量抽查实施细则》、《塔城地区</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建材产品</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产品质量监督抽查实施细则》要求。产品质量监督抽查工作自文件下发之日起实施，于</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年9月30日前完成。</w:t>
      </w:r>
    </w:p>
    <w:p w14:paraId="4BBA9CF0">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（二）企业生产条件现场检查由各县（市）市场监管局承担。各县（市）市场监管局要切实履行质量监管属地责任，加强与抽样、检验机构的协作配合，对发现的问题及安全隐患依法依规处理。</w:t>
      </w:r>
    </w:p>
    <w:p w14:paraId="10C0A36B">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三）地区质量与计量检测所应按监督抽查细则要求认真做好信息采集工作，按规定时限完成最终检验结果确认和异议处理工作，并在完成检验工作5日内，将监督抽查工作总结材料（详见附录）报送至地区市场监督管理局质量监督科。不合格检验报告应于报告印发后15日内完成报送。</w:t>
      </w:r>
    </w:p>
    <w:p w14:paraId="30930A31">
      <w:pPr>
        <w:pStyle w:val="5"/>
        <w:keepNext w:val="0"/>
        <w:keepLines w:val="0"/>
        <w:pageBreakBefore w:val="0"/>
        <w:widowControl/>
        <w:kinsoku/>
        <w:wordWrap/>
        <w:overflowPunct/>
        <w:topLinePunct w:val="0"/>
        <w:autoSpaceDE/>
        <w:autoSpaceDN/>
        <w:bidi w:val="0"/>
        <w:spacing w:beforeAutospacing="0" w:afterAutospacing="0" w:line="560" w:lineRule="exact"/>
        <w:ind w:left="0" w:leftChars="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p w14:paraId="4425A176">
      <w:pPr>
        <w:pStyle w:val="5"/>
        <w:keepNext w:val="0"/>
        <w:keepLines w:val="0"/>
        <w:pageBreakBefore w:val="0"/>
        <w:widowControl/>
        <w:kinsoku/>
        <w:wordWrap/>
        <w:overflowPunct/>
        <w:topLinePunct w:val="0"/>
        <w:autoSpaceDE/>
        <w:autoSpaceDN/>
        <w:bidi w:val="0"/>
        <w:spacing w:beforeAutospacing="0" w:afterAutospacing="0" w:line="560" w:lineRule="exact"/>
        <w:ind w:left="1918" w:leftChars="304" w:hanging="1280" w:hangingChars="4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附录：1.塔城地区产品质量监督抽查工作报告和质量安全</w:t>
      </w:r>
    </w:p>
    <w:p w14:paraId="301AA967">
      <w:pPr>
        <w:pStyle w:val="5"/>
        <w:keepNext w:val="0"/>
        <w:keepLines w:val="0"/>
        <w:pageBreakBefore w:val="0"/>
        <w:widowControl/>
        <w:kinsoku/>
        <w:wordWrap/>
        <w:overflowPunct/>
        <w:topLinePunct w:val="0"/>
        <w:autoSpaceDE/>
        <w:autoSpaceDN/>
        <w:bidi w:val="0"/>
        <w:spacing w:beforeAutospacing="0" w:afterAutospacing="0" w:line="560" w:lineRule="exact"/>
        <w:ind w:left="1915" w:leftChars="912" w:firstLine="0" w:firstLineChars="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分析报告模版</w:t>
      </w:r>
    </w:p>
    <w:p w14:paraId="303FDB29">
      <w:pPr>
        <w:pStyle w:val="5"/>
        <w:keepNext w:val="0"/>
        <w:keepLines w:val="0"/>
        <w:pageBreakBefore w:val="0"/>
        <w:widowControl/>
        <w:kinsoku/>
        <w:wordWrap/>
        <w:overflowPunct/>
        <w:topLinePunct w:val="0"/>
        <w:autoSpaceDE/>
        <w:autoSpaceDN/>
        <w:bidi w:val="0"/>
        <w:spacing w:beforeAutospacing="0" w:afterAutospacing="0" w:line="560" w:lineRule="exact"/>
        <w:ind w:firstLine="1600" w:firstLineChars="500"/>
        <w:contextualSpacing/>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2.</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年塔城地区产品质量监督抽查结果汇总表</w:t>
      </w:r>
    </w:p>
    <w:p w14:paraId="3CD84FEA">
      <w:pPr>
        <w:keepNext w:val="0"/>
        <w:keepLines w:val="0"/>
        <w:pageBreakBefore w:val="0"/>
        <w:kinsoku/>
        <w:wordWrap/>
        <w:overflowPunct/>
        <w:topLinePunct w:val="0"/>
        <w:autoSpaceDE/>
        <w:autoSpaceDN/>
        <w:bidi w:val="0"/>
        <w:spacing w:line="600" w:lineRule="exact"/>
        <w:ind w:left="0" w:leftChars="0"/>
        <w:textAlignment w:val="auto"/>
        <w:rPr>
          <w:rFonts w:hint="default" w:ascii="Times New Roman" w:hAnsi="Times New Roman" w:eastAsia="宋体"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附录1：</w:t>
      </w:r>
    </w:p>
    <w:p w14:paraId="2FF1B7B0">
      <w:pPr>
        <w:keepNext w:val="0"/>
        <w:keepLines w:val="0"/>
        <w:pageBreakBefore w:val="0"/>
        <w:kinsoku/>
        <w:wordWrap/>
        <w:overflowPunct/>
        <w:topLinePunct w:val="0"/>
        <w:autoSpaceDE/>
        <w:autoSpaceDN/>
        <w:bidi w:val="0"/>
        <w:spacing w:line="600" w:lineRule="exact"/>
        <w:ind w:left="0" w:leftChars="0"/>
        <w:jc w:val="center"/>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宋体" w:cs="Times New Roman"/>
          <w:b/>
          <w:bCs/>
          <w:color w:val="000000" w:themeColor="text1"/>
          <w:sz w:val="36"/>
          <w:szCs w:val="36"/>
          <w14:textFill>
            <w14:solidFill>
              <w14:schemeClr w14:val="tx1"/>
            </w14:solidFill>
          </w14:textFill>
        </w:rPr>
        <w:t>塔城地区产品质量监督抽查报告模版</w:t>
      </w:r>
    </w:p>
    <w:p w14:paraId="41B72294">
      <w:pPr>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一、抽查产品和行业概况</w:t>
      </w:r>
    </w:p>
    <w:p w14:paraId="6C32D9C0">
      <w:pPr>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1.</w:t>
      </w:r>
    </w:p>
    <w:p w14:paraId="4B228589">
      <w:pPr>
        <w:keepNext w:val="0"/>
        <w:keepLines w:val="0"/>
        <w:pageBreakBefore w:val="0"/>
        <w:kinsoku/>
        <w:wordWrap/>
        <w:overflowPunct/>
        <w:topLinePunct w:val="0"/>
        <w:autoSpaceDE/>
        <w:autoSpaceDN/>
        <w:bidi w:val="0"/>
        <w:spacing w:line="600" w:lineRule="exact"/>
        <w:ind w:left="0" w:leftChars="0" w:firstLine="1120" w:firstLineChars="35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w:t>
      </w:r>
    </w:p>
    <w:p w14:paraId="389864B2">
      <w:pPr>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二、抽查结果分析与评价</w:t>
      </w:r>
    </w:p>
    <w:p w14:paraId="317A626B">
      <w:pPr>
        <w:keepNext w:val="0"/>
        <w:keepLines w:val="0"/>
        <w:pageBreakBefore w:val="0"/>
        <w:kinsoku/>
        <w:wordWrap/>
        <w:overflowPunct/>
        <w:topLinePunct w:val="0"/>
        <w:autoSpaceDE/>
        <w:autoSpaceDN/>
        <w:bidi w:val="0"/>
        <w:spacing w:line="600" w:lineRule="exact"/>
        <w:ind w:left="0" w:leftChars="0" w:firstLine="600" w:firstLineChars="200"/>
        <w:textAlignment w:val="auto"/>
        <w:rPr>
          <w:rFonts w:hint="default" w:ascii="Times New Roman" w:hAnsi="Times New Roman" w:eastAsia="仿宋_GB2312" w:cs="Times New Roman"/>
          <w:color w:val="000000" w:themeColor="text1"/>
          <w:sz w:val="30"/>
          <w:szCs w:val="30"/>
          <w14:textFill>
            <w14:solidFill>
              <w14:schemeClr w14:val="tx1"/>
            </w14:solidFill>
          </w14:textFill>
        </w:rPr>
      </w:pPr>
      <w:r>
        <w:rPr>
          <w:rFonts w:hint="default" w:ascii="Times New Roman" w:hAnsi="Times New Roman" w:eastAsia="仿宋_GB2312" w:cs="Times New Roman"/>
          <w:color w:val="000000" w:themeColor="text1"/>
          <w:sz w:val="30"/>
          <w:szCs w:val="30"/>
          <w14:textFill>
            <w14:solidFill>
              <w14:schemeClr w14:val="tx1"/>
            </w14:solidFill>
          </w14:textFill>
        </w:rPr>
        <w:t xml:space="preserve">（从企业所在地、规模、类型、抽查合格率方面进行抽查结果统计分析）  </w:t>
      </w:r>
    </w:p>
    <w:p w14:paraId="0B990945">
      <w:pPr>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1.</w:t>
      </w:r>
    </w:p>
    <w:p w14:paraId="28FF7737">
      <w:pPr>
        <w:keepNext w:val="0"/>
        <w:keepLines w:val="0"/>
        <w:pageBreakBefore w:val="0"/>
        <w:kinsoku/>
        <w:wordWrap/>
        <w:overflowPunct/>
        <w:topLinePunct w:val="0"/>
        <w:autoSpaceDE/>
        <w:autoSpaceDN/>
        <w:bidi w:val="0"/>
        <w:spacing w:line="600" w:lineRule="exact"/>
        <w:ind w:left="0" w:leftChars="0" w:firstLine="1120" w:firstLineChars="35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w:t>
      </w:r>
    </w:p>
    <w:p w14:paraId="0C6C10BA">
      <w:pPr>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三、企业生产条件分析</w:t>
      </w:r>
    </w:p>
    <w:p w14:paraId="3B595CBA">
      <w:pPr>
        <w:keepNext w:val="0"/>
        <w:keepLines w:val="0"/>
        <w:pageBreakBefore w:val="0"/>
        <w:kinsoku/>
        <w:wordWrap/>
        <w:overflowPunct/>
        <w:topLinePunct w:val="0"/>
        <w:autoSpaceDE/>
        <w:autoSpaceDN/>
        <w:bidi w:val="0"/>
        <w:spacing w:line="600" w:lineRule="exact"/>
        <w:ind w:left="0" w:leftChars="0" w:firstLine="600" w:firstLineChars="200"/>
        <w:textAlignment w:val="auto"/>
        <w:rPr>
          <w:rFonts w:hint="default" w:ascii="Times New Roman" w:hAnsi="Times New Roman" w:eastAsia="仿宋_GB2312" w:cs="Times New Roman"/>
          <w:color w:val="000000" w:themeColor="text1"/>
          <w:sz w:val="30"/>
          <w:szCs w:val="30"/>
          <w14:textFill>
            <w14:solidFill>
              <w14:schemeClr w14:val="tx1"/>
            </w14:solidFill>
          </w14:textFill>
        </w:rPr>
      </w:pPr>
      <w:r>
        <w:rPr>
          <w:rFonts w:hint="default" w:ascii="Times New Roman" w:hAnsi="Times New Roman" w:eastAsia="仿宋_GB2312" w:cs="Times New Roman"/>
          <w:color w:val="000000" w:themeColor="text1"/>
          <w:sz w:val="30"/>
          <w:szCs w:val="30"/>
          <w14:textFill>
            <w14:solidFill>
              <w14:schemeClr w14:val="tx1"/>
            </w14:solidFill>
          </w14:textFill>
        </w:rPr>
        <w:t>（从单个企业生产条件状况和总体生产条件状况进行分析，形成统计表）</w:t>
      </w:r>
    </w:p>
    <w:p w14:paraId="7718787F">
      <w:pPr>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1.</w:t>
      </w:r>
    </w:p>
    <w:p w14:paraId="7903B666">
      <w:pPr>
        <w:keepNext w:val="0"/>
        <w:keepLines w:val="0"/>
        <w:pageBreakBefore w:val="0"/>
        <w:kinsoku/>
        <w:wordWrap/>
        <w:overflowPunct/>
        <w:topLinePunct w:val="0"/>
        <w:autoSpaceDE/>
        <w:autoSpaceDN/>
        <w:bidi w:val="0"/>
        <w:spacing w:line="600" w:lineRule="exact"/>
        <w:ind w:left="0" w:leftChars="0" w:firstLine="1120" w:firstLineChars="35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w:t>
      </w:r>
    </w:p>
    <w:p w14:paraId="060140C3">
      <w:pPr>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四、主要问题及原因分析</w:t>
      </w:r>
    </w:p>
    <w:p w14:paraId="0B428028">
      <w:pPr>
        <w:keepNext w:val="0"/>
        <w:keepLines w:val="0"/>
        <w:pageBreakBefore w:val="0"/>
        <w:kinsoku/>
        <w:wordWrap/>
        <w:overflowPunct/>
        <w:topLinePunct w:val="0"/>
        <w:autoSpaceDE/>
        <w:autoSpaceDN/>
        <w:bidi w:val="0"/>
        <w:spacing w:line="600" w:lineRule="exact"/>
        <w:ind w:left="0" w:leftChars="0" w:firstLine="1120" w:firstLineChars="35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14:paraId="66F9E62C">
      <w:pPr>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五、工作建议等</w:t>
      </w:r>
    </w:p>
    <w:p w14:paraId="20029777">
      <w:pPr>
        <w:keepNext w:val="0"/>
        <w:keepLines w:val="0"/>
        <w:pageBreakBefore w:val="0"/>
        <w:kinsoku/>
        <w:wordWrap/>
        <w:overflowPunct/>
        <w:topLinePunct w:val="0"/>
        <w:autoSpaceDE/>
        <w:autoSpaceDN/>
        <w:bidi w:val="0"/>
        <w:spacing w:line="600" w:lineRule="exact"/>
        <w:ind w:left="0" w:leftChars="0"/>
        <w:textAlignment w:val="auto"/>
        <w:rPr>
          <w:rFonts w:hint="default" w:ascii="Times New Roman" w:hAnsi="Times New Roman" w:eastAsia="黑体" w:cs="Times New Roman"/>
          <w:color w:val="000000" w:themeColor="text1"/>
          <w:sz w:val="36"/>
          <w:szCs w:val="36"/>
          <w14:textFill>
            <w14:solidFill>
              <w14:schemeClr w14:val="tx1"/>
            </w14:solidFill>
          </w14:textFill>
        </w:rPr>
      </w:pPr>
    </w:p>
    <w:p w14:paraId="4D2B01D5">
      <w:pPr>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1AA514E4">
      <w:pPr>
        <w:keepNext w:val="0"/>
        <w:keepLines w:val="0"/>
        <w:pageBreakBefore w:val="0"/>
        <w:kinsoku/>
        <w:wordWrap/>
        <w:overflowPunct/>
        <w:topLinePunct w:val="0"/>
        <w:autoSpaceDE/>
        <w:autoSpaceDN/>
        <w:bidi w:val="0"/>
        <w:spacing w:line="600" w:lineRule="exact"/>
        <w:ind w:left="0" w:leftChars="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16BFD368">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0"/>
          <w:szCs w:val="30"/>
          <w:shd w:val="clear" w:color="auto" w:fill="FFFFFF"/>
          <w14:textFill>
            <w14:solidFill>
              <w14:schemeClr w14:val="tx1"/>
            </w14:solidFill>
          </w14:textFill>
        </w:rPr>
        <w:sectPr>
          <w:footerReference r:id="rId3" w:type="default"/>
          <w:pgSz w:w="11906" w:h="16838"/>
          <w:pgMar w:top="2154" w:right="1531" w:bottom="2041" w:left="1587" w:header="851" w:footer="992" w:gutter="0"/>
          <w:pgNumType w:fmt="numberInDash"/>
          <w:cols w:space="425" w:num="1"/>
          <w:docGrid w:type="lines" w:linePitch="312" w:charSpace="0"/>
        </w:sectPr>
      </w:pPr>
    </w:p>
    <w:p w14:paraId="20C40796">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附录2：</w:t>
      </w:r>
    </w:p>
    <w:p w14:paraId="2883C4BA">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auto"/>
        <w:rPr>
          <w:rFonts w:hint="default" w:ascii="Times New Roman" w:hAnsi="Times New Roman" w:cs="Times New Roman" w:eastAsiaTheme="majorEastAsia"/>
          <w:b/>
          <w:bCs/>
          <w:color w:val="000000" w:themeColor="text1"/>
          <w:sz w:val="36"/>
          <w:szCs w:val="36"/>
          <w:shd w:val="clear" w:color="auto" w:fill="FFFFFF"/>
          <w14:textFill>
            <w14:solidFill>
              <w14:schemeClr w14:val="tx1"/>
            </w14:solidFill>
          </w14:textFill>
        </w:rPr>
      </w:pPr>
      <w:r>
        <w:rPr>
          <w:rFonts w:hint="default" w:ascii="Times New Roman" w:hAnsi="Times New Roman" w:cs="Times New Roman" w:eastAsiaTheme="majorEastAsia"/>
          <w:b/>
          <w:bCs/>
          <w:color w:val="000000" w:themeColor="text1"/>
          <w:sz w:val="36"/>
          <w:szCs w:val="36"/>
          <w:shd w:val="clear" w:color="auto" w:fill="FFFFFF"/>
          <w:lang w:eastAsia="zh-CN"/>
          <w14:textFill>
            <w14:solidFill>
              <w14:schemeClr w14:val="tx1"/>
            </w14:solidFill>
          </w14:textFill>
        </w:rPr>
        <w:t>202</w:t>
      </w:r>
      <w:r>
        <w:rPr>
          <w:rFonts w:hint="eastAsia" w:ascii="Times New Roman" w:hAnsi="Times New Roman" w:cs="Times New Roman" w:eastAsiaTheme="majorEastAsia"/>
          <w:b/>
          <w:bCs/>
          <w:color w:val="000000" w:themeColor="text1"/>
          <w:sz w:val="36"/>
          <w:szCs w:val="36"/>
          <w:shd w:val="clear" w:color="auto" w:fill="FFFFFF"/>
          <w:lang w:val="en-US" w:eastAsia="zh-CN"/>
          <w14:textFill>
            <w14:solidFill>
              <w14:schemeClr w14:val="tx1"/>
            </w14:solidFill>
          </w14:textFill>
        </w:rPr>
        <w:t>6</w:t>
      </w:r>
      <w:r>
        <w:rPr>
          <w:rFonts w:hint="default" w:ascii="Times New Roman" w:hAnsi="Times New Roman" w:cs="Times New Roman" w:eastAsiaTheme="majorEastAsia"/>
          <w:b/>
          <w:bCs/>
          <w:color w:val="000000" w:themeColor="text1"/>
          <w:sz w:val="36"/>
          <w:szCs w:val="36"/>
          <w:shd w:val="clear" w:color="auto" w:fill="FFFFFF"/>
          <w14:textFill>
            <w14:solidFill>
              <w14:schemeClr w14:val="tx1"/>
            </w14:solidFill>
          </w14:textFill>
        </w:rPr>
        <w:t>年塔城地区产品质量监督抽查结果汇总表</w:t>
      </w:r>
    </w:p>
    <w:p w14:paraId="5E8ACB44">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bl>
      <w:tblPr>
        <w:tblStyle w:val="7"/>
        <w:tblW w:w="14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1417"/>
        <w:gridCol w:w="1418"/>
        <w:gridCol w:w="1417"/>
        <w:gridCol w:w="2126"/>
        <w:gridCol w:w="1418"/>
        <w:gridCol w:w="1701"/>
        <w:gridCol w:w="1417"/>
        <w:gridCol w:w="1356"/>
      </w:tblGrid>
      <w:tr w14:paraId="67CC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5DF337B">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t>序号</w:t>
            </w:r>
          </w:p>
        </w:tc>
        <w:tc>
          <w:tcPr>
            <w:tcW w:w="1418" w:type="dxa"/>
          </w:tcPr>
          <w:p w14:paraId="4C31661F">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t>企业名称</w:t>
            </w:r>
          </w:p>
        </w:tc>
        <w:tc>
          <w:tcPr>
            <w:tcW w:w="1417" w:type="dxa"/>
          </w:tcPr>
          <w:p w14:paraId="65A76E30">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t>所在县市</w:t>
            </w:r>
          </w:p>
        </w:tc>
        <w:tc>
          <w:tcPr>
            <w:tcW w:w="1418" w:type="dxa"/>
          </w:tcPr>
          <w:p w14:paraId="3B1AD259">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t>产品名称</w:t>
            </w:r>
          </w:p>
        </w:tc>
        <w:tc>
          <w:tcPr>
            <w:tcW w:w="1417" w:type="dxa"/>
          </w:tcPr>
          <w:p w14:paraId="5620BDF5">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t>规格型号</w:t>
            </w:r>
          </w:p>
        </w:tc>
        <w:tc>
          <w:tcPr>
            <w:tcW w:w="2126" w:type="dxa"/>
          </w:tcPr>
          <w:p w14:paraId="59EB5794">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t>生产日期/批次</w:t>
            </w:r>
          </w:p>
        </w:tc>
        <w:tc>
          <w:tcPr>
            <w:tcW w:w="1418" w:type="dxa"/>
          </w:tcPr>
          <w:p w14:paraId="63F9C58C">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t>检验结果</w:t>
            </w:r>
          </w:p>
        </w:tc>
        <w:tc>
          <w:tcPr>
            <w:tcW w:w="1701" w:type="dxa"/>
          </w:tcPr>
          <w:p w14:paraId="4C0E0898">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t>不合格项目</w:t>
            </w:r>
          </w:p>
        </w:tc>
        <w:tc>
          <w:tcPr>
            <w:tcW w:w="1417" w:type="dxa"/>
          </w:tcPr>
          <w:p w14:paraId="752C7BE7">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t>承检单位</w:t>
            </w:r>
          </w:p>
        </w:tc>
        <w:tc>
          <w:tcPr>
            <w:tcW w:w="1356" w:type="dxa"/>
          </w:tcPr>
          <w:p w14:paraId="28A123BC">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28"/>
                <w:szCs w:val="28"/>
                <w:shd w:val="clear" w:color="auto" w:fill="FFFFFF"/>
                <w14:textFill>
                  <w14:solidFill>
                    <w14:schemeClr w14:val="tx1"/>
                  </w14:solidFill>
                </w14:textFill>
              </w:rPr>
              <w:t>报告编号</w:t>
            </w:r>
          </w:p>
        </w:tc>
      </w:tr>
      <w:tr w14:paraId="027E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86684CA">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8" w:type="dxa"/>
          </w:tcPr>
          <w:p w14:paraId="523E2F9F">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7" w:type="dxa"/>
          </w:tcPr>
          <w:p w14:paraId="0B6441D0">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8" w:type="dxa"/>
          </w:tcPr>
          <w:p w14:paraId="2E9D05C7">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7" w:type="dxa"/>
          </w:tcPr>
          <w:p w14:paraId="585F9D8B">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126" w:type="dxa"/>
          </w:tcPr>
          <w:p w14:paraId="5C7E80A8">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8" w:type="dxa"/>
          </w:tcPr>
          <w:p w14:paraId="4D6EF109">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701" w:type="dxa"/>
          </w:tcPr>
          <w:p w14:paraId="3E4FE04E">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7" w:type="dxa"/>
          </w:tcPr>
          <w:p w14:paraId="3B68DC34">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356" w:type="dxa"/>
          </w:tcPr>
          <w:p w14:paraId="13585D8D">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r>
      <w:tr w14:paraId="7F18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2EED8A7">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8" w:type="dxa"/>
          </w:tcPr>
          <w:p w14:paraId="314435FC">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7" w:type="dxa"/>
          </w:tcPr>
          <w:p w14:paraId="439F01F7">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8" w:type="dxa"/>
          </w:tcPr>
          <w:p w14:paraId="51110A8F">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7" w:type="dxa"/>
          </w:tcPr>
          <w:p w14:paraId="44A57649">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126" w:type="dxa"/>
          </w:tcPr>
          <w:p w14:paraId="51276B73">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8" w:type="dxa"/>
          </w:tcPr>
          <w:p w14:paraId="2CD4AFDB">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701" w:type="dxa"/>
          </w:tcPr>
          <w:p w14:paraId="2CDF541C">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7" w:type="dxa"/>
          </w:tcPr>
          <w:p w14:paraId="0A79A72A">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356" w:type="dxa"/>
          </w:tcPr>
          <w:p w14:paraId="3DDF7B8D">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r>
      <w:tr w14:paraId="0854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3E23EC4">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8" w:type="dxa"/>
          </w:tcPr>
          <w:p w14:paraId="014BC605">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7" w:type="dxa"/>
          </w:tcPr>
          <w:p w14:paraId="2F43A3D7">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8" w:type="dxa"/>
          </w:tcPr>
          <w:p w14:paraId="0B4E12AF">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7" w:type="dxa"/>
          </w:tcPr>
          <w:p w14:paraId="1424B5BA">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126" w:type="dxa"/>
          </w:tcPr>
          <w:p w14:paraId="4B96C2A3">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8" w:type="dxa"/>
          </w:tcPr>
          <w:p w14:paraId="43C142E4">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701" w:type="dxa"/>
          </w:tcPr>
          <w:p w14:paraId="64CC6094">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7" w:type="dxa"/>
          </w:tcPr>
          <w:p w14:paraId="61995C61">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356" w:type="dxa"/>
          </w:tcPr>
          <w:p w14:paraId="78AA874D">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r>
      <w:tr w14:paraId="7FE3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5624DC5">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8" w:type="dxa"/>
          </w:tcPr>
          <w:p w14:paraId="7878D97C">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7" w:type="dxa"/>
          </w:tcPr>
          <w:p w14:paraId="5A66D4F1">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8" w:type="dxa"/>
          </w:tcPr>
          <w:p w14:paraId="07A6144D">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7" w:type="dxa"/>
          </w:tcPr>
          <w:p w14:paraId="1BD140FF">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126" w:type="dxa"/>
          </w:tcPr>
          <w:p w14:paraId="6AFD46FD">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8" w:type="dxa"/>
          </w:tcPr>
          <w:p w14:paraId="2B30471F">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701" w:type="dxa"/>
          </w:tcPr>
          <w:p w14:paraId="26E35735">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17" w:type="dxa"/>
          </w:tcPr>
          <w:p w14:paraId="1CC553A7">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356" w:type="dxa"/>
          </w:tcPr>
          <w:p w14:paraId="28D9BB70">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r>
    </w:tbl>
    <w:p w14:paraId="2E33FDBD">
      <w:pPr>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4CAEB56C">
      <w:pPr>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102FC5F1">
      <w:pPr>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716338B9">
      <w:pPr>
        <w:keepNext w:val="0"/>
        <w:keepLines w:val="0"/>
        <w:pageBreakBefore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2B01847C">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sectPr>
          <w:pgSz w:w="16838" w:h="11906" w:orient="landscape"/>
          <w:pgMar w:top="1797" w:right="1440" w:bottom="1797" w:left="1440" w:header="851" w:footer="992" w:gutter="0"/>
          <w:pgNumType w:fmt="numberInDash"/>
          <w:cols w:space="425" w:num="1"/>
          <w:docGrid w:type="linesAndChars" w:linePitch="312" w:charSpace="0"/>
        </w:sectPr>
      </w:pPr>
    </w:p>
    <w:p w14:paraId="51EEC2C8">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附件2</w:t>
      </w:r>
    </w:p>
    <w:p w14:paraId="3D5C3B5C">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auto"/>
        <w:rPr>
          <w:rFonts w:hint="default" w:ascii="Times New Roman" w:hAnsi="Times New Roman" w:cs="Times New Roman" w:eastAsiaTheme="majorEastAsia"/>
          <w:b/>
          <w:bCs/>
          <w:color w:val="000000" w:themeColor="text1"/>
          <w:sz w:val="36"/>
          <w:szCs w:val="36"/>
          <w:shd w:val="clear" w:color="auto" w:fill="FFFFFF"/>
          <w14:textFill>
            <w14:solidFill>
              <w14:schemeClr w14:val="tx1"/>
            </w14:solidFill>
          </w14:textFill>
        </w:rPr>
      </w:pPr>
    </w:p>
    <w:p w14:paraId="7F06BAEA">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auto"/>
        <w:rPr>
          <w:rFonts w:hint="default" w:ascii="Times New Roman" w:hAnsi="Times New Roman" w:cs="Times New Roman" w:eastAsiaTheme="majorEastAsia"/>
          <w:b/>
          <w:bCs/>
          <w:color w:val="000000" w:themeColor="text1"/>
          <w:sz w:val="36"/>
          <w:szCs w:val="36"/>
          <w:shd w:val="clear" w:color="auto" w:fill="FFFFFF"/>
          <w14:textFill>
            <w14:solidFill>
              <w14:schemeClr w14:val="tx1"/>
            </w14:solidFill>
          </w14:textFill>
        </w:rPr>
      </w:pPr>
      <w:r>
        <w:rPr>
          <w:rFonts w:hint="default" w:ascii="Times New Roman" w:hAnsi="Times New Roman" w:cs="Times New Roman" w:eastAsiaTheme="majorEastAsia"/>
          <w:b/>
          <w:bCs/>
          <w:color w:val="000000" w:themeColor="text1"/>
          <w:sz w:val="36"/>
          <w:szCs w:val="36"/>
          <w:shd w:val="clear" w:color="auto" w:fill="FFFFFF"/>
          <w14:textFill>
            <w14:solidFill>
              <w14:schemeClr w14:val="tx1"/>
            </w14:solidFill>
          </w14:textFill>
        </w:rPr>
        <w:t>塔城地区建材生产企业名单汇总表</w:t>
      </w:r>
    </w:p>
    <w:p w14:paraId="7EBEE50B">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p w14:paraId="50AE04FC">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填报单位：                                 填报日期：</w:t>
      </w:r>
    </w:p>
    <w:tbl>
      <w:tblPr>
        <w:tblStyle w:val="7"/>
        <w:tblW w:w="140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1485"/>
        <w:gridCol w:w="2085"/>
        <w:gridCol w:w="2175"/>
        <w:gridCol w:w="2160"/>
        <w:gridCol w:w="1875"/>
        <w:gridCol w:w="1935"/>
        <w:gridCol w:w="1125"/>
      </w:tblGrid>
      <w:tr w14:paraId="5CEC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8CB0C1F">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序号</w:t>
            </w:r>
          </w:p>
        </w:tc>
        <w:tc>
          <w:tcPr>
            <w:tcW w:w="1485" w:type="dxa"/>
          </w:tcPr>
          <w:p w14:paraId="357A8C38">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县市</w:t>
            </w:r>
          </w:p>
        </w:tc>
        <w:tc>
          <w:tcPr>
            <w:tcW w:w="2085" w:type="dxa"/>
          </w:tcPr>
          <w:p w14:paraId="01103366">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企业名称</w:t>
            </w:r>
          </w:p>
        </w:tc>
        <w:tc>
          <w:tcPr>
            <w:tcW w:w="2175" w:type="dxa"/>
          </w:tcPr>
          <w:p w14:paraId="152CCE09">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企业地址</w:t>
            </w:r>
          </w:p>
        </w:tc>
        <w:tc>
          <w:tcPr>
            <w:tcW w:w="2160" w:type="dxa"/>
          </w:tcPr>
          <w:p w14:paraId="2CF839AA">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产品名称</w:t>
            </w:r>
          </w:p>
        </w:tc>
        <w:tc>
          <w:tcPr>
            <w:tcW w:w="1875" w:type="dxa"/>
          </w:tcPr>
          <w:p w14:paraId="3C244C00">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联系人</w:t>
            </w:r>
          </w:p>
        </w:tc>
        <w:tc>
          <w:tcPr>
            <w:tcW w:w="1935" w:type="dxa"/>
          </w:tcPr>
          <w:p w14:paraId="13CE46F5">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联系电话</w:t>
            </w:r>
          </w:p>
        </w:tc>
        <w:tc>
          <w:tcPr>
            <w:tcW w:w="1125" w:type="dxa"/>
          </w:tcPr>
          <w:p w14:paraId="7EF7877C">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备注</w:t>
            </w:r>
          </w:p>
        </w:tc>
      </w:tr>
      <w:tr w14:paraId="2058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E1A2B33">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85" w:type="dxa"/>
          </w:tcPr>
          <w:p w14:paraId="1975CCF2">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085" w:type="dxa"/>
          </w:tcPr>
          <w:p w14:paraId="7E481223">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175" w:type="dxa"/>
          </w:tcPr>
          <w:p w14:paraId="5CC48A01">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160" w:type="dxa"/>
          </w:tcPr>
          <w:p w14:paraId="59443940">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875" w:type="dxa"/>
          </w:tcPr>
          <w:p w14:paraId="31B197D2">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935" w:type="dxa"/>
          </w:tcPr>
          <w:p w14:paraId="78374CF5">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125" w:type="dxa"/>
          </w:tcPr>
          <w:p w14:paraId="6B52B2A6">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r>
      <w:tr w14:paraId="3B65C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59C034EB">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85" w:type="dxa"/>
          </w:tcPr>
          <w:p w14:paraId="673BE085">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085" w:type="dxa"/>
          </w:tcPr>
          <w:p w14:paraId="73B750C3">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175" w:type="dxa"/>
          </w:tcPr>
          <w:p w14:paraId="2396674B">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160" w:type="dxa"/>
          </w:tcPr>
          <w:p w14:paraId="0290575F">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875" w:type="dxa"/>
          </w:tcPr>
          <w:p w14:paraId="2C4EAB08">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935" w:type="dxa"/>
          </w:tcPr>
          <w:p w14:paraId="155200A8">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125" w:type="dxa"/>
          </w:tcPr>
          <w:p w14:paraId="4DD21EBF">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r>
      <w:tr w14:paraId="1C71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1F4A4459">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85" w:type="dxa"/>
          </w:tcPr>
          <w:p w14:paraId="5DC94253">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085" w:type="dxa"/>
          </w:tcPr>
          <w:p w14:paraId="3B23C9A0">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175" w:type="dxa"/>
          </w:tcPr>
          <w:p w14:paraId="2E956CD6">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160" w:type="dxa"/>
          </w:tcPr>
          <w:p w14:paraId="2583D74D">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875" w:type="dxa"/>
          </w:tcPr>
          <w:p w14:paraId="3A5673F7">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935" w:type="dxa"/>
          </w:tcPr>
          <w:p w14:paraId="43D0FB7F">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125" w:type="dxa"/>
          </w:tcPr>
          <w:p w14:paraId="23D7B310">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r>
      <w:tr w14:paraId="78FA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BB25BBD">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485" w:type="dxa"/>
          </w:tcPr>
          <w:p w14:paraId="5CAE3A10">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085" w:type="dxa"/>
          </w:tcPr>
          <w:p w14:paraId="7DC3EDF1">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175" w:type="dxa"/>
          </w:tcPr>
          <w:p w14:paraId="4E068775">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2160" w:type="dxa"/>
          </w:tcPr>
          <w:p w14:paraId="48492F05">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875" w:type="dxa"/>
          </w:tcPr>
          <w:p w14:paraId="0B95581B">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935" w:type="dxa"/>
          </w:tcPr>
          <w:p w14:paraId="7B47F3B2">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c>
          <w:tcPr>
            <w:tcW w:w="1125" w:type="dxa"/>
          </w:tcPr>
          <w:p w14:paraId="7E7DD455">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tc>
      </w:tr>
    </w:tbl>
    <w:p w14:paraId="32FE10F5">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填报人：</w:t>
      </w:r>
    </w:p>
    <w:p w14:paraId="752010A7">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p w14:paraId="4E5A3A2E">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p w14:paraId="27EB1121">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p w14:paraId="6FCA3A5C">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附件3</w:t>
      </w:r>
    </w:p>
    <w:p w14:paraId="3EF24AAA">
      <w:pPr>
        <w:pStyle w:val="5"/>
        <w:keepNext w:val="0"/>
        <w:keepLines w:val="0"/>
        <w:pageBreakBefore w:val="0"/>
        <w:widowControl/>
        <w:kinsoku/>
        <w:wordWrap/>
        <w:overflowPunct/>
        <w:topLinePunct w:val="0"/>
        <w:autoSpaceDE/>
        <w:autoSpaceDN/>
        <w:bidi w:val="0"/>
        <w:spacing w:beforeAutospacing="0" w:afterAutospacing="0" w:line="560" w:lineRule="exact"/>
        <w:ind w:left="0" w:leftChars="0" w:firstLine="720" w:firstLineChars="200"/>
        <w:jc w:val="center"/>
        <w:textAlignment w:val="auto"/>
        <w:rPr>
          <w:rFonts w:hint="default" w:ascii="Times New Roman" w:hAnsi="Times New Roman" w:cs="Times New Roman" w:eastAsiaTheme="majorEastAsia"/>
          <w:b/>
          <w:bCs/>
          <w:color w:val="000000" w:themeColor="text1"/>
          <w:sz w:val="36"/>
          <w:szCs w:val="36"/>
          <w:shd w:val="clear" w:color="auto" w:fill="FFFFFF"/>
          <w14:textFill>
            <w14:solidFill>
              <w14:schemeClr w14:val="tx1"/>
            </w14:solidFill>
          </w14:textFill>
        </w:rPr>
      </w:pPr>
      <w:r>
        <w:rPr>
          <w:rFonts w:hint="default" w:ascii="Times New Roman" w:hAnsi="Times New Roman" w:cs="Times New Roman" w:eastAsiaTheme="majorEastAsia"/>
          <w:b/>
          <w:bCs/>
          <w:color w:val="000000" w:themeColor="text1"/>
          <w:sz w:val="36"/>
          <w:szCs w:val="36"/>
          <w:shd w:val="clear" w:color="auto" w:fill="FFFFFF"/>
          <w14:textFill>
            <w14:solidFill>
              <w14:schemeClr w14:val="tx1"/>
            </w14:solidFill>
          </w14:textFill>
        </w:rPr>
        <w:t>塔城地区建材专项监督检查统计表</w:t>
      </w:r>
    </w:p>
    <w:p w14:paraId="1F52F4A8">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p>
    <w:p w14:paraId="24E23AA2">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 xml:space="preserve">填报单位：                                </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 xml:space="preserve"> 填报日期：</w:t>
      </w:r>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885"/>
        <w:gridCol w:w="945"/>
        <w:gridCol w:w="1185"/>
        <w:gridCol w:w="1275"/>
        <w:gridCol w:w="1305"/>
        <w:gridCol w:w="1545"/>
        <w:gridCol w:w="1425"/>
        <w:gridCol w:w="877"/>
        <w:gridCol w:w="780"/>
        <w:gridCol w:w="765"/>
        <w:gridCol w:w="1110"/>
        <w:gridCol w:w="1162"/>
      </w:tblGrid>
      <w:tr w14:paraId="6ED9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tcPr>
          <w:p w14:paraId="3026AF5C">
            <w:pPr>
              <w:keepNext w:val="0"/>
              <w:keepLines w:val="0"/>
              <w:pageBreakBefore w:val="0"/>
              <w:widowControl/>
              <w:kinsoku/>
              <w:wordWrap/>
              <w:overflowPunct/>
              <w:topLinePunct w:val="0"/>
              <w:autoSpaceDE/>
              <w:autoSpaceDN/>
              <w:bidi w:val="0"/>
              <w:spacing w:line="560" w:lineRule="exact"/>
              <w:ind w:left="0" w:leftChars="0"/>
              <w:textAlignment w:val="auto"/>
              <w:rPr>
                <w:rFonts w:hint="eastAsia" w:ascii="仿宋_GB2312" w:hAnsi="仿宋_GB2312" w:eastAsia="仿宋_GB2312" w:cs="仿宋_GB2312"/>
                <w:b w:val="0"/>
                <w:bCs w:val="0"/>
                <w:color w:val="000000" w:themeColor="text1"/>
                <w:spacing w:val="10"/>
                <w:kern w:val="0"/>
                <w:sz w:val="18"/>
                <w:szCs w:val="18"/>
                <w:shd w:val="clear" w:color="auto" w:fill="FFFFFF"/>
                <w14:textFill>
                  <w14:solidFill>
                    <w14:schemeClr w14:val="tx1"/>
                  </w14:solidFill>
                </w14:textFill>
              </w:rPr>
            </w:pPr>
            <w:r>
              <w:rPr>
                <w:rFonts w:hint="eastAsia" w:ascii="仿宋_GB2312" w:hAnsi="仿宋_GB2312" w:eastAsia="仿宋_GB2312" w:cs="仿宋_GB2312"/>
                <w:b w:val="0"/>
                <w:bCs w:val="0"/>
                <w:color w:val="000000" w:themeColor="text1"/>
                <w:spacing w:val="10"/>
                <w:kern w:val="0"/>
                <w:sz w:val="18"/>
                <w:szCs w:val="18"/>
                <w:shd w:val="clear" w:color="auto" w:fill="FFFFFF"/>
                <w14:textFill>
                  <w14:solidFill>
                    <w14:schemeClr w14:val="tx1"/>
                  </w14:solidFill>
                </w14:textFill>
              </w:rPr>
              <w:t>检查企业数</w:t>
            </w:r>
          </w:p>
        </w:tc>
        <w:tc>
          <w:tcPr>
            <w:tcW w:w="885" w:type="dxa"/>
          </w:tcPr>
          <w:p w14:paraId="568A45F8">
            <w:pPr>
              <w:keepNext w:val="0"/>
              <w:keepLines w:val="0"/>
              <w:pageBreakBefore w:val="0"/>
              <w:widowControl/>
              <w:kinsoku/>
              <w:wordWrap/>
              <w:overflowPunct/>
              <w:topLinePunct w:val="0"/>
              <w:autoSpaceDE/>
              <w:autoSpaceDN/>
              <w:bidi w:val="0"/>
              <w:spacing w:line="560" w:lineRule="exact"/>
              <w:ind w:left="0" w:leftChars="0"/>
              <w:textAlignment w:val="auto"/>
              <w:rPr>
                <w:rFonts w:hint="eastAsia" w:ascii="仿宋_GB2312" w:hAnsi="仿宋_GB2312" w:eastAsia="仿宋_GB2312" w:cs="仿宋_GB2312"/>
                <w:b w:val="0"/>
                <w:bCs w:val="0"/>
                <w:color w:val="000000" w:themeColor="text1"/>
                <w:spacing w:val="10"/>
                <w:kern w:val="0"/>
                <w:sz w:val="18"/>
                <w:szCs w:val="18"/>
                <w:shd w:val="clear" w:color="auto" w:fill="FFFFFF"/>
                <w14:textFill>
                  <w14:solidFill>
                    <w14:schemeClr w14:val="tx1"/>
                  </w14:solidFill>
                </w14:textFill>
              </w:rPr>
            </w:pPr>
            <w:r>
              <w:rPr>
                <w:rFonts w:hint="eastAsia" w:ascii="仿宋_GB2312" w:hAnsi="仿宋_GB2312" w:eastAsia="仿宋_GB2312" w:cs="仿宋_GB2312"/>
                <w:b w:val="0"/>
                <w:bCs w:val="0"/>
                <w:color w:val="000000" w:themeColor="text1"/>
                <w:spacing w:val="10"/>
                <w:kern w:val="0"/>
                <w:sz w:val="18"/>
                <w:szCs w:val="18"/>
                <w:shd w:val="clear" w:color="auto" w:fill="FFFFFF"/>
                <w14:textFill>
                  <w14:solidFill>
                    <w14:schemeClr w14:val="tx1"/>
                  </w14:solidFill>
                </w14:textFill>
              </w:rPr>
              <w:t>出动人员数</w:t>
            </w:r>
          </w:p>
        </w:tc>
        <w:tc>
          <w:tcPr>
            <w:tcW w:w="945" w:type="dxa"/>
          </w:tcPr>
          <w:p w14:paraId="409D7CED">
            <w:pPr>
              <w:keepNext w:val="0"/>
              <w:keepLines w:val="0"/>
              <w:pageBreakBefore w:val="0"/>
              <w:widowControl/>
              <w:kinsoku/>
              <w:wordWrap/>
              <w:overflowPunct/>
              <w:topLinePunct w:val="0"/>
              <w:autoSpaceDE/>
              <w:autoSpaceDN/>
              <w:bidi w:val="0"/>
              <w:spacing w:line="560" w:lineRule="exact"/>
              <w:ind w:left="0" w:leftChars="0"/>
              <w:textAlignment w:val="auto"/>
              <w:rPr>
                <w:rFonts w:hint="eastAsia" w:ascii="仿宋_GB2312" w:hAnsi="仿宋_GB2312" w:eastAsia="仿宋_GB2312" w:cs="仿宋_GB2312"/>
                <w:b w:val="0"/>
                <w:bCs w:val="0"/>
                <w:color w:val="000000" w:themeColor="text1"/>
                <w:spacing w:val="10"/>
                <w:kern w:val="0"/>
                <w:sz w:val="18"/>
                <w:szCs w:val="18"/>
                <w:shd w:val="clear" w:color="auto" w:fill="FFFFFF"/>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10"/>
                <w:kern w:val="0"/>
                <w:sz w:val="18"/>
                <w:szCs w:val="18"/>
                <w:shd w:val="clear" w:color="auto" w:fill="FFFFFF"/>
                <w:lang w:eastAsia="zh-CN"/>
                <w14:textFill>
                  <w14:solidFill>
                    <w14:schemeClr w14:val="tx1"/>
                  </w14:solidFill>
                </w14:textFill>
              </w:rPr>
              <w:t>企业自查数</w:t>
            </w:r>
          </w:p>
        </w:tc>
        <w:tc>
          <w:tcPr>
            <w:tcW w:w="1185" w:type="dxa"/>
          </w:tcPr>
          <w:p w14:paraId="0E485C85">
            <w:pPr>
              <w:keepNext w:val="0"/>
              <w:keepLines w:val="0"/>
              <w:pageBreakBefore w:val="0"/>
              <w:widowControl/>
              <w:kinsoku/>
              <w:wordWrap/>
              <w:overflowPunct/>
              <w:topLinePunct w:val="0"/>
              <w:autoSpaceDE/>
              <w:autoSpaceDN/>
              <w:bidi w:val="0"/>
              <w:spacing w:line="560" w:lineRule="exact"/>
              <w:ind w:left="0" w:leftChars="0"/>
              <w:textAlignment w:val="auto"/>
              <w:rPr>
                <w:rFonts w:hint="eastAsia" w:ascii="仿宋_GB2312" w:hAnsi="仿宋_GB2312" w:eastAsia="仿宋_GB2312" w:cs="仿宋_GB2312"/>
                <w:b w:val="0"/>
                <w:bCs w:val="0"/>
                <w:color w:val="000000" w:themeColor="text1"/>
                <w:spacing w:val="10"/>
                <w:kern w:val="0"/>
                <w:sz w:val="18"/>
                <w:szCs w:val="18"/>
                <w:shd w:val="clear" w:color="auto" w:fill="FFFFFF"/>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10"/>
                <w:kern w:val="0"/>
                <w:sz w:val="18"/>
                <w:szCs w:val="18"/>
                <w:shd w:val="clear" w:color="auto" w:fill="FFFFFF"/>
                <w:lang w:eastAsia="zh-CN"/>
                <w14:textFill>
                  <w14:solidFill>
                    <w14:schemeClr w14:val="tx1"/>
                  </w14:solidFill>
                </w14:textFill>
              </w:rPr>
              <w:t>提交整改报告数</w:t>
            </w:r>
          </w:p>
        </w:tc>
        <w:tc>
          <w:tcPr>
            <w:tcW w:w="1275" w:type="dxa"/>
          </w:tcPr>
          <w:p w14:paraId="75F74F86">
            <w:pPr>
              <w:keepNext w:val="0"/>
              <w:keepLines w:val="0"/>
              <w:pageBreakBefore w:val="0"/>
              <w:widowControl/>
              <w:kinsoku/>
              <w:wordWrap/>
              <w:overflowPunct/>
              <w:topLinePunct w:val="0"/>
              <w:autoSpaceDE/>
              <w:autoSpaceDN/>
              <w:bidi w:val="0"/>
              <w:spacing w:line="560" w:lineRule="exact"/>
              <w:ind w:left="0" w:leftChars="0"/>
              <w:textAlignment w:val="auto"/>
              <w:rPr>
                <w:rFonts w:hint="eastAsia" w:ascii="仿宋_GB2312" w:hAnsi="仿宋_GB2312" w:eastAsia="仿宋_GB2312" w:cs="仿宋_GB2312"/>
                <w:b w:val="0"/>
                <w:bCs w:val="0"/>
                <w:color w:val="000000" w:themeColor="text1"/>
                <w:spacing w:val="10"/>
                <w:kern w:val="0"/>
                <w:sz w:val="18"/>
                <w:szCs w:val="18"/>
                <w:shd w:val="clear" w:color="auto" w:fill="FFFFFF"/>
                <w14:textFill>
                  <w14:solidFill>
                    <w14:schemeClr w14:val="tx1"/>
                  </w14:solidFill>
                </w14:textFill>
              </w:rPr>
            </w:pPr>
            <w:r>
              <w:rPr>
                <w:rFonts w:hint="eastAsia" w:ascii="仿宋_GB2312" w:hAnsi="仿宋_GB2312" w:eastAsia="仿宋_GB2312" w:cs="仿宋_GB2312"/>
                <w:b w:val="0"/>
                <w:bCs w:val="0"/>
                <w:color w:val="000000" w:themeColor="text1"/>
                <w:spacing w:val="10"/>
                <w:kern w:val="0"/>
                <w:sz w:val="18"/>
                <w:szCs w:val="18"/>
                <w:shd w:val="clear" w:color="auto" w:fill="FFFFFF"/>
                <w14:textFill>
                  <w14:solidFill>
                    <w14:schemeClr w14:val="tx1"/>
                  </w14:solidFill>
                </w14:textFill>
              </w:rPr>
              <w:t>发现问题企业数</w:t>
            </w:r>
          </w:p>
        </w:tc>
        <w:tc>
          <w:tcPr>
            <w:tcW w:w="1305" w:type="dxa"/>
          </w:tcPr>
          <w:p w14:paraId="3C28E1A0">
            <w:pPr>
              <w:keepNext w:val="0"/>
              <w:keepLines w:val="0"/>
              <w:pageBreakBefore w:val="0"/>
              <w:widowControl/>
              <w:kinsoku/>
              <w:wordWrap/>
              <w:overflowPunct/>
              <w:topLinePunct w:val="0"/>
              <w:autoSpaceDE/>
              <w:autoSpaceDN/>
              <w:bidi w:val="0"/>
              <w:spacing w:line="560" w:lineRule="exact"/>
              <w:ind w:left="0" w:leftChars="0"/>
              <w:textAlignment w:val="auto"/>
              <w:rPr>
                <w:rFonts w:hint="eastAsia" w:ascii="仿宋_GB2312" w:hAnsi="仿宋_GB2312" w:eastAsia="仿宋_GB2312" w:cs="仿宋_GB2312"/>
                <w:b w:val="0"/>
                <w:bCs w:val="0"/>
                <w:color w:val="000000" w:themeColor="text1"/>
                <w:spacing w:val="10"/>
                <w:kern w:val="0"/>
                <w:sz w:val="18"/>
                <w:szCs w:val="18"/>
                <w:shd w:val="clear" w:color="auto" w:fill="FFFFFF"/>
                <w14:textFill>
                  <w14:solidFill>
                    <w14:schemeClr w14:val="tx1"/>
                  </w14:solidFill>
                </w14:textFill>
              </w:rPr>
            </w:pPr>
            <w:r>
              <w:rPr>
                <w:rFonts w:hint="eastAsia" w:ascii="仿宋_GB2312" w:hAnsi="仿宋_GB2312" w:eastAsia="仿宋_GB2312" w:cs="仿宋_GB2312"/>
                <w:b w:val="0"/>
                <w:bCs w:val="0"/>
                <w:color w:val="000000" w:themeColor="text1"/>
                <w:spacing w:val="10"/>
                <w:kern w:val="0"/>
                <w:sz w:val="18"/>
                <w:szCs w:val="18"/>
                <w:shd w:val="clear" w:color="auto" w:fill="FFFFFF"/>
                <w14:textFill>
                  <w14:solidFill>
                    <w14:schemeClr w14:val="tx1"/>
                  </w14:solidFill>
                </w14:textFill>
              </w:rPr>
              <w:t>发现问题条数</w:t>
            </w:r>
          </w:p>
        </w:tc>
        <w:tc>
          <w:tcPr>
            <w:tcW w:w="1545" w:type="dxa"/>
            <w:vAlign w:val="top"/>
          </w:tcPr>
          <w:p w14:paraId="6F84CDA2">
            <w:pPr>
              <w:keepNext w:val="0"/>
              <w:keepLines w:val="0"/>
              <w:pageBreakBefore w:val="0"/>
              <w:widowControl/>
              <w:kinsoku/>
              <w:wordWrap/>
              <w:overflowPunct/>
              <w:topLinePunct w:val="0"/>
              <w:autoSpaceDE/>
              <w:autoSpaceDN/>
              <w:bidi w:val="0"/>
              <w:spacing w:line="560" w:lineRule="exact"/>
              <w:ind w:left="0" w:leftChars="0"/>
              <w:textAlignment w:val="auto"/>
              <w:rPr>
                <w:rFonts w:hint="eastAsia" w:ascii="仿宋_GB2312" w:hAnsi="仿宋_GB2312" w:eastAsia="仿宋_GB2312" w:cs="仿宋_GB2312"/>
                <w:b w:val="0"/>
                <w:bCs w:val="0"/>
                <w:color w:val="000000" w:themeColor="text1"/>
                <w:sz w:val="18"/>
                <w:szCs w:val="18"/>
                <w14:textFill>
                  <w14:solidFill>
                    <w14:schemeClr w14:val="tx1"/>
                  </w14:solidFill>
                </w14:textFill>
              </w:rPr>
            </w:pPr>
            <w:r>
              <w:rPr>
                <w:rFonts w:hint="eastAsia" w:ascii="仿宋_GB2312" w:hAnsi="仿宋_GB2312" w:eastAsia="仿宋_GB2312" w:cs="仿宋_GB2312"/>
                <w:b w:val="0"/>
                <w:bCs w:val="0"/>
                <w:color w:val="000000" w:themeColor="text1"/>
                <w:spacing w:val="10"/>
                <w:kern w:val="0"/>
                <w:sz w:val="18"/>
                <w:szCs w:val="18"/>
                <w:shd w:val="clear" w:color="auto" w:fill="FFFFFF"/>
                <w14:textFill>
                  <w14:solidFill>
                    <w14:schemeClr w14:val="tx1"/>
                  </w14:solidFill>
                </w14:textFill>
              </w:rPr>
              <w:t>主要存在问题</w:t>
            </w:r>
          </w:p>
        </w:tc>
        <w:tc>
          <w:tcPr>
            <w:tcW w:w="1425" w:type="dxa"/>
            <w:vAlign w:val="top"/>
          </w:tcPr>
          <w:p w14:paraId="33EF2BE2">
            <w:pPr>
              <w:keepNext w:val="0"/>
              <w:keepLines w:val="0"/>
              <w:pageBreakBefore w:val="0"/>
              <w:widowControl/>
              <w:kinsoku/>
              <w:wordWrap/>
              <w:overflowPunct/>
              <w:topLinePunct w:val="0"/>
              <w:autoSpaceDE/>
              <w:autoSpaceDN/>
              <w:bidi w:val="0"/>
              <w:spacing w:line="560" w:lineRule="exact"/>
              <w:ind w:left="0" w:leftChars="0"/>
              <w:textAlignment w:val="auto"/>
              <w:rPr>
                <w:rFonts w:hint="eastAsia" w:ascii="仿宋_GB2312" w:hAnsi="仿宋_GB2312" w:eastAsia="仿宋_GB2312" w:cs="仿宋_GB2312"/>
                <w:b w:val="0"/>
                <w:bCs w:val="0"/>
                <w:color w:val="000000" w:themeColor="text1"/>
                <w:sz w:val="18"/>
                <w:szCs w:val="18"/>
                <w14:textFill>
                  <w14:solidFill>
                    <w14:schemeClr w14:val="tx1"/>
                  </w14:solidFill>
                </w14:textFill>
              </w:rPr>
            </w:pPr>
            <w:r>
              <w:rPr>
                <w:rFonts w:hint="eastAsia" w:ascii="仿宋_GB2312" w:hAnsi="仿宋_GB2312" w:eastAsia="仿宋_GB2312" w:cs="仿宋_GB2312"/>
                <w:b w:val="0"/>
                <w:bCs w:val="0"/>
                <w:color w:val="000000" w:themeColor="text1"/>
                <w:spacing w:val="10"/>
                <w:kern w:val="0"/>
                <w:sz w:val="18"/>
                <w:szCs w:val="18"/>
                <w:shd w:val="clear" w:color="auto" w:fill="FFFFFF"/>
                <w14:textFill>
                  <w14:solidFill>
                    <w14:schemeClr w14:val="tx1"/>
                  </w14:solidFill>
                </w14:textFill>
              </w:rPr>
              <w:t>整改情况</w:t>
            </w:r>
          </w:p>
        </w:tc>
        <w:tc>
          <w:tcPr>
            <w:tcW w:w="877" w:type="dxa"/>
            <w:vAlign w:val="top"/>
          </w:tcPr>
          <w:p w14:paraId="601A62D3">
            <w:pPr>
              <w:keepNext w:val="0"/>
              <w:keepLines w:val="0"/>
              <w:pageBreakBefore w:val="0"/>
              <w:widowControl/>
              <w:kinsoku/>
              <w:wordWrap/>
              <w:overflowPunct/>
              <w:topLinePunct w:val="0"/>
              <w:autoSpaceDE/>
              <w:autoSpaceDN/>
              <w:bidi w:val="0"/>
              <w:spacing w:line="560" w:lineRule="exact"/>
              <w:ind w:left="0" w:leftChars="0"/>
              <w:textAlignment w:val="auto"/>
              <w:rPr>
                <w:rFonts w:hint="eastAsia" w:ascii="仿宋_GB2312" w:hAnsi="仿宋_GB2312" w:eastAsia="仿宋_GB2312" w:cs="仿宋_GB2312"/>
                <w:b w:val="0"/>
                <w:bCs w:val="0"/>
                <w:color w:val="000000" w:themeColor="text1"/>
                <w:sz w:val="18"/>
                <w:szCs w:val="18"/>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10"/>
                <w:kern w:val="0"/>
                <w:sz w:val="18"/>
                <w:szCs w:val="18"/>
                <w:shd w:val="clear" w:color="auto" w:fill="FFFFFF"/>
                <w:lang w:eastAsia="zh-CN"/>
                <w14:textFill>
                  <w14:solidFill>
                    <w14:schemeClr w14:val="tx1"/>
                  </w14:solidFill>
                </w14:textFill>
              </w:rPr>
              <w:t>监督抽查数</w:t>
            </w:r>
          </w:p>
        </w:tc>
        <w:tc>
          <w:tcPr>
            <w:tcW w:w="780" w:type="dxa"/>
          </w:tcPr>
          <w:p w14:paraId="78D58146">
            <w:pPr>
              <w:keepNext w:val="0"/>
              <w:keepLines w:val="0"/>
              <w:pageBreakBefore w:val="0"/>
              <w:widowControl/>
              <w:kinsoku/>
              <w:wordWrap/>
              <w:overflowPunct/>
              <w:topLinePunct w:val="0"/>
              <w:autoSpaceDE/>
              <w:autoSpaceDN/>
              <w:bidi w:val="0"/>
              <w:spacing w:line="560" w:lineRule="exact"/>
              <w:ind w:left="0" w:leftChars="0"/>
              <w:textAlignment w:val="auto"/>
              <w:rPr>
                <w:rFonts w:hint="eastAsia" w:ascii="仿宋_GB2312" w:hAnsi="仿宋_GB2312" w:eastAsia="仿宋_GB2312" w:cs="仿宋_GB2312"/>
                <w:b w:val="0"/>
                <w:bCs w:val="0"/>
                <w:color w:val="000000" w:themeColor="text1"/>
                <w:spacing w:val="10"/>
                <w:kern w:val="0"/>
                <w:sz w:val="18"/>
                <w:szCs w:val="18"/>
                <w:shd w:val="clear" w:color="auto" w:fill="FFFFFF"/>
                <w14:textFill>
                  <w14:solidFill>
                    <w14:schemeClr w14:val="tx1"/>
                  </w14:solidFill>
                </w14:textFill>
              </w:rPr>
            </w:pPr>
            <w:r>
              <w:rPr>
                <w:rFonts w:hint="eastAsia" w:ascii="仿宋_GB2312" w:hAnsi="仿宋_GB2312" w:eastAsia="仿宋_GB2312" w:cs="仿宋_GB2312"/>
                <w:b w:val="0"/>
                <w:bCs w:val="0"/>
                <w:color w:val="000000" w:themeColor="text1"/>
                <w:spacing w:val="10"/>
                <w:kern w:val="0"/>
                <w:sz w:val="18"/>
                <w:szCs w:val="18"/>
                <w:shd w:val="clear" w:color="auto" w:fill="FFFFFF"/>
                <w14:textFill>
                  <w14:solidFill>
                    <w14:schemeClr w14:val="tx1"/>
                  </w14:solidFill>
                </w14:textFill>
              </w:rPr>
              <w:t>立案数</w:t>
            </w:r>
          </w:p>
        </w:tc>
        <w:tc>
          <w:tcPr>
            <w:tcW w:w="765" w:type="dxa"/>
          </w:tcPr>
          <w:p w14:paraId="189095DC">
            <w:pPr>
              <w:keepNext w:val="0"/>
              <w:keepLines w:val="0"/>
              <w:pageBreakBefore w:val="0"/>
              <w:widowControl/>
              <w:kinsoku/>
              <w:wordWrap/>
              <w:overflowPunct/>
              <w:topLinePunct w:val="0"/>
              <w:autoSpaceDE/>
              <w:autoSpaceDN/>
              <w:bidi w:val="0"/>
              <w:spacing w:line="560" w:lineRule="exact"/>
              <w:ind w:left="0" w:leftChars="0"/>
              <w:textAlignment w:val="auto"/>
              <w:rPr>
                <w:rFonts w:hint="eastAsia" w:ascii="仿宋_GB2312" w:hAnsi="仿宋_GB2312" w:eastAsia="仿宋_GB2312" w:cs="仿宋_GB2312"/>
                <w:b w:val="0"/>
                <w:bCs w:val="0"/>
                <w:color w:val="000000" w:themeColor="text1"/>
                <w:spacing w:val="10"/>
                <w:kern w:val="0"/>
                <w:sz w:val="18"/>
                <w:szCs w:val="18"/>
                <w:shd w:val="clear" w:color="auto" w:fill="FFFFFF"/>
                <w14:textFill>
                  <w14:solidFill>
                    <w14:schemeClr w14:val="tx1"/>
                  </w14:solidFill>
                </w14:textFill>
              </w:rPr>
            </w:pPr>
            <w:r>
              <w:rPr>
                <w:rFonts w:hint="eastAsia" w:ascii="仿宋_GB2312" w:hAnsi="仿宋_GB2312" w:eastAsia="仿宋_GB2312" w:cs="仿宋_GB2312"/>
                <w:b w:val="0"/>
                <w:bCs w:val="0"/>
                <w:color w:val="000000" w:themeColor="text1"/>
                <w:spacing w:val="10"/>
                <w:kern w:val="0"/>
                <w:sz w:val="18"/>
                <w:szCs w:val="18"/>
                <w:shd w:val="clear" w:color="auto" w:fill="FFFFFF"/>
                <w14:textFill>
                  <w14:solidFill>
                    <w14:schemeClr w14:val="tx1"/>
                  </w14:solidFill>
                </w14:textFill>
              </w:rPr>
              <w:t>结案数</w:t>
            </w:r>
          </w:p>
        </w:tc>
        <w:tc>
          <w:tcPr>
            <w:tcW w:w="1110" w:type="dxa"/>
          </w:tcPr>
          <w:p w14:paraId="0EF74D9F">
            <w:pPr>
              <w:keepNext w:val="0"/>
              <w:keepLines w:val="0"/>
              <w:pageBreakBefore w:val="0"/>
              <w:widowControl/>
              <w:kinsoku/>
              <w:wordWrap/>
              <w:overflowPunct/>
              <w:topLinePunct w:val="0"/>
              <w:autoSpaceDE/>
              <w:autoSpaceDN/>
              <w:bidi w:val="0"/>
              <w:spacing w:line="560" w:lineRule="exact"/>
              <w:ind w:left="0" w:leftChars="0"/>
              <w:textAlignment w:val="auto"/>
              <w:rPr>
                <w:rFonts w:hint="eastAsia" w:ascii="仿宋_GB2312" w:hAnsi="仿宋_GB2312" w:eastAsia="仿宋_GB2312" w:cs="仿宋_GB2312"/>
                <w:b w:val="0"/>
                <w:bCs w:val="0"/>
                <w:color w:val="000000" w:themeColor="text1"/>
                <w:spacing w:val="10"/>
                <w:kern w:val="0"/>
                <w:sz w:val="18"/>
                <w:szCs w:val="18"/>
                <w:shd w:val="clear" w:color="auto" w:fill="FFFFFF"/>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10"/>
                <w:kern w:val="0"/>
                <w:sz w:val="18"/>
                <w:szCs w:val="18"/>
                <w:shd w:val="clear" w:color="auto" w:fill="FFFFFF"/>
                <w14:textFill>
                  <w14:solidFill>
                    <w14:schemeClr w14:val="tx1"/>
                  </w14:solidFill>
                </w14:textFill>
              </w:rPr>
              <w:t>行政处罚</w:t>
            </w:r>
            <w:r>
              <w:rPr>
                <w:rFonts w:hint="eastAsia" w:ascii="仿宋_GB2312" w:hAnsi="仿宋_GB2312" w:eastAsia="仿宋_GB2312" w:cs="仿宋_GB2312"/>
                <w:b w:val="0"/>
                <w:bCs w:val="0"/>
                <w:color w:val="000000" w:themeColor="text1"/>
                <w:spacing w:val="10"/>
                <w:kern w:val="0"/>
                <w:sz w:val="18"/>
                <w:szCs w:val="18"/>
                <w:shd w:val="clear" w:color="auto" w:fill="FFFFFF"/>
                <w:lang w:eastAsia="zh-CN"/>
                <w14:textFill>
                  <w14:solidFill>
                    <w14:schemeClr w14:val="tx1"/>
                  </w14:solidFill>
                </w14:textFill>
              </w:rPr>
              <w:t>情况</w:t>
            </w:r>
          </w:p>
        </w:tc>
        <w:tc>
          <w:tcPr>
            <w:tcW w:w="1162" w:type="dxa"/>
          </w:tcPr>
          <w:p w14:paraId="0070FFFB">
            <w:pPr>
              <w:keepNext w:val="0"/>
              <w:keepLines w:val="0"/>
              <w:pageBreakBefore w:val="0"/>
              <w:widowControl/>
              <w:kinsoku/>
              <w:wordWrap/>
              <w:overflowPunct/>
              <w:topLinePunct w:val="0"/>
              <w:autoSpaceDE/>
              <w:autoSpaceDN/>
              <w:bidi w:val="0"/>
              <w:spacing w:line="560" w:lineRule="exact"/>
              <w:ind w:left="0" w:leftChars="0"/>
              <w:textAlignment w:val="auto"/>
              <w:rPr>
                <w:rFonts w:hint="eastAsia" w:ascii="仿宋_GB2312" w:hAnsi="仿宋_GB2312" w:eastAsia="仿宋_GB2312" w:cs="仿宋_GB2312"/>
                <w:b w:val="0"/>
                <w:bCs w:val="0"/>
                <w:color w:val="000000" w:themeColor="text1"/>
                <w:spacing w:val="10"/>
                <w:kern w:val="0"/>
                <w:sz w:val="18"/>
                <w:szCs w:val="18"/>
                <w:shd w:val="clear" w:color="auto" w:fill="FFFFFF"/>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10"/>
                <w:kern w:val="0"/>
                <w:sz w:val="18"/>
                <w:szCs w:val="18"/>
                <w:shd w:val="clear" w:color="auto" w:fill="FFFFFF"/>
                <w:lang w:val="en-US" w:eastAsia="zh-CN"/>
                <w14:textFill>
                  <w14:solidFill>
                    <w14:schemeClr w14:val="tx1"/>
                  </w14:solidFill>
                </w14:textFill>
              </w:rPr>
              <w:t>备注</w:t>
            </w:r>
          </w:p>
        </w:tc>
      </w:tr>
      <w:tr w14:paraId="2F19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tcPr>
          <w:p w14:paraId="45993353">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885" w:type="dxa"/>
          </w:tcPr>
          <w:p w14:paraId="42B6067D">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945" w:type="dxa"/>
          </w:tcPr>
          <w:p w14:paraId="37A5C71E">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185" w:type="dxa"/>
          </w:tcPr>
          <w:p w14:paraId="2AA81E5B">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275" w:type="dxa"/>
          </w:tcPr>
          <w:p w14:paraId="0F3330C1">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305" w:type="dxa"/>
          </w:tcPr>
          <w:p w14:paraId="3821D547">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545" w:type="dxa"/>
            <w:vAlign w:val="top"/>
          </w:tcPr>
          <w:p w14:paraId="7E68F38A">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tc>
        <w:tc>
          <w:tcPr>
            <w:tcW w:w="1425" w:type="dxa"/>
            <w:vAlign w:val="top"/>
          </w:tcPr>
          <w:p w14:paraId="3315F96C">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tc>
        <w:tc>
          <w:tcPr>
            <w:tcW w:w="877" w:type="dxa"/>
            <w:vAlign w:val="top"/>
          </w:tcPr>
          <w:p w14:paraId="093D24F7">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tc>
        <w:tc>
          <w:tcPr>
            <w:tcW w:w="780" w:type="dxa"/>
          </w:tcPr>
          <w:p w14:paraId="40A9FDB3">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765" w:type="dxa"/>
          </w:tcPr>
          <w:p w14:paraId="42FE3FA8">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110" w:type="dxa"/>
          </w:tcPr>
          <w:p w14:paraId="6114308E">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162" w:type="dxa"/>
          </w:tcPr>
          <w:p w14:paraId="39707A1C">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r>
      <w:tr w14:paraId="016A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tcPr>
          <w:p w14:paraId="7127DEA1">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885" w:type="dxa"/>
          </w:tcPr>
          <w:p w14:paraId="4EFD17E8">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945" w:type="dxa"/>
          </w:tcPr>
          <w:p w14:paraId="67884711">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185" w:type="dxa"/>
          </w:tcPr>
          <w:p w14:paraId="03666ED6">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275" w:type="dxa"/>
          </w:tcPr>
          <w:p w14:paraId="43D32A21">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305" w:type="dxa"/>
          </w:tcPr>
          <w:p w14:paraId="75D8BA5E">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545" w:type="dxa"/>
            <w:vAlign w:val="top"/>
          </w:tcPr>
          <w:p w14:paraId="02D6251E">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tc>
        <w:tc>
          <w:tcPr>
            <w:tcW w:w="1425" w:type="dxa"/>
            <w:vAlign w:val="top"/>
          </w:tcPr>
          <w:p w14:paraId="1495513B">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tc>
        <w:tc>
          <w:tcPr>
            <w:tcW w:w="877" w:type="dxa"/>
            <w:vAlign w:val="top"/>
          </w:tcPr>
          <w:p w14:paraId="22EC87D9">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tc>
        <w:tc>
          <w:tcPr>
            <w:tcW w:w="780" w:type="dxa"/>
          </w:tcPr>
          <w:p w14:paraId="2E9D26D2">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765" w:type="dxa"/>
          </w:tcPr>
          <w:p w14:paraId="77502E8A">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110" w:type="dxa"/>
          </w:tcPr>
          <w:p w14:paraId="7682E5EB">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162" w:type="dxa"/>
          </w:tcPr>
          <w:p w14:paraId="15C8EE2B">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r>
      <w:tr w14:paraId="6584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tcPr>
          <w:p w14:paraId="3B200B84">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885" w:type="dxa"/>
          </w:tcPr>
          <w:p w14:paraId="269C3F43">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945" w:type="dxa"/>
          </w:tcPr>
          <w:p w14:paraId="27C9008C">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185" w:type="dxa"/>
          </w:tcPr>
          <w:p w14:paraId="6009EA7C">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275" w:type="dxa"/>
          </w:tcPr>
          <w:p w14:paraId="499A5CC4">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305" w:type="dxa"/>
          </w:tcPr>
          <w:p w14:paraId="409DB21A">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545" w:type="dxa"/>
            <w:vAlign w:val="top"/>
          </w:tcPr>
          <w:p w14:paraId="68D87EF2">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tc>
        <w:tc>
          <w:tcPr>
            <w:tcW w:w="1425" w:type="dxa"/>
            <w:vAlign w:val="top"/>
          </w:tcPr>
          <w:p w14:paraId="7A2B4A9B">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tc>
        <w:tc>
          <w:tcPr>
            <w:tcW w:w="877" w:type="dxa"/>
            <w:vAlign w:val="top"/>
          </w:tcPr>
          <w:p w14:paraId="0689E0BE">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tc>
        <w:tc>
          <w:tcPr>
            <w:tcW w:w="780" w:type="dxa"/>
          </w:tcPr>
          <w:p w14:paraId="7A1979B9">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765" w:type="dxa"/>
          </w:tcPr>
          <w:p w14:paraId="734CB4C6">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110" w:type="dxa"/>
          </w:tcPr>
          <w:p w14:paraId="146B20EB">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c>
          <w:tcPr>
            <w:tcW w:w="1162" w:type="dxa"/>
          </w:tcPr>
          <w:p w14:paraId="7B833389">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spacing w:val="10"/>
                <w:kern w:val="0"/>
                <w:sz w:val="24"/>
                <w:shd w:val="clear" w:color="auto" w:fill="FFFFFF"/>
                <w14:textFill>
                  <w14:solidFill>
                    <w14:schemeClr w14:val="tx1"/>
                  </w14:solidFill>
                </w14:textFill>
              </w:rPr>
            </w:pPr>
          </w:p>
        </w:tc>
      </w:tr>
      <w:tr w14:paraId="153E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tcPr>
          <w:p w14:paraId="211E426F">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eastAsia="宋体" w:cs="Times New Roman"/>
                <w:color w:val="000000" w:themeColor="text1"/>
                <w:spacing w:val="10"/>
                <w:kern w:val="0"/>
                <w:sz w:val="44"/>
                <w:szCs w:val="44"/>
                <w:shd w:val="clear" w:color="auto" w:fill="FFFFFF"/>
                <w14:textFill>
                  <w14:solidFill>
                    <w14:schemeClr w14:val="tx1"/>
                  </w14:solidFill>
                </w14:textFill>
              </w:rPr>
            </w:pPr>
          </w:p>
        </w:tc>
        <w:tc>
          <w:tcPr>
            <w:tcW w:w="885" w:type="dxa"/>
          </w:tcPr>
          <w:p w14:paraId="724A0164">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eastAsia="宋体" w:cs="Times New Roman"/>
                <w:color w:val="000000" w:themeColor="text1"/>
                <w:spacing w:val="10"/>
                <w:kern w:val="0"/>
                <w:sz w:val="44"/>
                <w:szCs w:val="44"/>
                <w:shd w:val="clear" w:color="auto" w:fill="FFFFFF"/>
                <w14:textFill>
                  <w14:solidFill>
                    <w14:schemeClr w14:val="tx1"/>
                  </w14:solidFill>
                </w14:textFill>
              </w:rPr>
            </w:pPr>
          </w:p>
        </w:tc>
        <w:tc>
          <w:tcPr>
            <w:tcW w:w="945" w:type="dxa"/>
          </w:tcPr>
          <w:p w14:paraId="2FD02B85">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eastAsia="宋体" w:cs="Times New Roman"/>
                <w:color w:val="000000" w:themeColor="text1"/>
                <w:spacing w:val="10"/>
                <w:kern w:val="0"/>
                <w:sz w:val="44"/>
                <w:szCs w:val="44"/>
                <w:shd w:val="clear" w:color="auto" w:fill="FFFFFF"/>
                <w14:textFill>
                  <w14:solidFill>
                    <w14:schemeClr w14:val="tx1"/>
                  </w14:solidFill>
                </w14:textFill>
              </w:rPr>
            </w:pPr>
          </w:p>
        </w:tc>
        <w:tc>
          <w:tcPr>
            <w:tcW w:w="1185" w:type="dxa"/>
          </w:tcPr>
          <w:p w14:paraId="4BABCE30">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eastAsia="宋体" w:cs="Times New Roman"/>
                <w:color w:val="000000" w:themeColor="text1"/>
                <w:spacing w:val="10"/>
                <w:kern w:val="0"/>
                <w:sz w:val="44"/>
                <w:szCs w:val="44"/>
                <w:shd w:val="clear" w:color="auto" w:fill="FFFFFF"/>
                <w14:textFill>
                  <w14:solidFill>
                    <w14:schemeClr w14:val="tx1"/>
                  </w14:solidFill>
                </w14:textFill>
              </w:rPr>
            </w:pPr>
          </w:p>
        </w:tc>
        <w:tc>
          <w:tcPr>
            <w:tcW w:w="1275" w:type="dxa"/>
          </w:tcPr>
          <w:p w14:paraId="382E60FF">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eastAsia="宋体" w:cs="Times New Roman"/>
                <w:color w:val="000000" w:themeColor="text1"/>
                <w:spacing w:val="10"/>
                <w:kern w:val="0"/>
                <w:sz w:val="44"/>
                <w:szCs w:val="44"/>
                <w:shd w:val="clear" w:color="auto" w:fill="FFFFFF"/>
                <w14:textFill>
                  <w14:solidFill>
                    <w14:schemeClr w14:val="tx1"/>
                  </w14:solidFill>
                </w14:textFill>
              </w:rPr>
            </w:pPr>
          </w:p>
        </w:tc>
        <w:tc>
          <w:tcPr>
            <w:tcW w:w="1305" w:type="dxa"/>
          </w:tcPr>
          <w:p w14:paraId="44B348CB">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eastAsia="宋体" w:cs="Times New Roman"/>
                <w:color w:val="000000" w:themeColor="text1"/>
                <w:spacing w:val="10"/>
                <w:kern w:val="0"/>
                <w:sz w:val="44"/>
                <w:szCs w:val="44"/>
                <w:shd w:val="clear" w:color="auto" w:fill="FFFFFF"/>
                <w14:textFill>
                  <w14:solidFill>
                    <w14:schemeClr w14:val="tx1"/>
                  </w14:solidFill>
                </w14:textFill>
              </w:rPr>
            </w:pPr>
          </w:p>
        </w:tc>
        <w:tc>
          <w:tcPr>
            <w:tcW w:w="1545" w:type="dxa"/>
            <w:vAlign w:val="top"/>
          </w:tcPr>
          <w:p w14:paraId="23ACD2DF">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tc>
        <w:tc>
          <w:tcPr>
            <w:tcW w:w="1425" w:type="dxa"/>
            <w:vAlign w:val="top"/>
          </w:tcPr>
          <w:p w14:paraId="4CE85049">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tc>
        <w:tc>
          <w:tcPr>
            <w:tcW w:w="877" w:type="dxa"/>
            <w:vAlign w:val="top"/>
          </w:tcPr>
          <w:p w14:paraId="104B5B0A">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cs="Times New Roman"/>
                <w:color w:val="000000" w:themeColor="text1"/>
                <w14:textFill>
                  <w14:solidFill>
                    <w14:schemeClr w14:val="tx1"/>
                  </w14:solidFill>
                </w14:textFill>
              </w:rPr>
            </w:pPr>
          </w:p>
        </w:tc>
        <w:tc>
          <w:tcPr>
            <w:tcW w:w="780" w:type="dxa"/>
          </w:tcPr>
          <w:p w14:paraId="24857EAF">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eastAsia="宋体" w:cs="Times New Roman"/>
                <w:color w:val="000000" w:themeColor="text1"/>
                <w:spacing w:val="10"/>
                <w:kern w:val="0"/>
                <w:sz w:val="44"/>
                <w:szCs w:val="44"/>
                <w:shd w:val="clear" w:color="auto" w:fill="FFFFFF"/>
                <w14:textFill>
                  <w14:solidFill>
                    <w14:schemeClr w14:val="tx1"/>
                  </w14:solidFill>
                </w14:textFill>
              </w:rPr>
            </w:pPr>
          </w:p>
        </w:tc>
        <w:tc>
          <w:tcPr>
            <w:tcW w:w="765" w:type="dxa"/>
          </w:tcPr>
          <w:p w14:paraId="783AC613">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eastAsia="宋体" w:cs="Times New Roman"/>
                <w:color w:val="000000" w:themeColor="text1"/>
                <w:spacing w:val="10"/>
                <w:kern w:val="0"/>
                <w:sz w:val="44"/>
                <w:szCs w:val="44"/>
                <w:shd w:val="clear" w:color="auto" w:fill="FFFFFF"/>
                <w14:textFill>
                  <w14:solidFill>
                    <w14:schemeClr w14:val="tx1"/>
                  </w14:solidFill>
                </w14:textFill>
              </w:rPr>
            </w:pPr>
          </w:p>
        </w:tc>
        <w:tc>
          <w:tcPr>
            <w:tcW w:w="1110" w:type="dxa"/>
          </w:tcPr>
          <w:p w14:paraId="05C0F3B0">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eastAsia="宋体" w:cs="Times New Roman"/>
                <w:color w:val="000000" w:themeColor="text1"/>
                <w:spacing w:val="10"/>
                <w:kern w:val="0"/>
                <w:sz w:val="44"/>
                <w:szCs w:val="44"/>
                <w:shd w:val="clear" w:color="auto" w:fill="FFFFFF"/>
                <w14:textFill>
                  <w14:solidFill>
                    <w14:schemeClr w14:val="tx1"/>
                  </w14:solidFill>
                </w14:textFill>
              </w:rPr>
            </w:pPr>
          </w:p>
        </w:tc>
        <w:tc>
          <w:tcPr>
            <w:tcW w:w="1162" w:type="dxa"/>
          </w:tcPr>
          <w:p w14:paraId="2F83F77A">
            <w:pPr>
              <w:keepNext w:val="0"/>
              <w:keepLines w:val="0"/>
              <w:pageBreakBefore w:val="0"/>
              <w:widowControl/>
              <w:kinsoku/>
              <w:wordWrap/>
              <w:overflowPunct/>
              <w:topLinePunct w:val="0"/>
              <w:autoSpaceDE/>
              <w:autoSpaceDN/>
              <w:bidi w:val="0"/>
              <w:spacing w:line="560" w:lineRule="exact"/>
              <w:ind w:left="0" w:leftChars="0"/>
              <w:textAlignment w:val="auto"/>
              <w:rPr>
                <w:rFonts w:hint="default" w:ascii="Times New Roman" w:hAnsi="Times New Roman" w:eastAsia="宋体" w:cs="Times New Roman"/>
                <w:color w:val="000000" w:themeColor="text1"/>
                <w:spacing w:val="10"/>
                <w:kern w:val="0"/>
                <w:sz w:val="44"/>
                <w:szCs w:val="44"/>
                <w:shd w:val="clear" w:color="auto" w:fill="FFFFFF"/>
                <w14:textFill>
                  <w14:solidFill>
                    <w14:schemeClr w14:val="tx1"/>
                  </w14:solidFill>
                </w14:textFill>
              </w:rPr>
            </w:pPr>
          </w:p>
        </w:tc>
      </w:tr>
    </w:tbl>
    <w:p w14:paraId="4DC01137">
      <w:pPr>
        <w:pStyle w:val="5"/>
        <w:keepNext w:val="0"/>
        <w:keepLines w:val="0"/>
        <w:pageBreakBefore w:val="0"/>
        <w:widowControl/>
        <w:kinsoku/>
        <w:wordWrap/>
        <w:overflowPunct/>
        <w:topLinePunct w:val="0"/>
        <w:autoSpaceDE/>
        <w:autoSpaceDN/>
        <w:bidi w:val="0"/>
        <w:spacing w:beforeAutospacing="0" w:afterAutospacing="0" w:line="560" w:lineRule="exact"/>
        <w:ind w:left="0" w:leftChars="0"/>
        <w:jc w:val="both"/>
        <w:textAlignment w:val="auto"/>
        <w:rPr>
          <w:rFonts w:hint="eastAsia" w:ascii="Times New Roman" w:hAnsi="Times New Roman" w:eastAsia="仿宋_GB2312" w:cs="Times New Roman"/>
          <w:color w:val="000000" w:themeColor="text1"/>
          <w:spacing w:val="10"/>
          <w:kern w:val="0"/>
          <w:sz w:val="24"/>
          <w:szCs w:val="24"/>
          <w:shd w:val="clear" w:color="auto" w:fill="FFFFFF"/>
          <w:lang w:eastAsia="zh-CN"/>
          <w14:textFill>
            <w14:solidFill>
              <w14:schemeClr w14:val="tx1"/>
            </w14:solidFill>
          </w14:textFill>
        </w:rPr>
        <w:sectPr>
          <w:pgSz w:w="16838" w:h="11906" w:orient="landscape"/>
          <w:pgMar w:top="2098" w:right="1587" w:bottom="1984" w:left="1587" w:header="851" w:footer="992" w:gutter="0"/>
          <w:pgNumType w:fmt="numberInDash"/>
          <w:cols w:space="0" w:num="1"/>
          <w:docGrid w:type="linesAndChars" w:linePitch="319" w:charSpace="0"/>
        </w:sect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填报人</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w:t>
      </w:r>
    </w:p>
    <w:p w14:paraId="1F198A08">
      <w:pPr>
        <w:widowControl/>
        <w:shd w:val="clear" w:color="auto" w:fill="FFFFFF"/>
        <w:spacing w:line="560" w:lineRule="exact"/>
        <w:rPr>
          <w:rFonts w:ascii="仿宋_GB2312" w:hAnsi="仿宋_GB2312" w:eastAsia="仿宋_GB2312" w:cs="仿宋_GB2312"/>
          <w:color w:val="000000"/>
          <w:spacing w:val="10"/>
          <w:kern w:val="0"/>
          <w:sz w:val="32"/>
          <w:szCs w:val="32"/>
          <w:shd w:val="clear" w:color="auto" w:fill="FFFFFF"/>
        </w:rPr>
      </w:pPr>
    </w:p>
    <w:sectPr>
      <w:pgSz w:w="11906" w:h="16838"/>
      <w:pgMar w:top="1440" w:right="1797" w:bottom="1440" w:left="1797" w:header="851" w:footer="992" w:gutter="0"/>
      <w:pgNumType w:fmt="numberInDash"/>
      <w:cols w:space="0" w:num="1"/>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EF21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3E1B9">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153E1B9">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7C4717"/>
    <w:rsid w:val="00057644"/>
    <w:rsid w:val="001410B3"/>
    <w:rsid w:val="00334043"/>
    <w:rsid w:val="003E0C54"/>
    <w:rsid w:val="00411BD8"/>
    <w:rsid w:val="004206A5"/>
    <w:rsid w:val="004E7369"/>
    <w:rsid w:val="00563E5B"/>
    <w:rsid w:val="005A6D2D"/>
    <w:rsid w:val="005D17F2"/>
    <w:rsid w:val="005F2D87"/>
    <w:rsid w:val="005F7050"/>
    <w:rsid w:val="007C781F"/>
    <w:rsid w:val="008F11FD"/>
    <w:rsid w:val="00945448"/>
    <w:rsid w:val="00A136E0"/>
    <w:rsid w:val="00A376E0"/>
    <w:rsid w:val="00BF5DF3"/>
    <w:rsid w:val="00D25C44"/>
    <w:rsid w:val="00E2061B"/>
    <w:rsid w:val="00EA5267"/>
    <w:rsid w:val="00F402B9"/>
    <w:rsid w:val="00FD43DC"/>
    <w:rsid w:val="00FF1896"/>
    <w:rsid w:val="050A6FC3"/>
    <w:rsid w:val="063E4A90"/>
    <w:rsid w:val="092C4871"/>
    <w:rsid w:val="0B0B0D13"/>
    <w:rsid w:val="0B8818AC"/>
    <w:rsid w:val="0B92506D"/>
    <w:rsid w:val="0E4678F0"/>
    <w:rsid w:val="0EDA2FAA"/>
    <w:rsid w:val="101C7172"/>
    <w:rsid w:val="107C4717"/>
    <w:rsid w:val="10AD62BB"/>
    <w:rsid w:val="11E8111F"/>
    <w:rsid w:val="12806567"/>
    <w:rsid w:val="17685B81"/>
    <w:rsid w:val="1FD57BF2"/>
    <w:rsid w:val="208159DB"/>
    <w:rsid w:val="21316230"/>
    <w:rsid w:val="2428219C"/>
    <w:rsid w:val="25B908A4"/>
    <w:rsid w:val="263B1B31"/>
    <w:rsid w:val="268E2863"/>
    <w:rsid w:val="27BA7AAF"/>
    <w:rsid w:val="2B525972"/>
    <w:rsid w:val="2B875640"/>
    <w:rsid w:val="2C1A6843"/>
    <w:rsid w:val="30E42E73"/>
    <w:rsid w:val="339B7E99"/>
    <w:rsid w:val="3651592D"/>
    <w:rsid w:val="3714051F"/>
    <w:rsid w:val="382B57DC"/>
    <w:rsid w:val="38BD5A2F"/>
    <w:rsid w:val="3A39337A"/>
    <w:rsid w:val="3FF07802"/>
    <w:rsid w:val="46783F83"/>
    <w:rsid w:val="4A712C7C"/>
    <w:rsid w:val="4C0367B1"/>
    <w:rsid w:val="4EA02CDF"/>
    <w:rsid w:val="4FB822ED"/>
    <w:rsid w:val="50A060A3"/>
    <w:rsid w:val="52B8286B"/>
    <w:rsid w:val="53186C3B"/>
    <w:rsid w:val="56AF0BF5"/>
    <w:rsid w:val="5867692F"/>
    <w:rsid w:val="594215A9"/>
    <w:rsid w:val="5A030B20"/>
    <w:rsid w:val="5B1C3FD0"/>
    <w:rsid w:val="5B201AD5"/>
    <w:rsid w:val="5DBD6276"/>
    <w:rsid w:val="5E15328B"/>
    <w:rsid w:val="60717654"/>
    <w:rsid w:val="619F6304"/>
    <w:rsid w:val="63962754"/>
    <w:rsid w:val="65744671"/>
    <w:rsid w:val="67030F67"/>
    <w:rsid w:val="671A79CE"/>
    <w:rsid w:val="6734483D"/>
    <w:rsid w:val="67786051"/>
    <w:rsid w:val="6A3C61B2"/>
    <w:rsid w:val="6B2B568D"/>
    <w:rsid w:val="6E086CBE"/>
    <w:rsid w:val="6E284295"/>
    <w:rsid w:val="6F024B1A"/>
    <w:rsid w:val="6FA31484"/>
    <w:rsid w:val="6FD94F2D"/>
    <w:rsid w:val="70302141"/>
    <w:rsid w:val="70BF4D3A"/>
    <w:rsid w:val="718B17D5"/>
    <w:rsid w:val="72E12CD6"/>
    <w:rsid w:val="7411729C"/>
    <w:rsid w:val="77F42F8D"/>
    <w:rsid w:val="78952A10"/>
    <w:rsid w:val="789A1666"/>
    <w:rsid w:val="7D5F3913"/>
    <w:rsid w:val="7F8C4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jc w:val="left"/>
      <w:outlineLvl w:val="0"/>
    </w:pPr>
    <w:rPr>
      <w:rFonts w:hint="eastAsia" w:ascii="宋体" w:hAnsi="宋体" w:eastAsia="宋体" w:cs="Times New Roman"/>
      <w:b/>
      <w:kern w:val="44"/>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4"/>
    <w:qFormat/>
    <w:uiPriority w:val="0"/>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rPr>
  </w:style>
  <w:style w:type="character" w:styleId="10">
    <w:name w:val="FollowedHyperlink"/>
    <w:basedOn w:val="8"/>
    <w:qFormat/>
    <w:uiPriority w:val="0"/>
    <w:rPr>
      <w:color w:val="800080"/>
      <w:u w:val="none"/>
    </w:rPr>
  </w:style>
  <w:style w:type="character" w:styleId="11">
    <w:name w:val="Hyperlink"/>
    <w:basedOn w:val="12"/>
    <w:qFormat/>
    <w:uiPriority w:val="0"/>
    <w:rPr>
      <w:color w:val="0000FF"/>
      <w:u w:val="none"/>
    </w:rPr>
  </w:style>
  <w:style w:type="character" w:customStyle="1" w:styleId="12">
    <w:name w:val="默认段落字体1"/>
    <w:qFormat/>
    <w:uiPriority w:val="0"/>
  </w:style>
  <w:style w:type="character" w:customStyle="1" w:styleId="13">
    <w:name w:val="页眉 Char"/>
    <w:basedOn w:val="8"/>
    <w:link w:val="4"/>
    <w:qFormat/>
    <w:uiPriority w:val="0"/>
    <w:rPr>
      <w:rFonts w:asciiTheme="minorHAnsi" w:hAnsiTheme="minorHAnsi" w:eastAsiaTheme="minorEastAsia" w:cstheme="minorBidi"/>
      <w:kern w:val="2"/>
      <w:sz w:val="18"/>
      <w:szCs w:val="18"/>
    </w:rPr>
  </w:style>
  <w:style w:type="character" w:customStyle="1" w:styleId="14">
    <w:name w:val="页脚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B42552-2271-4841-AD44-9B58A7A319AE}">
  <ds:schemaRefs/>
</ds:datastoreItem>
</file>

<file path=docProps/app.xml><?xml version="1.0" encoding="utf-8"?>
<Properties xmlns="http://schemas.openxmlformats.org/officeDocument/2006/extended-properties" xmlns:vt="http://schemas.openxmlformats.org/officeDocument/2006/docPropsVTypes">
  <Template>Normal</Template>
  <Pages>12</Pages>
  <Words>584</Words>
  <Characters>3335</Characters>
  <Lines>27</Lines>
  <Paragraphs>7</Paragraphs>
  <TotalTime>147</TotalTime>
  <ScaleCrop>false</ScaleCrop>
  <LinksUpToDate>false</LinksUpToDate>
  <CharactersWithSpaces>3912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2019-12-19T05:07:00Z</dcterms:created>
  <dc:creator>Administrator</dc:creator>
  <cp:lastModifiedBy>Administrator</cp:lastModifiedBy>
  <cp:lastPrinted>2026-07-07T11:31:38Z</cp:lastPrinted>
  <dcterms:modified xsi:type="dcterms:W3CDTF">2026-07-07T11:33:46Z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4EB841B07F59487FA303233E5D8CFD42_12</vt:lpwstr>
  </property>
</Properties>
</file>