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48BFE">
      <w:pPr>
        <w:adjustRightInd w:val="0"/>
        <w:snapToGrid w:val="0"/>
        <w:spacing w:line="288" w:lineRule="auto"/>
        <w:ind w:firstLine="1040"/>
        <w:rPr>
          <w:rFonts w:ascii="方正小标宋_GBK" w:eastAsia="方正小标宋_GBK"/>
          <w:bCs/>
          <w:color w:val="0D0D0D" w:themeColor="text1" w:themeTint="F2"/>
          <w:sz w:val="72"/>
          <w:szCs w:val="72"/>
          <w14:textFill>
            <w14:solidFill>
              <w14:schemeClr w14:val="tx1">
                <w14:lumMod w14:val="95000"/>
                <w14:lumOff w14:val="5000"/>
              </w14:schemeClr>
            </w14:solidFill>
          </w14:textFill>
        </w:rPr>
      </w:pPr>
    </w:p>
    <w:p w14:paraId="756B66A3">
      <w:pPr>
        <w:adjustRightInd w:val="0"/>
        <w:snapToGrid w:val="0"/>
        <w:jc w:val="center"/>
        <w:outlineLvl w:val="0"/>
        <w:rPr>
          <w:rFonts w:ascii="方正小标宋_GBK" w:eastAsia="方正小标宋_GBK"/>
          <w:bCs/>
          <w:color w:val="0D0D0D" w:themeColor="text1" w:themeTint="F2"/>
          <w:sz w:val="72"/>
          <w:szCs w:val="72"/>
          <w14:textFill>
            <w14:solidFill>
              <w14:schemeClr w14:val="tx1">
                <w14:lumMod w14:val="95000"/>
                <w14:lumOff w14:val="5000"/>
              </w14:schemeClr>
            </w14:solidFill>
          </w14:textFill>
        </w:rPr>
      </w:pPr>
      <w:r>
        <w:rPr>
          <w:rFonts w:hint="eastAsia" w:ascii="方正小标宋_GBK" w:eastAsia="方正小标宋_GBK"/>
          <w:bCs/>
          <w:color w:val="0D0D0D" w:themeColor="text1" w:themeTint="F2"/>
          <w:sz w:val="72"/>
          <w:szCs w:val="72"/>
          <w14:textFill>
            <w14:solidFill>
              <w14:schemeClr w14:val="tx1">
                <w14:lumMod w14:val="95000"/>
                <w14:lumOff w14:val="5000"/>
              </w14:schemeClr>
            </w14:solidFill>
          </w14:textFill>
        </w:rPr>
        <w:t>建设项目环境影响报告表</w:t>
      </w:r>
    </w:p>
    <w:p w14:paraId="344D737A">
      <w:pPr>
        <w:adjustRightInd w:val="0"/>
        <w:snapToGrid w:val="0"/>
        <w:spacing w:before="192" w:beforeLines="80"/>
        <w:jc w:val="center"/>
        <w:rPr>
          <w:rFonts w:hint="eastAsia" w:ascii="楷体_GB2312" w:eastAsia="楷体_GB2312"/>
          <w:bCs/>
          <w:color w:val="0D0D0D" w:themeColor="text1" w:themeTint="F2"/>
          <w:sz w:val="48"/>
          <w:szCs w:val="48"/>
          <w14:textFill>
            <w14:solidFill>
              <w14:schemeClr w14:val="tx1">
                <w14:lumMod w14:val="95000"/>
                <w14:lumOff w14:val="5000"/>
              </w14:schemeClr>
            </w14:solidFill>
          </w14:textFill>
        </w:rPr>
      </w:pPr>
      <w:r>
        <w:rPr>
          <w:rFonts w:hint="eastAsia" w:ascii="楷体_GB2312" w:eastAsia="楷体_GB2312"/>
          <w:bCs/>
          <w:color w:val="0D0D0D" w:themeColor="text1" w:themeTint="F2"/>
          <w:sz w:val="48"/>
          <w:szCs w:val="48"/>
          <w14:textFill>
            <w14:solidFill>
              <w14:schemeClr w14:val="tx1">
                <w14:lumMod w14:val="95000"/>
                <w14:lumOff w14:val="5000"/>
              </w14:schemeClr>
            </w14:solidFill>
          </w14:textFill>
        </w:rPr>
        <w:t>（生态影响类）</w:t>
      </w:r>
    </w:p>
    <w:p w14:paraId="77DB3A4A">
      <w:pPr>
        <w:adjustRightInd w:val="0"/>
        <w:snapToGrid w:val="0"/>
        <w:spacing w:before="192" w:beforeLines="80"/>
        <w:jc w:val="center"/>
        <w:rPr>
          <w:rFonts w:hint="eastAsia" w:ascii="楷体_GB2312" w:eastAsia="楷体_GB2312"/>
          <w:bCs/>
          <w:color w:val="0D0D0D" w:themeColor="text1" w:themeTint="F2"/>
          <w:sz w:val="48"/>
          <w:szCs w:val="48"/>
          <w:lang w:eastAsia="zh-CN"/>
          <w14:textFill>
            <w14:solidFill>
              <w14:schemeClr w14:val="tx1">
                <w14:lumMod w14:val="95000"/>
                <w14:lumOff w14:val="5000"/>
              </w14:schemeClr>
            </w14:solidFill>
          </w14:textFill>
        </w:rPr>
      </w:pPr>
      <w:r>
        <w:rPr>
          <w:rFonts w:hint="eastAsia" w:ascii="楷体_GB2312" w:eastAsia="楷体_GB2312"/>
          <w:bCs/>
          <w:color w:val="0D0D0D" w:themeColor="text1" w:themeTint="F2"/>
          <w:sz w:val="48"/>
          <w:szCs w:val="48"/>
          <w:lang w:eastAsia="zh-CN"/>
          <w14:textFill>
            <w14:solidFill>
              <w14:schemeClr w14:val="tx1">
                <w14:lumMod w14:val="95000"/>
                <w14:lumOff w14:val="5000"/>
              </w14:schemeClr>
            </w14:solidFill>
          </w14:textFill>
        </w:rPr>
        <w:t>（公示稿）</w:t>
      </w:r>
    </w:p>
    <w:p w14:paraId="1A53D754">
      <w:pPr>
        <w:ind w:firstLine="1040"/>
        <w:rPr>
          <w:rFonts w:eastAsia="仿宋"/>
          <w:color w:val="0D0D0D" w:themeColor="text1" w:themeTint="F2"/>
          <w:sz w:val="44"/>
          <w:szCs w:val="44"/>
          <w14:textFill>
            <w14:solidFill>
              <w14:schemeClr w14:val="tx1">
                <w14:lumMod w14:val="95000"/>
                <w14:lumOff w14:val="5000"/>
              </w14:schemeClr>
            </w14:solidFill>
          </w14:textFill>
        </w:rPr>
      </w:pPr>
      <w:bookmarkStart w:id="0" w:name="_Hlk57883728"/>
    </w:p>
    <w:p w14:paraId="1D787A59">
      <w:pPr>
        <w:pStyle w:val="14"/>
      </w:pPr>
    </w:p>
    <w:p w14:paraId="31FA7117">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6FD14124">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49BCEE59">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7010B84D">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4C7B585C">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32F99AF6">
      <w:pPr>
        <w:ind w:firstLine="1040"/>
        <w:rPr>
          <w:rFonts w:eastAsia="仿宋"/>
          <w:color w:val="0D0D0D" w:themeColor="text1" w:themeTint="F2"/>
          <w:sz w:val="44"/>
          <w:szCs w:val="44"/>
          <w14:textFill>
            <w14:solidFill>
              <w14:schemeClr w14:val="tx1">
                <w14:lumMod w14:val="95000"/>
                <w14:lumOff w14:val="5000"/>
              </w14:schemeClr>
            </w14:solidFill>
          </w14:textFill>
        </w:rPr>
      </w:pPr>
    </w:p>
    <w:bookmarkEnd w:id="0"/>
    <w:p w14:paraId="2CBAAB88">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项目名称：</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石锋3井勘探钻探工程（变更） </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p>
    <w:p w14:paraId="105343EB">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建设单位（盖章）：</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中国石油新疆油田分公司勘探事业部   </w:t>
      </w:r>
    </w:p>
    <w:p w14:paraId="65615B19">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编制日期：</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202</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6年7月 </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p>
    <w:p w14:paraId="62F0A7EB">
      <w:pPr>
        <w:adjustRightInd w:val="0"/>
        <w:snapToGrid w:val="0"/>
        <w:spacing w:line="288" w:lineRule="auto"/>
        <w:ind w:firstLine="1040"/>
        <w:rPr>
          <w:rFonts w:ascii="仿宋_GB2312" w:eastAsia="仿宋_GB2312"/>
          <w:color w:val="0D0D0D" w:themeColor="text1" w:themeTint="F2"/>
          <w:sz w:val="36"/>
          <w:szCs w:val="36"/>
          <w:u w:val="single"/>
          <w14:textFill>
            <w14:solidFill>
              <w14:schemeClr w14:val="tx1">
                <w14:lumMod w14:val="95000"/>
                <w14:lumOff w14:val="5000"/>
              </w14:schemeClr>
            </w14:solidFill>
          </w14:textFill>
        </w:rPr>
      </w:pPr>
    </w:p>
    <w:p w14:paraId="4566DA68">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15D5A12C">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3F94E336">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4DDD5A5F">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3FE0BA7D">
      <w:pPr>
        <w:adjustRightInd w:val="0"/>
        <w:spacing w:line="288" w:lineRule="auto"/>
        <w:jc w:val="center"/>
        <w:rPr>
          <w:color w:val="0D0D0D" w:themeColor="text1" w:themeTint="F2"/>
          <w14:textFill>
            <w14:solidFill>
              <w14:schemeClr w14:val="tx1">
                <w14:lumMod w14:val="95000"/>
                <w14:lumOff w14:val="5000"/>
              </w14:schemeClr>
            </w14:solidFill>
          </w14:textFill>
        </w:rPr>
      </w:pPr>
      <w:r>
        <w:rPr>
          <w:rFonts w:hint="eastAsia" w:ascii="楷体_GB2312" w:eastAsia="楷体_GB2312"/>
          <w:color w:val="0D0D0D" w:themeColor="text1" w:themeTint="F2"/>
          <w:sz w:val="36"/>
          <w:szCs w:val="36"/>
          <w14:textFill>
            <w14:solidFill>
              <w14:schemeClr w14:val="tx1">
                <w14:lumMod w14:val="95000"/>
                <w14:lumOff w14:val="5000"/>
              </w14:schemeClr>
            </w14:solidFill>
          </w14:textFill>
        </w:rPr>
        <w:t>中华人民共和国生态环境部制</w:t>
      </w:r>
    </w:p>
    <w:p w14:paraId="2B5F2E4B">
      <w:pPr>
        <w:widowControl/>
        <w:spacing w:line="343" w:lineRule="auto"/>
        <w:rPr>
          <w:color w:val="0D0D0D" w:themeColor="text1" w:themeTint="F2"/>
          <w14:textFill>
            <w14:solidFill>
              <w14:schemeClr w14:val="tx1">
                <w14:lumMod w14:val="95000"/>
                <w14:lumOff w14:val="5000"/>
              </w14:schemeClr>
            </w14:solidFill>
          </w14:textFill>
        </w:rPr>
        <w:sectPr>
          <w:footerReference r:id="rId5" w:type="first"/>
          <w:footerReference r:id="rId3" w:type="default"/>
          <w:footerReference r:id="rId4" w:type="even"/>
          <w:pgSz w:w="11910" w:h="16840"/>
          <w:pgMar w:top="1580" w:right="1320" w:bottom="1240" w:left="1420" w:header="720" w:footer="1055" w:gutter="0"/>
          <w:pgNumType w:start="1"/>
          <w:cols w:space="720" w:num="1"/>
        </w:sectPr>
      </w:pPr>
    </w:p>
    <w:p w14:paraId="7D7FC7C3">
      <w:pPr>
        <w:rPr>
          <w:color w:val="0D0D0D" w:themeColor="text1" w:themeTint="F2"/>
          <w14:textFill>
            <w14:solidFill>
              <w14:schemeClr w14:val="tx1">
                <w14:lumMod w14:val="95000"/>
                <w14:lumOff w14:val="5000"/>
              </w14:schemeClr>
            </w14:solidFill>
          </w14:textFill>
        </w:rPr>
        <w:sectPr>
          <w:pgSz w:w="11906" w:h="16838"/>
          <w:pgMar w:top="1440" w:right="1800" w:bottom="1440" w:left="1800" w:header="851" w:footer="992" w:gutter="0"/>
          <w:cols w:space="425" w:num="1"/>
          <w:docGrid w:type="lines" w:linePitch="312" w:charSpace="0"/>
        </w:sectPr>
      </w:pPr>
    </w:p>
    <w:p w14:paraId="7A62EC39">
      <w:pPr>
        <w:rPr>
          <w:color w:val="0D0D0D" w:themeColor="text1" w:themeTint="F2"/>
          <w14:textFill>
            <w14:solidFill>
              <w14:schemeClr w14:val="tx1">
                <w14:lumMod w14:val="95000"/>
                <w14:lumOff w14:val="5000"/>
              </w14:schemeClr>
            </w14:solidFill>
          </w14:textFill>
        </w:rPr>
        <w:sectPr>
          <w:footerReference r:id="rId6" w:type="default"/>
          <w:pgSz w:w="11906" w:h="16838"/>
          <w:pgMar w:top="1440" w:right="1800" w:bottom="1440" w:left="1800" w:header="1020" w:footer="1020" w:gutter="0"/>
          <w:pgNumType w:start="1"/>
          <w:cols w:space="425" w:num="1"/>
          <w:docGrid w:type="lines" w:linePitch="326" w:charSpace="0"/>
        </w:sectPr>
      </w:pPr>
    </w:p>
    <w:p w14:paraId="400D4962">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lang w:eastAsia="zh-CN"/>
          <w14:textFill>
            <w14:solidFill>
              <w14:schemeClr w14:val="tx1">
                <w14:lumMod w14:val="95000"/>
                <w14:lumOff w14:val="5000"/>
              </w14:schemeClr>
            </w14:solidFill>
          </w14:textFill>
        </w:rPr>
        <w:t>一</w:t>
      </w: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、建设内容</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7824"/>
      </w:tblGrid>
      <w:tr w14:paraId="1341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58C5060C">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地理位置</w:t>
            </w:r>
          </w:p>
        </w:tc>
        <w:tc>
          <w:tcPr>
            <w:tcW w:w="7824" w:type="dxa"/>
          </w:tcPr>
          <w:p w14:paraId="1985E536">
            <w:pPr>
              <w:pStyle w:val="37"/>
              <w:ind w:firstLine="480"/>
              <w:rPr>
                <w:rFonts w:hint="eastAsia" w:eastAsia="宋体"/>
                <w:color w:val="0D0D0D" w:themeColor="text1" w:themeTint="F2"/>
                <w:lang w:eastAsia="zh-CN"/>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本项目行政隶属新疆维吾尔自治区塔城地区沙湾市，石锋3井西北距沙湾市约23km，西距S223约7km，</w:t>
            </w:r>
            <w:r>
              <w:rPr>
                <w:rStyle w:val="59"/>
                <w:rFonts w:hint="eastAsia"/>
                <w:color w:val="0D0D0D" w:themeColor="text1" w:themeTint="F2"/>
                <w:spacing w:val="-4"/>
                <w14:textFill>
                  <w14:solidFill>
                    <w14:schemeClr w14:val="tx1">
                      <w14:lumMod w14:val="95000"/>
                      <w14:lumOff w14:val="5000"/>
                    </w14:schemeClr>
                  </w14:solidFill>
                </w14:textFill>
              </w:rPr>
              <w:t>井位坐标见</w:t>
            </w:r>
            <w:r>
              <w:rPr>
                <w:rStyle w:val="59"/>
                <w:rFonts w:hint="eastAsia"/>
                <w:color w:val="0D0D0D" w:themeColor="text1" w:themeTint="F2"/>
                <w:spacing w:val="-4"/>
                <w14:textFill>
                  <w14:solidFill>
                    <w14:schemeClr w14:val="tx1">
                      <w14:lumMod w14:val="95000"/>
                      <w14:lumOff w14:val="5000"/>
                    </w14:schemeClr>
                  </w14:solidFill>
                </w14:textFill>
              </w:rPr>
              <w:fldChar w:fldCharType="begin"/>
            </w:r>
            <w:r>
              <w:rPr>
                <w:rStyle w:val="59"/>
                <w:rFonts w:hint="eastAsia"/>
                <w:color w:val="0D0D0D" w:themeColor="text1" w:themeTint="F2"/>
                <w:spacing w:val="-4"/>
                <w14:textFill>
                  <w14:solidFill>
                    <w14:schemeClr w14:val="tx1">
                      <w14:lumMod w14:val="95000"/>
                      <w14:lumOff w14:val="5000"/>
                    </w14:schemeClr>
                  </w14:solidFill>
                </w14:textFill>
              </w:rPr>
              <w:instrText xml:space="preserve"> REF _Ref206147286 \h  \* MERGEFORMAT </w:instrText>
            </w:r>
            <w:r>
              <w:rPr>
                <w:rStyle w:val="59"/>
                <w:rFonts w:hint="eastAsia"/>
                <w:color w:val="0D0D0D" w:themeColor="text1" w:themeTint="F2"/>
                <w:spacing w:val="-4"/>
                <w14:textFill>
                  <w14:solidFill>
                    <w14:schemeClr w14:val="tx1">
                      <w14:lumMod w14:val="95000"/>
                      <w14:lumOff w14:val="5000"/>
                    </w14:schemeClr>
                  </w14:solidFill>
                </w14:textFill>
              </w:rPr>
              <w:fldChar w:fldCharType="separate"/>
            </w:r>
            <w:r>
              <w:rPr>
                <w:rStyle w:val="59"/>
                <w:spacing w:val="-4"/>
              </w:rPr>
              <w:t>表6</w:t>
            </w:r>
            <w:r>
              <w:rPr>
                <w:rStyle w:val="59"/>
                <w:rFonts w:hint="eastAsia"/>
                <w:color w:val="0D0D0D" w:themeColor="text1" w:themeTint="F2"/>
                <w:spacing w:val="-4"/>
                <w14:textFill>
                  <w14:solidFill>
                    <w14:schemeClr w14:val="tx1">
                      <w14:lumMod w14:val="95000"/>
                      <w14:lumOff w14:val="5000"/>
                    </w14:schemeClr>
                  </w14:solidFill>
                </w14:textFill>
              </w:rPr>
              <w:fldChar w:fldCharType="end"/>
            </w:r>
            <w:r>
              <w:rPr>
                <w:rStyle w:val="59"/>
                <w:rFonts w:hint="eastAsia"/>
                <w:color w:val="0D0D0D" w:themeColor="text1" w:themeTint="F2"/>
                <w:spacing w:val="-4"/>
                <w14:textFill>
                  <w14:solidFill>
                    <w14:schemeClr w14:val="tx1">
                      <w14:lumMod w14:val="95000"/>
                      <w14:lumOff w14:val="5000"/>
                    </w14:schemeClr>
                  </w14:solidFill>
                </w14:textFill>
              </w:rPr>
              <w:t>。</w:t>
            </w:r>
            <w:bookmarkStart w:id="1" w:name="_Hlk213897565"/>
            <w:r>
              <w:rPr>
                <w:rStyle w:val="59"/>
                <w:rFonts w:hint="eastAsia"/>
                <w:color w:val="0D0D0D" w:themeColor="text1" w:themeTint="F2"/>
                <w:spacing w:val="-4"/>
                <w14:textFill>
                  <w14:solidFill>
                    <w14:schemeClr w14:val="tx1">
                      <w14:lumMod w14:val="95000"/>
                      <w14:lumOff w14:val="5000"/>
                    </w14:schemeClr>
                  </w14:solidFill>
                </w14:textFill>
              </w:rPr>
              <w:t>井场西侧100m处有季节性冲洪沟</w:t>
            </w:r>
            <w:bookmarkEnd w:id="1"/>
            <w:r>
              <w:rPr>
                <w:rStyle w:val="59"/>
                <w:rFonts w:hint="eastAsia"/>
                <w:color w:val="0D0D0D" w:themeColor="text1" w:themeTint="F2"/>
                <w:spacing w:val="-4"/>
                <w:lang w:eastAsia="zh-CN"/>
                <w14:textFill>
                  <w14:solidFill>
                    <w14:schemeClr w14:val="tx1">
                      <w14:lumMod w14:val="95000"/>
                      <w14:lumOff w14:val="5000"/>
                    </w14:schemeClr>
                  </w14:solidFill>
                </w14:textFill>
              </w:rPr>
              <w:t>。</w:t>
            </w:r>
          </w:p>
          <w:p w14:paraId="09A82934">
            <w:pPr>
              <w:pStyle w:val="24"/>
              <w:rPr>
                <w:color w:val="0D0D0D" w:themeColor="text1" w:themeTint="F2"/>
                <w14:textFill>
                  <w14:solidFill>
                    <w14:schemeClr w14:val="tx1">
                      <w14:lumMod w14:val="95000"/>
                      <w14:lumOff w14:val="5000"/>
                    </w14:schemeClr>
                  </w14:solidFill>
                </w14:textFill>
              </w:rPr>
            </w:pPr>
          </w:p>
        </w:tc>
      </w:tr>
      <w:tr w14:paraId="0445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4F17D89D">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bookmarkStart w:id="2" w:name="_Hlk136793942"/>
            <w:r>
              <w:rPr>
                <w:rFonts w:hint="eastAsia" w:ascii="宋体" w:hAnsi="宋体" w:cs="宋体"/>
                <w:color w:val="0D0D0D" w:themeColor="text1" w:themeTint="F2"/>
                <w14:textFill>
                  <w14:solidFill>
                    <w14:schemeClr w14:val="tx1">
                      <w14:lumMod w14:val="95000"/>
                      <w14:lumOff w14:val="5000"/>
                    </w14:schemeClr>
                  </w14:solidFill>
                </w14:textFill>
              </w:rPr>
              <w:t>项目组成及规模</w:t>
            </w:r>
          </w:p>
        </w:tc>
        <w:tc>
          <w:tcPr>
            <w:tcW w:w="7824" w:type="dxa"/>
          </w:tcPr>
          <w:p w14:paraId="354B1DF0">
            <w:pPr>
              <w:snapToGrid w:val="0"/>
              <w:spacing w:line="500" w:lineRule="exact"/>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 xml:space="preserve"> </w:t>
            </w:r>
            <w:r>
              <w:rPr>
                <w:rFonts w:hint="eastAsia" w:ascii="宋体" w:hAnsi="宋体" w:cs="宋体"/>
                <w:color w:val="0D0D0D" w:themeColor="text1" w:themeTint="F2"/>
                <w:lang w:val="en-US" w:eastAsia="zh-CN"/>
                <w14:textFill>
                  <w14:solidFill>
                    <w14:schemeClr w14:val="tx1">
                      <w14:lumMod w14:val="95000"/>
                      <w14:lumOff w14:val="5000"/>
                    </w14:schemeClr>
                  </w14:solidFill>
                </w14:textFill>
              </w:rPr>
              <w:t xml:space="preserve"> 1.</w:t>
            </w:r>
            <w:r>
              <w:rPr>
                <w:rFonts w:hint="eastAsia" w:ascii="宋体" w:hAnsi="宋体" w:cs="宋体"/>
                <w:b/>
                <w:bCs/>
                <w:color w:val="0D0D0D" w:themeColor="text1" w:themeTint="F2"/>
                <w14:textFill>
                  <w14:solidFill>
                    <w14:schemeClr w14:val="tx1">
                      <w14:lumMod w14:val="95000"/>
                      <w14:lumOff w14:val="5000"/>
                    </w14:schemeClr>
                  </w14:solidFill>
                </w14:textFill>
              </w:rPr>
              <w:t>建设内容</w:t>
            </w:r>
          </w:p>
          <w:p w14:paraId="60DDD26E">
            <w:pPr>
              <w:snapToGrid w:val="0"/>
              <w:spacing w:line="500" w:lineRule="exact"/>
              <w:ind w:firstLine="480" w:firstLineChars="200"/>
              <w:rPr>
                <w:rStyle w:val="59"/>
                <w:rFonts w:hint="eastAsia"/>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本次部署1口勘探井，井号为石锋3井，工程组成情况</w:t>
            </w:r>
            <w:r>
              <w:rPr>
                <w:rStyle w:val="59"/>
                <w:rFonts w:hint="eastAsia"/>
                <w:color w:val="0D0D0D" w:themeColor="text1" w:themeTint="F2"/>
                <w14:textFill>
                  <w14:solidFill>
                    <w14:schemeClr w14:val="tx1">
                      <w14:lumMod w14:val="95000"/>
                      <w14:lumOff w14:val="5000"/>
                    </w14:schemeClr>
                  </w14:solidFill>
                </w14:textFill>
              </w:rPr>
              <w:t>见</w:t>
            </w:r>
            <w:r>
              <w:rPr>
                <w:rStyle w:val="59"/>
                <w:rFonts w:hint="eastAsia"/>
                <w:color w:val="0D0D0D" w:themeColor="text1" w:themeTint="F2"/>
                <w14:textFill>
                  <w14:solidFill>
                    <w14:schemeClr w14:val="tx1">
                      <w14:lumMod w14:val="95000"/>
                      <w14:lumOff w14:val="5000"/>
                    </w14:schemeClr>
                  </w14:solidFill>
                </w14:textFill>
              </w:rPr>
              <w:fldChar w:fldCharType="begin"/>
            </w:r>
            <w:r>
              <w:rPr>
                <w:rStyle w:val="59"/>
                <w:rFonts w:hint="eastAsia"/>
                <w:color w:val="0D0D0D" w:themeColor="text1" w:themeTint="F2"/>
                <w14:textFill>
                  <w14:solidFill>
                    <w14:schemeClr w14:val="tx1">
                      <w14:lumMod w14:val="95000"/>
                      <w14:lumOff w14:val="5000"/>
                    </w14:schemeClr>
                  </w14:solidFill>
                </w14:textFill>
              </w:rPr>
              <w:instrText xml:space="preserve"> REF _Ref206147301 \h  \* MERGEFORMAT </w:instrText>
            </w:r>
            <w:r>
              <w:rPr>
                <w:rStyle w:val="59"/>
                <w:rFonts w:hint="eastAsia"/>
                <w:color w:val="0D0D0D" w:themeColor="text1" w:themeTint="F2"/>
                <w14:textFill>
                  <w14:solidFill>
                    <w14:schemeClr w14:val="tx1">
                      <w14:lumMod w14:val="95000"/>
                      <w14:lumOff w14:val="5000"/>
                    </w14:schemeClr>
                  </w14:solidFill>
                </w14:textFill>
              </w:rPr>
              <w:fldChar w:fldCharType="separate"/>
            </w:r>
            <w:r>
              <w:rPr>
                <w:rStyle w:val="59"/>
              </w:rPr>
              <w:t>表7</w:t>
            </w:r>
            <w:r>
              <w:rPr>
                <w:rStyle w:val="59"/>
                <w:rFonts w:hint="eastAsia"/>
                <w:color w:val="0D0D0D" w:themeColor="text1" w:themeTint="F2"/>
                <w14:textFill>
                  <w14:solidFill>
                    <w14:schemeClr w14:val="tx1">
                      <w14:lumMod w14:val="95000"/>
                      <w14:lumOff w14:val="5000"/>
                    </w14:schemeClr>
                  </w14:solidFill>
                </w14:textFill>
              </w:rPr>
              <w:fldChar w:fldCharType="end"/>
            </w:r>
            <w:r>
              <w:rPr>
                <w:rStyle w:val="59"/>
                <w:rFonts w:hint="eastAsia"/>
                <w:color w:val="0D0D0D" w:themeColor="text1" w:themeTint="F2"/>
                <w14:textFill>
                  <w14:solidFill>
                    <w14:schemeClr w14:val="tx1">
                      <w14:lumMod w14:val="95000"/>
                      <w14:lumOff w14:val="5000"/>
                    </w14:schemeClr>
                  </w14:solidFill>
                </w14:textFill>
              </w:rPr>
              <w:t>。</w:t>
            </w:r>
          </w:p>
          <w:p w14:paraId="38DEA62B">
            <w:pPr>
              <w:snapToGrid w:val="0"/>
              <w:spacing w:line="500" w:lineRule="exact"/>
              <w:jc w:val="center"/>
              <w:rPr>
                <w:rStyle w:val="65"/>
                <w:rFonts w:hint="eastAsia"/>
                <w:color w:val="0D0D0D" w:themeColor="text1" w:themeTint="F2"/>
                <w14:textFill>
                  <w14:solidFill>
                    <w14:schemeClr w14:val="tx1">
                      <w14:lumMod w14:val="95000"/>
                      <w14:lumOff w14:val="5000"/>
                    </w14:schemeClr>
                  </w14:solidFill>
                </w14:textFill>
              </w:rPr>
            </w:pPr>
            <w:bookmarkStart w:id="3" w:name="_Ref206147301"/>
            <w:bookmarkStart w:id="4" w:name="_Hlk208320629"/>
            <w:r>
              <w:rPr>
                <w:rStyle w:val="65"/>
                <w:rFonts w:hint="eastAsia"/>
                <w:color w:val="0D0D0D" w:themeColor="text1" w:themeTint="F2"/>
                <w14:textFill>
                  <w14:solidFill>
                    <w14:schemeClr w14:val="tx1">
                      <w14:lumMod w14:val="95000"/>
                      <w14:lumOff w14:val="5000"/>
                    </w14:schemeClr>
                  </w14:solidFill>
                </w14:textFill>
              </w:rPr>
              <w:t>表</w:t>
            </w:r>
            <w:r>
              <w:rPr>
                <w:rStyle w:val="65"/>
                <w:rFonts w:hint="eastAsia"/>
                <w:color w:val="0D0D0D" w:themeColor="text1" w:themeTint="F2"/>
                <w14:textFill>
                  <w14:solidFill>
                    <w14:schemeClr w14:val="tx1">
                      <w14:lumMod w14:val="95000"/>
                      <w14:lumOff w14:val="5000"/>
                    </w14:schemeClr>
                  </w14:solidFill>
                </w14:textFill>
              </w:rPr>
              <w:fldChar w:fldCharType="begin"/>
            </w:r>
            <w:r>
              <w:rPr>
                <w:rStyle w:val="65"/>
                <w:rFonts w:hint="eastAsia"/>
                <w:color w:val="0D0D0D" w:themeColor="text1" w:themeTint="F2"/>
                <w14:textFill>
                  <w14:solidFill>
                    <w14:schemeClr w14:val="tx1">
                      <w14:lumMod w14:val="95000"/>
                      <w14:lumOff w14:val="5000"/>
                    </w14:schemeClr>
                  </w14:solidFill>
                </w14:textFill>
              </w:rPr>
              <w:instrText xml:space="preserve"> SEQ 表 \* ARABIC </w:instrText>
            </w:r>
            <w:r>
              <w:rPr>
                <w:rStyle w:val="65"/>
                <w:rFonts w:hint="eastAsia"/>
                <w:color w:val="0D0D0D" w:themeColor="text1" w:themeTint="F2"/>
                <w14:textFill>
                  <w14:solidFill>
                    <w14:schemeClr w14:val="tx1">
                      <w14:lumMod w14:val="95000"/>
                      <w14:lumOff w14:val="5000"/>
                    </w14:schemeClr>
                  </w14:solidFill>
                </w14:textFill>
              </w:rPr>
              <w:fldChar w:fldCharType="separate"/>
            </w:r>
            <w:r>
              <w:rPr>
                <w:rStyle w:val="65"/>
                <w:rFonts w:hint="eastAsia"/>
                <w:color w:val="0D0D0D" w:themeColor="text1" w:themeTint="F2"/>
                <w14:textFill>
                  <w14:solidFill>
                    <w14:schemeClr w14:val="tx1">
                      <w14:lumMod w14:val="95000"/>
                      <w14:lumOff w14:val="5000"/>
                    </w14:schemeClr>
                  </w14:solidFill>
                </w14:textFill>
              </w:rPr>
              <w:t>7</w:t>
            </w:r>
            <w:r>
              <w:rPr>
                <w:rStyle w:val="65"/>
                <w:rFonts w:hint="eastAsia"/>
                <w:color w:val="0D0D0D" w:themeColor="text1" w:themeTint="F2"/>
                <w14:textFill>
                  <w14:solidFill>
                    <w14:schemeClr w14:val="tx1">
                      <w14:lumMod w14:val="95000"/>
                      <w14:lumOff w14:val="5000"/>
                    </w14:schemeClr>
                  </w14:solidFill>
                </w14:textFill>
              </w:rPr>
              <w:fldChar w:fldCharType="end"/>
            </w:r>
            <w:bookmarkEnd w:id="3"/>
            <w:r>
              <w:rPr>
                <w:rStyle w:val="65"/>
                <w:rFonts w:hint="eastAsia"/>
                <w:color w:val="0D0D0D" w:themeColor="text1" w:themeTint="F2"/>
                <w14:textFill>
                  <w14:solidFill>
                    <w14:schemeClr w14:val="tx1">
                      <w14:lumMod w14:val="95000"/>
                      <w14:lumOff w14:val="5000"/>
                    </w14:schemeClr>
                  </w14:solidFill>
                </w14:textFill>
              </w:rPr>
              <w:t xml:space="preserve">    工程组成一览表</w:t>
            </w:r>
          </w:p>
          <w:bookmarkEnd w:id="4"/>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579"/>
              <w:gridCol w:w="12"/>
              <w:gridCol w:w="560"/>
              <w:gridCol w:w="1019"/>
              <w:gridCol w:w="5435"/>
            </w:tblGrid>
            <w:tr w14:paraId="49AC23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blHeader/>
              </w:trPr>
              <w:tc>
                <w:tcPr>
                  <w:tcW w:w="381" w:type="pct"/>
                  <w:vAlign w:val="center"/>
                </w:tcPr>
                <w:p w14:paraId="5099A22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5" w:name="_Hlk176172371"/>
                  <w:r>
                    <w:rPr>
                      <w:rFonts w:hint="eastAsia" w:ascii="宋体" w:hAnsi="宋体" w:cs="宋体"/>
                      <w:color w:val="0D0D0D" w:themeColor="text1" w:themeTint="F2"/>
                      <w:sz w:val="21"/>
                      <w:szCs w:val="21"/>
                      <w14:textFill>
                        <w14:solidFill>
                          <w14:schemeClr w14:val="tx1">
                            <w14:lumMod w14:val="95000"/>
                            <w14:lumOff w14:val="5000"/>
                          </w14:schemeClr>
                        </w14:solidFill>
                      </w14:textFill>
                    </w:rPr>
                    <w:t>工程组成</w:t>
                  </w:r>
                </w:p>
              </w:tc>
              <w:tc>
                <w:tcPr>
                  <w:tcW w:w="4619" w:type="pct"/>
                  <w:gridSpan w:val="4"/>
                  <w:vAlign w:val="center"/>
                </w:tcPr>
                <w:p w14:paraId="30EE868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工程内容</w:t>
                  </w:r>
                </w:p>
              </w:tc>
            </w:tr>
            <w:tr w14:paraId="5F3AD6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restart"/>
                  <w:vAlign w:val="center"/>
                </w:tcPr>
                <w:p w14:paraId="6BE7C26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主体工程</w:t>
                  </w:r>
                </w:p>
              </w:tc>
              <w:tc>
                <w:tcPr>
                  <w:tcW w:w="1046" w:type="pct"/>
                  <w:gridSpan w:val="3"/>
                  <w:vAlign w:val="center"/>
                </w:tcPr>
                <w:p w14:paraId="351AA8D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钻前工程</w:t>
                  </w:r>
                </w:p>
              </w:tc>
              <w:tc>
                <w:tcPr>
                  <w:tcW w:w="3573" w:type="pct"/>
                  <w:vAlign w:val="center"/>
                </w:tcPr>
                <w:p w14:paraId="5ACC007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井场平整、钻机基础建设、探临道路和生活营地建设以及设备进场。</w:t>
                  </w:r>
                </w:p>
              </w:tc>
            </w:tr>
            <w:tr w14:paraId="3C08D5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6F45F30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6" w:name="_Hlk186369386"/>
                </w:p>
              </w:tc>
              <w:tc>
                <w:tcPr>
                  <w:tcW w:w="1046" w:type="pct"/>
                  <w:gridSpan w:val="3"/>
                  <w:vAlign w:val="center"/>
                </w:tcPr>
                <w:p w14:paraId="698A486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钻井工程</w:t>
                  </w:r>
                </w:p>
              </w:tc>
              <w:tc>
                <w:tcPr>
                  <w:tcW w:w="3573" w:type="pct"/>
                  <w:vAlign w:val="center"/>
                </w:tcPr>
                <w:p w14:paraId="7907D1C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石锋3井井场面积</w:t>
                  </w:r>
                  <w:r>
                    <w:rPr>
                      <w:rStyle w:val="57"/>
                      <w:rFonts w:hint="eastAsia"/>
                      <w:color w:val="0D0D0D" w:themeColor="text1" w:themeTint="F2"/>
                      <w14:textFill>
                        <w14:solidFill>
                          <w14:schemeClr w14:val="tx1">
                            <w14:lumMod w14:val="95000"/>
                            <w14:lumOff w14:val="5000"/>
                          </w14:schemeClr>
                        </w14:solidFill>
                      </w14:textFill>
                    </w:rPr>
                    <w:t>为22575m</w:t>
                  </w:r>
                  <w:r>
                    <w:rPr>
                      <w:rStyle w:val="57"/>
                      <w:rFonts w:hint="eastAsia"/>
                      <w:color w:val="0D0D0D" w:themeColor="text1" w:themeTint="F2"/>
                      <w:vertAlign w:val="superscript"/>
                      <w14:textFill>
                        <w14:solidFill>
                          <w14:schemeClr w14:val="tx1">
                            <w14:lumMod w14:val="95000"/>
                            <w14:lumOff w14:val="5000"/>
                          </w14:schemeClr>
                        </w14:solidFill>
                      </w14:textFill>
                    </w:rPr>
                    <w:t>2</w:t>
                  </w:r>
                  <w:r>
                    <w:rPr>
                      <w:rFonts w:hint="eastAsia"/>
                      <w:color w:val="0D0D0D" w:themeColor="text1" w:themeTint="F2"/>
                      <w:sz w:val="21"/>
                      <w:szCs w:val="21"/>
                      <w14:textFill>
                        <w14:solidFill>
                          <w14:schemeClr w14:val="tx1">
                            <w14:lumMod w14:val="95000"/>
                            <w14:lumOff w14:val="5000"/>
                          </w14:schemeClr>
                        </w14:solidFill>
                      </w14:textFill>
                    </w:rPr>
                    <w:t>，</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钻井进尺为6000m，采用四开直井井身结构，一开采用非磺化水基钻井液，二开至四开采用油基钻井液；钻井期为180天，施工人数为3</w:t>
                  </w:r>
                  <w:r>
                    <w:rPr>
                      <w:rFonts w:ascii="宋体" w:hAnsi="宋体" w:cs="宋体"/>
                      <w:color w:val="0D0D0D" w:themeColor="text1" w:themeTint="F2"/>
                      <w:sz w:val="21"/>
                      <w:szCs w:val="21"/>
                      <w14:textFill>
                        <w14:solidFill>
                          <w14:schemeClr w14:val="tx1">
                            <w14:lumMod w14:val="95000"/>
                            <w14:lumOff w14:val="5000"/>
                          </w14:schemeClr>
                        </w14:solidFill>
                      </w14:textFill>
                    </w:rPr>
                    <w:t>5</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人。</w:t>
                  </w:r>
                </w:p>
              </w:tc>
            </w:tr>
            <w:bookmarkEnd w:id="6"/>
            <w:tr w14:paraId="0EC1BE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3A00FC8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52E4122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试油工程</w:t>
                  </w:r>
                </w:p>
              </w:tc>
              <w:tc>
                <w:tcPr>
                  <w:tcW w:w="3573" w:type="pct"/>
                  <w:vAlign w:val="center"/>
                </w:tcPr>
                <w:p w14:paraId="1298E62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主要包括试油准备、储层改造和试油，其中试油准备包括通井、洗井和试压工作，储层改造包括射孔和压裂；并配套试油设备、记录油气产量；试油期为240天，施工人数为2人。</w:t>
                  </w:r>
                </w:p>
              </w:tc>
            </w:tr>
            <w:tr w14:paraId="4EDE78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39BA1DB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3413EF4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完井</w:t>
                  </w:r>
                </w:p>
              </w:tc>
              <w:tc>
                <w:tcPr>
                  <w:tcW w:w="3573" w:type="pct"/>
                  <w:vAlign w:val="center"/>
                </w:tcPr>
                <w:p w14:paraId="7BCEFD7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根据试油结果进行关井或封井作业，最后撤去所有生产设施，清理、平整井场。</w:t>
                  </w:r>
                </w:p>
              </w:tc>
            </w:tr>
            <w:tr w14:paraId="403678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restart"/>
                  <w:vAlign w:val="center"/>
                </w:tcPr>
                <w:p w14:paraId="47B1536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辅助工程</w:t>
                  </w:r>
                </w:p>
              </w:tc>
              <w:tc>
                <w:tcPr>
                  <w:tcW w:w="1046" w:type="pct"/>
                  <w:gridSpan w:val="3"/>
                  <w:vAlign w:val="center"/>
                </w:tcPr>
                <w:p w14:paraId="78DA9DB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放喷设施</w:t>
                  </w:r>
                </w:p>
              </w:tc>
              <w:tc>
                <w:tcPr>
                  <w:tcW w:w="3573" w:type="pct"/>
                  <w:vAlign w:val="center"/>
                </w:tcPr>
                <w:p w14:paraId="75E07D5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井场左右两侧各设置1条放喷管线，在井场两侧预留应急放喷池位置（10m×20m）。</w:t>
                  </w:r>
                </w:p>
              </w:tc>
            </w:tr>
            <w:tr w14:paraId="1EFEB7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6185FAC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6BF313C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w:t>
                  </w:r>
                </w:p>
              </w:tc>
              <w:tc>
                <w:tcPr>
                  <w:tcW w:w="3573" w:type="pct"/>
                  <w:vAlign w:val="center"/>
                </w:tcPr>
                <w:p w14:paraId="674A0DC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位于井场西南侧约100m，</w:t>
                  </w:r>
                  <w:bookmarkStart w:id="7" w:name="_Hlk213895349"/>
                  <w:r>
                    <w:rPr>
                      <w:rFonts w:hint="eastAsia" w:ascii="宋体" w:hAnsi="宋体" w:cs="宋体"/>
                      <w:color w:val="0D0D0D" w:themeColor="text1" w:themeTint="F2"/>
                      <w:sz w:val="21"/>
                      <w:szCs w:val="21"/>
                      <w14:textFill>
                        <w14:solidFill>
                          <w14:schemeClr w14:val="tx1">
                            <w14:lumMod w14:val="95000"/>
                            <w14:lumOff w14:val="5000"/>
                          </w14:schemeClr>
                        </w14:solidFill>
                      </w14:textFill>
                    </w:rPr>
                    <w:t>尺寸70m×50m，占地面积3500m</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，内部建设生活污水防渗收集池、生活垃圾收集设施。冬季采用电采暖，夏季安装空调。</w:t>
                  </w:r>
                  <w:bookmarkEnd w:id="7"/>
                </w:p>
              </w:tc>
            </w:tr>
            <w:tr w14:paraId="4B9373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04C93C9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372549D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井控系统</w:t>
                  </w:r>
                </w:p>
              </w:tc>
              <w:tc>
                <w:tcPr>
                  <w:tcW w:w="3573" w:type="pct"/>
                  <w:vAlign w:val="center"/>
                </w:tcPr>
                <w:p w14:paraId="2C8D80D0">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钻井井场井口设置1套井控系统，</w:t>
                  </w:r>
                  <w:r>
                    <w:rPr>
                      <w:rFonts w:ascii="宋体" w:hAnsi="宋体" w:cs="宋体"/>
                      <w:color w:val="0D0D0D" w:themeColor="text1" w:themeTint="F2"/>
                      <w:sz w:val="21"/>
                      <w:szCs w:val="21"/>
                      <w14:textFill>
                        <w14:solidFill>
                          <w14:schemeClr w14:val="tx1">
                            <w14:lumMod w14:val="95000"/>
                            <w14:lumOff w14:val="5000"/>
                          </w14:schemeClr>
                        </w14:solidFill>
                      </w14:textFill>
                    </w:rPr>
                    <w:t>防止钻井及试油时产生井喷</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13E946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2C850B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09CE4DA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钻井动力系统</w:t>
                  </w:r>
                </w:p>
              </w:tc>
              <w:tc>
                <w:tcPr>
                  <w:tcW w:w="3573" w:type="pct"/>
                  <w:vAlign w:val="center"/>
                </w:tcPr>
                <w:p w14:paraId="4A860E8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钻井井场设置3台柴油机。</w:t>
                  </w:r>
                </w:p>
              </w:tc>
            </w:tr>
            <w:tr w14:paraId="3A2ED4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73C288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59EBDAB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不落地系统</w:t>
                  </w:r>
                </w:p>
              </w:tc>
              <w:tc>
                <w:tcPr>
                  <w:tcW w:w="3573" w:type="pct"/>
                  <w:vAlign w:val="center"/>
                </w:tcPr>
                <w:p w14:paraId="4831D11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钻井井场设置1套钻井液不落地设备。</w:t>
                  </w:r>
                </w:p>
              </w:tc>
            </w:tr>
            <w:tr w14:paraId="22963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restart"/>
                  <w:vAlign w:val="center"/>
                </w:tcPr>
                <w:p w14:paraId="318C534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公用工程</w:t>
                  </w:r>
                </w:p>
              </w:tc>
              <w:tc>
                <w:tcPr>
                  <w:tcW w:w="1046" w:type="pct"/>
                  <w:gridSpan w:val="3"/>
                  <w:vAlign w:val="center"/>
                </w:tcPr>
                <w:p w14:paraId="6F6460A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供配电</w:t>
                  </w:r>
                </w:p>
              </w:tc>
              <w:tc>
                <w:tcPr>
                  <w:tcW w:w="3573" w:type="pct"/>
                  <w:vAlign w:val="center"/>
                </w:tcPr>
                <w:p w14:paraId="78DBC80B">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井场用电由柴油发电机供给；外购柴油由罐车从附近村庄拉运至井场，井场设置柴油储罐区，井场储罐区内设置1座3</w:t>
                  </w:r>
                  <w:r>
                    <w:rPr>
                      <w:rFonts w:ascii="宋体" w:hAnsi="宋体" w:cs="宋体"/>
                      <w:color w:val="0D0D0D" w:themeColor="text1" w:themeTint="F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的柴油储罐，日常储备柴油20t，钻试期柴油消耗总量约1715t。</w:t>
                  </w:r>
                </w:p>
              </w:tc>
            </w:tr>
            <w:tr w14:paraId="76CDE6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834EF7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21D2F78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给排水</w:t>
                  </w:r>
                </w:p>
              </w:tc>
              <w:tc>
                <w:tcPr>
                  <w:tcW w:w="3573" w:type="pct"/>
                  <w:vAlign w:val="center"/>
                </w:tcPr>
                <w:p w14:paraId="356ECD7C">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施工期用水主要为洗井用水和生活用水，从附近村庄由罐车拉运至井场，运距约5.5km；洗井废水和压裂返排液暂存至试油废水储罐；生活污水排至生活营地临时防渗收集池暂存。</w:t>
                  </w:r>
                </w:p>
              </w:tc>
            </w:tr>
            <w:tr w14:paraId="44B66E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542062D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797BD49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供暖</w:t>
                  </w:r>
                </w:p>
              </w:tc>
              <w:tc>
                <w:tcPr>
                  <w:tcW w:w="3573" w:type="pct"/>
                  <w:vAlign w:val="center"/>
                </w:tcPr>
                <w:p w14:paraId="1E97E84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冬季生活营地采用电采暖。</w:t>
                  </w:r>
                </w:p>
              </w:tc>
            </w:tr>
            <w:tr w14:paraId="3A7936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25AB409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35D932C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道路</w:t>
                  </w:r>
                </w:p>
              </w:tc>
              <w:tc>
                <w:tcPr>
                  <w:tcW w:w="3573" w:type="pct"/>
                  <w:vAlign w:val="center"/>
                </w:tcPr>
                <w:p w14:paraId="687DBAE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8" w:name="_Hlk176171515"/>
                  <w:r>
                    <w:rPr>
                      <w:rFonts w:hint="eastAsia" w:ascii="宋体" w:hAnsi="宋体" w:cs="宋体"/>
                      <w:color w:val="0D0D0D" w:themeColor="text1" w:themeTint="F2"/>
                      <w:sz w:val="21"/>
                      <w:szCs w:val="21"/>
                      <w14:textFill>
                        <w14:solidFill>
                          <w14:schemeClr w14:val="tx1">
                            <w14:lumMod w14:val="95000"/>
                            <w14:lumOff w14:val="5000"/>
                          </w14:schemeClr>
                        </w14:solidFill>
                      </w14:textFill>
                    </w:rPr>
                    <w:t>新建探临道路820m，宽度16m，采用砂石路面。</w:t>
                  </w:r>
                  <w:bookmarkEnd w:id="8"/>
                </w:p>
              </w:tc>
            </w:tr>
            <w:tr w14:paraId="07374B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573EA14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18BD40A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消防</w:t>
                  </w:r>
                </w:p>
              </w:tc>
              <w:tc>
                <w:tcPr>
                  <w:tcW w:w="3573" w:type="pct"/>
                  <w:vAlign w:val="center"/>
                </w:tcPr>
                <w:p w14:paraId="2F666B83">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按规范配置一定数量的消防器材。</w:t>
                  </w:r>
                </w:p>
              </w:tc>
            </w:tr>
            <w:tr w14:paraId="752999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restart"/>
                  <w:vAlign w:val="center"/>
                </w:tcPr>
                <w:p w14:paraId="6F56197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环保工程</w:t>
                  </w:r>
                </w:p>
              </w:tc>
              <w:tc>
                <w:tcPr>
                  <w:tcW w:w="376" w:type="pct"/>
                  <w:gridSpan w:val="2"/>
                  <w:vMerge w:val="restart"/>
                  <w:tcBorders>
                    <w:right w:val="single" w:color="auto" w:sz="4" w:space="0"/>
                  </w:tcBorders>
                  <w:vAlign w:val="center"/>
                </w:tcPr>
                <w:p w14:paraId="551D091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废气</w:t>
                  </w:r>
                </w:p>
              </w:tc>
              <w:tc>
                <w:tcPr>
                  <w:tcW w:w="670" w:type="pct"/>
                  <w:tcBorders>
                    <w:left w:val="single" w:color="auto" w:sz="4" w:space="0"/>
                  </w:tcBorders>
                  <w:vAlign w:val="center"/>
                </w:tcPr>
                <w:p w14:paraId="55F3474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伴生气</w:t>
                  </w:r>
                </w:p>
              </w:tc>
              <w:tc>
                <w:tcPr>
                  <w:tcW w:w="3573" w:type="pct"/>
                  <w:vAlign w:val="center"/>
                </w:tcPr>
                <w:p w14:paraId="7102029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由排气管线充分燃烧后放空。</w:t>
                  </w:r>
                </w:p>
              </w:tc>
            </w:tr>
            <w:tr w14:paraId="655D17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57F06E5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3DC7292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70" w:type="pct"/>
                  <w:tcBorders>
                    <w:left w:val="single" w:color="auto" w:sz="4" w:space="0"/>
                  </w:tcBorders>
                  <w:vAlign w:val="center"/>
                </w:tcPr>
                <w:p w14:paraId="1C8178B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olor w:val="0D0D0D" w:themeColor="text1" w:themeTint="F2"/>
                      <w:sz w:val="21"/>
                      <w:szCs w:val="21"/>
                      <w14:textFill>
                        <w14:solidFill>
                          <w14:schemeClr w14:val="tx1">
                            <w14:lumMod w14:val="95000"/>
                            <w14:lumOff w14:val="5000"/>
                          </w14:schemeClr>
                        </w14:solidFill>
                      </w14:textFill>
                    </w:rPr>
                    <w:t>施工扬尘</w:t>
                  </w:r>
                </w:p>
              </w:tc>
              <w:tc>
                <w:tcPr>
                  <w:tcW w:w="3573" w:type="pct"/>
                  <w:vAlign w:val="center"/>
                </w:tcPr>
                <w:p w14:paraId="2E00878E">
                  <w:pPr>
                    <w:adjustRightInd w:val="0"/>
                    <w:snapToGrid w:val="0"/>
                    <w:spacing w:line="300" w:lineRule="exact"/>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pPr>
                  <w:r>
                    <w:rPr>
                      <w:rFonts w:hint="eastAsia" w:ascii="宋体" w:hAnsi="宋体"/>
                      <w:color w:val="0D0D0D" w:themeColor="text1" w:themeTint="F2"/>
                      <w:spacing w:val="-6"/>
                      <w:sz w:val="21"/>
                      <w:szCs w:val="21"/>
                      <w14:textFill>
                        <w14:solidFill>
                          <w14:schemeClr w14:val="tx1">
                            <w14:lumMod w14:val="95000"/>
                            <w14:lumOff w14:val="5000"/>
                          </w14:schemeClr>
                        </w14:solidFill>
                      </w14:textFill>
                    </w:rPr>
                    <w:t>对易起尘物料进行遮盖；加强车辆管理等</w:t>
                  </w:r>
                  <w:r>
                    <w:rPr>
                      <w:rFonts w:ascii="宋体" w:hAnsi="宋体"/>
                      <w:color w:val="0D0D0D" w:themeColor="text1" w:themeTint="F2"/>
                      <w:spacing w:val="-6"/>
                      <w:sz w:val="21"/>
                      <w:szCs w:val="21"/>
                      <w14:textFill>
                        <w14:solidFill>
                          <w14:schemeClr w14:val="tx1">
                            <w14:lumMod w14:val="95000"/>
                            <w14:lumOff w14:val="5000"/>
                          </w14:schemeClr>
                        </w14:solidFill>
                      </w14:textFill>
                    </w:rPr>
                    <w:t>措施</w:t>
                  </w:r>
                  <w:r>
                    <w:rPr>
                      <w:rFonts w:hint="eastAsia" w:ascii="宋体" w:hAnsi="宋体"/>
                      <w:color w:val="0D0D0D" w:themeColor="text1" w:themeTint="F2"/>
                      <w:spacing w:val="-6"/>
                      <w:sz w:val="21"/>
                      <w:szCs w:val="21"/>
                      <w14:textFill>
                        <w14:solidFill>
                          <w14:schemeClr w14:val="tx1">
                            <w14:lumMod w14:val="95000"/>
                            <w14:lumOff w14:val="5000"/>
                          </w14:schemeClr>
                        </w14:solidFill>
                      </w14:textFill>
                    </w:rPr>
                    <w:t>；水基钻井岩屑和油基钻井岩屑暂存于罐中，并及时清运，不长期存储。</w:t>
                  </w:r>
                </w:p>
              </w:tc>
            </w:tr>
            <w:tr w14:paraId="77482B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3F50A7D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1444D86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70" w:type="pct"/>
                  <w:tcBorders>
                    <w:left w:val="single" w:color="auto" w:sz="4" w:space="0"/>
                  </w:tcBorders>
                  <w:vAlign w:val="center"/>
                </w:tcPr>
                <w:p w14:paraId="302E985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无组织挥发烃类</w:t>
                  </w:r>
                </w:p>
              </w:tc>
              <w:tc>
                <w:tcPr>
                  <w:tcW w:w="3573" w:type="pct"/>
                  <w:vAlign w:val="center"/>
                </w:tcPr>
                <w:p w14:paraId="0697594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加强采出液储罐管理；装卸必须采取密闭装载方式；柴油储罐采用固定顶罐，罐体应保持完好，不应有孔洞，加强密闭管理。</w:t>
                  </w:r>
                </w:p>
              </w:tc>
            </w:tr>
            <w:tr w14:paraId="5D9336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26B5832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restart"/>
                  <w:tcBorders>
                    <w:right w:val="single" w:color="auto" w:sz="4" w:space="0"/>
                  </w:tcBorders>
                  <w:vAlign w:val="center"/>
                </w:tcPr>
                <w:p w14:paraId="1C764C4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废水</w:t>
                  </w:r>
                </w:p>
              </w:tc>
              <w:tc>
                <w:tcPr>
                  <w:tcW w:w="670" w:type="pct"/>
                  <w:tcBorders>
                    <w:left w:val="single" w:color="auto" w:sz="4" w:space="0"/>
                  </w:tcBorders>
                  <w:vAlign w:val="center"/>
                </w:tcPr>
                <w:p w14:paraId="015863E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生活污水</w:t>
                  </w:r>
                </w:p>
              </w:tc>
              <w:tc>
                <w:tcPr>
                  <w:tcW w:w="3573" w:type="pct"/>
                  <w:vAlign w:val="center"/>
                </w:tcPr>
                <w:p w14:paraId="36FE872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生活营地设1座容积为4</w:t>
                  </w:r>
                  <w:r>
                    <w:rPr>
                      <w:rFonts w:ascii="宋体" w:hAnsi="宋体" w:cs="宋体"/>
                      <w:color w:val="0D0D0D" w:themeColor="text1" w:themeTint="F2"/>
                      <w:sz w:val="21"/>
                      <w:szCs w:val="21"/>
                      <w14:textFill>
                        <w14:solidFill>
                          <w14:schemeClr w14:val="tx1">
                            <w14:lumMod w14:val="95000"/>
                            <w14:lumOff w14:val="5000"/>
                          </w14:schemeClr>
                        </w14:solidFill>
                      </w14:textFill>
                    </w:rPr>
                    <w:t>0m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防渗收集池，定期清运至沙湾市第二污水处理厂处理。</w:t>
                  </w:r>
                </w:p>
              </w:tc>
            </w:tr>
            <w:tr w14:paraId="151268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3939B8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00C2185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70" w:type="pct"/>
                  <w:tcBorders>
                    <w:left w:val="single" w:color="auto" w:sz="4" w:space="0"/>
                  </w:tcBorders>
                  <w:vAlign w:val="center"/>
                </w:tcPr>
                <w:p w14:paraId="312D293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洗井废水和压裂返排液</w:t>
                  </w:r>
                </w:p>
              </w:tc>
              <w:tc>
                <w:tcPr>
                  <w:tcW w:w="3573" w:type="pct"/>
                  <w:vAlign w:val="center"/>
                </w:tcPr>
                <w:p w14:paraId="2C92C167">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采用专用储罐收集后送至车89集中处理站采出水处理系统处理。</w:t>
                  </w:r>
                </w:p>
              </w:tc>
            </w:tr>
            <w:tr w14:paraId="7025DB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E2D509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tcBorders>
                    <w:right w:val="single" w:color="auto" w:sz="4" w:space="0"/>
                  </w:tcBorders>
                  <w:vAlign w:val="center"/>
                </w:tcPr>
                <w:p w14:paraId="2B7A492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噪声</w:t>
                  </w:r>
                </w:p>
              </w:tc>
              <w:tc>
                <w:tcPr>
                  <w:tcW w:w="670" w:type="pct"/>
                  <w:tcBorders>
                    <w:left w:val="single" w:color="auto" w:sz="4" w:space="0"/>
                  </w:tcBorders>
                  <w:vAlign w:val="center"/>
                </w:tcPr>
                <w:p w14:paraId="0D5427C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钻试设备运行噪声</w:t>
                  </w:r>
                </w:p>
              </w:tc>
              <w:tc>
                <w:tcPr>
                  <w:tcW w:w="3573" w:type="pct"/>
                  <w:vAlign w:val="center"/>
                </w:tcPr>
                <w:p w14:paraId="70866D8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优先选用低噪声设备，设备底部进行基础减振。</w:t>
                  </w:r>
                </w:p>
              </w:tc>
            </w:tr>
            <w:tr w14:paraId="1F71A2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758C0B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restart"/>
                  <w:tcBorders>
                    <w:right w:val="single" w:color="auto" w:sz="4" w:space="0"/>
                  </w:tcBorders>
                  <w:vAlign w:val="center"/>
                </w:tcPr>
                <w:p w14:paraId="22E5718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固体废物</w:t>
                  </w:r>
                </w:p>
              </w:tc>
              <w:tc>
                <w:tcPr>
                  <w:tcW w:w="670" w:type="pct"/>
                  <w:tcBorders>
                    <w:left w:val="single" w:color="auto" w:sz="4" w:space="0"/>
                  </w:tcBorders>
                  <w:vAlign w:val="center"/>
                </w:tcPr>
                <w:p w14:paraId="57408A6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钻井岩屑</w:t>
                  </w:r>
                </w:p>
              </w:tc>
              <w:tc>
                <w:tcPr>
                  <w:tcW w:w="3573" w:type="pct"/>
                  <w:vAlign w:val="center"/>
                </w:tcPr>
                <w:p w14:paraId="6209724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使用钻井液不落地设备，一开钻井过程中分离出的水基钻井岩屑暂存于岩屑储罐区的岩屑储罐中，由委托的岩屑处置单位及时清运、处置。二开至四开钻井过程中分离出的油基钻井岩屑暂存于油基钻井岩屑专用储罐，储罐下方采用防渗膜防渗，由具有相应危险废物处置资质的单位及时清运和处置。</w:t>
                  </w:r>
                </w:p>
              </w:tc>
            </w:tr>
            <w:tr w14:paraId="60ECE0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656FFB0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13FDD21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70" w:type="pct"/>
                  <w:tcBorders>
                    <w:left w:val="single" w:color="auto" w:sz="4" w:space="0"/>
                  </w:tcBorders>
                  <w:vAlign w:val="center"/>
                </w:tcPr>
                <w:p w14:paraId="0B71D669">
                  <w:pPr>
                    <w:adjustRightInd w:val="0"/>
                    <w:snapToGrid w:val="0"/>
                    <w:spacing w:line="24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废防渗材料、废润滑油、废润滑油桶</w:t>
                  </w:r>
                </w:p>
              </w:tc>
              <w:tc>
                <w:tcPr>
                  <w:tcW w:w="3573" w:type="pct"/>
                  <w:vAlign w:val="center"/>
                </w:tcPr>
                <w:p w14:paraId="293B3F01">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1座危险废物贮存点，分区暂存各类危险废物；施工过程中产生的沾油废防渗材料、设备检修与维护过程中产生的废润滑油及废润滑油桶均属于危险废物，沾油废防渗材料、废润滑油和废润滑油桶分区暂存在井场设置的危险废物贮存点，定期由具有相应危险废物处置资质的单位进行接收、转运和处置。</w:t>
                  </w:r>
                </w:p>
              </w:tc>
            </w:tr>
            <w:tr w14:paraId="3A17B0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A6AB85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6B2F06B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70" w:type="pct"/>
                  <w:tcBorders>
                    <w:left w:val="single" w:color="auto" w:sz="4" w:space="0"/>
                  </w:tcBorders>
                  <w:vAlign w:val="center"/>
                </w:tcPr>
                <w:p w14:paraId="0622B41E">
                  <w:pPr>
                    <w:adjustRightInd w:val="0"/>
                    <w:snapToGrid w:val="0"/>
                    <w:spacing w:line="24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建筑垃圾</w:t>
                  </w:r>
                </w:p>
              </w:tc>
              <w:tc>
                <w:tcPr>
                  <w:tcW w:w="3573" w:type="pct"/>
                  <w:vAlign w:val="center"/>
                </w:tcPr>
                <w:p w14:paraId="7C64979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建筑垃圾主要为废边角料、废包装物等，产生量较少，优先回收利用，无法回收利用的由钻井队负责清运。</w:t>
                  </w:r>
                </w:p>
              </w:tc>
            </w:tr>
            <w:tr w14:paraId="6A4448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39DA1CA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7F89EE7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70" w:type="pct"/>
                  <w:tcBorders>
                    <w:left w:val="single" w:color="auto" w:sz="4" w:space="0"/>
                  </w:tcBorders>
                  <w:vAlign w:val="center"/>
                </w:tcPr>
                <w:p w14:paraId="698DFCC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生活垃圾</w:t>
                  </w:r>
                </w:p>
              </w:tc>
              <w:tc>
                <w:tcPr>
                  <w:tcW w:w="3573" w:type="pct"/>
                  <w:vAlign w:val="center"/>
                </w:tcPr>
                <w:p w14:paraId="07267AD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井场和生活营地均设有垃圾箱暂存生活垃圾，定期清运至沙湾市生活垃圾填埋场处置。</w:t>
                  </w:r>
                </w:p>
              </w:tc>
            </w:tr>
            <w:tr w14:paraId="31F7B6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58A5E1C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6ED2841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生态措施</w:t>
                  </w:r>
                </w:p>
              </w:tc>
              <w:tc>
                <w:tcPr>
                  <w:tcW w:w="3573" w:type="pct"/>
                  <w:vAlign w:val="center"/>
                </w:tcPr>
                <w:p w14:paraId="1D21BA60">
                  <w:pPr>
                    <w:adjustRightInd w:val="0"/>
                    <w:snapToGrid w:val="0"/>
                    <w:spacing w:line="300" w:lineRule="exact"/>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t>施工结束后及时对临时占地进行清理、平整，植被自然恢复。</w:t>
                  </w:r>
                </w:p>
              </w:tc>
            </w:tr>
            <w:tr w14:paraId="3E642B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072FFD4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57146C5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H</w:t>
                  </w:r>
                  <w:r>
                    <w:rPr>
                      <w:rFonts w:hint="eastAsia" w:ascii="宋体" w:hAnsi="宋体" w:cs="宋体"/>
                      <w:color w:val="0D0D0D" w:themeColor="text1" w:themeTint="F2"/>
                      <w:sz w:val="21"/>
                      <w:szCs w:val="21"/>
                      <w:vertAlign w:val="sub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S监测</w:t>
                  </w:r>
                </w:p>
              </w:tc>
              <w:tc>
                <w:tcPr>
                  <w:tcW w:w="3573" w:type="pct"/>
                  <w:vAlign w:val="center"/>
                </w:tcPr>
                <w:p w14:paraId="458C9CB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井场按规范设置H</w:t>
                  </w:r>
                  <w:r>
                    <w:rPr>
                      <w:rFonts w:hint="eastAsia" w:ascii="宋体" w:hAnsi="宋体" w:cs="宋体"/>
                      <w:color w:val="0D0D0D" w:themeColor="text1" w:themeTint="F2"/>
                      <w:sz w:val="21"/>
                      <w:szCs w:val="21"/>
                      <w:vertAlign w:val="sub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S监测仪。</w:t>
                  </w:r>
                </w:p>
              </w:tc>
            </w:tr>
            <w:tr w14:paraId="3487B9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23EF9C2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46" w:type="pct"/>
                  <w:gridSpan w:val="3"/>
                  <w:vAlign w:val="center"/>
                </w:tcPr>
                <w:p w14:paraId="3A47370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放喷设施</w:t>
                  </w:r>
                </w:p>
              </w:tc>
              <w:tc>
                <w:tcPr>
                  <w:tcW w:w="3573" w:type="pct"/>
                  <w:vAlign w:val="center"/>
                </w:tcPr>
                <w:p w14:paraId="5915CDDF">
                  <w:pPr>
                    <w:adjustRightInd w:val="0"/>
                    <w:snapToGrid w:val="0"/>
                    <w:spacing w:line="300" w:lineRule="exact"/>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pPr>
                  <w:r>
                    <w:rPr>
                      <w:rFonts w:ascii="宋体" w:hAnsi="宋体" w:cs="宋体"/>
                      <w:color w:val="0D0D0D" w:themeColor="text1" w:themeTint="F2"/>
                      <w:spacing w:val="-2"/>
                      <w:sz w:val="21"/>
                      <w:szCs w:val="21"/>
                      <w14:textFill>
                        <w14:solidFill>
                          <w14:schemeClr w14:val="tx1">
                            <w14:lumMod w14:val="95000"/>
                            <w14:lumOff w14:val="5000"/>
                          </w14:schemeClr>
                        </w14:solidFill>
                      </w14:textFill>
                    </w:rPr>
                    <w:t>井场左右两侧各设置1条</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放喷管线</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预留应急放喷池位置，左右两侧各1个，容积约100m</w:t>
                  </w:r>
                  <w:r>
                    <w:rPr>
                      <w:rFonts w:hint="eastAsia"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井喷出的采出物通过液气分离器进行气液分离，井喷液体应立即通过放喷管线排放至应急放喷池内，应急放喷池场地进行防渗。待事故结束后，将应急放喷池内的放喷液运至车89集中处理站处理。井喷气体由排气管线充分燃烧后放空。</w:t>
                  </w:r>
                </w:p>
              </w:tc>
            </w:tr>
            <w:tr w14:paraId="52DB95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restart"/>
                  <w:vAlign w:val="center"/>
                </w:tcPr>
                <w:p w14:paraId="55EFECD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依托工程</w:t>
                  </w:r>
                </w:p>
              </w:tc>
              <w:tc>
                <w:tcPr>
                  <w:tcW w:w="1038" w:type="pct"/>
                  <w:gridSpan w:val="2"/>
                  <w:vAlign w:val="center"/>
                </w:tcPr>
                <w:p w14:paraId="705E38F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试油废水（洗井废水、压裂返排液）</w:t>
                  </w:r>
                </w:p>
              </w:tc>
              <w:tc>
                <w:tcPr>
                  <w:tcW w:w="3573" w:type="pct"/>
                  <w:vAlign w:val="center"/>
                </w:tcPr>
                <w:p w14:paraId="69BB55E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由罐车送至车89集中处理站采出水处理系统处理。</w:t>
                  </w:r>
                </w:p>
              </w:tc>
            </w:tr>
            <w:tr w14:paraId="500C50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4D12729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38" w:type="pct"/>
                  <w:gridSpan w:val="2"/>
                  <w:vAlign w:val="center"/>
                </w:tcPr>
                <w:p w14:paraId="57C3FDF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采出液</w:t>
                  </w:r>
                </w:p>
              </w:tc>
              <w:tc>
                <w:tcPr>
                  <w:tcW w:w="3573" w:type="pct"/>
                  <w:vAlign w:val="center"/>
                </w:tcPr>
                <w:p w14:paraId="14F32CD9">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由罐车送至车89集中处理站原油处理系统处理。</w:t>
                  </w:r>
                </w:p>
              </w:tc>
            </w:tr>
            <w:tr w14:paraId="1E6FC1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036CDC4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38" w:type="pct"/>
                  <w:gridSpan w:val="2"/>
                  <w:vAlign w:val="center"/>
                </w:tcPr>
                <w:p w14:paraId="024AD13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生活污水</w:t>
                  </w:r>
                </w:p>
              </w:tc>
              <w:tc>
                <w:tcPr>
                  <w:tcW w:w="3573" w:type="pct"/>
                  <w:vAlign w:val="center"/>
                </w:tcPr>
                <w:p w14:paraId="0B498493">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生活营地设1座容积为4</w:t>
                  </w:r>
                  <w:r>
                    <w:rPr>
                      <w:rFonts w:ascii="宋体" w:hAnsi="宋体" w:cs="宋体"/>
                      <w:color w:val="0D0D0D" w:themeColor="text1" w:themeTint="F2"/>
                      <w:sz w:val="21"/>
                      <w:szCs w:val="21"/>
                      <w14:textFill>
                        <w14:solidFill>
                          <w14:schemeClr w14:val="tx1">
                            <w14:lumMod w14:val="95000"/>
                            <w14:lumOff w14:val="5000"/>
                          </w14:schemeClr>
                        </w14:solidFill>
                      </w14:textFill>
                    </w:rPr>
                    <w:t>0m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防渗收集池，定期清运至沙湾市第二污水处理厂处理。</w:t>
                  </w:r>
                </w:p>
              </w:tc>
            </w:tr>
            <w:tr w14:paraId="6B3420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405DB65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38" w:type="pct"/>
                  <w:gridSpan w:val="2"/>
                  <w:vAlign w:val="center"/>
                </w:tcPr>
                <w:p w14:paraId="6628A9B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生活垃圾</w:t>
                  </w:r>
                </w:p>
              </w:tc>
              <w:tc>
                <w:tcPr>
                  <w:tcW w:w="3573" w:type="pct"/>
                  <w:vAlign w:val="center"/>
                </w:tcPr>
                <w:p w14:paraId="4104AB80">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井场和生活营地均设有垃圾箱暂存生活垃圾，定期清运至沙湾市生活垃圾填埋场处置。</w:t>
                  </w:r>
                </w:p>
              </w:tc>
            </w:tr>
            <w:tr w14:paraId="710D59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49C7D26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38" w:type="pct"/>
                  <w:gridSpan w:val="2"/>
                  <w:vAlign w:val="center"/>
                </w:tcPr>
                <w:p w14:paraId="11E0C97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水基钻井岩屑</w:t>
                  </w:r>
                </w:p>
              </w:tc>
              <w:tc>
                <w:tcPr>
                  <w:tcW w:w="3573" w:type="pct"/>
                  <w:vAlign w:val="center"/>
                </w:tcPr>
                <w:p w14:paraId="779D853C">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委托岩屑处置单位处置。</w:t>
                  </w:r>
                </w:p>
              </w:tc>
            </w:tr>
            <w:tr w14:paraId="10BE43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281DB36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038" w:type="pct"/>
                  <w:gridSpan w:val="2"/>
                  <w:vAlign w:val="center"/>
                </w:tcPr>
                <w:p w14:paraId="1678E12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危险废物</w:t>
                  </w:r>
                </w:p>
              </w:tc>
              <w:tc>
                <w:tcPr>
                  <w:tcW w:w="3573" w:type="pct"/>
                  <w:vAlign w:val="center"/>
                </w:tcPr>
                <w:p w14:paraId="36630B8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钻试过程中产生的油基岩屑、沾油废防渗材料、废润滑油及废润滑油桶均属于危险废物，最终交由有相应危废处置资质的单位负责接收、转运以及处置。</w:t>
                  </w:r>
                </w:p>
              </w:tc>
            </w:tr>
            <w:tr w14:paraId="49182F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Align w:val="center"/>
                </w:tcPr>
                <w:p w14:paraId="6E26450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储运工程</w:t>
                  </w:r>
                </w:p>
              </w:tc>
              <w:tc>
                <w:tcPr>
                  <w:tcW w:w="4611" w:type="pct"/>
                  <w:gridSpan w:val="3"/>
                  <w:vAlign w:val="center"/>
                </w:tcPr>
                <w:p w14:paraId="4D336E38">
                  <w:pPr>
                    <w:keepNext/>
                    <w:adjustRightInd w:val="0"/>
                    <w:snapToGrid w:val="0"/>
                    <w:spacing w:line="300" w:lineRule="exact"/>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试油废水、采出液、钻井液、水基钻井岩屑、油基钻井岩屑、柴油等均为罐装，储罐区底部铺设有防渗膜；其他施工材料在井场专门区域（材料房、材料爬犁、化工爬犁）堆放。</w:t>
                  </w:r>
                  <w:bookmarkStart w:id="9" w:name="_Hlk143203469"/>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试油井场设置1座20m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的试油废水储罐及4座20m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采出液方罐</w:t>
                  </w:r>
                  <w:bookmarkEnd w:id="9"/>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；钻井井场设置柴油储罐区（1座</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柴油储罐）、</w:t>
                  </w:r>
                  <w:bookmarkStart w:id="10" w:name="_Hlk213891708"/>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1座6</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的储水罐</w:t>
                  </w:r>
                  <w:bookmarkEnd w:id="10"/>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，设置钻井液储罐区（7座5</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的钻井液储罐，容积不小于350m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），4座2</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5</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的水基钻井岩屑储罐或4座2</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5</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的油基钻井岩屑专用储罐。</w:t>
                  </w:r>
                </w:p>
              </w:tc>
            </w:tr>
            <w:bookmarkEnd w:id="5"/>
          </w:tbl>
          <w:p w14:paraId="3FD90948">
            <w:pPr>
              <w:pStyle w:val="8"/>
              <w:rPr>
                <w:rFonts w:hint="eastAsia" w:ascii="宋体" w:hAnsi="宋体" w:cs="宋体"/>
                <w:color w:val="0D0D0D" w:themeColor="text1" w:themeTint="F2"/>
                <w14:textFill>
                  <w14:solidFill>
                    <w14:schemeClr w14:val="tx1">
                      <w14:lumMod w14:val="95000"/>
                      <w14:lumOff w14:val="5000"/>
                    </w14:schemeClr>
                  </w14:solidFill>
                </w14:textFill>
              </w:rPr>
            </w:pPr>
          </w:p>
        </w:tc>
      </w:tr>
      <w:bookmarkEnd w:id="2"/>
    </w:tbl>
    <w:p w14:paraId="65389F70">
      <w:pPr>
        <w:pStyle w:val="11"/>
        <w:ind w:left="0" w:leftChars="0" w:firstLine="0" w:firstLineChars="0"/>
        <w:rPr>
          <w:rFonts w:hint="eastAsia"/>
          <w:color w:val="0D0D0D" w:themeColor="text1" w:themeTint="F2"/>
          <w14:textFill>
            <w14:solidFill>
              <w14:schemeClr w14:val="tx1">
                <w14:lumMod w14:val="95000"/>
                <w14:lumOff w14:val="5000"/>
              </w14:schemeClr>
            </w14:solidFill>
          </w14:textFill>
        </w:rPr>
        <w:sectPr>
          <w:pgSz w:w="11906" w:h="16838"/>
          <w:pgMar w:top="1440" w:right="1800" w:bottom="1440" w:left="1800" w:header="851" w:footer="992" w:gutter="0"/>
          <w:cols w:space="425" w:num="1"/>
          <w:docGrid w:type="lines" w:linePitch="312" w:charSpace="0"/>
        </w:sectPr>
      </w:pPr>
    </w:p>
    <w:p w14:paraId="36CC2349">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bookmarkStart w:id="11" w:name="_Hlk136794953"/>
      <w:r>
        <w:rPr>
          <w:rFonts w:hint="eastAsia" w:ascii="黑体" w:hAnsi="黑体" w:eastAsia="黑体"/>
          <w:b w:val="0"/>
          <w:bCs/>
          <w:color w:val="0D0D0D" w:themeColor="text1" w:themeTint="F2"/>
          <w:sz w:val="30"/>
          <w:szCs w:val="30"/>
          <w:lang w:eastAsia="zh-CN"/>
          <w14:textFill>
            <w14:solidFill>
              <w14:schemeClr w14:val="tx1">
                <w14:lumMod w14:val="95000"/>
                <w14:lumOff w14:val="5000"/>
              </w14:schemeClr>
            </w14:solidFill>
          </w14:textFill>
        </w:rPr>
        <w:t>二</w:t>
      </w: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、主要生态环境保护措施</w:t>
      </w:r>
    </w:p>
    <w:bookmarkEnd w:id="11"/>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8449"/>
      </w:tblGrid>
      <w:tr w14:paraId="6A7D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6" w:type="pct"/>
            <w:vAlign w:val="center"/>
          </w:tcPr>
          <w:p w14:paraId="50728135">
            <w:pPr>
              <w:adjustRightInd w:val="0"/>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bCs/>
                <w:color w:val="0D0D0D" w:themeColor="text1" w:themeTint="F2"/>
                <w14:textFill>
                  <w14:solidFill>
                    <w14:schemeClr w14:val="tx1">
                      <w14:lumMod w14:val="95000"/>
                      <w14:lumOff w14:val="5000"/>
                    </w14:schemeClr>
                  </w14:solidFill>
                </w14:textFill>
              </w:rPr>
              <w:t>施工期生态环境保护措施</w:t>
            </w:r>
          </w:p>
        </w:tc>
        <w:tc>
          <w:tcPr>
            <w:tcW w:w="4633" w:type="pct"/>
          </w:tcPr>
          <w:p w14:paraId="53D3B85A">
            <w:pPr>
              <w:pStyle w:val="37"/>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lang w:eastAsia="zh-CN"/>
                <w14:textFill>
                  <w14:solidFill>
                    <w14:schemeClr w14:val="tx1">
                      <w14:lumMod w14:val="95000"/>
                      <w14:lumOff w14:val="5000"/>
                    </w14:schemeClr>
                  </w14:solidFill>
                </w14:textFill>
              </w:rPr>
              <w:t>1.</w:t>
            </w:r>
            <w:r>
              <w:rPr>
                <w:rFonts w:hint="eastAsia"/>
                <w:b/>
                <w:bCs/>
                <w:color w:val="0D0D0D" w:themeColor="text1" w:themeTint="F2"/>
                <w14:textFill>
                  <w14:solidFill>
                    <w14:schemeClr w14:val="tx1">
                      <w14:lumMod w14:val="95000"/>
                      <w14:lumOff w14:val="5000"/>
                    </w14:schemeClr>
                  </w14:solidFill>
                </w14:textFill>
              </w:rPr>
              <w:t>生态环境保护措施</w:t>
            </w:r>
          </w:p>
          <w:p w14:paraId="7C543653">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建设单位及施工单位应严格执行本次评价提出的生态环境保护措施，并确保各项保护措施与钻试工程同时设计、同时施工、同时使用。</w:t>
            </w:r>
          </w:p>
          <w:p w14:paraId="45B501FE">
            <w:pPr>
              <w:pStyle w:val="37"/>
              <w:ind w:firstLine="480"/>
              <w:rPr>
                <w:rFonts w:hint="eastAsia"/>
                <w:color w:val="0D0D0D" w:themeColor="text1" w:themeTint="F2"/>
                <w14:textFill>
                  <w14:solidFill>
                    <w14:schemeClr w14:val="tx1">
                      <w14:lumMod w14:val="95000"/>
                      <w14:lumOff w14:val="5000"/>
                    </w14:schemeClr>
                  </w14:solidFill>
                </w14:textFill>
              </w:rPr>
            </w:pPr>
            <w:bookmarkStart w:id="12" w:name="_Hlk140837423"/>
            <w:bookmarkStart w:id="13" w:name="_Hlk213898970"/>
            <w:r>
              <w:rPr>
                <w:rFonts w:hint="eastAsia"/>
                <w:color w:val="0D0D0D" w:themeColor="text1" w:themeTint="F2"/>
                <w14:textFill>
                  <w14:solidFill>
                    <w14:schemeClr w14:val="tx1">
                      <w14:lumMod w14:val="95000"/>
                      <w14:lumOff w14:val="5000"/>
                    </w14:schemeClr>
                  </w14:solidFill>
                </w14:textFill>
              </w:rPr>
              <w:t>（1）植被保护措施</w:t>
            </w:r>
          </w:p>
          <w:p w14:paraId="4C1A4038">
            <w:pPr>
              <w:pStyle w:val="37"/>
              <w:ind w:firstLine="480"/>
              <w:rPr>
                <w:rFonts w:hint="eastAsia"/>
                <w:color w:val="0D0D0D" w:themeColor="text1" w:themeTint="F2"/>
                <w14:textFill>
                  <w14:solidFill>
                    <w14:schemeClr w14:val="tx1">
                      <w14:lumMod w14:val="95000"/>
                      <w14:lumOff w14:val="5000"/>
                    </w14:schemeClr>
                  </w14:solidFill>
                </w14:textFill>
              </w:rPr>
            </w:pPr>
            <w:bookmarkStart w:id="14" w:name="_Hlk140834056"/>
            <w:r>
              <w:rPr>
                <w:rFonts w:hint="eastAsia"/>
                <w:color w:val="0D0D0D" w:themeColor="text1" w:themeTint="F2"/>
                <w14:textFill>
                  <w14:solidFill>
                    <w14:schemeClr w14:val="tx1">
                      <w14:lumMod w14:val="95000"/>
                      <w14:lumOff w14:val="5000"/>
                    </w14:schemeClr>
                  </w14:solidFill>
                </w14:textFill>
              </w:rPr>
              <w:t>①工程避让措施：施工井场、生活营地等选址、探临道路选线时应提前踏勘，在满足勘探设计和施工要求的前提下，对井场、生活营地位置、探临道路路由等临时占地进行适当调整，避开野生植物生长密集地带，减少占地，以减轻对影响区域内植被的扰动和破坏。</w:t>
            </w:r>
            <w:bookmarkStart w:id="15" w:name="_Hlk136795909"/>
          </w:p>
          <w:p w14:paraId="261E811B">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②减缓措施：严格控制施工作业区面积，</w:t>
            </w:r>
            <w:bookmarkStart w:id="16" w:name="_Hlk213895889"/>
            <w:r>
              <w:rPr>
                <w:rFonts w:hint="eastAsia"/>
                <w:color w:val="0D0D0D" w:themeColor="text1" w:themeTint="F2"/>
                <w14:textFill>
                  <w14:solidFill>
                    <w14:schemeClr w14:val="tx1">
                      <w14:lumMod w14:val="95000"/>
                      <w14:lumOff w14:val="5000"/>
                    </w14:schemeClr>
                  </w14:solidFill>
                </w14:textFill>
              </w:rPr>
              <w:t>严格控制探临道路施工作业带范围，严格控制井场、生活营地及探临道路等各类工程建设活动在临时占地范围内，不得随意扩大、碾压周边野生植被，最大限度</w:t>
            </w:r>
            <w:r>
              <w:rPr>
                <w:rFonts w:hint="eastAsia"/>
                <w:color w:val="0D0D0D" w:themeColor="text1" w:themeTint="F2"/>
                <w:lang w:eastAsia="zh-CN"/>
                <w14:textFill>
                  <w14:solidFill>
                    <w14:schemeClr w14:val="tx1">
                      <w14:lumMod w14:val="95000"/>
                      <w14:lumOff w14:val="5000"/>
                    </w14:schemeClr>
                  </w14:solidFill>
                </w14:textFill>
              </w:rPr>
              <w:t>减少</w:t>
            </w:r>
            <w:r>
              <w:rPr>
                <w:rFonts w:hint="eastAsia"/>
                <w:color w:val="0D0D0D" w:themeColor="text1" w:themeTint="F2"/>
                <w14:textFill>
                  <w14:solidFill>
                    <w14:schemeClr w14:val="tx1">
                      <w14:lumMod w14:val="95000"/>
                      <w14:lumOff w14:val="5000"/>
                    </w14:schemeClr>
                  </w14:solidFill>
                </w14:textFill>
              </w:rPr>
              <w:t>对野生植物生存环境的破坏。尽量缩小施工占地，不得随意开辟道路，减少影响范围；确保各环保设施正常运行，避免各类污染物对土壤环境的影响，防止进一步影响其上部生长的野生植被。</w:t>
            </w:r>
            <w:bookmarkEnd w:id="16"/>
            <w:r>
              <w:rPr>
                <w:rFonts w:hint="eastAsia"/>
                <w:color w:val="0D0D0D" w:themeColor="text1" w:themeTint="F2"/>
                <w14:textFill>
                  <w14:solidFill>
                    <w14:schemeClr w14:val="tx1">
                      <w14:lumMod w14:val="95000"/>
                      <w14:lumOff w14:val="5000"/>
                    </w14:schemeClr>
                  </w14:solidFill>
                </w14:textFill>
              </w:rPr>
              <w:t>项目在建设过程中，应避免在大风天气作业，避免风蚀从而造成水土流失；提高施工效率，缩短施工时间。严格按施工方案要求在指定地点堆放临时土石方，并压紧、夯实，做好洒水降尘工作，减少扬尘对野生植被的影响。</w:t>
            </w:r>
            <w:bookmarkStart w:id="17" w:name="_Hlk120058480"/>
            <w:r>
              <w:rPr>
                <w:rFonts w:hint="eastAsia"/>
                <w:color w:val="0D0D0D" w:themeColor="text1" w:themeTint="F2"/>
                <w14:textFill>
                  <w14:solidFill>
                    <w14:schemeClr w14:val="tx1">
                      <w14:lumMod w14:val="95000"/>
                      <w14:lumOff w14:val="5000"/>
                    </w14:schemeClr>
                  </w14:solidFill>
                </w14:textFill>
              </w:rPr>
              <w:t>井场、临时道路施工、应急放喷池、生活污水临时储集池施工产生</w:t>
            </w:r>
            <w:r>
              <w:rPr>
                <w:rFonts w:hint="eastAsia" w:cs="宋体"/>
                <w:color w:val="0D0D0D" w:themeColor="text1" w:themeTint="F2"/>
                <w:spacing w:val="-2"/>
                <w14:textFill>
                  <w14:solidFill>
                    <w14:schemeClr w14:val="tx1">
                      <w14:lumMod w14:val="95000"/>
                      <w14:lumOff w14:val="5000"/>
                    </w14:schemeClr>
                  </w14:solidFill>
                </w14:textFill>
              </w:rPr>
              <w:t>的土方应压实并采用苫布遮盖，减少施工扬尘的产生</w:t>
            </w:r>
            <w:bookmarkEnd w:id="17"/>
            <w:r>
              <w:rPr>
                <w:rFonts w:hint="eastAsia" w:cs="宋体"/>
                <w:color w:val="0D0D0D" w:themeColor="text1" w:themeTint="F2"/>
                <w:spacing w:val="-2"/>
                <w14:textFill>
                  <w14:solidFill>
                    <w14:schemeClr w14:val="tx1">
                      <w14:lumMod w14:val="95000"/>
                      <w14:lumOff w14:val="5000"/>
                    </w14:schemeClr>
                  </w14:solidFill>
                </w14:textFill>
              </w:rPr>
              <w:t>。</w:t>
            </w:r>
          </w:p>
          <w:p w14:paraId="7B4BBDB3">
            <w:pPr>
              <w:pStyle w:val="37"/>
              <w:ind w:firstLine="480"/>
              <w:rPr>
                <w:rFonts w:hint="eastAsia"/>
                <w:color w:val="0D0D0D" w:themeColor="text1" w:themeTint="F2"/>
                <w14:textFill>
                  <w14:solidFill>
                    <w14:schemeClr w14:val="tx1">
                      <w14:lumMod w14:val="95000"/>
                      <w14:lumOff w14:val="5000"/>
                    </w14:schemeClr>
                  </w14:solidFill>
                </w14:textFill>
              </w:rPr>
            </w:pPr>
            <w:bookmarkStart w:id="18" w:name="_Hlk143198760"/>
            <w:r>
              <w:rPr>
                <w:rFonts w:hint="eastAsia"/>
                <w:color w:val="0D0D0D" w:themeColor="text1" w:themeTint="F2"/>
                <w14:textFill>
                  <w14:solidFill>
                    <w14:schemeClr w14:val="tx1">
                      <w14:lumMod w14:val="95000"/>
                      <w14:lumOff w14:val="5000"/>
                    </w14:schemeClr>
                  </w14:solidFill>
                </w14:textFill>
              </w:rPr>
              <w:t>③</w:t>
            </w:r>
            <w:r>
              <w:rPr>
                <w:rFonts w:hint="eastAsia"/>
                <w:color w:val="0D0D0D" w:themeColor="text1" w:themeTint="F2"/>
                <w:lang w:bidi="ar"/>
                <w14:textFill>
                  <w14:solidFill>
                    <w14:schemeClr w14:val="tx1">
                      <w14:lumMod w14:val="95000"/>
                      <w14:lumOff w14:val="5000"/>
                    </w14:schemeClr>
                  </w14:solidFill>
                </w14:textFill>
              </w:rPr>
              <w:t>修复措施：</w:t>
            </w:r>
            <w:bookmarkStart w:id="19" w:name="_Hlk193817417"/>
            <w:r>
              <w:rPr>
                <w:rFonts w:hint="eastAsia"/>
                <w:color w:val="0D0D0D" w:themeColor="text1" w:themeTint="F2"/>
                <w:lang w:bidi="ar"/>
                <w14:textFill>
                  <w14:solidFill>
                    <w14:schemeClr w14:val="tx1">
                      <w14:lumMod w14:val="95000"/>
                      <w14:lumOff w14:val="5000"/>
                    </w14:schemeClr>
                  </w14:solidFill>
                </w14:textFill>
              </w:rPr>
              <w:t>钻前工程需要对临时占地范围进行平整、压实，以便于铺垫砂石料，施工结束后，井场铺垫砂石料全部清理，拉运至其他拟施工井场，重复利用。</w:t>
            </w:r>
            <w:bookmarkEnd w:id="19"/>
            <w:r>
              <w:rPr>
                <w:rFonts w:hint="eastAsia"/>
                <w:color w:val="0D0D0D" w:themeColor="text1" w:themeTint="F2"/>
                <w:lang w:bidi="ar"/>
                <w14:textFill>
                  <w14:solidFill>
                    <w14:schemeClr w14:val="tx1">
                      <w14:lumMod w14:val="95000"/>
                      <w14:lumOff w14:val="5000"/>
                    </w14:schemeClr>
                  </w14:solidFill>
                </w14:textFill>
              </w:rPr>
              <w:t>施工结束后，施工单位应负责及时清理现场，做到井场整洁、无杂物，完井后施工机械、设备及时撤离，对生活营地和探临道路等占地进行清理平整，废水和固体废物全部妥善处置，禁止现场遗留；尽量利用井场及探临道路施工时产生的表层土对临时占地进行覆盖，植被主要靠自然恢复。施工为分段施工，建议“边施工、边修复”。</w:t>
            </w:r>
          </w:p>
          <w:bookmarkEnd w:id="18"/>
          <w:p w14:paraId="23B97484">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④补偿措施：严格按照有关规定办理用地审批手续，并对因项目实施造成的生态损失予以经济补偿，足额缴纳生态经济补偿费，目前建设单位正在办理临时占地经济补偿协议。</w:t>
            </w:r>
          </w:p>
          <w:bookmarkEnd w:id="12"/>
          <w:bookmarkEnd w:id="14"/>
          <w:bookmarkEnd w:id="15"/>
          <w:p w14:paraId="1CB7A26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⑤管理措施：严格遵守油田环境保护规章制度；严格控制井场占地，严格划定车辆行驶路线及探临道路开拓路线，禁止运输车辆乱碾乱轧；严格规定各类工作人员的活动范围，最大限度减少对植物生存环境的踩踏破坏和对野生动物栖息地的侵扰。加强环境保护宣传工作，</w:t>
            </w:r>
            <w:r>
              <w:rPr>
                <w:rFonts w:hint="eastAsia" w:ascii="宋体" w:hAnsi="宋体" w:cs="宋体"/>
                <w:color w:val="0D0D0D" w:themeColor="text1" w:themeTint="F2"/>
                <w:lang w:eastAsia="zh-CN"/>
                <w14:textFill>
                  <w14:solidFill>
                    <w14:schemeClr w14:val="tx1">
                      <w14:lumMod w14:val="95000"/>
                      <w14:lumOff w14:val="5000"/>
                    </w14:schemeClr>
                  </w14:solidFill>
                </w14:textFill>
              </w:rPr>
              <w:t>增强</w:t>
            </w:r>
            <w:r>
              <w:rPr>
                <w:rFonts w:hint="eastAsia" w:ascii="宋体" w:hAnsi="宋体" w:cs="宋体"/>
                <w:color w:val="0D0D0D" w:themeColor="text1" w:themeTint="F2"/>
                <w14:textFill>
                  <w14:solidFill>
                    <w14:schemeClr w14:val="tx1">
                      <w14:lumMod w14:val="95000"/>
                      <w14:lumOff w14:val="5000"/>
                    </w14:schemeClr>
                  </w14:solidFill>
                </w14:textFill>
              </w:rPr>
              <w:t>施工人员环保意识，特别</w:t>
            </w:r>
            <w:r>
              <w:rPr>
                <w:rFonts w:hint="eastAsia" w:ascii="宋体" w:hAnsi="宋体" w:cs="宋体"/>
                <w:color w:val="0D0D0D" w:themeColor="text1" w:themeTint="F2"/>
                <w:lang w:eastAsia="zh-CN"/>
                <w14:textFill>
                  <w14:solidFill>
                    <w14:schemeClr w14:val="tx1">
                      <w14:lumMod w14:val="95000"/>
                      <w14:lumOff w14:val="5000"/>
                    </w14:schemeClr>
                  </w14:solidFill>
                </w14:textFill>
              </w:rPr>
              <w:t>要注意</w:t>
            </w:r>
            <w:r>
              <w:rPr>
                <w:rFonts w:hint="eastAsia" w:ascii="宋体" w:hAnsi="宋体" w:cs="宋体"/>
                <w:color w:val="0D0D0D" w:themeColor="text1" w:themeTint="F2"/>
                <w14:textFill>
                  <w14:solidFill>
                    <w14:schemeClr w14:val="tx1">
                      <w14:lumMod w14:val="95000"/>
                      <w14:lumOff w14:val="5000"/>
                    </w14:schemeClr>
                  </w14:solidFill>
                </w14:textFill>
              </w:rPr>
              <w:t>对野生动物和自然植被的保护。</w:t>
            </w:r>
          </w:p>
          <w:bookmarkEnd w:id="13"/>
          <w:p w14:paraId="4BDF0B76">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⑥</w:t>
            </w:r>
            <w:bookmarkStart w:id="20" w:name="_Hlk170989618"/>
            <w:r>
              <w:rPr>
                <w:rFonts w:hint="eastAsia" w:ascii="宋体" w:hAnsi="宋体" w:cs="宋体"/>
                <w:color w:val="0D0D0D" w:themeColor="text1" w:themeTint="F2"/>
                <w14:textFill>
                  <w14:solidFill>
                    <w14:schemeClr w14:val="tx1">
                      <w14:lumMod w14:val="95000"/>
                      <w14:lumOff w14:val="5000"/>
                    </w14:schemeClr>
                  </w14:solidFill>
                </w14:textFill>
              </w:rPr>
              <w:t>对天然牧草地的保护措施</w:t>
            </w:r>
          </w:p>
          <w:bookmarkEnd w:id="20"/>
          <w:p w14:paraId="46C77BD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项目占地类型主要为天然牧草地，应按照《中华人民共和国草原法》相关要求采取以下保护措施：</w:t>
            </w:r>
          </w:p>
          <w:p w14:paraId="6DE7D0DB">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1）严格按照《中华人民共和国草原法</w:t>
            </w:r>
            <w:r>
              <w:rPr>
                <w:rFonts w:hint="eastAsia" w:ascii="宋体" w:hAnsi="宋体" w:cs="宋体"/>
                <w:color w:val="0D0D0D" w:themeColor="text1" w:themeTint="F2"/>
                <w:lang w:eastAsia="zh-CN"/>
                <w14:textFill>
                  <w14:solidFill>
                    <w14:schemeClr w14:val="tx1">
                      <w14:lumMod w14:val="95000"/>
                      <w14:lumOff w14:val="5000"/>
                    </w14:schemeClr>
                  </w14:solidFill>
                </w14:textFill>
              </w:rPr>
              <w:t>》</w:t>
            </w:r>
            <w:r>
              <w:rPr>
                <w:rFonts w:hint="eastAsia" w:ascii="宋体" w:hAnsi="宋体" w:cs="宋体"/>
                <w:color w:val="0D0D0D" w:themeColor="text1" w:themeTint="F2"/>
                <w14:textFill>
                  <w14:solidFill>
                    <w14:schemeClr w14:val="tx1">
                      <w14:lumMod w14:val="95000"/>
                      <w14:lumOff w14:val="5000"/>
                    </w14:schemeClr>
                  </w14:solidFill>
                </w14:textFill>
              </w:rPr>
              <w:t>第五十条“……开采矿产资源的，并应当依法办理有关手续。经批准在草原上从事本条第一款所列活动的，应当在规定的时间、区域内，按照准许的采挖方式作业，并采取保护草原植被的措施”要求，</w:t>
            </w:r>
            <w:bookmarkStart w:id="21" w:name="_Hlk208334346"/>
            <w:r>
              <w:rPr>
                <w:rFonts w:hint="eastAsia" w:ascii="宋体" w:hAnsi="宋体" w:cs="宋体"/>
                <w:color w:val="0D0D0D" w:themeColor="text1" w:themeTint="F2"/>
                <w14:textFill>
                  <w14:solidFill>
                    <w14:schemeClr w14:val="tx1">
                      <w14:lumMod w14:val="95000"/>
                      <w14:lumOff w14:val="5000"/>
                    </w14:schemeClr>
                  </w14:solidFill>
                </w14:textFill>
              </w:rPr>
              <w:t>依法依规办理征地手续，并依法缴纳生态补偿费用；</w:t>
            </w:r>
          </w:p>
          <w:bookmarkEnd w:id="21"/>
          <w:p w14:paraId="6417D750">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2）井场、生活营地及探临道路选址选线时应避让植被生长密集的区域，减少对牧草产量的影响；</w:t>
            </w:r>
          </w:p>
          <w:p w14:paraId="71446042">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3</w:t>
            </w:r>
            <w:r>
              <w:rPr>
                <w:rFonts w:ascii="宋体" w:hAnsi="宋体" w:cs="宋体"/>
                <w:color w:val="0D0D0D" w:themeColor="text1" w:themeTint="F2"/>
                <w14:textFill>
                  <w14:solidFill>
                    <w14:schemeClr w14:val="tx1">
                      <w14:lumMod w14:val="95000"/>
                      <w14:lumOff w14:val="5000"/>
                    </w14:schemeClr>
                  </w14:solidFill>
                </w14:textFill>
              </w:rPr>
              <w:t>）</w:t>
            </w:r>
            <w:r>
              <w:rPr>
                <w:rFonts w:hint="eastAsia" w:ascii="宋体" w:hAnsi="宋体" w:cs="宋体"/>
                <w:color w:val="0D0D0D" w:themeColor="text1" w:themeTint="F2"/>
                <w14:textFill>
                  <w14:solidFill>
                    <w14:schemeClr w14:val="tx1">
                      <w14:lumMod w14:val="95000"/>
                      <w14:lumOff w14:val="5000"/>
                    </w14:schemeClr>
                  </w14:solidFill>
                </w14:textFill>
              </w:rPr>
              <w:t>严格按照征地范围施工，不得随意扩大施工临时占地；加强施工管理，严禁乱碾乱轧，限制施工人员活动范围，不得随意踩踏、损毁草地。</w:t>
            </w:r>
          </w:p>
          <w:p w14:paraId="672DCA2C">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（2）对野生动物的生态环保措施要求</w:t>
            </w:r>
          </w:p>
          <w:p w14:paraId="62B1E01C">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建设单位在施工过程中要严格规定工作人员的活动范围，尽量不侵扰野生动物的栖息地；对施工人员开展保护野生动物宣传教育工作，强化保护野生动物的观念；加强管理，确保各生产设施的正常运行，避免强噪声情况发生而对野生动物造成惊扰。</w:t>
            </w:r>
          </w:p>
          <w:p w14:paraId="5CEF821D">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上述生态环境保护措施均为技术可行、经济合理、稳定可靠、便于实施的成熟措施，在油气田勘探过程中得到广泛应用。采取上述措施后，可有效减轻对野生动植物及水土流失的不利影响，施工过程中对周围生态环境的破坏可降低至可接受水平。</w:t>
            </w:r>
          </w:p>
          <w:p w14:paraId="0DB5545A">
            <w:pPr>
              <w:pStyle w:val="37"/>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lang w:val="en-US" w:eastAsia="zh-CN"/>
                <w14:textFill>
                  <w14:solidFill>
                    <w14:schemeClr w14:val="tx1">
                      <w14:lumMod w14:val="95000"/>
                      <w14:lumOff w14:val="5000"/>
                    </w14:schemeClr>
                  </w14:solidFill>
                </w14:textFill>
              </w:rPr>
              <w:t>2.</w:t>
            </w:r>
            <w:r>
              <w:rPr>
                <w:rFonts w:hint="eastAsia"/>
                <w:b/>
                <w:bCs/>
                <w:color w:val="0D0D0D" w:themeColor="text1" w:themeTint="F2"/>
                <w14:textFill>
                  <w14:solidFill>
                    <w14:schemeClr w14:val="tx1">
                      <w14:lumMod w14:val="95000"/>
                      <w14:lumOff w14:val="5000"/>
                    </w14:schemeClr>
                  </w14:solidFill>
                </w14:textFill>
              </w:rPr>
              <w:t>大气污染防治措施</w:t>
            </w:r>
          </w:p>
          <w:p w14:paraId="0071B5F9">
            <w:pPr>
              <w:pStyle w:val="37"/>
              <w:ind w:firstLine="480"/>
              <w:rPr>
                <w:rFonts w:hint="eastAsia"/>
                <w:color w:val="0D0D0D" w:themeColor="text1" w:themeTint="F2"/>
                <w14:textFill>
                  <w14:solidFill>
                    <w14:schemeClr w14:val="tx1">
                      <w14:lumMod w14:val="95000"/>
                      <w14:lumOff w14:val="5000"/>
                    </w14:schemeClr>
                  </w14:solidFill>
                </w14:textFill>
              </w:rPr>
            </w:pPr>
            <w:bookmarkStart w:id="22" w:name="_Hlk176185340"/>
            <w:r>
              <w:rPr>
                <w:rFonts w:hint="eastAsia"/>
                <w:color w:val="0D0D0D" w:themeColor="text1" w:themeTint="F2"/>
                <w14:textFill>
                  <w14:solidFill>
                    <w14:schemeClr w14:val="tx1">
                      <w14:lumMod w14:val="95000"/>
                      <w14:lumOff w14:val="5000"/>
                    </w14:schemeClr>
                  </w14:solidFill>
                </w14:textFill>
              </w:rPr>
              <w:t>（1）使用符合国家标准的油品，加强机械、车辆的维护。</w:t>
            </w:r>
          </w:p>
          <w:p w14:paraId="255ECA8E">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（2）施工现场运输车辆应低速慢行、不得超载，并采取密闭或遮盖措施；车辆沿道路行驶，不得随意开设便道。</w:t>
            </w:r>
          </w:p>
          <w:p w14:paraId="408D6CCC">
            <w:pPr>
              <w:pStyle w:val="37"/>
              <w:ind w:firstLine="464"/>
              <w:rPr>
                <w:rFonts w:hint="eastAsia"/>
                <w:color w:val="0D0D0D" w:themeColor="text1" w:themeTint="F2"/>
                <w:spacing w:val="-4"/>
                <w14:textFill>
                  <w14:solidFill>
                    <w14:schemeClr w14:val="tx1">
                      <w14:lumMod w14:val="95000"/>
                      <w14:lumOff w14:val="5000"/>
                    </w14:schemeClr>
                  </w14:solidFill>
                </w14:textFill>
              </w:rPr>
            </w:pPr>
            <w:r>
              <w:rPr>
                <w:rFonts w:hint="eastAsia"/>
                <w:color w:val="0D0D0D" w:themeColor="text1" w:themeTint="F2"/>
                <w:spacing w:val="-4"/>
                <w14:textFill>
                  <w14:solidFill>
                    <w14:schemeClr w14:val="tx1">
                      <w14:lumMod w14:val="95000"/>
                      <w14:lumOff w14:val="5000"/>
                    </w14:schemeClr>
                  </w14:solidFill>
                </w14:textFill>
              </w:rPr>
              <w:t>（3）裸露砂石料、土方、逸散性建筑材料等易起尘物料采用苫布遮盖，无法遮盖的应存放在库房内；施工道路应采取硬化措施，并定期洒水抑尘，配备保洁人员清扫；施工车辆清扫后上路，保持车辆干净；运输渣土的车辆须密闭，严禁运输过程中撒漏。</w:t>
            </w:r>
          </w:p>
          <w:p w14:paraId="0C93B0D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4</w:t>
            </w:r>
            <w:r>
              <w:rPr>
                <w:rFonts w:hint="eastAsia"/>
                <w:color w:val="0D0D0D" w:themeColor="text1" w:themeTint="F2"/>
                <w14:textFill>
                  <w14:solidFill>
                    <w14:schemeClr w14:val="tx1">
                      <w14:lumMod w14:val="95000"/>
                      <w14:lumOff w14:val="5000"/>
                    </w14:schemeClr>
                  </w14:solidFill>
                </w14:textFill>
              </w:rPr>
              <w:t>）试油期伴生气产生量不稳定，不具备回收利用条件，经排气管线充分燃烧后排放。应定期检查伴生气燃烧设备，加强燃烧设备的运营维护，确保伴生气充分燃烧，以减轻燃烧废气对区域大气环境质量的不良影响。</w:t>
            </w:r>
          </w:p>
          <w:p w14:paraId="18F38797">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5</w:t>
            </w:r>
            <w:r>
              <w:rPr>
                <w:rFonts w:hint="eastAsia"/>
                <w:color w:val="0D0D0D" w:themeColor="text1" w:themeTint="F2"/>
                <w14:textFill>
                  <w14:solidFill>
                    <w14:schemeClr w14:val="tx1">
                      <w14:lumMod w14:val="95000"/>
                      <w14:lumOff w14:val="5000"/>
                    </w14:schemeClr>
                  </w14:solidFill>
                </w14:textFill>
              </w:rPr>
              <w:t>）试油期加强采出液储罐管理、装卸必须采取密闭装载方式，尽可能减少无组织挥发性有机物的排放。</w:t>
            </w:r>
          </w:p>
          <w:p w14:paraId="51A565C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6</w:t>
            </w:r>
            <w:r>
              <w:rPr>
                <w:rFonts w:hint="eastAsia"/>
                <w:color w:val="0D0D0D" w:themeColor="text1" w:themeTint="F2"/>
                <w14:textFill>
                  <w14:solidFill>
                    <w14:schemeClr w14:val="tx1">
                      <w14:lumMod w14:val="95000"/>
                      <w14:lumOff w14:val="5000"/>
                    </w14:schemeClr>
                  </w14:solidFill>
                </w14:textFill>
              </w:rPr>
              <w:t>）</w:t>
            </w:r>
            <w:r>
              <w:rPr>
                <w:rFonts w:hint="eastAsia"/>
                <w:color w:val="0D0D0D" w:themeColor="text1" w:themeTint="F2"/>
                <w:spacing w:val="-4"/>
                <w14:textFill>
                  <w14:solidFill>
                    <w14:schemeClr w14:val="tx1">
                      <w14:lumMod w14:val="95000"/>
                      <w14:lumOff w14:val="5000"/>
                    </w14:schemeClr>
                  </w14:solidFill>
                </w14:textFill>
              </w:rPr>
              <w:t>柴油储罐采用固定顶罐，井场内柴油罐容积为</w:t>
            </w:r>
            <w:r>
              <w:rPr>
                <w:color w:val="0D0D0D" w:themeColor="text1" w:themeTint="F2"/>
                <w:spacing w:val="-4"/>
                <w14:textFill>
                  <w14:solidFill>
                    <w14:schemeClr w14:val="tx1">
                      <w14:lumMod w14:val="95000"/>
                      <w14:lumOff w14:val="5000"/>
                    </w14:schemeClr>
                  </w14:solidFill>
                </w14:textFill>
              </w:rPr>
              <w:t>30</w:t>
            </w:r>
            <w:r>
              <w:rPr>
                <w:rFonts w:hint="eastAsia"/>
                <w:color w:val="0D0D0D" w:themeColor="text1" w:themeTint="F2"/>
                <w:spacing w:val="-4"/>
                <w14:textFill>
                  <w14:solidFill>
                    <w14:schemeClr w14:val="tx1">
                      <w14:lumMod w14:val="95000"/>
                      <w14:lumOff w14:val="5000"/>
                    </w14:schemeClr>
                  </w14:solidFill>
                </w14:textFill>
              </w:rPr>
              <w:t>m</w:t>
            </w:r>
            <w:r>
              <w:rPr>
                <w:rFonts w:hint="eastAsia"/>
                <w:color w:val="0D0D0D" w:themeColor="text1" w:themeTint="F2"/>
                <w:spacing w:val="-4"/>
                <w:vertAlign w:val="superscript"/>
                <w14:textFill>
                  <w14:solidFill>
                    <w14:schemeClr w14:val="tx1">
                      <w14:lumMod w14:val="95000"/>
                      <w14:lumOff w14:val="5000"/>
                    </w14:schemeClr>
                  </w14:solidFill>
                </w14:textFill>
              </w:rPr>
              <w:t>3</w:t>
            </w:r>
            <w:r>
              <w:rPr>
                <w:rFonts w:hint="eastAsia"/>
                <w:color w:val="0D0D0D" w:themeColor="text1" w:themeTint="F2"/>
                <w:spacing w:val="-4"/>
                <w14:textFill>
                  <w14:solidFill>
                    <w14:schemeClr w14:val="tx1">
                      <w14:lumMod w14:val="95000"/>
                      <w14:lumOff w14:val="5000"/>
                    </w14:schemeClr>
                  </w14:solidFill>
                </w14:textFill>
              </w:rPr>
              <w:t>，小于75m</w:t>
            </w:r>
            <w:r>
              <w:rPr>
                <w:rFonts w:hint="eastAsia"/>
                <w:color w:val="0D0D0D" w:themeColor="text1" w:themeTint="F2"/>
                <w:spacing w:val="-4"/>
                <w:vertAlign w:val="superscript"/>
                <w14:textFill>
                  <w14:solidFill>
                    <w14:schemeClr w14:val="tx1">
                      <w14:lumMod w14:val="95000"/>
                      <w14:lumOff w14:val="5000"/>
                    </w14:schemeClr>
                  </w14:solidFill>
                </w14:textFill>
              </w:rPr>
              <w:t>3</w:t>
            </w:r>
            <w:r>
              <w:rPr>
                <w:rFonts w:hint="eastAsia"/>
                <w:color w:val="0D0D0D" w:themeColor="text1" w:themeTint="F2"/>
                <w:spacing w:val="-4"/>
                <w14:textFill>
                  <w14:solidFill>
                    <w14:schemeClr w14:val="tx1">
                      <w14:lumMod w14:val="95000"/>
                      <w14:lumOff w14:val="5000"/>
                    </w14:schemeClr>
                  </w14:solidFill>
                </w14:textFill>
              </w:rPr>
              <w:t>，且柴油真实蒸气压小于27.6kPa，按照《挥发性有机物无组织排放控制标准》（G</w:t>
            </w:r>
            <w:r>
              <w:rPr>
                <w:color w:val="0D0D0D" w:themeColor="text1" w:themeTint="F2"/>
                <w:spacing w:val="-4"/>
                <w14:textFill>
                  <w14:solidFill>
                    <w14:schemeClr w14:val="tx1">
                      <w14:lumMod w14:val="95000"/>
                      <w14:lumOff w14:val="5000"/>
                    </w14:schemeClr>
                  </w14:solidFill>
                </w14:textFill>
              </w:rPr>
              <w:t>B37822-2019</w:t>
            </w:r>
            <w:r>
              <w:rPr>
                <w:rFonts w:hint="eastAsia"/>
                <w:color w:val="0D0D0D" w:themeColor="text1" w:themeTint="F2"/>
                <w:spacing w:val="-4"/>
                <w14:textFill>
                  <w14:solidFill>
                    <w14:schemeClr w14:val="tx1">
                      <w14:lumMod w14:val="95000"/>
                      <w14:lumOff w14:val="5000"/>
                    </w14:schemeClr>
                  </w14:solidFill>
                </w14:textFill>
              </w:rPr>
              <w:t>）中要求可不采取油罐烃蒸气回收措施。施工</w:t>
            </w:r>
            <w:bookmarkStart w:id="46" w:name="_GoBack"/>
            <w:r>
              <w:rPr>
                <w:rFonts w:hint="eastAsia"/>
                <w:color w:val="0D0D0D" w:themeColor="text1" w:themeTint="F2"/>
                <w:spacing w:val="-4"/>
                <w:lang w:eastAsia="zh-CN"/>
                <w14:textFill>
                  <w14:solidFill>
                    <w14:schemeClr w14:val="tx1">
                      <w14:lumMod w14:val="95000"/>
                      <w14:lumOff w14:val="5000"/>
                    </w14:schemeClr>
                  </w14:solidFill>
                </w14:textFill>
              </w:rPr>
              <w:t>期间</w:t>
            </w:r>
            <w:bookmarkEnd w:id="46"/>
            <w:r>
              <w:rPr>
                <w:rFonts w:hint="eastAsia"/>
                <w:color w:val="0D0D0D" w:themeColor="text1" w:themeTint="F2"/>
                <w:spacing w:val="-4"/>
                <w14:textFill>
                  <w14:solidFill>
                    <w14:schemeClr w14:val="tx1">
                      <w14:lumMod w14:val="95000"/>
                      <w14:lumOff w14:val="5000"/>
                    </w14:schemeClr>
                  </w14:solidFill>
                </w14:textFill>
              </w:rPr>
              <w:t>应加强储罐的检修和维护，柴油储罐罐体应保持完好，不应有孔洞；储罐附件开口（孔），除采样、计量和例行检查、维护和其他正常活动外，应密闭；定期监测呼吸阀的定压是否符合设定要求</w:t>
            </w:r>
            <w:r>
              <w:rPr>
                <w:rFonts w:hint="eastAsia"/>
                <w:color w:val="0D0D0D" w:themeColor="text1" w:themeTint="F2"/>
                <w14:textFill>
                  <w14:solidFill>
                    <w14:schemeClr w14:val="tx1">
                      <w14:lumMod w14:val="95000"/>
                      <w14:lumOff w14:val="5000"/>
                    </w14:schemeClr>
                  </w14:solidFill>
                </w14:textFill>
              </w:rPr>
              <w:t>。</w:t>
            </w:r>
          </w:p>
          <w:p w14:paraId="513E466E">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（7）水基钻井岩屑和油基钻井岩屑暂存于罐中，及时转运。</w:t>
            </w:r>
          </w:p>
          <w:p w14:paraId="5D20BA3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（8）射孔压裂作业完成后，及时进行试油作业。</w:t>
            </w:r>
          </w:p>
          <w:p w14:paraId="4B9471B3">
            <w:pPr>
              <w:pStyle w:val="37"/>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以上防治措施，简单可行，具有可操作性，施工扬尘影响能够减缓到可以接受的程度</w:t>
            </w:r>
            <w:r>
              <w:rPr>
                <w:rFonts w:hint="eastAsia"/>
                <w:color w:val="0D0D0D" w:themeColor="text1" w:themeTint="F2"/>
                <w14:textFill>
                  <w14:solidFill>
                    <w14:schemeClr w14:val="tx1">
                      <w14:lumMod w14:val="95000"/>
                      <w14:lumOff w14:val="5000"/>
                    </w14:schemeClr>
                  </w14:solidFill>
                </w14:textFill>
              </w:rPr>
              <w:t>。</w:t>
            </w:r>
          </w:p>
          <w:bookmarkEnd w:id="22"/>
          <w:p w14:paraId="18DAAFD4">
            <w:pPr>
              <w:widowControl/>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bookmarkStart w:id="23" w:name="_Hlk136795800"/>
            <w:r>
              <w:rPr>
                <w:rFonts w:hint="eastAsia" w:ascii="宋体" w:hAnsi="宋体" w:cs="宋体"/>
                <w:b/>
                <w:bCs/>
                <w:color w:val="0D0D0D" w:themeColor="text1" w:themeTint="F2"/>
                <w:lang w:val="en-US" w:eastAsia="zh-CN"/>
                <w14:textFill>
                  <w14:solidFill>
                    <w14:schemeClr w14:val="tx1">
                      <w14:lumMod w14:val="95000"/>
                      <w14:lumOff w14:val="5000"/>
                    </w14:schemeClr>
                  </w14:solidFill>
                </w14:textFill>
              </w:rPr>
              <w:t>3.</w:t>
            </w:r>
            <w:r>
              <w:rPr>
                <w:rFonts w:hint="eastAsia" w:ascii="宋体" w:hAnsi="宋体" w:cs="宋体"/>
                <w:b/>
                <w:bCs/>
                <w:color w:val="0D0D0D" w:themeColor="text1" w:themeTint="F2"/>
                <w14:textFill>
                  <w14:solidFill>
                    <w14:schemeClr w14:val="tx1">
                      <w14:lumMod w14:val="95000"/>
                      <w14:lumOff w14:val="5000"/>
                    </w14:schemeClr>
                  </w14:solidFill>
                </w14:textFill>
              </w:rPr>
              <w:t>水污染防治措施</w:t>
            </w:r>
          </w:p>
          <w:p w14:paraId="18981CA7">
            <w:pPr>
              <w:widowControl/>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（1）生活污水</w:t>
            </w:r>
          </w:p>
          <w:p w14:paraId="1E8FF4D5">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bookmarkStart w:id="24" w:name="_Hlk62325205"/>
            <w:bookmarkStart w:id="25" w:name="_Hlk91252762"/>
            <w:r>
              <w:rPr>
                <w:rFonts w:hint="eastAsia" w:ascii="宋体" w:hAnsi="宋体" w:cs="宋体"/>
                <w:color w:val="0D0D0D" w:themeColor="text1" w:themeTint="F2"/>
                <w14:textFill>
                  <w14:solidFill>
                    <w14:schemeClr w14:val="tx1">
                      <w14:lumMod w14:val="95000"/>
                      <w14:lumOff w14:val="5000"/>
                    </w14:schemeClr>
                  </w14:solidFill>
                </w14:textFill>
              </w:rPr>
              <w:t>施工期生活污水产生总量约144m</w:t>
            </w:r>
            <w:r>
              <w:rPr>
                <w:rFonts w:hint="eastAsia" w:ascii="宋体" w:hAnsi="宋体" w:cs="宋体"/>
                <w:color w:val="0D0D0D" w:themeColor="text1" w:themeTint="F2"/>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，排入生活营地临时防渗收集池（容积为40m</w:t>
            </w:r>
            <w:r>
              <w:rPr>
                <w:rFonts w:hint="eastAsia" w:ascii="宋体" w:hAnsi="宋体" w:cs="宋体"/>
                <w:color w:val="0D0D0D" w:themeColor="text1" w:themeTint="F2"/>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）暂存，定期由吸污车抽出后运至沙湾市第二污水处理厂。生活污水收集池采用HDPE防渗膜防渗，</w:t>
            </w:r>
            <w:r>
              <w:rPr>
                <w:rFonts w:hint="eastAsia"/>
                <w:color w:val="0D0D0D" w:themeColor="text1" w:themeTint="F2"/>
                <w14:textFill>
                  <w14:solidFill>
                    <w14:schemeClr w14:val="tx1">
                      <w14:lumMod w14:val="95000"/>
                      <w14:lumOff w14:val="5000"/>
                    </w14:schemeClr>
                  </w14:solidFill>
                </w14:textFill>
              </w:rPr>
              <w:t>施工结束后防渗膜回收、收集池占地及时恢复原貌</w:t>
            </w:r>
            <w:r>
              <w:rPr>
                <w:rFonts w:hint="eastAsia" w:ascii="宋体" w:hAnsi="宋体" w:cs="宋体"/>
                <w:color w:val="0D0D0D" w:themeColor="text1" w:themeTint="F2"/>
                <w14:textFill>
                  <w14:solidFill>
                    <w14:schemeClr w14:val="tx1">
                      <w14:lumMod w14:val="95000"/>
                      <w14:lumOff w14:val="5000"/>
                    </w14:schemeClr>
                  </w14:solidFill>
                </w14:textFill>
              </w:rPr>
              <w:t>。</w:t>
            </w:r>
          </w:p>
          <w:p w14:paraId="52D7DEBA">
            <w:pPr>
              <w:pStyle w:val="63"/>
              <w:spacing w:line="500" w:lineRule="exact"/>
              <w:ind w:firstLine="472" w:firstLineChars="200"/>
              <w:rPr>
                <w:rFonts w:hint="eastAsia" w:ascii="宋体"/>
                <w:color w:val="0D0D0D" w:themeColor="text1" w:themeTint="F2"/>
                <w:kern w:val="2"/>
                <w14:textFill>
                  <w14:solidFill>
                    <w14:schemeClr w14:val="tx1">
                      <w14:lumMod w14:val="95000"/>
                      <w14:lumOff w14:val="5000"/>
                    </w14:schemeClr>
                  </w14:solidFill>
                </w14:textFill>
              </w:rPr>
            </w:pPr>
            <w:bookmarkStart w:id="26" w:name="_Hlk208334736"/>
            <w:r>
              <w:rPr>
                <w:rFonts w:hint="eastAsia" w:ascii="宋体"/>
                <w:color w:val="0D0D0D" w:themeColor="text1" w:themeTint="F2"/>
                <w:kern w:val="2"/>
                <w14:textFill>
                  <w14:solidFill>
                    <w14:schemeClr w14:val="tx1">
                      <w14:lumMod w14:val="95000"/>
                      <w14:lumOff w14:val="5000"/>
                    </w14:schemeClr>
                  </w14:solidFill>
                </w14:textFill>
              </w:rPr>
              <w:t>沙湾市第二污水处理厂位于石锋3井西北侧约30km</w:t>
            </w:r>
            <w:r>
              <w:rPr>
                <w:rFonts w:hint="eastAsia" w:ascii="宋体"/>
                <w:color w:val="0D0D0D" w:themeColor="text1" w:themeTint="F2"/>
                <w14:textFill>
                  <w14:solidFill>
                    <w14:schemeClr w14:val="tx1">
                      <w14:lumMod w14:val="95000"/>
                      <w14:lumOff w14:val="5000"/>
                    </w14:schemeClr>
                  </w14:solidFill>
                </w14:textFill>
              </w:rPr>
              <w:t>（见附图10）</w:t>
            </w:r>
            <w:r>
              <w:rPr>
                <w:rFonts w:hint="eastAsia" w:ascii="宋体"/>
                <w:color w:val="0D0D0D" w:themeColor="text1" w:themeTint="F2"/>
                <w:kern w:val="2"/>
                <w14:textFill>
                  <w14:solidFill>
                    <w14:schemeClr w14:val="tx1">
                      <w14:lumMod w14:val="95000"/>
                      <w14:lumOff w14:val="5000"/>
                    </w14:schemeClr>
                  </w14:solidFill>
                </w14:textFill>
              </w:rPr>
              <w:t>，</w:t>
            </w:r>
            <w:r>
              <w:rPr>
                <w:rFonts w:ascii="宋体"/>
                <w:color w:val="0D0D0D" w:themeColor="text1" w:themeTint="F2"/>
                <w:kern w:val="2"/>
                <w14:textFill>
                  <w14:solidFill>
                    <w14:schemeClr w14:val="tx1">
                      <w14:lumMod w14:val="95000"/>
                      <w14:lumOff w14:val="5000"/>
                    </w14:schemeClr>
                  </w14:solidFill>
                </w14:textFill>
              </w:rPr>
              <w:t>采用A</w:t>
            </w:r>
            <w:r>
              <w:rPr>
                <w:rFonts w:ascii="宋体"/>
                <w:color w:val="0D0D0D" w:themeColor="text1" w:themeTint="F2"/>
                <w:kern w:val="2"/>
                <w:vertAlign w:val="superscript"/>
                <w14:textFill>
                  <w14:solidFill>
                    <w14:schemeClr w14:val="tx1">
                      <w14:lumMod w14:val="95000"/>
                      <w14:lumOff w14:val="5000"/>
                    </w14:schemeClr>
                  </w14:solidFill>
                </w14:textFill>
              </w:rPr>
              <w:t>2</w:t>
            </w:r>
            <w:r>
              <w:rPr>
                <w:rFonts w:ascii="宋体"/>
                <w:color w:val="0D0D0D" w:themeColor="text1" w:themeTint="F2"/>
                <w:kern w:val="2"/>
                <w14:textFill>
                  <w14:solidFill>
                    <w14:schemeClr w14:val="tx1">
                      <w14:lumMod w14:val="95000"/>
                      <w14:lumOff w14:val="5000"/>
                    </w14:schemeClr>
                  </w14:solidFill>
                </w14:textFill>
              </w:rPr>
              <w:t>O+MBR膜处理工艺，</w:t>
            </w:r>
            <w:r>
              <w:rPr>
                <w:rFonts w:hint="eastAsia" w:ascii="宋体"/>
                <w:color w:val="0D0D0D" w:themeColor="text1" w:themeTint="F2"/>
                <w:kern w:val="2"/>
                <w14:textFill>
                  <w14:solidFill>
                    <w14:schemeClr w14:val="tx1">
                      <w14:lumMod w14:val="95000"/>
                      <w14:lumOff w14:val="5000"/>
                    </w14:schemeClr>
                  </w14:solidFill>
                </w14:textFill>
              </w:rPr>
              <w:t>出水水质执行</w:t>
            </w:r>
            <w:r>
              <w:rPr>
                <w:rFonts w:ascii="宋体"/>
                <w:color w:val="0D0D0D" w:themeColor="text1" w:themeTint="F2"/>
                <w:kern w:val="2"/>
                <w14:textFill>
                  <w14:solidFill>
                    <w14:schemeClr w14:val="tx1">
                      <w14:lumMod w14:val="95000"/>
                      <w14:lumOff w14:val="5000"/>
                    </w14:schemeClr>
                  </w14:solidFill>
                </w14:textFill>
              </w:rPr>
              <w:t>《城镇污水处理厂污染物排放标准》（GB18918-2002）中一级A标准</w:t>
            </w:r>
            <w:r>
              <w:rPr>
                <w:rFonts w:hint="eastAsia" w:ascii="宋体"/>
                <w:color w:val="0D0D0D" w:themeColor="text1" w:themeTint="F2"/>
                <w:kern w:val="2"/>
                <w14:textFill>
                  <w14:solidFill>
                    <w14:schemeClr w14:val="tx1">
                      <w14:lumMod w14:val="95000"/>
                      <w14:lumOff w14:val="5000"/>
                    </w14:schemeClr>
                  </w14:solidFill>
                </w14:textFill>
              </w:rPr>
              <w:t>。该污水处理厂建于</w:t>
            </w:r>
            <w:r>
              <w:rPr>
                <w:rFonts w:ascii="宋体"/>
                <w:color w:val="0D0D0D" w:themeColor="text1" w:themeTint="F2"/>
                <w:kern w:val="2"/>
                <w14:textFill>
                  <w14:solidFill>
                    <w14:schemeClr w14:val="tx1">
                      <w14:lumMod w14:val="95000"/>
                      <w14:lumOff w14:val="5000"/>
                    </w14:schemeClr>
                  </w14:solidFill>
                </w14:textFill>
              </w:rPr>
              <w:t>2015年</w:t>
            </w:r>
            <w:r>
              <w:rPr>
                <w:rFonts w:hint="eastAsia" w:ascii="宋体"/>
                <w:color w:val="0D0D0D" w:themeColor="text1" w:themeTint="F2"/>
                <w:kern w:val="2"/>
                <w14:textFill>
                  <w14:solidFill>
                    <w14:schemeClr w14:val="tx1">
                      <w14:lumMod w14:val="95000"/>
                      <w14:lumOff w14:val="5000"/>
                    </w14:schemeClr>
                  </w14:solidFill>
                </w14:textFill>
              </w:rPr>
              <w:t>3月，原塔城地区环境保护局以塔地环函〔2015〕16号文予以批复，并通过了竣工环境保护验收。</w:t>
            </w:r>
          </w:p>
          <w:p w14:paraId="3E8872E4">
            <w:pPr>
              <w:pStyle w:val="37"/>
              <w:ind w:firstLine="480"/>
              <w:rPr>
                <w:rFonts w:hint="eastAsia"/>
                <w:color w:val="0D0D0D" w:themeColor="text1" w:themeTint="F2"/>
                <w:kern w:val="2"/>
                <w14:textFill>
                  <w14:solidFill>
                    <w14:schemeClr w14:val="tx1">
                      <w14:lumMod w14:val="95000"/>
                      <w14:lumOff w14:val="5000"/>
                    </w14:schemeClr>
                  </w14:solidFill>
                </w14:textFill>
              </w:rPr>
            </w:pPr>
            <w:bookmarkStart w:id="27" w:name="_Hlk208346789"/>
            <w:r>
              <w:rPr>
                <w:rFonts w:hint="eastAsia"/>
                <w:color w:val="0D0D0D" w:themeColor="text1" w:themeTint="F2"/>
                <w:kern w:val="2"/>
                <w14:textFill>
                  <w14:solidFill>
                    <w14:schemeClr w14:val="tx1">
                      <w14:lumMod w14:val="95000"/>
                      <w14:lumOff w14:val="5000"/>
                    </w14:schemeClr>
                  </w14:solidFill>
                </w14:textFill>
              </w:rPr>
              <w:t>沙湾市第二污水处理厂设计处理能力为30</w:t>
            </w:r>
            <w:r>
              <w:rPr>
                <w:color w:val="0D0D0D" w:themeColor="text1" w:themeTint="F2"/>
                <w:kern w:val="2"/>
                <w14:textFill>
                  <w14:solidFill>
                    <w14:schemeClr w14:val="tx1">
                      <w14:lumMod w14:val="95000"/>
                      <w14:lumOff w14:val="5000"/>
                    </w14:schemeClr>
                  </w14:solidFill>
                </w14:textFill>
              </w:rPr>
              <w:t>000m</w:t>
            </w:r>
            <w:r>
              <w:rPr>
                <w:color w:val="0D0D0D" w:themeColor="text1" w:themeTint="F2"/>
                <w:kern w:val="2"/>
                <w:vertAlign w:val="superscript"/>
                <w14:textFill>
                  <w14:solidFill>
                    <w14:schemeClr w14:val="tx1">
                      <w14:lumMod w14:val="95000"/>
                      <w14:lumOff w14:val="5000"/>
                    </w14:schemeClr>
                  </w14:solidFill>
                </w14:textFill>
              </w:rPr>
              <w:t>3</w:t>
            </w:r>
            <w:r>
              <w:rPr>
                <w:color w:val="0D0D0D" w:themeColor="text1" w:themeTint="F2"/>
                <w:kern w:val="2"/>
                <w14:textFill>
                  <w14:solidFill>
                    <w14:schemeClr w14:val="tx1">
                      <w14:lumMod w14:val="95000"/>
                      <w14:lumOff w14:val="5000"/>
                    </w14:schemeClr>
                  </w14:solidFill>
                </w14:textFill>
              </w:rPr>
              <w:t>/d</w:t>
            </w:r>
            <w:r>
              <w:rPr>
                <w:rFonts w:hint="eastAsia"/>
                <w:color w:val="0D0D0D" w:themeColor="text1" w:themeTint="F2"/>
                <w:kern w:val="2"/>
                <w14:textFill>
                  <w14:solidFill>
                    <w14:schemeClr w14:val="tx1">
                      <w14:lumMod w14:val="95000"/>
                      <w14:lumOff w14:val="5000"/>
                    </w14:schemeClr>
                  </w14:solidFill>
                </w14:textFill>
              </w:rPr>
              <w:t>，实际处理规模约为15000</w:t>
            </w:r>
            <w:r>
              <w:rPr>
                <w:color w:val="0D0D0D" w:themeColor="text1" w:themeTint="F2"/>
                <w:kern w:val="2"/>
                <w14:textFill>
                  <w14:solidFill>
                    <w14:schemeClr w14:val="tx1">
                      <w14:lumMod w14:val="95000"/>
                      <w14:lumOff w14:val="5000"/>
                    </w14:schemeClr>
                  </w14:solidFill>
                </w14:textFill>
              </w:rPr>
              <w:t>m</w:t>
            </w:r>
            <w:r>
              <w:rPr>
                <w:color w:val="0D0D0D" w:themeColor="text1" w:themeTint="F2"/>
                <w:kern w:val="2"/>
                <w:vertAlign w:val="superscript"/>
                <w14:textFill>
                  <w14:solidFill>
                    <w14:schemeClr w14:val="tx1">
                      <w14:lumMod w14:val="95000"/>
                      <w14:lumOff w14:val="5000"/>
                    </w14:schemeClr>
                  </w14:solidFill>
                </w14:textFill>
              </w:rPr>
              <w:t>3</w:t>
            </w:r>
            <w:r>
              <w:rPr>
                <w:color w:val="0D0D0D" w:themeColor="text1" w:themeTint="F2"/>
                <w:kern w:val="2"/>
                <w14:textFill>
                  <w14:solidFill>
                    <w14:schemeClr w14:val="tx1">
                      <w14:lumMod w14:val="95000"/>
                      <w14:lumOff w14:val="5000"/>
                    </w14:schemeClr>
                  </w14:solidFill>
                </w14:textFill>
              </w:rPr>
              <w:t>/d</w:t>
            </w:r>
            <w:r>
              <w:rPr>
                <w:rFonts w:hint="eastAsia"/>
                <w:color w:val="0D0D0D" w:themeColor="text1" w:themeTint="F2"/>
                <w:kern w:val="2"/>
                <w14:textFill>
                  <w14:solidFill>
                    <w14:schemeClr w14:val="tx1">
                      <w14:lumMod w14:val="95000"/>
                      <w14:lumOff w14:val="5000"/>
                    </w14:schemeClr>
                  </w14:solidFill>
                </w14:textFill>
              </w:rPr>
              <w:t>。施工期生活污水产生量共计144</w:t>
            </w:r>
            <w:r>
              <w:rPr>
                <w:color w:val="0D0D0D" w:themeColor="text1" w:themeTint="F2"/>
                <w:kern w:val="2"/>
                <w14:textFill>
                  <w14:solidFill>
                    <w14:schemeClr w14:val="tx1">
                      <w14:lumMod w14:val="95000"/>
                      <w14:lumOff w14:val="5000"/>
                    </w14:schemeClr>
                  </w14:solidFill>
                </w14:textFill>
              </w:rPr>
              <w:t>m</w:t>
            </w:r>
            <w:r>
              <w:rPr>
                <w:color w:val="0D0D0D" w:themeColor="text1" w:themeTint="F2"/>
                <w:kern w:val="2"/>
                <w:vertAlign w:val="superscript"/>
                <w14:textFill>
                  <w14:solidFill>
                    <w14:schemeClr w14:val="tx1">
                      <w14:lumMod w14:val="95000"/>
                      <w14:lumOff w14:val="5000"/>
                    </w14:schemeClr>
                  </w14:solidFill>
                </w14:textFill>
              </w:rPr>
              <w:t>3</w:t>
            </w:r>
            <w:r>
              <w:rPr>
                <w:rFonts w:hint="eastAsia"/>
                <w:color w:val="0D0D0D" w:themeColor="text1" w:themeTint="F2"/>
                <w:kern w:val="2"/>
                <w14:textFill>
                  <w14:solidFill>
                    <w14:schemeClr w14:val="tx1">
                      <w14:lumMod w14:val="95000"/>
                      <w14:lumOff w14:val="5000"/>
                    </w14:schemeClr>
                  </w14:solidFill>
                </w14:textFill>
              </w:rPr>
              <w:t>，定期采用吸污车清运，</w:t>
            </w:r>
            <w:r>
              <w:rPr>
                <w:rFonts w:hint="eastAsia"/>
                <w:color w:val="0D0D0D" w:themeColor="text1" w:themeTint="F2"/>
                <w14:textFill>
                  <w14:solidFill>
                    <w14:schemeClr w14:val="tx1">
                      <w14:lumMod w14:val="95000"/>
                      <w14:lumOff w14:val="5000"/>
                    </w14:schemeClr>
                  </w14:solidFill>
                </w14:textFill>
              </w:rPr>
              <w:t>根据实际清运经验数据，吸污车最大容量约为3</w:t>
            </w:r>
            <w:r>
              <w:rPr>
                <w:color w:val="0D0D0D" w:themeColor="text1" w:themeTint="F2"/>
                <w14:textFill>
                  <w14:solidFill>
                    <w14:schemeClr w14:val="tx1">
                      <w14:lumMod w14:val="95000"/>
                      <w14:lumOff w14:val="5000"/>
                    </w14:schemeClr>
                  </w14:solidFill>
                </w14:textFill>
              </w:rPr>
              <w:t>0m</w:t>
            </w:r>
            <w:r>
              <w:rPr>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，清运时每日清运一次，即单日进入污水处理厂的污水量为30</w:t>
            </w:r>
            <w:r>
              <w:rPr>
                <w:color w:val="0D0D0D" w:themeColor="text1" w:themeTint="F2"/>
                <w14:textFill>
                  <w14:solidFill>
                    <w14:schemeClr w14:val="tx1">
                      <w14:lumMod w14:val="95000"/>
                      <w14:lumOff w14:val="5000"/>
                    </w14:schemeClr>
                  </w14:solidFill>
                </w14:textFill>
              </w:rPr>
              <w:t>m</w:t>
            </w:r>
            <w:r>
              <w:rPr>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，水量较小，不会对污水处理系统造成冲击；生活营地生活污水水质与居民生活污水相似，主要污染物浓度分别为化学需氧量（COD）350mg/L、氨氮（NH</w:t>
            </w:r>
            <w:r>
              <w:rPr>
                <w:rFonts w:hint="eastAsia"/>
                <w:color w:val="0D0D0D" w:themeColor="text1" w:themeTint="F2"/>
                <w:vertAlign w:val="sub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-N）30mg/L、悬浮物（SS）200mg/L，满足《污水综合排放标准》（GB8978-1996）三级排放标准，沙湾市第二污水处理厂为城镇污水处理厂，可以接纳本项目废水。综上所述，生活污水处置依托可行。</w:t>
            </w:r>
          </w:p>
          <w:bookmarkEnd w:id="24"/>
          <w:bookmarkEnd w:id="25"/>
          <w:bookmarkEnd w:id="26"/>
          <w:bookmarkEnd w:id="27"/>
          <w:p w14:paraId="6E3DA37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（2）试油废水</w:t>
            </w:r>
          </w:p>
          <w:p w14:paraId="4DB60A11">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试油期产生的洗井废水和压裂返排液由专用方罐收集后，拉运至车89集中处理站采出水处理系统进行处理，处理达标后全部回注油藏。</w:t>
            </w:r>
          </w:p>
          <w:p w14:paraId="6E6C814E">
            <w:pPr>
              <w:pStyle w:val="63"/>
              <w:spacing w:line="500" w:lineRule="exact"/>
              <w:ind w:firstLine="472" w:firstLineChars="200"/>
              <w:rPr>
                <w:rFonts w:hint="eastAsia"/>
                <w:color w:val="0D0D0D" w:themeColor="text1" w:themeTint="F2"/>
                <w14:textFill>
                  <w14:solidFill>
                    <w14:schemeClr w14:val="tx1">
                      <w14:lumMod w14:val="95000"/>
                      <w14:lumOff w14:val="5000"/>
                    </w14:schemeClr>
                  </w14:solidFill>
                </w14:textFill>
              </w:rPr>
            </w:pPr>
            <w:bookmarkStart w:id="28" w:name="_Hlk208333828"/>
            <w:r>
              <w:rPr>
                <w:rFonts w:hint="eastAsia"/>
                <w:color w:val="0D0D0D" w:themeColor="text1" w:themeTint="F2"/>
                <w14:textFill>
                  <w14:solidFill>
                    <w14:schemeClr w14:val="tx1">
                      <w14:lumMod w14:val="95000"/>
                      <w14:lumOff w14:val="5000"/>
                    </w14:schemeClr>
                  </w14:solidFill>
                </w14:textFill>
              </w:rPr>
              <w:t>车89集中处理站建设于2009年，于2010年11月投产，是一座集油气处理、采出水处理等功能为一体的综合性处理站，位于克拉玛依市五五新镇境内，与加探1井直线距离约118km。其污水处理工艺流程主要为：油区来的含油污水（含油≤1000，悬浮物≤500）进入除油罐进行油、水、悬浮物的初步分离，经泵提升后进入多功能反应罐中经化学反应，沉降后的水再进入双滤料过滤器进一步除油和悬浮物，并在流程中通过投加配套化学药剂，增强污水处理效果，</w:t>
            </w:r>
            <w:r>
              <w:rPr>
                <w:rStyle w:val="34"/>
                <w:rFonts w:hint="eastAsia" w:cs="宋体"/>
                <w:color w:val="0D0D0D" w:themeColor="text1" w:themeTint="F2"/>
                <w:sz w:val="24"/>
                <w:szCs w:val="24"/>
                <w14:textFill>
                  <w14:solidFill>
                    <w14:schemeClr w14:val="tx1">
                      <w14:lumMod w14:val="95000"/>
                      <w14:lumOff w14:val="5000"/>
                    </w14:schemeClr>
                  </w14:solidFill>
                </w14:textFill>
              </w:rPr>
              <w:t>出水水质满足《碎屑岩油藏注水水质技术要求及分析方法》（SY/T 5329-2022）相关要求（悬浮物≤15mg/L，含油≤10mg/L）</w:t>
            </w:r>
            <w:r>
              <w:rPr>
                <w:rFonts w:hint="eastAsia"/>
                <w:color w:val="0D0D0D" w:themeColor="text1" w:themeTint="F2"/>
                <w14:textFill>
                  <w14:solidFill>
                    <w14:schemeClr w14:val="tx1">
                      <w14:lumMod w14:val="95000"/>
                      <w14:lumOff w14:val="5000"/>
                    </w14:schemeClr>
                  </w14:solidFill>
                </w14:textFill>
              </w:rPr>
              <w:t>后，全部用于油田回注。</w:t>
            </w:r>
            <w:bookmarkEnd w:id="28"/>
            <w:bookmarkStart w:id="29" w:name="_Hlk208333839"/>
            <w:bookmarkStart w:id="30" w:name="_Hlk519245556"/>
          </w:p>
          <w:p w14:paraId="70456728">
            <w:pPr>
              <w:pStyle w:val="63"/>
              <w:spacing w:line="500" w:lineRule="exact"/>
              <w:ind w:firstLine="472" w:firstLineChars="200"/>
              <w:rPr>
                <w:rFonts w:hint="eastAsia" w:asciiTheme="minorEastAsia" w:hAnsiTheme="minorEastAsia" w:eastAsiaTheme="minorEastAsia"/>
                <w:color w:val="0D0D0D" w:themeColor="text1" w:themeTint="F2"/>
                <w:kern w:val="2"/>
                <w14:textFill>
                  <w14:solidFill>
                    <w14:schemeClr w14:val="tx1">
                      <w14:lumMod w14:val="95000"/>
                      <w14:lumOff w14:val="5000"/>
                    </w14:schemeClr>
                  </w14:solidFill>
                </w14:textFill>
              </w:rPr>
            </w:pPr>
            <w:r>
              <w:rPr>
                <w:rFonts w:hint="eastAsia" w:ascii="宋体"/>
                <w:color w:val="0D0D0D" w:themeColor="text1" w:themeTint="F2"/>
                <w14:textFill>
                  <w14:solidFill>
                    <w14:schemeClr w14:val="tx1">
                      <w14:lumMod w14:val="95000"/>
                      <w14:lumOff w14:val="5000"/>
                    </w14:schemeClr>
                  </w14:solidFill>
                </w14:textFill>
              </w:rPr>
              <w:t>车89集中处理站污水处理系统设计处理能力为1</w:t>
            </w:r>
            <w:r>
              <w:rPr>
                <w:rFonts w:ascii="宋体"/>
                <w:color w:val="0D0D0D" w:themeColor="text1" w:themeTint="F2"/>
                <w14:textFill>
                  <w14:solidFill>
                    <w14:schemeClr w14:val="tx1">
                      <w14:lumMod w14:val="95000"/>
                      <w14:lumOff w14:val="5000"/>
                    </w14:schemeClr>
                  </w14:solidFill>
                </w14:textFill>
              </w:rPr>
              <w:t>000</w:t>
            </w:r>
            <w:r>
              <w:rPr>
                <w:rFonts w:hint="eastAsia" w:ascii="宋体"/>
                <w:color w:val="0D0D0D" w:themeColor="text1" w:themeTint="F2"/>
                <w14:textFill>
                  <w14:solidFill>
                    <w14:schemeClr w14:val="tx1">
                      <w14:lumMod w14:val="95000"/>
                      <w14:lumOff w14:val="5000"/>
                    </w14:schemeClr>
                  </w14:solidFill>
                </w14:textFill>
              </w:rPr>
              <w:t>m</w:t>
            </w:r>
            <w:r>
              <w:rPr>
                <w:rFonts w:hint="eastAsia"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/d，目前实际处理能力为</w:t>
            </w:r>
            <w:r>
              <w:rPr>
                <w:rFonts w:ascii="宋体"/>
                <w:color w:val="0D0D0D" w:themeColor="text1" w:themeTint="F2"/>
                <w14:textFill>
                  <w14:solidFill>
                    <w14:schemeClr w14:val="tx1">
                      <w14:lumMod w14:val="95000"/>
                      <w14:lumOff w14:val="5000"/>
                    </w14:schemeClr>
                  </w14:solidFill>
                </w14:textFill>
              </w:rPr>
              <w:t>400</w:t>
            </w:r>
            <w:r>
              <w:rPr>
                <w:rFonts w:hint="eastAsia" w:ascii="宋体"/>
                <w:color w:val="0D0D0D" w:themeColor="text1" w:themeTint="F2"/>
                <w14:textFill>
                  <w14:solidFill>
                    <w14:schemeClr w14:val="tx1">
                      <w14:lumMod w14:val="95000"/>
                      <w14:lumOff w14:val="5000"/>
                    </w14:schemeClr>
                  </w14:solidFill>
                </w14:textFill>
              </w:rPr>
              <w:t>m</w:t>
            </w:r>
            <w:r>
              <w:rPr>
                <w:rFonts w:hint="eastAsia"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/d，富余</w:t>
            </w:r>
            <w:r>
              <w:rPr>
                <w:rFonts w:ascii="宋体"/>
                <w:color w:val="0D0D0D" w:themeColor="text1" w:themeTint="F2"/>
                <w14:textFill>
                  <w14:solidFill>
                    <w14:schemeClr w14:val="tx1">
                      <w14:lumMod w14:val="95000"/>
                      <w14:lumOff w14:val="5000"/>
                    </w14:schemeClr>
                  </w14:solidFill>
                </w14:textFill>
              </w:rPr>
              <w:t>600</w:t>
            </w:r>
            <w:r>
              <w:rPr>
                <w:rFonts w:hint="eastAsia" w:ascii="宋体"/>
                <w:color w:val="0D0D0D" w:themeColor="text1" w:themeTint="F2"/>
                <w14:textFill>
                  <w14:solidFill>
                    <w14:schemeClr w14:val="tx1">
                      <w14:lumMod w14:val="95000"/>
                      <w14:lumOff w14:val="5000"/>
                    </w14:schemeClr>
                  </w14:solidFill>
                </w14:textFill>
              </w:rPr>
              <w:t>m</w:t>
            </w:r>
            <w:r>
              <w:rPr>
                <w:rFonts w:hint="eastAsia"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/d。本项目洗井废水产生量为3</w:t>
            </w:r>
            <w:r>
              <w:rPr>
                <w:rFonts w:ascii="宋体"/>
                <w:color w:val="0D0D0D" w:themeColor="text1" w:themeTint="F2"/>
                <w14:textFill>
                  <w14:solidFill>
                    <w14:schemeClr w14:val="tx1">
                      <w14:lumMod w14:val="95000"/>
                      <w14:lumOff w14:val="5000"/>
                    </w14:schemeClr>
                  </w14:solidFill>
                </w14:textFill>
              </w:rPr>
              <w:t>0</w:t>
            </w:r>
            <w:r>
              <w:rPr>
                <w:rFonts w:hint="eastAsia" w:ascii="宋体"/>
                <w:color w:val="0D0D0D" w:themeColor="text1" w:themeTint="F2"/>
                <w14:textFill>
                  <w14:solidFill>
                    <w14:schemeClr w14:val="tx1">
                      <w14:lumMod w14:val="95000"/>
                      <w14:lumOff w14:val="5000"/>
                    </w14:schemeClr>
                  </w14:solidFill>
                </w14:textFill>
              </w:rPr>
              <w:t>0</w:t>
            </w:r>
            <w:r>
              <w:rPr>
                <w:rFonts w:ascii="宋体"/>
                <w:color w:val="0D0D0D" w:themeColor="text1" w:themeTint="F2"/>
                <w14:textFill>
                  <w14:solidFill>
                    <w14:schemeClr w14:val="tx1">
                      <w14:lumMod w14:val="95000"/>
                      <w14:lumOff w14:val="5000"/>
                    </w14:schemeClr>
                  </w14:solidFill>
                </w14:textFill>
              </w:rPr>
              <w:t>m</w:t>
            </w:r>
            <w:r>
              <w:rPr>
                <w:rFonts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、压裂返排液产生量约250</w:t>
            </w:r>
            <w:r>
              <w:rPr>
                <w:rFonts w:ascii="宋体"/>
                <w:color w:val="0D0D0D" w:themeColor="text1" w:themeTint="F2"/>
                <w14:textFill>
                  <w14:solidFill>
                    <w14:schemeClr w14:val="tx1">
                      <w14:lumMod w14:val="95000"/>
                      <w14:lumOff w14:val="5000"/>
                    </w14:schemeClr>
                  </w14:solidFill>
                </w14:textFill>
              </w:rPr>
              <w:t>m</w:t>
            </w:r>
            <w:r>
              <w:rPr>
                <w:rFonts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w:t>
            </w:r>
            <w:r>
              <w:rPr>
                <w:rFonts w:hint="eastAsia" w:cs="宋体" w:asciiTheme="minorEastAsia" w:hAnsiTheme="minorEastAsia" w:eastAsiaTheme="minorEastAsia"/>
                <w:color w:val="0D0D0D" w:themeColor="text1" w:themeTint="F2"/>
                <w:spacing w:val="-6"/>
                <w14:textFill>
                  <w14:solidFill>
                    <w14:schemeClr w14:val="tx1">
                      <w14:lumMod w14:val="95000"/>
                      <w14:lumOff w14:val="5000"/>
                    </w14:schemeClr>
                  </w14:solidFill>
                </w14:textFill>
              </w:rPr>
              <w:t>根据实际生产经验数据，洗井及压裂作业大约持续10天，试油期间洗井废水和压裂返排液产生量约为55m</w:t>
            </w:r>
            <w:r>
              <w:rPr>
                <w:rFonts w:hint="eastAsia" w:cs="宋体" w:asciiTheme="minorEastAsia" w:hAnsiTheme="minorEastAsia" w:eastAsiaTheme="minorEastAsia"/>
                <w:color w:val="0D0D0D" w:themeColor="text1" w:themeTint="F2"/>
                <w:spacing w:val="-6"/>
                <w:vertAlign w:val="superscript"/>
                <w14:textFill>
                  <w14:solidFill>
                    <w14:schemeClr w14:val="tx1">
                      <w14:lumMod w14:val="95000"/>
                      <w14:lumOff w14:val="5000"/>
                    </w14:schemeClr>
                  </w14:solidFill>
                </w14:textFill>
              </w:rPr>
              <w:t>3</w:t>
            </w:r>
            <w:r>
              <w:rPr>
                <w:rFonts w:hint="eastAsia" w:cs="宋体" w:asciiTheme="minorEastAsia" w:hAnsiTheme="minorEastAsia" w:eastAsiaTheme="minorEastAsia"/>
                <w:color w:val="0D0D0D" w:themeColor="text1" w:themeTint="F2"/>
                <w:spacing w:val="-6"/>
                <w14:textFill>
                  <w14:solidFill>
                    <w14:schemeClr w14:val="tx1">
                      <w14:lumMod w14:val="95000"/>
                      <w14:lumOff w14:val="5000"/>
                    </w14:schemeClr>
                  </w14:solidFill>
                </w14:textFill>
              </w:rPr>
              <w:t>/d</w:t>
            </w:r>
            <w:r>
              <w:rPr>
                <w:rFonts w:hint="eastAsia" w:asciiTheme="minorEastAsia" w:hAnsiTheme="minorEastAsia" w:eastAsiaTheme="minorEastAsia"/>
                <w:color w:val="0D0D0D" w:themeColor="text1" w:themeTint="F2"/>
                <w14:textFill>
                  <w14:solidFill>
                    <w14:schemeClr w14:val="tx1">
                      <w14:lumMod w14:val="95000"/>
                      <w14:lumOff w14:val="5000"/>
                    </w14:schemeClr>
                  </w14:solidFill>
                </w14:textFill>
              </w:rPr>
              <w:t>，</w:t>
            </w:r>
            <w:r>
              <w:rPr>
                <w:rFonts w:hint="eastAsia" w:asciiTheme="minorEastAsia" w:hAnsiTheme="minorEastAsia" w:eastAsiaTheme="minorEastAsia"/>
                <w:color w:val="0D0D0D" w:themeColor="text1" w:themeTint="F2"/>
                <w:kern w:val="2"/>
                <w14:textFill>
                  <w14:solidFill>
                    <w14:schemeClr w14:val="tx1">
                      <w14:lumMod w14:val="95000"/>
                      <w14:lumOff w14:val="5000"/>
                    </w14:schemeClr>
                  </w14:solidFill>
                </w14:textFill>
              </w:rPr>
              <w:t>车89集中处理站采出水处理系统富余处理能力可以满足本项目需求，依托可行。</w:t>
            </w:r>
          </w:p>
          <w:bookmarkEnd w:id="29"/>
          <w:bookmarkEnd w:id="30"/>
          <w:p w14:paraId="15E892BD">
            <w:pPr>
              <w:widowControl/>
              <w:tabs>
                <w:tab w:val="left" w:pos="4584"/>
              </w:tabs>
              <w:adjustRightInd w:val="0"/>
              <w:snapToGrid w:val="0"/>
              <w:spacing w:line="500" w:lineRule="exact"/>
              <w:ind w:firstLine="480" w:firstLineChars="200"/>
              <w:rPr>
                <w:rFonts w:hint="eastAsia" w:ascii="宋体" w:hAnsi="宋体" w:cs="宋体"/>
                <w:bCs/>
                <w:color w:val="0D0D0D" w:themeColor="text1" w:themeTint="F2"/>
                <w:lang w:bidi="zh-CN"/>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采取上述措施后，施工期产生的废水及采出液均得到妥善处置，不会对地表水环境产生不利影响。</w:t>
            </w:r>
          </w:p>
          <w:bookmarkEnd w:id="23"/>
          <w:p w14:paraId="002AAD31">
            <w:pPr>
              <w:widowControl/>
              <w:tabs>
                <w:tab w:val="left" w:pos="4584"/>
              </w:tabs>
              <w:adjustRightInd w:val="0"/>
              <w:snapToGrid w:val="0"/>
              <w:spacing w:line="500" w:lineRule="exact"/>
              <w:ind w:firstLine="474" w:firstLineChars="200"/>
              <w:jc w:val="left"/>
              <w:rPr>
                <w:rFonts w:hint="eastAsia" w:ascii="宋体" w:hAnsi="宋体" w:cs="宋体"/>
                <w:b/>
                <w:bCs/>
                <w:color w:val="0D0D0D" w:themeColor="text1" w:themeTint="F2"/>
                <w:spacing w:val="-2"/>
                <w14:textFill>
                  <w14:solidFill>
                    <w14:schemeClr w14:val="tx1">
                      <w14:lumMod w14:val="95000"/>
                      <w14:lumOff w14:val="5000"/>
                    </w14:schemeClr>
                  </w14:solidFill>
                </w14:textFill>
              </w:rPr>
            </w:pPr>
            <w:r>
              <w:rPr>
                <w:rFonts w:hint="eastAsia" w:ascii="宋体" w:hAnsi="宋体" w:cs="宋体"/>
                <w:b/>
                <w:bCs/>
                <w:color w:val="0D0D0D" w:themeColor="text1" w:themeTint="F2"/>
                <w:spacing w:val="-2"/>
                <w:lang w:val="en-US" w:eastAsia="zh-CN"/>
                <w14:textFill>
                  <w14:solidFill>
                    <w14:schemeClr w14:val="tx1">
                      <w14:lumMod w14:val="95000"/>
                      <w14:lumOff w14:val="5000"/>
                    </w14:schemeClr>
                  </w14:solidFill>
                </w14:textFill>
              </w:rPr>
              <w:t>4.</w:t>
            </w:r>
            <w:r>
              <w:rPr>
                <w:rFonts w:hint="eastAsia" w:ascii="宋体" w:hAnsi="宋体" w:cs="宋体"/>
                <w:b/>
                <w:bCs/>
                <w:color w:val="0D0D0D" w:themeColor="text1" w:themeTint="F2"/>
                <w:spacing w:val="-2"/>
                <w14:textFill>
                  <w14:solidFill>
                    <w14:schemeClr w14:val="tx1">
                      <w14:lumMod w14:val="95000"/>
                      <w14:lumOff w14:val="5000"/>
                    </w14:schemeClr>
                  </w14:solidFill>
                </w14:textFill>
              </w:rPr>
              <w:t>地下水和土壤环境保护措施</w:t>
            </w:r>
          </w:p>
          <w:p w14:paraId="0042D871">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施工期间钻井井场分为重点防渗区、一般防渗区和简单防渗区。其中柴油储罐、发电房、废料场、不落地系统、钻井液储罐区、岩屑储罐区、钻井井口、危险废物贮存点和应急放喷池（应急放喷池仅在事故状态下开挖）区域为重点防渗区，采用防渗膜进行防渗，防渗层防渗性能不应低于6.0m厚渗透系数不大于10</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10</w:t>
            </w:r>
            <w:r>
              <w:rPr>
                <w:rFonts w:hint="eastAsia"/>
                <w:color w:val="0D0D0D" w:themeColor="text1" w:themeTint="F2"/>
                <w14:textFill>
                  <w14:solidFill>
                    <w14:schemeClr w14:val="tx1">
                      <w14:lumMod w14:val="95000"/>
                      <w14:lumOff w14:val="5000"/>
                    </w14:schemeClr>
                  </w14:solidFill>
                </w14:textFill>
              </w:rPr>
              <w:t>cm/s的黏土的防渗性能；化工爬犁、材料爬犁、材料房和生活污水收集池区域为一般防渗区，防渗层防渗性能不应低于1.5m厚渗透系数不大于10</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7</w:t>
            </w:r>
            <w:r>
              <w:rPr>
                <w:rFonts w:hint="eastAsia"/>
                <w:color w:val="0D0D0D" w:themeColor="text1" w:themeTint="F2"/>
                <w14:textFill>
                  <w14:solidFill>
                    <w14:schemeClr w14:val="tx1">
                      <w14:lumMod w14:val="95000"/>
                      <w14:lumOff w14:val="5000"/>
                    </w14:schemeClr>
                  </w14:solidFill>
                </w14:textFill>
              </w:rPr>
              <w:t>cm/s的黏土的防渗性能；水罐区、地质房、录井房和值班房等其他区域为简单防渗区。</w:t>
            </w:r>
          </w:p>
          <w:p w14:paraId="3CC17E3D">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井场分为重点防渗区和简单防渗区。其中发电房、采出液储罐、试油废水罐和应急放喷池（应急放喷池仅在事故状态下开挖）为重点防渗区，采用防渗膜进行防渗，防渗层防渗性能不应低于6.0m厚渗透系数不大于10</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10</w:t>
            </w:r>
            <w:r>
              <w:rPr>
                <w:rFonts w:hint="eastAsia"/>
                <w:color w:val="0D0D0D" w:themeColor="text1" w:themeTint="F2"/>
                <w14:textFill>
                  <w14:solidFill>
                    <w14:schemeClr w14:val="tx1">
                      <w14:lumMod w14:val="95000"/>
                      <w14:lumOff w14:val="5000"/>
                    </w14:schemeClr>
                  </w14:solidFill>
                </w14:textFill>
              </w:rPr>
              <w:t>cm/s的黏土的防渗性能，值班房为简单防渗区。</w:t>
            </w:r>
          </w:p>
          <w:p w14:paraId="6614B28A">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bookmarkStart w:id="31" w:name="OLE_LINK125"/>
            <w:r>
              <w:rPr>
                <w:rFonts w:hint="eastAsia"/>
                <w:color w:val="0D0D0D" w:themeColor="text1" w:themeTint="F2"/>
                <w14:textFill>
                  <w14:solidFill>
                    <w14:schemeClr w14:val="tx1">
                      <w14:lumMod w14:val="95000"/>
                      <w14:lumOff w14:val="5000"/>
                    </w14:schemeClr>
                  </w14:solidFill>
                </w14:textFill>
              </w:rPr>
              <w:t>钻井时采用套管与地层隔离开、并在套管与地层之间注入水泥进行固井，水泥浆返至地面，封隔疏松地层和水层。</w:t>
            </w:r>
          </w:p>
          <w:bookmarkEnd w:id="31"/>
          <w:p w14:paraId="431243CE">
            <w:pPr>
              <w:pStyle w:val="37"/>
              <w:ind w:firstLine="480"/>
              <w:rPr>
                <w:rFonts w:hint="eastAsia"/>
                <w:color w:val="0D0D0D" w:themeColor="text1" w:themeTint="F2"/>
                <w14:textFill>
                  <w14:solidFill>
                    <w14:schemeClr w14:val="tx1">
                      <w14:lumMod w14:val="95000"/>
                      <w14:lumOff w14:val="5000"/>
                    </w14:schemeClr>
                  </w14:solidFill>
                </w14:textFill>
              </w:rPr>
            </w:pPr>
            <w:bookmarkStart w:id="32" w:name="_Hlk183361829"/>
            <w:r>
              <w:rPr>
                <w:rFonts w:hint="eastAsia"/>
                <w:color w:val="0D0D0D" w:themeColor="text1" w:themeTint="F2"/>
                <w:lang w:bidi="ar"/>
                <w14:textFill>
                  <w14:solidFill>
                    <w14:schemeClr w14:val="tx1">
                      <w14:lumMod w14:val="95000"/>
                      <w14:lumOff w14:val="5000"/>
                    </w14:schemeClr>
                  </w14:solidFill>
                </w14:textFill>
              </w:rPr>
              <w:t>（3）本项目钻井过程中采用下套管注水泥固井的完井方式进行水泥固井，将含水层与井筒分隔开，一开环空水泥浆返至地面，对含水层进行了固封处理，同时严格要求套管下入深度、确保固井质量等措施，可有效控制钻井液在含水层中的漏失。钻井时严格落实套管下入深度合格和固井质量合格，同时定期检查固井质量，发现固井质量不合格应及时采取措施，保证固井质量合格，可有效防止地下水污染。</w:t>
            </w:r>
          </w:p>
          <w:bookmarkEnd w:id="32"/>
          <w:p w14:paraId="2EC0105A">
            <w:pPr>
              <w:pStyle w:val="26"/>
              <w:widowControl w:val="0"/>
              <w:wordWrap w:val="0"/>
              <w:spacing w:before="0" w:beforeAutospacing="0" w:after="0" w:afterAutospacing="0" w:line="500" w:lineRule="exact"/>
              <w:ind w:firstLine="480" w:firstLineChars="200"/>
              <w:jc w:val="both"/>
              <w:rPr>
                <w:rFonts w:hint="eastAsia" w:cs="宋体"/>
                <w:bCs/>
                <w:color w:val="0D0D0D" w:themeColor="text1" w:themeTint="F2"/>
                <w14:textFill>
                  <w14:solidFill>
                    <w14:schemeClr w14:val="tx1">
                      <w14:lumMod w14:val="95000"/>
                      <w14:lumOff w14:val="5000"/>
                    </w14:schemeClr>
                  </w14:solidFill>
                </w14:textFill>
              </w:rPr>
            </w:pPr>
            <w:r>
              <w:rPr>
                <w:rFonts w:hint="eastAsia" w:cs="宋体"/>
                <w:bCs/>
                <w:color w:val="0D0D0D" w:themeColor="text1" w:themeTint="F2"/>
                <w:lang w:bidi="ar"/>
                <w14:textFill>
                  <w14:solidFill>
                    <w14:schemeClr w14:val="tx1">
                      <w14:lumMod w14:val="95000"/>
                      <w14:lumOff w14:val="5000"/>
                    </w14:schemeClr>
                  </w14:solidFill>
                </w14:textFill>
              </w:rPr>
              <w:t>（4）对产生的洗井废水、压裂返排液、生活污水、钻井岩屑、沾油废防渗材料、废润滑油、废润滑油桶及生活垃圾严格管理，禁止乱排。</w:t>
            </w:r>
          </w:p>
          <w:p w14:paraId="1940105C">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废水均得以妥善处置，最终实现达标排放或回用，固体废物均得到妥善处置。地下水、土壤环境保护措施均为技术可行、经济合理、稳定可靠、便于实施的成熟措施，在钻井过程中得到广泛应用。采取上述措施后，钻试工程不会对地下水环境和土壤环境造成不利影响。</w:t>
            </w:r>
          </w:p>
          <w:p w14:paraId="49C04DB9">
            <w:pPr>
              <w:pStyle w:val="37"/>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lang w:val="en-US" w:eastAsia="zh-CN"/>
                <w14:textFill>
                  <w14:solidFill>
                    <w14:schemeClr w14:val="tx1">
                      <w14:lumMod w14:val="95000"/>
                      <w14:lumOff w14:val="5000"/>
                    </w14:schemeClr>
                  </w14:solidFill>
                </w14:textFill>
              </w:rPr>
              <w:t>5.</w:t>
            </w:r>
            <w:r>
              <w:rPr>
                <w:rFonts w:hint="eastAsia"/>
                <w:b/>
                <w:bCs/>
                <w:color w:val="0D0D0D" w:themeColor="text1" w:themeTint="F2"/>
                <w14:textFill>
                  <w14:solidFill>
                    <w14:schemeClr w14:val="tx1">
                      <w14:lumMod w14:val="95000"/>
                      <w14:lumOff w14:val="5000"/>
                    </w14:schemeClr>
                  </w14:solidFill>
                </w14:textFill>
              </w:rPr>
              <w:t>噪声污染防治措施</w:t>
            </w:r>
          </w:p>
          <w:p w14:paraId="717283CD">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机械采用低噪声设备；加强设备维护及保养，对噪声较大的设备采取基础减振措施；加强施工场地管理，合理疏导进入施工区的车辆，禁止运输车辆随意高声鸣笛。在采取上述措施后，施工噪声不会对区域声环境产生明显影响。</w:t>
            </w:r>
          </w:p>
          <w:p w14:paraId="51374842">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bookmarkStart w:id="33" w:name="_Hlk183349956"/>
            <w:bookmarkStart w:id="34" w:name="_Hlk143015311"/>
            <w:bookmarkStart w:id="35" w:name="_Hlk136795812"/>
            <w:r>
              <w:rPr>
                <w:rFonts w:hint="eastAsia" w:ascii="宋体" w:hAnsi="宋体" w:cs="宋体"/>
                <w:b/>
                <w:bCs/>
                <w:color w:val="0D0D0D" w:themeColor="text1" w:themeTint="F2"/>
                <w:lang w:val="en-US" w:eastAsia="zh-CN" w:bidi="ar"/>
                <w14:textFill>
                  <w14:solidFill>
                    <w14:schemeClr w14:val="tx1">
                      <w14:lumMod w14:val="95000"/>
                      <w14:lumOff w14:val="5000"/>
                    </w14:schemeClr>
                  </w14:solidFill>
                </w14:textFill>
              </w:rPr>
              <w:t>6.</w:t>
            </w:r>
            <w:r>
              <w:rPr>
                <w:rFonts w:hint="eastAsia" w:ascii="宋体" w:hAnsi="宋体" w:cs="宋体"/>
                <w:b/>
                <w:bCs/>
                <w:color w:val="0D0D0D" w:themeColor="text1" w:themeTint="F2"/>
                <w:lang w:bidi="ar"/>
                <w14:textFill>
                  <w14:solidFill>
                    <w14:schemeClr w14:val="tx1">
                      <w14:lumMod w14:val="95000"/>
                      <w14:lumOff w14:val="5000"/>
                    </w14:schemeClr>
                  </w14:solidFill>
                </w14:textFill>
              </w:rPr>
              <w:t>固体废物处置措施</w:t>
            </w:r>
          </w:p>
          <w:bookmarkEnd w:id="33"/>
          <w:p w14:paraId="50DBDE52">
            <w:pPr>
              <w:pStyle w:val="37"/>
              <w:ind w:firstLine="480"/>
              <w:rPr>
                <w:rFonts w:hint="eastAsia"/>
                <w:color w:val="0D0D0D" w:themeColor="text1" w:themeTint="F2"/>
                <w14:textFill>
                  <w14:solidFill>
                    <w14:schemeClr w14:val="tx1">
                      <w14:lumMod w14:val="95000"/>
                      <w14:lumOff w14:val="5000"/>
                    </w14:schemeClr>
                  </w14:solidFill>
                </w14:textFill>
              </w:rPr>
            </w:pPr>
            <w:bookmarkStart w:id="36" w:name="_Hlk183355720"/>
            <w:r>
              <w:rPr>
                <w:rFonts w:hint="eastAsia"/>
                <w:color w:val="0D0D0D" w:themeColor="text1" w:themeTint="F2"/>
                <w14:textFill>
                  <w14:solidFill>
                    <w14:schemeClr w14:val="tx1">
                      <w14:lumMod w14:val="95000"/>
                      <w14:lumOff w14:val="5000"/>
                    </w14:schemeClr>
                  </w14:solidFill>
                </w14:textFill>
              </w:rPr>
              <w:t>固体废物主要为生活垃圾、建筑垃圾、水基钻井岩屑、油基钻井岩屑、废防渗材料、废润滑油及废润滑油桶。</w:t>
            </w:r>
          </w:p>
          <w:p w14:paraId="1DECE188">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（1）水基钻井岩屑</w:t>
            </w:r>
          </w:p>
          <w:p w14:paraId="411DE46D">
            <w:pPr>
              <w:pStyle w:val="26"/>
              <w:snapToGrid w:val="0"/>
              <w:spacing w:before="0" w:beforeAutospacing="0" w:after="0" w:afterAutospacing="0" w:line="500" w:lineRule="exact"/>
              <w:jc w:val="both"/>
              <w:rPr>
                <w:rFonts w:hint="eastAsia" w:ascii="黑体" w:eastAsia="黑体" w:cs="黑体"/>
                <w:color w:val="0D0D0D" w:themeColor="text1" w:themeTint="F2"/>
                <w:sz w:val="21"/>
                <w:szCs w:val="21"/>
                <w14:textFill>
                  <w14:solidFill>
                    <w14:schemeClr w14:val="tx1">
                      <w14:lumMod w14:val="95000"/>
                      <w14:lumOff w14:val="5000"/>
                    </w14:schemeClr>
                  </w14:solidFill>
                </w14:textFill>
              </w:rPr>
            </w:pPr>
            <w:bookmarkStart w:id="37" w:name="_Hlk183357572"/>
            <w:r>
              <w:rPr>
                <w:rFonts w:hint="eastAsia"/>
                <w:color w:val="0D0D0D" w:themeColor="text1" w:themeTint="F2"/>
                <w14:textFill>
                  <w14:solidFill>
                    <w14:schemeClr w14:val="tx1">
                      <w14:lumMod w14:val="95000"/>
                      <w14:lumOff w14:val="5000"/>
                    </w14:schemeClr>
                  </w14:solidFill>
                </w14:textFill>
              </w:rPr>
              <w:t>一开钻井采用水基钻井液，钻井时井筒返排的钻井液及岩屑经不落地设备分离，分离出的液相循环使用，分离出的水基钻井岩屑暂存于水基钻井岩屑方罐中</w:t>
            </w:r>
            <w:bookmarkStart w:id="38" w:name="_Hlk69139413"/>
            <w:r>
              <w:rPr>
                <w:rFonts w:hint="eastAsia"/>
                <w:color w:val="0D0D0D" w:themeColor="text1" w:themeTint="F2"/>
                <w14:textFill>
                  <w14:solidFill>
                    <w14:schemeClr w14:val="tx1">
                      <w14:lumMod w14:val="95000"/>
                      <w14:lumOff w14:val="5000"/>
                    </w14:schemeClr>
                  </w14:solidFill>
                </w14:textFill>
              </w:rPr>
              <w:t>，并及时清运，水基钻井岩屑属于一般工业固体废物，根据</w:t>
            </w:r>
            <w:r>
              <w:rPr>
                <w:rFonts w:hint="eastAsia"/>
                <w:color w:val="0D0D0D" w:themeColor="text1" w:themeTint="F2"/>
                <w:lang w:eastAsia="zh-CN"/>
                <w14:textFill>
                  <w14:solidFill>
                    <w14:schemeClr w14:val="tx1">
                      <w14:lumMod w14:val="95000"/>
                      <w14:lumOff w14:val="5000"/>
                    </w14:schemeClr>
                  </w14:solidFill>
                </w14:textFill>
              </w:rPr>
              <w:t>《固体废物分类与代码目录（2024年）》</w:t>
            </w:r>
            <w:r>
              <w:rPr>
                <w:rFonts w:hint="eastAsia"/>
                <w:color w:val="0D0D0D" w:themeColor="text1" w:themeTint="F2"/>
                <w14:textFill>
                  <w14:solidFill>
                    <w14:schemeClr w14:val="tx1">
                      <w14:lumMod w14:val="95000"/>
                      <w14:lumOff w14:val="5000"/>
                    </w14:schemeClr>
                  </w14:solidFill>
                </w14:textFill>
              </w:rPr>
              <w:t>，水基钻井岩屑废物种类为SW12钻井岩屑（废物代码：071-001-S12）。拉运至岩屑处置点的水基钻井岩屑由岩屑处置单位委托具有相应的检测资质的检测机构进行取样检测，水基钻井岩屑中的各污染物浓度均满足《油气田钻井固体废物综合利用污染控制要求》</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DB6/T3997-2017</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后由岩屑处置单位直接拉运综合利用。</w:t>
            </w:r>
            <w:bookmarkEnd w:id="37"/>
            <w:bookmarkEnd w:id="38"/>
            <w:r>
              <w:rPr>
                <w:rFonts w:hint="eastAsia"/>
                <w:color w:val="0D0D0D" w:themeColor="text1" w:themeTint="F2"/>
                <w14:textFill>
                  <w14:solidFill>
                    <w14:schemeClr w14:val="tx1">
                      <w14:lumMod w14:val="95000"/>
                      <w14:lumOff w14:val="5000"/>
                    </w14:schemeClr>
                  </w14:solidFill>
                </w14:textFill>
              </w:rPr>
              <w:t>若不满足《油气田钻井固体废物综合利用污染控制要求》</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DB6/T3997-2017</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相关标准限值要求，则由岩屑处置单位进行进一步处置，直至各污染物浓度均满足《油气田钻井固体废物综合利用污染控制要求》</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DB6/T3997-2017</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后综合利用。</w:t>
            </w:r>
          </w:p>
          <w:bookmarkEnd w:id="36"/>
          <w:p w14:paraId="7DD0C42F">
            <w:pPr>
              <w:pStyle w:val="37"/>
              <w:ind w:firstLine="480"/>
              <w:rPr>
                <w:rFonts w:hint="eastAsia"/>
                <w:color w:val="0D0D0D" w:themeColor="text1" w:themeTint="F2"/>
                <w:lang w:bidi="ar"/>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（2）油基钻井岩屑</w:t>
            </w:r>
          </w:p>
          <w:p w14:paraId="0DB9D0D6">
            <w:pPr>
              <w:pStyle w:val="37"/>
              <w:ind w:firstLine="480"/>
              <w:rPr>
                <w:rFonts w:hint="eastAsia"/>
                <w:color w:val="0D0D0D" w:themeColor="text1" w:themeTint="F2"/>
                <w:lang w:bidi="ar"/>
                <w14:textFill>
                  <w14:solidFill>
                    <w14:schemeClr w14:val="tx1">
                      <w14:lumMod w14:val="95000"/>
                      <w14:lumOff w14:val="5000"/>
                    </w14:schemeClr>
                  </w14:solidFill>
                </w14:textFill>
              </w:rPr>
            </w:pPr>
            <w:bookmarkStart w:id="39" w:name="_Hlk183349504"/>
            <w:r>
              <w:rPr>
                <w:rFonts w:hint="eastAsia"/>
                <w:color w:val="0D0D0D" w:themeColor="text1" w:themeTint="F2"/>
                <w:lang w:bidi="ar"/>
                <w14:textFill>
                  <w14:solidFill>
                    <w14:schemeClr w14:val="tx1">
                      <w14:lumMod w14:val="95000"/>
                      <w14:lumOff w14:val="5000"/>
                    </w14:schemeClr>
                  </w14:solidFill>
                </w14:textFill>
              </w:rPr>
              <w:t>二开至四开采用油基钻井液，钻井时井筒返排的钻井液及岩屑经不落地设备进行初步分离，液相回用于油基钻井液配置</w:t>
            </w:r>
            <w:bookmarkEnd w:id="39"/>
            <w:r>
              <w:rPr>
                <w:rFonts w:hint="eastAsia"/>
                <w:color w:val="0D0D0D" w:themeColor="text1" w:themeTint="F2"/>
                <w:lang w:bidi="ar"/>
                <w14:textFill>
                  <w14:solidFill>
                    <w14:schemeClr w14:val="tx1">
                      <w14:lumMod w14:val="95000"/>
                      <w14:lumOff w14:val="5000"/>
                    </w14:schemeClr>
                  </w14:solidFill>
                </w14:textFill>
              </w:rPr>
              <w:t>；固相再由甩干机进行第一次固液分离，然后由离心机对甩干机排出的液体进行第二次固液分离，从而实现深度分离，分离出的液相回用于油基钻井液配置，</w:t>
            </w:r>
            <w:bookmarkStart w:id="40" w:name="_Hlk183358274"/>
            <w:r>
              <w:rPr>
                <w:rFonts w:hint="eastAsia"/>
                <w:color w:val="0D0D0D" w:themeColor="text1" w:themeTint="F2"/>
                <w:lang w:bidi="ar"/>
                <w14:textFill>
                  <w14:solidFill>
                    <w14:schemeClr w14:val="tx1">
                      <w14:lumMod w14:val="95000"/>
                      <w14:lumOff w14:val="5000"/>
                    </w14:schemeClr>
                  </w14:solidFill>
                </w14:textFill>
              </w:rPr>
              <w:t>分离出的固相（即油基钻井岩屑）属于HW08类危险废物（废物代码：071-002-08），采用专用储罐进行收集，</w:t>
            </w:r>
            <w:bookmarkStart w:id="41" w:name="_Hlk69139460"/>
            <w:r>
              <w:rPr>
                <w:rFonts w:hint="eastAsia"/>
                <w:color w:val="0D0D0D" w:themeColor="text1" w:themeTint="F2"/>
                <w:lang w:bidi="ar"/>
                <w14:textFill>
                  <w14:solidFill>
                    <w14:schemeClr w14:val="tx1">
                      <w14:lumMod w14:val="95000"/>
                      <w14:lumOff w14:val="5000"/>
                    </w14:schemeClr>
                  </w14:solidFill>
                </w14:textFill>
              </w:rPr>
              <w:t>定期交由有相应危险废物处置资质的单位接收、转运和处置</w:t>
            </w:r>
            <w:bookmarkEnd w:id="41"/>
            <w:r>
              <w:rPr>
                <w:rFonts w:hint="eastAsia"/>
                <w:color w:val="0D0D0D" w:themeColor="text1" w:themeTint="F2"/>
                <w:lang w:bidi="ar"/>
                <w14:textFill>
                  <w14:solidFill>
                    <w14:schemeClr w14:val="tx1">
                      <w14:lumMod w14:val="95000"/>
                      <w14:lumOff w14:val="5000"/>
                    </w14:schemeClr>
                  </w14:solidFill>
                </w14:textFill>
              </w:rPr>
              <w:t>。</w:t>
            </w:r>
            <w:bookmarkEnd w:id="40"/>
            <w:r>
              <w:rPr>
                <w:rFonts w:hint="eastAsia"/>
                <w:color w:val="0D0D0D" w:themeColor="text1" w:themeTint="F2"/>
                <w:lang w:bidi="ar"/>
                <w14:textFill>
                  <w14:solidFill>
                    <w14:schemeClr w14:val="tx1">
                      <w14:lumMod w14:val="95000"/>
                      <w14:lumOff w14:val="5000"/>
                    </w14:schemeClr>
                  </w14:solidFill>
                </w14:textFill>
              </w:rPr>
              <w:t>油基钻井岩屑临时贮存在岩屑专用储罐内，储罐底部铺设防渗膜，油基钻井岩屑在井场临时贮存应满足《危险废物贮存污染控制标准》（GB18597-2023）相关要求。</w:t>
            </w:r>
          </w:p>
          <w:p w14:paraId="7ACAD47C">
            <w:pPr>
              <w:pStyle w:val="26"/>
              <w:widowControl w:val="0"/>
              <w:snapToGrid w:val="0"/>
              <w:spacing w:before="0" w:beforeAutospacing="0" w:after="0" w:afterAutospacing="0" w:line="480" w:lineRule="exact"/>
              <w:ind w:firstLine="480" w:firstLineChars="200"/>
              <w:jc w:val="both"/>
              <w:rPr>
                <w:rFonts w:hint="eastAsia" w:cs="宋体"/>
                <w:color w:val="0D0D0D" w:themeColor="text1" w:themeTint="F2"/>
                <w14:textFill>
                  <w14:solidFill>
                    <w14:schemeClr w14:val="tx1">
                      <w14:lumMod w14:val="95000"/>
                      <w14:lumOff w14:val="5000"/>
                    </w14:schemeClr>
                  </w14:solidFill>
                </w14:textFill>
              </w:rPr>
            </w:pPr>
            <w:r>
              <w:rPr>
                <w:rFonts w:hint="eastAsia" w:cs="宋体"/>
                <w:color w:val="0D0D0D" w:themeColor="text1" w:themeTint="F2"/>
                <w:kern w:val="2"/>
                <w:lang w:bidi="ar"/>
                <w14:textFill>
                  <w14:solidFill>
                    <w14:schemeClr w14:val="tx1">
                      <w14:lumMod w14:val="95000"/>
                      <w14:lumOff w14:val="5000"/>
                    </w14:schemeClr>
                  </w14:solidFill>
                </w14:textFill>
              </w:rPr>
              <w:t>（3）沾油废防渗材料</w:t>
            </w:r>
          </w:p>
          <w:p w14:paraId="5246923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施工结束后清理场地时产生的未沾油防渗材料由施工单位集中回收利用，沾油废防渗材料（废物代码为900-249-08，危险特性为毒性和易燃性）分区暂存在井场设置的危险废物贮存点，定期由具有相应危险废物处置资质的单位进行接收、转运和处置。</w:t>
            </w:r>
          </w:p>
          <w:p w14:paraId="7863CA2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（4）废润滑油、废润滑油桶</w:t>
            </w:r>
          </w:p>
          <w:p w14:paraId="274F1E4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施工过程中机械、设备检修和维护过程中产生的废润滑油、废润滑油桶分区暂存在井场设置的危险废物贮存点，定期由具有相应危险废物处置资质的单位进行接收、转运和处置。</w:t>
            </w:r>
            <w:bookmarkEnd w:id="34"/>
          </w:p>
          <w:p w14:paraId="214930AF">
            <w:pPr>
              <w:pStyle w:val="37"/>
              <w:ind w:firstLine="480"/>
              <w:rPr>
                <w:rFonts w:hint="eastAsia"/>
                <w:color w:val="0D0D0D" w:themeColor="text1" w:themeTint="F2"/>
                <w14:textFill>
                  <w14:solidFill>
                    <w14:schemeClr w14:val="tx1">
                      <w14:lumMod w14:val="95000"/>
                      <w14:lumOff w14:val="5000"/>
                    </w14:schemeClr>
                  </w14:solidFill>
                </w14:textFill>
              </w:rPr>
            </w:pPr>
            <w:bookmarkStart w:id="42" w:name="_Hlk213898811"/>
            <w:r>
              <w:rPr>
                <w:rFonts w:hint="eastAsia"/>
                <w:color w:val="0D0D0D" w:themeColor="text1" w:themeTint="F2"/>
                <w14:textFill>
                  <w14:solidFill>
                    <w14:schemeClr w14:val="tx1">
                      <w14:lumMod w14:val="95000"/>
                      <w14:lumOff w14:val="5000"/>
                    </w14:schemeClr>
                  </w14:solidFill>
                </w14:textFill>
              </w:rPr>
              <w:t>（5）危险废物贮存点</w:t>
            </w:r>
          </w:p>
          <w:p w14:paraId="515B2006">
            <w:pPr>
              <w:pStyle w:val="37"/>
              <w:ind w:firstLine="480"/>
              <w:rPr>
                <w:rFonts w:hint="eastAsia" w:eastAsia="宋体"/>
                <w:color w:val="0D0D0D" w:themeColor="text1" w:themeTint="F2"/>
                <w:lang w:eastAsia="zh-CN"/>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在井场内设置一座临时危险废物暂存点，其选址符合《危险废物贮存污染控制标准》（GB18597-2023）的选址要求，建设过程中应严格按照《危险废物贮存污染控制标准》（GB18597-2023）中的相关要求建设</w:t>
            </w:r>
            <w:r>
              <w:rPr>
                <w:rFonts w:hint="eastAsia"/>
                <w:color w:val="0D0D0D" w:themeColor="text1" w:themeTint="F2"/>
                <w:lang w:eastAsia="zh-CN"/>
                <w14:textFill>
                  <w14:solidFill>
                    <w14:schemeClr w14:val="tx1">
                      <w14:lumMod w14:val="95000"/>
                      <w14:lumOff w14:val="5000"/>
                    </w14:schemeClr>
                  </w14:solidFill>
                </w14:textFill>
              </w:rPr>
              <w:t>。</w:t>
            </w:r>
          </w:p>
          <w:bookmarkEnd w:id="42"/>
          <w:p w14:paraId="2FE8545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（6）危废处置能力分析</w:t>
            </w:r>
          </w:p>
          <w:p w14:paraId="0F709328">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油田勘探开发相关危废处置单位大多集中在克拉玛依市，市域内分布有多家油田危废处置单位，建设单位可根据需求及各危废处置单位接纳能力选择满足本项目危险废物处理需要的处置单位。</w:t>
            </w:r>
          </w:p>
          <w:p w14:paraId="2963C0A3">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（7）生活垃圾</w:t>
            </w:r>
          </w:p>
          <w:p w14:paraId="077DE889">
            <w:pPr>
              <w:pStyle w:val="37"/>
              <w:ind w:firstLine="480"/>
              <w:rPr>
                <w:rFonts w:hint="eastAsia"/>
                <w:bCs/>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井场和生活营地设置生活垃圾收集箱，箱底铺设防渗膜，上部遮盖篷布，集中收集后定期委托拉运至沙湾市生活垃圾填埋场处置。该生活垃圾填埋场位于石锋3井西北侧约30km，总有效</w:t>
            </w:r>
            <w:r>
              <w:rPr>
                <w:bCs/>
                <w:color w:val="0D0D0D" w:themeColor="text1" w:themeTint="F2"/>
                <w14:textFill>
                  <w14:solidFill>
                    <w14:schemeClr w14:val="tx1">
                      <w14:lumMod w14:val="95000"/>
                      <w14:lumOff w14:val="5000"/>
                    </w14:schemeClr>
                  </w14:solidFill>
                </w14:textFill>
              </w:rPr>
              <w:t>容约为79.7</w:t>
            </w:r>
            <w:r>
              <w:rPr>
                <w:rFonts w:hint="eastAsia"/>
                <w:bCs/>
                <w:color w:val="0D0D0D" w:themeColor="text1" w:themeTint="F2"/>
                <w14:textFill>
                  <w14:solidFill>
                    <w14:schemeClr w14:val="tx1">
                      <w14:lumMod w14:val="95000"/>
                      <w14:lumOff w14:val="5000"/>
                    </w14:schemeClr>
                  </w14:solidFill>
                </w14:textFill>
              </w:rPr>
              <w:t>×10</w:t>
            </w:r>
            <w:r>
              <w:rPr>
                <w:rFonts w:hint="eastAsia"/>
                <w:bCs/>
                <w:color w:val="0D0D0D" w:themeColor="text1" w:themeTint="F2"/>
                <w:vertAlign w:val="superscript"/>
                <w14:textFill>
                  <w14:solidFill>
                    <w14:schemeClr w14:val="tx1">
                      <w14:lumMod w14:val="95000"/>
                      <w14:lumOff w14:val="5000"/>
                    </w14:schemeClr>
                  </w14:solidFill>
                </w14:textFill>
              </w:rPr>
              <w:t>4</w:t>
            </w:r>
            <w:r>
              <w:rPr>
                <w:bCs/>
                <w:color w:val="0D0D0D" w:themeColor="text1" w:themeTint="F2"/>
                <w14:textFill>
                  <w14:solidFill>
                    <w14:schemeClr w14:val="tx1">
                      <w14:lumMod w14:val="95000"/>
                      <w14:lumOff w14:val="5000"/>
                    </w14:schemeClr>
                  </w14:solidFill>
                </w14:textFill>
              </w:rPr>
              <w:t>m</w:t>
            </w:r>
            <w:r>
              <w:rPr>
                <w:bCs/>
                <w:color w:val="0D0D0D" w:themeColor="text1" w:themeTint="F2"/>
                <w:vertAlign w:val="superscript"/>
                <w14:textFill>
                  <w14:solidFill>
                    <w14:schemeClr w14:val="tx1">
                      <w14:lumMod w14:val="95000"/>
                      <w14:lumOff w14:val="5000"/>
                    </w14:schemeClr>
                  </w14:solidFill>
                </w14:textFill>
              </w:rPr>
              <w:t>3</w:t>
            </w:r>
            <w:r>
              <w:rPr>
                <w:bCs/>
                <w:color w:val="0D0D0D" w:themeColor="text1" w:themeTint="F2"/>
                <w14:textFill>
                  <w14:solidFill>
                    <w14:schemeClr w14:val="tx1">
                      <w14:lumMod w14:val="95000"/>
                      <w14:lumOff w14:val="5000"/>
                    </w14:schemeClr>
                  </w14:solidFill>
                </w14:textFill>
              </w:rPr>
              <w:t>，可填埋生活垃圾63.74</w:t>
            </w:r>
            <w:r>
              <w:rPr>
                <w:rFonts w:hint="eastAsia"/>
                <w:bCs/>
                <w:color w:val="0D0D0D" w:themeColor="text1" w:themeTint="F2"/>
                <w14:textFill>
                  <w14:solidFill>
                    <w14:schemeClr w14:val="tx1">
                      <w14:lumMod w14:val="95000"/>
                      <w14:lumOff w14:val="5000"/>
                    </w14:schemeClr>
                  </w14:solidFill>
                </w14:textFill>
              </w:rPr>
              <w:t>×10</w:t>
            </w:r>
            <w:r>
              <w:rPr>
                <w:rFonts w:hint="eastAsia"/>
                <w:bCs/>
                <w:color w:val="0D0D0D" w:themeColor="text1" w:themeTint="F2"/>
                <w:vertAlign w:val="superscript"/>
                <w14:textFill>
                  <w14:solidFill>
                    <w14:schemeClr w14:val="tx1">
                      <w14:lumMod w14:val="95000"/>
                      <w14:lumOff w14:val="5000"/>
                    </w14:schemeClr>
                  </w14:solidFill>
                </w14:textFill>
              </w:rPr>
              <w:t>4</w:t>
            </w:r>
            <w:r>
              <w:rPr>
                <w:bCs/>
                <w:color w:val="0D0D0D" w:themeColor="text1" w:themeTint="F2"/>
                <w14:textFill>
                  <w14:solidFill>
                    <w14:schemeClr w14:val="tx1">
                      <w14:lumMod w14:val="95000"/>
                      <w14:lumOff w14:val="5000"/>
                    </w14:schemeClr>
                  </w14:solidFill>
                </w14:textFill>
              </w:rPr>
              <w:t>t，场底采用双层高密度聚乙烯材料防渗</w:t>
            </w:r>
            <w:r>
              <w:rPr>
                <w:rFonts w:hint="eastAsia"/>
                <w:bCs/>
                <w:color w:val="0D0D0D" w:themeColor="text1" w:themeTint="F2"/>
                <w14:textFill>
                  <w14:solidFill>
                    <w14:schemeClr w14:val="tx1">
                      <w14:lumMod w14:val="95000"/>
                      <w14:lumOff w14:val="5000"/>
                    </w14:schemeClr>
                  </w14:solidFill>
                </w14:textFill>
              </w:rPr>
              <w:t>；本项目生活垃圾产生量约为5.4t，相对于沙湾市生活垃圾填埋场的可填埋量所占比例很小，可满足本项目需求，依托可行。</w:t>
            </w:r>
          </w:p>
          <w:bookmarkEnd w:id="35"/>
          <w:p w14:paraId="3CC6AA9D">
            <w:pPr>
              <w:pStyle w:val="37"/>
              <w:ind w:firstLine="480"/>
              <w:rPr>
                <w:rFonts w:hint="eastAsia"/>
                <w:color w:val="0D0D0D" w:themeColor="text1" w:themeTint="F2"/>
                <w14:textFill>
                  <w14:solidFill>
                    <w14:schemeClr w14:val="tx1">
                      <w14:lumMod w14:val="95000"/>
                      <w14:lumOff w14:val="5000"/>
                    </w14:schemeClr>
                  </w14:solidFill>
                </w14:textFill>
              </w:rPr>
            </w:pPr>
            <w:bookmarkStart w:id="43" w:name="_Hlk136792721"/>
            <w:r>
              <w:rPr>
                <w:rFonts w:hint="eastAsia"/>
                <w:color w:val="0D0D0D" w:themeColor="text1" w:themeTint="F2"/>
                <w14:textFill>
                  <w14:solidFill>
                    <w14:schemeClr w14:val="tx1">
                      <w14:lumMod w14:val="95000"/>
                      <w14:lumOff w14:val="5000"/>
                    </w14:schemeClr>
                  </w14:solidFill>
                </w14:textFill>
              </w:rPr>
              <w:t>（8）建筑垃圾</w:t>
            </w:r>
          </w:p>
          <w:p w14:paraId="33F5745D">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建筑垃圾优先回收利用，无法回收利用的由钻井队负责清运</w:t>
            </w:r>
            <w:r>
              <w:rPr>
                <w:rFonts w:hint="eastAsia"/>
                <w:color w:val="0D0D0D" w:themeColor="text1" w:themeTint="F2"/>
                <w14:textFill>
                  <w14:solidFill>
                    <w14:schemeClr w14:val="tx1">
                      <w14:lumMod w14:val="95000"/>
                      <w14:lumOff w14:val="5000"/>
                    </w14:schemeClr>
                  </w14:solidFill>
                </w14:textFill>
              </w:rPr>
              <w:t>。</w:t>
            </w:r>
            <w:bookmarkEnd w:id="43"/>
          </w:p>
        </w:tc>
      </w:tr>
      <w:tr w14:paraId="77E5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366" w:type="pct"/>
            <w:vAlign w:val="center"/>
          </w:tcPr>
          <w:p w14:paraId="7D3FB737">
            <w:pPr>
              <w:adjustRightInd w:val="0"/>
              <w:snapToGrid w:val="0"/>
              <w:spacing w:line="48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bCs/>
                <w:color w:val="0D0D0D" w:themeColor="text1" w:themeTint="F2"/>
                <w:spacing w:val="10"/>
                <w14:textFill>
                  <w14:solidFill>
                    <w14:schemeClr w14:val="tx1">
                      <w14:lumMod w14:val="95000"/>
                      <w14:lumOff w14:val="5000"/>
                    </w14:schemeClr>
                  </w14:solidFill>
                </w14:textFill>
              </w:rPr>
              <w:t>运营期生态环境保护措施</w:t>
            </w:r>
          </w:p>
        </w:tc>
        <w:tc>
          <w:tcPr>
            <w:tcW w:w="4633" w:type="pct"/>
            <w:vAlign w:val="center"/>
          </w:tcPr>
          <w:p w14:paraId="0174C52B">
            <w:pPr>
              <w:pStyle w:val="37"/>
              <w:rPr>
                <w:rFonts w:hint="eastAsia"/>
                <w:color w:val="0D0D0D" w:themeColor="text1" w:themeTint="F2"/>
                <w14:textFill>
                  <w14:solidFill>
                    <w14:schemeClr w14:val="tx1">
                      <w14:lumMod w14:val="95000"/>
                      <w14:lumOff w14:val="5000"/>
                    </w14:schemeClr>
                  </w14:solidFill>
                </w14:textFill>
              </w:rPr>
            </w:pPr>
            <w:bookmarkStart w:id="44" w:name="_Hlk140836626"/>
            <w:bookmarkStart w:id="45" w:name="_Hlk213899059"/>
            <w:r>
              <w:rPr>
                <w:rFonts w:hint="eastAsia"/>
                <w:color w:val="0D0D0D" w:themeColor="text1" w:themeTint="F2"/>
                <w14:textFill>
                  <w14:solidFill>
                    <w14:schemeClr w14:val="tx1">
                      <w14:lumMod w14:val="95000"/>
                      <w14:lumOff w14:val="5000"/>
                    </w14:schemeClr>
                  </w14:solidFill>
                </w14:textFill>
              </w:rPr>
              <w:t>（1）封井</w:t>
            </w:r>
            <w:r>
              <w:rPr>
                <w:color w:val="0D0D0D" w:themeColor="text1" w:themeTint="F2"/>
                <w14:textFill>
                  <w14:solidFill>
                    <w14:schemeClr w14:val="tx1">
                      <w14:lumMod w14:val="95000"/>
                      <w14:lumOff w14:val="5000"/>
                    </w14:schemeClr>
                  </w14:solidFill>
                </w14:textFill>
              </w:rPr>
              <w:t>材料应无污染，不得使用可能对地下水造成污染的材料</w:t>
            </w:r>
            <w:r>
              <w:rPr>
                <w:rFonts w:hint="eastAsia"/>
                <w:color w:val="0D0D0D" w:themeColor="text1" w:themeTint="F2"/>
                <w14:textFill>
                  <w14:solidFill>
                    <w14:schemeClr w14:val="tx1">
                      <w14:lumMod w14:val="95000"/>
                      <w14:lumOff w14:val="5000"/>
                    </w14:schemeClr>
                  </w14:solidFill>
                </w14:textFill>
              </w:rPr>
              <w:t>。</w:t>
            </w:r>
          </w:p>
          <w:p w14:paraId="77BCC3CE">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r>
              <w:rPr>
                <w:color w:val="0D0D0D" w:themeColor="text1" w:themeTint="F2"/>
                <w14:textFill>
                  <w14:solidFill>
                    <w14:schemeClr w14:val="tx1">
                      <w14:lumMod w14:val="95000"/>
                      <w14:lumOff w14:val="5000"/>
                    </w14:schemeClr>
                  </w14:solidFill>
                </w14:textFill>
              </w:rPr>
              <w:t>应开展井盖封堵或密闭填充，</w:t>
            </w:r>
            <w:r>
              <w:rPr>
                <w:rFonts w:hint="eastAsia"/>
                <w:color w:val="0D0D0D" w:themeColor="text1" w:themeTint="F2"/>
                <w14:textFill>
                  <w14:solidFill>
                    <w14:schemeClr w14:val="tx1">
                      <w14:lumMod w14:val="95000"/>
                      <w14:lumOff w14:val="5000"/>
                    </w14:schemeClr>
                  </w14:solidFill>
                </w14:textFill>
              </w:rPr>
              <w:t>对废弃井进行封井回填并做好井口处置，</w:t>
            </w:r>
            <w:r>
              <w:rPr>
                <w:color w:val="0D0D0D" w:themeColor="text1" w:themeTint="F2"/>
                <w14:textFill>
                  <w14:solidFill>
                    <w14:schemeClr w14:val="tx1">
                      <w14:lumMod w14:val="95000"/>
                      <w14:lumOff w14:val="5000"/>
                    </w14:schemeClr>
                  </w14:solidFill>
                </w14:textFill>
              </w:rPr>
              <w:t>确保地表污染物不进入井内，各层位地下水不连通</w:t>
            </w:r>
            <w:r>
              <w:rPr>
                <w:rFonts w:hint="eastAsia"/>
                <w:color w:val="0D0D0D" w:themeColor="text1" w:themeTint="F2"/>
                <w14:textFill>
                  <w14:solidFill>
                    <w14:schemeClr w14:val="tx1">
                      <w14:lumMod w14:val="95000"/>
                      <w14:lumOff w14:val="5000"/>
                    </w14:schemeClr>
                  </w14:solidFill>
                </w14:textFill>
              </w:rPr>
              <w:t>。</w:t>
            </w:r>
          </w:p>
          <w:p w14:paraId="1FB0B717">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w:t>
            </w:r>
            <w:r>
              <w:rPr>
                <w:color w:val="0D0D0D" w:themeColor="text1" w:themeTint="F2"/>
                <w14:textFill>
                  <w14:solidFill>
                    <w14:schemeClr w14:val="tx1">
                      <w14:lumMod w14:val="95000"/>
                      <w14:lumOff w14:val="5000"/>
                    </w14:schemeClr>
                  </w14:solidFill>
                </w14:textFill>
              </w:rPr>
              <w:t>确保封井质量合格</w:t>
            </w:r>
            <w:r>
              <w:rPr>
                <w:rFonts w:hint="eastAsia"/>
                <w:color w:val="0D0D0D" w:themeColor="text1" w:themeTint="F2"/>
                <w14:textFill>
                  <w14:solidFill>
                    <w14:schemeClr w14:val="tx1">
                      <w14:lumMod w14:val="95000"/>
                      <w14:lumOff w14:val="5000"/>
                    </w14:schemeClr>
                  </w14:solidFill>
                </w14:textFill>
              </w:rPr>
              <w:t>。</w:t>
            </w:r>
          </w:p>
          <w:p w14:paraId="3B06332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（4）封井作业结束后及时清理作业现场</w:t>
            </w:r>
            <w:r>
              <w:rPr>
                <w:color w:val="0D0D0D" w:themeColor="text1" w:themeTint="F2"/>
                <w14:textFill>
                  <w14:solidFill>
                    <w14:schemeClr w14:val="tx1">
                      <w14:lumMod w14:val="95000"/>
                      <w14:lumOff w14:val="5000"/>
                    </w14:schemeClr>
                  </w14:solidFill>
                </w14:textFill>
              </w:rPr>
              <w:t>，各</w:t>
            </w:r>
            <w:r>
              <w:rPr>
                <w:rFonts w:hint="eastAsia"/>
                <w:color w:val="0D0D0D" w:themeColor="text1" w:themeTint="F2"/>
                <w14:textFill>
                  <w14:solidFill>
                    <w14:schemeClr w14:val="tx1">
                      <w14:lumMod w14:val="95000"/>
                      <w14:lumOff w14:val="5000"/>
                    </w14:schemeClr>
                  </w14:solidFill>
                </w14:textFill>
              </w:rPr>
              <w:t>个</w:t>
            </w:r>
            <w:r>
              <w:rPr>
                <w:color w:val="0D0D0D" w:themeColor="text1" w:themeTint="F2"/>
                <w14:textFill>
                  <w14:solidFill>
                    <w14:schemeClr w14:val="tx1">
                      <w14:lumMod w14:val="95000"/>
                      <w14:lumOff w14:val="5000"/>
                    </w14:schemeClr>
                  </w14:solidFill>
                </w14:textFill>
              </w:rPr>
              <w:t>建构筑物和基础设施应全部拆除</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做到“工完、料尽、场地清”，确保采取的封井措施有效可行</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各</w:t>
            </w:r>
            <w:r>
              <w:rPr>
                <w:rFonts w:hint="eastAsia"/>
                <w:color w:val="0D0D0D" w:themeColor="text1" w:themeTint="F2"/>
                <w14:textFill>
                  <w14:solidFill>
                    <w14:schemeClr w14:val="tx1">
                      <w14:lumMod w14:val="95000"/>
                      <w14:lumOff w14:val="5000"/>
                    </w14:schemeClr>
                  </w14:solidFill>
                </w14:textFill>
              </w:rPr>
              <w:t>个</w:t>
            </w:r>
            <w:r>
              <w:rPr>
                <w:color w:val="0D0D0D" w:themeColor="text1" w:themeTint="F2"/>
                <w14:textFill>
                  <w14:solidFill>
                    <w14:schemeClr w14:val="tx1">
                      <w14:lumMod w14:val="95000"/>
                      <w14:lumOff w14:val="5000"/>
                    </w14:schemeClr>
                  </w14:solidFill>
                </w14:textFill>
              </w:rPr>
              <w:t>建构筑物和基础设施</w:t>
            </w:r>
            <w:r>
              <w:rPr>
                <w:rFonts w:hint="eastAsia"/>
                <w:color w:val="0D0D0D" w:themeColor="text1" w:themeTint="F2"/>
                <w14:textFill>
                  <w14:solidFill>
                    <w14:schemeClr w14:val="tx1">
                      <w14:lumMod w14:val="95000"/>
                      <w14:lumOff w14:val="5000"/>
                    </w14:schemeClr>
                  </w14:solidFill>
                </w14:textFill>
              </w:rPr>
              <w:t>拆除过程中会产生一定扬尘，应避开大风天气施工。</w:t>
            </w:r>
            <w:bookmarkEnd w:id="44"/>
            <w:bookmarkEnd w:id="45"/>
          </w:p>
        </w:tc>
      </w:tr>
    </w:tbl>
    <w:p w14:paraId="6146D103">
      <w:pPr>
        <w:pStyle w:val="2"/>
        <w:rPr>
          <w:rFonts w:hint="eastAsia"/>
          <w:color w:val="0D0D0D" w:themeColor="text1" w:themeTint="F2"/>
          <w14:textFill>
            <w14:solidFill>
              <w14:schemeClr w14:val="tx1">
                <w14:lumMod w14:val="95000"/>
                <w14:lumOff w14:val="5000"/>
              </w14:schemeClr>
            </w14:solidFill>
          </w14:textFill>
        </w:rPr>
        <w:sectPr>
          <w:pgSz w:w="11906" w:h="16838"/>
          <w:pgMar w:top="1418" w:right="1418" w:bottom="1588" w:left="1588" w:header="851" w:footer="992" w:gutter="0"/>
          <w:cols w:space="425" w:num="1"/>
          <w:docGrid w:type="lines" w:linePitch="326" w:charSpace="0"/>
        </w:sectPr>
      </w:pPr>
    </w:p>
    <w:p w14:paraId="55265AF9">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lang w:eastAsia="zh-CN"/>
          <w14:textFill>
            <w14:solidFill>
              <w14:schemeClr w14:val="tx1">
                <w14:lumMod w14:val="95000"/>
                <w14:lumOff w14:val="5000"/>
              </w14:schemeClr>
            </w14:solidFill>
          </w14:textFill>
        </w:rPr>
        <w:t>三</w:t>
      </w: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、结论</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51E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3B7CF74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本项目符合国家产业政策、“三线一单”和相关规划，选址选线合理。在严格执行已有各项环保政策、规定，认真落实报告表中提出的污染防治措施和生态影响减缓措施的前提下，从生态环境保护角度分析建设可</w:t>
            </w:r>
            <w:r>
              <w:rPr>
                <w:rFonts w:hint="eastAsia"/>
                <w:color w:val="0D0D0D" w:themeColor="text1" w:themeTint="F2"/>
                <w:lang w:eastAsia="zh-CN"/>
                <w14:textFill>
                  <w14:solidFill>
                    <w14:schemeClr w14:val="tx1">
                      <w14:lumMod w14:val="95000"/>
                      <w14:lumOff w14:val="5000"/>
                    </w14:schemeClr>
                  </w14:solidFill>
                </w14:textFill>
              </w:rPr>
              <w:t>行性</w:t>
            </w:r>
            <w:r>
              <w:rPr>
                <w:rFonts w:hint="eastAsia"/>
                <w:color w:val="0D0D0D" w:themeColor="text1" w:themeTint="F2"/>
                <w14:textFill>
                  <w14:solidFill>
                    <w14:schemeClr w14:val="tx1">
                      <w14:lumMod w14:val="95000"/>
                      <w14:lumOff w14:val="5000"/>
                    </w14:schemeClr>
                  </w14:solidFill>
                </w14:textFill>
              </w:rPr>
              <w:t>。</w:t>
            </w:r>
          </w:p>
          <w:p w14:paraId="4426F2B9">
            <w:pPr>
              <w:pStyle w:val="11"/>
              <w:rPr>
                <w:rFonts w:hint="eastAsia"/>
                <w:color w:val="0D0D0D" w:themeColor="text1" w:themeTint="F2"/>
                <w14:textFill>
                  <w14:solidFill>
                    <w14:schemeClr w14:val="tx1">
                      <w14:lumMod w14:val="95000"/>
                      <w14:lumOff w14:val="5000"/>
                    </w14:schemeClr>
                  </w14:solidFill>
                </w14:textFill>
              </w:rPr>
            </w:pPr>
          </w:p>
          <w:p w14:paraId="253A8930">
            <w:pPr>
              <w:pStyle w:val="11"/>
              <w:rPr>
                <w:rFonts w:hint="eastAsia"/>
                <w:color w:val="0D0D0D" w:themeColor="text1" w:themeTint="F2"/>
                <w14:textFill>
                  <w14:solidFill>
                    <w14:schemeClr w14:val="tx1">
                      <w14:lumMod w14:val="95000"/>
                      <w14:lumOff w14:val="5000"/>
                    </w14:schemeClr>
                  </w14:solidFill>
                </w14:textFill>
              </w:rPr>
            </w:pPr>
          </w:p>
          <w:p w14:paraId="51ADB214">
            <w:pPr>
              <w:pStyle w:val="11"/>
              <w:rPr>
                <w:rFonts w:hint="eastAsia"/>
                <w:color w:val="0D0D0D" w:themeColor="text1" w:themeTint="F2"/>
                <w14:textFill>
                  <w14:solidFill>
                    <w14:schemeClr w14:val="tx1">
                      <w14:lumMod w14:val="95000"/>
                      <w14:lumOff w14:val="5000"/>
                    </w14:schemeClr>
                  </w14:solidFill>
                </w14:textFill>
              </w:rPr>
            </w:pPr>
          </w:p>
          <w:p w14:paraId="0F959996">
            <w:pPr>
              <w:pStyle w:val="11"/>
              <w:rPr>
                <w:rFonts w:hint="eastAsia"/>
                <w:color w:val="0D0D0D" w:themeColor="text1" w:themeTint="F2"/>
                <w14:textFill>
                  <w14:solidFill>
                    <w14:schemeClr w14:val="tx1">
                      <w14:lumMod w14:val="95000"/>
                      <w14:lumOff w14:val="5000"/>
                    </w14:schemeClr>
                  </w14:solidFill>
                </w14:textFill>
              </w:rPr>
            </w:pPr>
          </w:p>
          <w:p w14:paraId="7931CDAE">
            <w:pPr>
              <w:pStyle w:val="11"/>
              <w:rPr>
                <w:rFonts w:hint="eastAsia"/>
                <w:color w:val="0D0D0D" w:themeColor="text1" w:themeTint="F2"/>
                <w14:textFill>
                  <w14:solidFill>
                    <w14:schemeClr w14:val="tx1">
                      <w14:lumMod w14:val="95000"/>
                      <w14:lumOff w14:val="5000"/>
                    </w14:schemeClr>
                  </w14:solidFill>
                </w14:textFill>
              </w:rPr>
            </w:pPr>
          </w:p>
          <w:p w14:paraId="06AC8347">
            <w:pPr>
              <w:pStyle w:val="11"/>
              <w:rPr>
                <w:rFonts w:hint="eastAsia"/>
                <w:color w:val="0D0D0D" w:themeColor="text1" w:themeTint="F2"/>
                <w14:textFill>
                  <w14:solidFill>
                    <w14:schemeClr w14:val="tx1">
                      <w14:lumMod w14:val="95000"/>
                      <w14:lumOff w14:val="5000"/>
                    </w14:schemeClr>
                  </w14:solidFill>
                </w14:textFill>
              </w:rPr>
            </w:pPr>
          </w:p>
          <w:p w14:paraId="2334E009">
            <w:pPr>
              <w:pStyle w:val="11"/>
              <w:rPr>
                <w:rFonts w:hint="eastAsia"/>
                <w:color w:val="0D0D0D" w:themeColor="text1" w:themeTint="F2"/>
                <w14:textFill>
                  <w14:solidFill>
                    <w14:schemeClr w14:val="tx1">
                      <w14:lumMod w14:val="95000"/>
                      <w14:lumOff w14:val="5000"/>
                    </w14:schemeClr>
                  </w14:solidFill>
                </w14:textFill>
              </w:rPr>
            </w:pPr>
          </w:p>
          <w:p w14:paraId="3E837750">
            <w:pPr>
              <w:pStyle w:val="11"/>
              <w:rPr>
                <w:rFonts w:hint="eastAsia"/>
                <w:color w:val="0D0D0D" w:themeColor="text1" w:themeTint="F2"/>
                <w14:textFill>
                  <w14:solidFill>
                    <w14:schemeClr w14:val="tx1">
                      <w14:lumMod w14:val="95000"/>
                      <w14:lumOff w14:val="5000"/>
                    </w14:schemeClr>
                  </w14:solidFill>
                </w14:textFill>
              </w:rPr>
            </w:pPr>
          </w:p>
          <w:p w14:paraId="5484FAD3">
            <w:pPr>
              <w:pStyle w:val="11"/>
              <w:rPr>
                <w:rFonts w:hint="eastAsia"/>
                <w:color w:val="0D0D0D" w:themeColor="text1" w:themeTint="F2"/>
                <w14:textFill>
                  <w14:solidFill>
                    <w14:schemeClr w14:val="tx1">
                      <w14:lumMod w14:val="95000"/>
                      <w14:lumOff w14:val="5000"/>
                    </w14:schemeClr>
                  </w14:solidFill>
                </w14:textFill>
              </w:rPr>
            </w:pPr>
          </w:p>
          <w:p w14:paraId="0C97446D">
            <w:pPr>
              <w:pStyle w:val="11"/>
              <w:rPr>
                <w:rFonts w:hint="eastAsia"/>
                <w:color w:val="0D0D0D" w:themeColor="text1" w:themeTint="F2"/>
                <w14:textFill>
                  <w14:solidFill>
                    <w14:schemeClr w14:val="tx1">
                      <w14:lumMod w14:val="95000"/>
                      <w14:lumOff w14:val="5000"/>
                    </w14:schemeClr>
                  </w14:solidFill>
                </w14:textFill>
              </w:rPr>
            </w:pPr>
          </w:p>
          <w:p w14:paraId="2228BFEC">
            <w:pPr>
              <w:pStyle w:val="11"/>
              <w:rPr>
                <w:rFonts w:hint="eastAsia"/>
                <w:color w:val="0D0D0D" w:themeColor="text1" w:themeTint="F2"/>
                <w14:textFill>
                  <w14:solidFill>
                    <w14:schemeClr w14:val="tx1">
                      <w14:lumMod w14:val="95000"/>
                      <w14:lumOff w14:val="5000"/>
                    </w14:schemeClr>
                  </w14:solidFill>
                </w14:textFill>
              </w:rPr>
            </w:pPr>
          </w:p>
          <w:p w14:paraId="10578EAA">
            <w:pPr>
              <w:pStyle w:val="11"/>
              <w:rPr>
                <w:rFonts w:hint="eastAsia"/>
                <w:color w:val="0D0D0D" w:themeColor="text1" w:themeTint="F2"/>
                <w14:textFill>
                  <w14:solidFill>
                    <w14:schemeClr w14:val="tx1">
                      <w14:lumMod w14:val="95000"/>
                      <w14:lumOff w14:val="5000"/>
                    </w14:schemeClr>
                  </w14:solidFill>
                </w14:textFill>
              </w:rPr>
            </w:pPr>
          </w:p>
          <w:p w14:paraId="0A08BFA4">
            <w:pPr>
              <w:pStyle w:val="11"/>
              <w:rPr>
                <w:rFonts w:hint="eastAsia"/>
                <w:color w:val="0D0D0D" w:themeColor="text1" w:themeTint="F2"/>
                <w14:textFill>
                  <w14:solidFill>
                    <w14:schemeClr w14:val="tx1">
                      <w14:lumMod w14:val="95000"/>
                      <w14:lumOff w14:val="5000"/>
                    </w14:schemeClr>
                  </w14:solidFill>
                </w14:textFill>
              </w:rPr>
            </w:pPr>
          </w:p>
          <w:p w14:paraId="0CACACAE">
            <w:pPr>
              <w:pStyle w:val="11"/>
              <w:rPr>
                <w:rFonts w:hint="eastAsia"/>
                <w:color w:val="0D0D0D" w:themeColor="text1" w:themeTint="F2"/>
                <w14:textFill>
                  <w14:solidFill>
                    <w14:schemeClr w14:val="tx1">
                      <w14:lumMod w14:val="95000"/>
                      <w14:lumOff w14:val="5000"/>
                    </w14:schemeClr>
                  </w14:solidFill>
                </w14:textFill>
              </w:rPr>
            </w:pPr>
          </w:p>
          <w:p w14:paraId="5769483B">
            <w:pPr>
              <w:widowControl/>
              <w:jc w:val="left"/>
              <w:rPr>
                <w:rFonts w:hint="eastAsia" w:ascii="宋体" w:hAnsi="宋体" w:cs="宋体"/>
                <w:color w:val="0D0D0D" w:themeColor="text1" w:themeTint="F2"/>
                <w:kern w:val="0"/>
                <w14:textFill>
                  <w14:solidFill>
                    <w14:schemeClr w14:val="tx1">
                      <w14:lumMod w14:val="95000"/>
                      <w14:lumOff w14:val="5000"/>
                    </w14:schemeClr>
                  </w14:solidFill>
                </w14:textFill>
              </w:rPr>
            </w:pPr>
          </w:p>
          <w:p w14:paraId="7D04E209">
            <w:pPr>
              <w:pStyle w:val="11"/>
              <w:rPr>
                <w:rFonts w:hint="eastAsia"/>
                <w:color w:val="0D0D0D" w:themeColor="text1" w:themeTint="F2"/>
                <w14:textFill>
                  <w14:solidFill>
                    <w14:schemeClr w14:val="tx1">
                      <w14:lumMod w14:val="95000"/>
                      <w14:lumOff w14:val="5000"/>
                    </w14:schemeClr>
                  </w14:solidFill>
                </w14:textFill>
              </w:rPr>
            </w:pPr>
          </w:p>
          <w:p w14:paraId="3F6074F9">
            <w:pPr>
              <w:pStyle w:val="11"/>
              <w:rPr>
                <w:rFonts w:hint="eastAsia"/>
                <w:color w:val="0D0D0D" w:themeColor="text1" w:themeTint="F2"/>
                <w14:textFill>
                  <w14:solidFill>
                    <w14:schemeClr w14:val="tx1">
                      <w14:lumMod w14:val="95000"/>
                      <w14:lumOff w14:val="5000"/>
                    </w14:schemeClr>
                  </w14:solidFill>
                </w14:textFill>
              </w:rPr>
            </w:pPr>
          </w:p>
          <w:p w14:paraId="7274381D">
            <w:pPr>
              <w:pStyle w:val="11"/>
              <w:rPr>
                <w:rFonts w:hint="eastAsia"/>
                <w:color w:val="0D0D0D" w:themeColor="text1" w:themeTint="F2"/>
                <w14:textFill>
                  <w14:solidFill>
                    <w14:schemeClr w14:val="tx1">
                      <w14:lumMod w14:val="95000"/>
                      <w14:lumOff w14:val="5000"/>
                    </w14:schemeClr>
                  </w14:solidFill>
                </w14:textFill>
              </w:rPr>
            </w:pPr>
          </w:p>
          <w:p w14:paraId="6F99B18F">
            <w:pPr>
              <w:pStyle w:val="11"/>
              <w:rPr>
                <w:rFonts w:hint="eastAsia"/>
                <w:color w:val="0D0D0D" w:themeColor="text1" w:themeTint="F2"/>
                <w14:textFill>
                  <w14:solidFill>
                    <w14:schemeClr w14:val="tx1">
                      <w14:lumMod w14:val="95000"/>
                      <w14:lumOff w14:val="5000"/>
                    </w14:schemeClr>
                  </w14:solidFill>
                </w14:textFill>
              </w:rPr>
            </w:pPr>
          </w:p>
          <w:p w14:paraId="763DB30E">
            <w:pPr>
              <w:pStyle w:val="11"/>
              <w:rPr>
                <w:rFonts w:hint="eastAsia"/>
                <w:color w:val="0D0D0D" w:themeColor="text1" w:themeTint="F2"/>
                <w14:textFill>
                  <w14:solidFill>
                    <w14:schemeClr w14:val="tx1">
                      <w14:lumMod w14:val="95000"/>
                      <w14:lumOff w14:val="5000"/>
                    </w14:schemeClr>
                  </w14:solidFill>
                </w14:textFill>
              </w:rPr>
            </w:pPr>
          </w:p>
          <w:p w14:paraId="380B26E2">
            <w:pPr>
              <w:pStyle w:val="11"/>
              <w:rPr>
                <w:rFonts w:hint="eastAsia"/>
                <w:color w:val="0D0D0D" w:themeColor="text1" w:themeTint="F2"/>
                <w14:textFill>
                  <w14:solidFill>
                    <w14:schemeClr w14:val="tx1">
                      <w14:lumMod w14:val="95000"/>
                      <w14:lumOff w14:val="5000"/>
                    </w14:schemeClr>
                  </w14:solidFill>
                </w14:textFill>
              </w:rPr>
            </w:pPr>
          </w:p>
          <w:p w14:paraId="1EDF7D40">
            <w:pPr>
              <w:pStyle w:val="11"/>
              <w:rPr>
                <w:rFonts w:hint="eastAsia"/>
                <w:color w:val="0D0D0D" w:themeColor="text1" w:themeTint="F2"/>
                <w14:textFill>
                  <w14:solidFill>
                    <w14:schemeClr w14:val="tx1">
                      <w14:lumMod w14:val="95000"/>
                      <w14:lumOff w14:val="5000"/>
                    </w14:schemeClr>
                  </w14:solidFill>
                </w14:textFill>
              </w:rPr>
            </w:pPr>
          </w:p>
          <w:p w14:paraId="7ED4CF39">
            <w:pPr>
              <w:pStyle w:val="11"/>
              <w:rPr>
                <w:rFonts w:hint="eastAsia"/>
                <w:color w:val="0D0D0D" w:themeColor="text1" w:themeTint="F2"/>
                <w14:textFill>
                  <w14:solidFill>
                    <w14:schemeClr w14:val="tx1">
                      <w14:lumMod w14:val="95000"/>
                      <w14:lumOff w14:val="5000"/>
                    </w14:schemeClr>
                  </w14:solidFill>
                </w14:textFill>
              </w:rPr>
            </w:pPr>
          </w:p>
        </w:tc>
      </w:tr>
    </w:tbl>
    <w:p w14:paraId="5368F4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C5A196-9AF4-4C6D-85DB-718E54B9801B}"/>
  </w:font>
  <w:font w:name="黑体">
    <w:panose1 w:val="02010609060101010101"/>
    <w:charset w:val="86"/>
    <w:family w:val="auto"/>
    <w:pitch w:val="default"/>
    <w:sig w:usb0="800002BF" w:usb1="38CF7CFA" w:usb2="00000016" w:usb3="00000000" w:csb0="00040001" w:csb1="00000000"/>
    <w:embedRegular r:id="rId2" w:fontKey="{8FCE933D-CB4D-4DAB-925F-0A2603B2B4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3" w:fontKey="{B1332921-859C-4F63-96FD-563023C8501D}"/>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3C3BFD66-71C5-4635-807B-953DA45B9D73}"/>
  </w:font>
  <w:font w:name="方正仿宋_GBK">
    <w:altName w:val="微软雅黑"/>
    <w:panose1 w:val="02000000000000000000"/>
    <w:charset w:val="86"/>
    <w:family w:val="script"/>
    <w:pitch w:val="default"/>
    <w:sig w:usb0="00000000" w:usb1="00000000"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4B34A7DB-EAA9-4369-B413-F1ACF6A65AC3}"/>
  </w:font>
  <w:font w:name="方正小标宋_GBK">
    <w:panose1 w:val="03000509000000000000"/>
    <w:charset w:val="86"/>
    <w:family w:val="script"/>
    <w:pitch w:val="default"/>
    <w:sig w:usb0="00000001" w:usb1="080E0000" w:usb2="00000000" w:usb3="00000000" w:csb0="00040000" w:csb1="00000000"/>
    <w:embedRegular r:id="rId6" w:fontKey="{71A32617-EE11-4115-8C4E-5A55BF5C071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C6B3F">
    <w:pPr>
      <w:pStyle w:val="17"/>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0BFAE">
    <w:pPr>
      <w:pStyle w:val="17"/>
      <w:framePr w:wrap="around" w:vAnchor="text" w:hAnchor="margin" w:xAlign="outside" w:y="1"/>
      <w:rPr>
        <w:rStyle w:val="31"/>
      </w:rPr>
    </w:pPr>
    <w:r>
      <w:rPr>
        <w:rStyle w:val="31"/>
      </w:rPr>
      <w:fldChar w:fldCharType="begin"/>
    </w:r>
    <w:r>
      <w:rPr>
        <w:rStyle w:val="31"/>
      </w:rPr>
      <w:instrText xml:space="preserve">PAGE  </w:instrText>
    </w:r>
    <w:r>
      <w:rPr>
        <w:rStyle w:val="31"/>
      </w:rPr>
      <w:fldChar w:fldCharType="separate"/>
    </w:r>
    <w:r>
      <w:rPr>
        <w:rStyle w:val="31"/>
      </w:rPr>
      <w:t>1</w:t>
    </w:r>
    <w:r>
      <w:rPr>
        <w:rStyle w:val="31"/>
      </w:rPr>
      <w:fldChar w:fldCharType="end"/>
    </w:r>
  </w:p>
  <w:p w14:paraId="46A62CFC">
    <w:pPr>
      <w:pStyle w:val="1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4678521"/>
    </w:sdtPr>
    <w:sdtContent>
      <w:p w14:paraId="5A6A0B91">
        <w:pPr>
          <w:pStyle w:val="17"/>
          <w:jc w:val="center"/>
        </w:pPr>
        <w:r>
          <w:fldChar w:fldCharType="begin"/>
        </w:r>
        <w:r>
          <w:instrText xml:space="preserve">PAGE   \* MERGEFORMAT</w:instrText>
        </w:r>
        <w:r>
          <w:fldChar w:fldCharType="separate"/>
        </w:r>
        <w:r>
          <w:rPr>
            <w:lang w:val="zh-CN"/>
          </w:rPr>
          <w:t>2</w:t>
        </w:r>
        <w:r>
          <w:fldChar w:fldCharType="end"/>
        </w:r>
      </w:p>
    </w:sdtContent>
  </w:sdt>
  <w:p w14:paraId="314A9697">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6996287"/>
      <w:docPartObj>
        <w:docPartGallery w:val="autotext"/>
      </w:docPartObj>
    </w:sdtPr>
    <w:sdtContent>
      <w:p w14:paraId="650DC908">
        <w:pPr>
          <w:pStyle w:val="17"/>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15015"/>
    <w:multiLevelType w:val="multilevel"/>
    <w:tmpl w:val="47D15015"/>
    <w:lvl w:ilvl="0" w:tentative="0">
      <w:start w:val="1"/>
      <w:numFmt w:val="decimal"/>
      <w:suff w:val="space"/>
      <w:lvlText w:val="%1"/>
      <w:lvlJc w:val="left"/>
      <w:pPr>
        <w:ind w:left="0" w:firstLine="0"/>
      </w:pPr>
      <w:rPr>
        <w:rFonts w:hint="eastAsia" w:ascii="黑体" w:eastAsia="黑体"/>
        <w:b w:val="0"/>
        <w:i w:val="0"/>
        <w:sz w:val="32"/>
      </w:rPr>
    </w:lvl>
    <w:lvl w:ilvl="1" w:tentative="0">
      <w:start w:val="1"/>
      <w:numFmt w:val="decimal"/>
      <w:pStyle w:val="3"/>
      <w:suff w:val="space"/>
      <w:lvlText w:val="%1.%2"/>
      <w:lvlJc w:val="left"/>
      <w:pPr>
        <w:ind w:left="0" w:firstLine="0"/>
      </w:pPr>
      <w:rPr>
        <w:rFonts w:hint="eastAsia" w:ascii="黑体" w:eastAsia="黑体"/>
        <w:b w:val="0"/>
        <w:i w:val="0"/>
        <w:sz w:val="28"/>
      </w:rPr>
    </w:lvl>
    <w:lvl w:ilvl="2" w:tentative="0">
      <w:start w:val="1"/>
      <w:numFmt w:val="decimal"/>
      <w:suff w:val="space"/>
      <w:lvlText w:val="%1.%2.%3"/>
      <w:lvlJc w:val="left"/>
      <w:pPr>
        <w:ind w:left="0" w:firstLine="0"/>
      </w:pPr>
      <w:rPr>
        <w:rFonts w:hint="eastAsia" w:ascii="黑体" w:hAnsi="宋体" w:eastAsia="黑体"/>
        <w:b w:val="0"/>
        <w:i w:val="0"/>
        <w:sz w:val="24"/>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jY2IxMWYwNDI5NTdhYmJhNjliZWZhNGQ1ODAxMzkifQ=="/>
  </w:docVars>
  <w:rsids>
    <w:rsidRoot w:val="63603041"/>
    <w:rsid w:val="0000052E"/>
    <w:rsid w:val="00002111"/>
    <w:rsid w:val="0000282B"/>
    <w:rsid w:val="00002960"/>
    <w:rsid w:val="000035A3"/>
    <w:rsid w:val="0000398D"/>
    <w:rsid w:val="00004028"/>
    <w:rsid w:val="00007A23"/>
    <w:rsid w:val="00007F00"/>
    <w:rsid w:val="0001205F"/>
    <w:rsid w:val="000128B0"/>
    <w:rsid w:val="00013122"/>
    <w:rsid w:val="00013BDB"/>
    <w:rsid w:val="00015E93"/>
    <w:rsid w:val="0001671B"/>
    <w:rsid w:val="0001687A"/>
    <w:rsid w:val="00016F8B"/>
    <w:rsid w:val="00017DAF"/>
    <w:rsid w:val="000206FC"/>
    <w:rsid w:val="00020778"/>
    <w:rsid w:val="0002164B"/>
    <w:rsid w:val="00022356"/>
    <w:rsid w:val="000233C6"/>
    <w:rsid w:val="00024D11"/>
    <w:rsid w:val="000251BA"/>
    <w:rsid w:val="000252A9"/>
    <w:rsid w:val="00026A97"/>
    <w:rsid w:val="00026DAD"/>
    <w:rsid w:val="000275C7"/>
    <w:rsid w:val="000276E7"/>
    <w:rsid w:val="00031221"/>
    <w:rsid w:val="00032D1D"/>
    <w:rsid w:val="00033935"/>
    <w:rsid w:val="00034443"/>
    <w:rsid w:val="00036BB2"/>
    <w:rsid w:val="00036FD8"/>
    <w:rsid w:val="00037C45"/>
    <w:rsid w:val="00043144"/>
    <w:rsid w:val="0004404C"/>
    <w:rsid w:val="0004472D"/>
    <w:rsid w:val="00044A1B"/>
    <w:rsid w:val="00047FE0"/>
    <w:rsid w:val="00051C2A"/>
    <w:rsid w:val="00052B81"/>
    <w:rsid w:val="000566B5"/>
    <w:rsid w:val="00057CDB"/>
    <w:rsid w:val="00060922"/>
    <w:rsid w:val="000646D1"/>
    <w:rsid w:val="00065823"/>
    <w:rsid w:val="00066544"/>
    <w:rsid w:val="0006791F"/>
    <w:rsid w:val="000708E4"/>
    <w:rsid w:val="00071D89"/>
    <w:rsid w:val="00073160"/>
    <w:rsid w:val="00075726"/>
    <w:rsid w:val="00077FB7"/>
    <w:rsid w:val="000832C7"/>
    <w:rsid w:val="00086D67"/>
    <w:rsid w:val="00086F92"/>
    <w:rsid w:val="00087035"/>
    <w:rsid w:val="00087668"/>
    <w:rsid w:val="00091D6D"/>
    <w:rsid w:val="0009211C"/>
    <w:rsid w:val="00094BB9"/>
    <w:rsid w:val="000A2C55"/>
    <w:rsid w:val="000A64E3"/>
    <w:rsid w:val="000A716C"/>
    <w:rsid w:val="000A73B4"/>
    <w:rsid w:val="000A799A"/>
    <w:rsid w:val="000B2E6C"/>
    <w:rsid w:val="000B3281"/>
    <w:rsid w:val="000B3AA9"/>
    <w:rsid w:val="000B799E"/>
    <w:rsid w:val="000C0A31"/>
    <w:rsid w:val="000C380E"/>
    <w:rsid w:val="000C61BE"/>
    <w:rsid w:val="000D0E74"/>
    <w:rsid w:val="000D13D2"/>
    <w:rsid w:val="000D29E0"/>
    <w:rsid w:val="000D2D8E"/>
    <w:rsid w:val="000D6B30"/>
    <w:rsid w:val="000D6F87"/>
    <w:rsid w:val="000D766F"/>
    <w:rsid w:val="000E3771"/>
    <w:rsid w:val="000E68BD"/>
    <w:rsid w:val="000F14D3"/>
    <w:rsid w:val="000F189B"/>
    <w:rsid w:val="000F35FD"/>
    <w:rsid w:val="000F3AD3"/>
    <w:rsid w:val="000F4E55"/>
    <w:rsid w:val="000F50F3"/>
    <w:rsid w:val="000F5505"/>
    <w:rsid w:val="00100463"/>
    <w:rsid w:val="0010099A"/>
    <w:rsid w:val="00105010"/>
    <w:rsid w:val="00105030"/>
    <w:rsid w:val="00105861"/>
    <w:rsid w:val="001071A4"/>
    <w:rsid w:val="0011028C"/>
    <w:rsid w:val="0011273E"/>
    <w:rsid w:val="00112792"/>
    <w:rsid w:val="00112AFC"/>
    <w:rsid w:val="00113F50"/>
    <w:rsid w:val="00116352"/>
    <w:rsid w:val="0011641C"/>
    <w:rsid w:val="00121159"/>
    <w:rsid w:val="00121F37"/>
    <w:rsid w:val="00122E62"/>
    <w:rsid w:val="00124232"/>
    <w:rsid w:val="00124925"/>
    <w:rsid w:val="00125361"/>
    <w:rsid w:val="00125EF1"/>
    <w:rsid w:val="001265AC"/>
    <w:rsid w:val="00131AE2"/>
    <w:rsid w:val="001329FC"/>
    <w:rsid w:val="0013338B"/>
    <w:rsid w:val="00133E08"/>
    <w:rsid w:val="00135589"/>
    <w:rsid w:val="0013672A"/>
    <w:rsid w:val="001372D7"/>
    <w:rsid w:val="00137CB2"/>
    <w:rsid w:val="00142842"/>
    <w:rsid w:val="00144C02"/>
    <w:rsid w:val="00145310"/>
    <w:rsid w:val="001472B2"/>
    <w:rsid w:val="0015053E"/>
    <w:rsid w:val="001510F9"/>
    <w:rsid w:val="00151123"/>
    <w:rsid w:val="00151961"/>
    <w:rsid w:val="001522EB"/>
    <w:rsid w:val="00152D3D"/>
    <w:rsid w:val="00152FFC"/>
    <w:rsid w:val="00153AE4"/>
    <w:rsid w:val="00154520"/>
    <w:rsid w:val="00156055"/>
    <w:rsid w:val="00156FC3"/>
    <w:rsid w:val="00157098"/>
    <w:rsid w:val="00157C71"/>
    <w:rsid w:val="00162A15"/>
    <w:rsid w:val="00163B67"/>
    <w:rsid w:val="00165513"/>
    <w:rsid w:val="00166026"/>
    <w:rsid w:val="00166A6D"/>
    <w:rsid w:val="0016714B"/>
    <w:rsid w:val="00170385"/>
    <w:rsid w:val="001707F6"/>
    <w:rsid w:val="00170C84"/>
    <w:rsid w:val="00171536"/>
    <w:rsid w:val="00173D62"/>
    <w:rsid w:val="0017698D"/>
    <w:rsid w:val="001827DF"/>
    <w:rsid w:val="0018418A"/>
    <w:rsid w:val="0018553C"/>
    <w:rsid w:val="00185A99"/>
    <w:rsid w:val="00186067"/>
    <w:rsid w:val="00187F53"/>
    <w:rsid w:val="0019128D"/>
    <w:rsid w:val="00191BDE"/>
    <w:rsid w:val="001932DE"/>
    <w:rsid w:val="00195945"/>
    <w:rsid w:val="001A08DC"/>
    <w:rsid w:val="001A20CB"/>
    <w:rsid w:val="001A4FAC"/>
    <w:rsid w:val="001A5D32"/>
    <w:rsid w:val="001B3F30"/>
    <w:rsid w:val="001B5074"/>
    <w:rsid w:val="001B724E"/>
    <w:rsid w:val="001C10AA"/>
    <w:rsid w:val="001C1214"/>
    <w:rsid w:val="001C35B0"/>
    <w:rsid w:val="001C4772"/>
    <w:rsid w:val="001C58F7"/>
    <w:rsid w:val="001C6C1B"/>
    <w:rsid w:val="001C79E9"/>
    <w:rsid w:val="001D4D7A"/>
    <w:rsid w:val="001D55B8"/>
    <w:rsid w:val="001D7692"/>
    <w:rsid w:val="001E0814"/>
    <w:rsid w:val="001E123C"/>
    <w:rsid w:val="001E2AB4"/>
    <w:rsid w:val="001E4162"/>
    <w:rsid w:val="001E472B"/>
    <w:rsid w:val="001E47F3"/>
    <w:rsid w:val="001E6625"/>
    <w:rsid w:val="001E6C15"/>
    <w:rsid w:val="001F0226"/>
    <w:rsid w:val="001F1570"/>
    <w:rsid w:val="001F41A0"/>
    <w:rsid w:val="001F4691"/>
    <w:rsid w:val="001F4712"/>
    <w:rsid w:val="001F482D"/>
    <w:rsid w:val="001F53E3"/>
    <w:rsid w:val="00200934"/>
    <w:rsid w:val="002016C8"/>
    <w:rsid w:val="0020194B"/>
    <w:rsid w:val="0020459A"/>
    <w:rsid w:val="0020498B"/>
    <w:rsid w:val="00207673"/>
    <w:rsid w:val="00211427"/>
    <w:rsid w:val="00213BC0"/>
    <w:rsid w:val="00214389"/>
    <w:rsid w:val="00215278"/>
    <w:rsid w:val="002206DC"/>
    <w:rsid w:val="00222AC6"/>
    <w:rsid w:val="00223137"/>
    <w:rsid w:val="00227B86"/>
    <w:rsid w:val="0023041B"/>
    <w:rsid w:val="00231C2F"/>
    <w:rsid w:val="00231DEE"/>
    <w:rsid w:val="00232E9A"/>
    <w:rsid w:val="002341C4"/>
    <w:rsid w:val="00235D91"/>
    <w:rsid w:val="002405DC"/>
    <w:rsid w:val="00240D97"/>
    <w:rsid w:val="00242186"/>
    <w:rsid w:val="00250171"/>
    <w:rsid w:val="00252EA1"/>
    <w:rsid w:val="0025588B"/>
    <w:rsid w:val="00261CAA"/>
    <w:rsid w:val="0026401D"/>
    <w:rsid w:val="00267449"/>
    <w:rsid w:val="00267A39"/>
    <w:rsid w:val="00270A0C"/>
    <w:rsid w:val="00270BFE"/>
    <w:rsid w:val="00272096"/>
    <w:rsid w:val="0027476E"/>
    <w:rsid w:val="00277B64"/>
    <w:rsid w:val="0028180F"/>
    <w:rsid w:val="00281DD6"/>
    <w:rsid w:val="00282A4B"/>
    <w:rsid w:val="00282B07"/>
    <w:rsid w:val="002842F7"/>
    <w:rsid w:val="00286873"/>
    <w:rsid w:val="00290709"/>
    <w:rsid w:val="002909FB"/>
    <w:rsid w:val="00292A0C"/>
    <w:rsid w:val="00292DE5"/>
    <w:rsid w:val="00296610"/>
    <w:rsid w:val="002A2C3E"/>
    <w:rsid w:val="002A2D25"/>
    <w:rsid w:val="002A48B0"/>
    <w:rsid w:val="002B04AC"/>
    <w:rsid w:val="002B0913"/>
    <w:rsid w:val="002B09EB"/>
    <w:rsid w:val="002B3A89"/>
    <w:rsid w:val="002B50B4"/>
    <w:rsid w:val="002B7E0B"/>
    <w:rsid w:val="002C0CCF"/>
    <w:rsid w:val="002C0DEB"/>
    <w:rsid w:val="002C7799"/>
    <w:rsid w:val="002D1252"/>
    <w:rsid w:val="002D49FF"/>
    <w:rsid w:val="002D5FA6"/>
    <w:rsid w:val="002E1D74"/>
    <w:rsid w:val="002E3788"/>
    <w:rsid w:val="002E3AA6"/>
    <w:rsid w:val="002E6226"/>
    <w:rsid w:val="002F2ECC"/>
    <w:rsid w:val="002F4169"/>
    <w:rsid w:val="002F4E8E"/>
    <w:rsid w:val="0030169B"/>
    <w:rsid w:val="0030434D"/>
    <w:rsid w:val="00305714"/>
    <w:rsid w:val="003067BD"/>
    <w:rsid w:val="00311727"/>
    <w:rsid w:val="003127CA"/>
    <w:rsid w:val="00314F4D"/>
    <w:rsid w:val="003158D5"/>
    <w:rsid w:val="00315B84"/>
    <w:rsid w:val="0031685D"/>
    <w:rsid w:val="0031720F"/>
    <w:rsid w:val="00317461"/>
    <w:rsid w:val="0032234F"/>
    <w:rsid w:val="00322E23"/>
    <w:rsid w:val="003325E6"/>
    <w:rsid w:val="00337749"/>
    <w:rsid w:val="00337E4F"/>
    <w:rsid w:val="003412A4"/>
    <w:rsid w:val="0034396E"/>
    <w:rsid w:val="0034734C"/>
    <w:rsid w:val="0035116E"/>
    <w:rsid w:val="00351A97"/>
    <w:rsid w:val="0035219B"/>
    <w:rsid w:val="00352EBB"/>
    <w:rsid w:val="0035333D"/>
    <w:rsid w:val="00353451"/>
    <w:rsid w:val="0036189B"/>
    <w:rsid w:val="00363018"/>
    <w:rsid w:val="00364C97"/>
    <w:rsid w:val="00365EEA"/>
    <w:rsid w:val="0036786B"/>
    <w:rsid w:val="00374A78"/>
    <w:rsid w:val="00376163"/>
    <w:rsid w:val="00380030"/>
    <w:rsid w:val="003810B8"/>
    <w:rsid w:val="00383249"/>
    <w:rsid w:val="00385287"/>
    <w:rsid w:val="003860C7"/>
    <w:rsid w:val="00391A09"/>
    <w:rsid w:val="003931B5"/>
    <w:rsid w:val="0039592F"/>
    <w:rsid w:val="00396033"/>
    <w:rsid w:val="00397B35"/>
    <w:rsid w:val="003A29F2"/>
    <w:rsid w:val="003A472A"/>
    <w:rsid w:val="003A6CAD"/>
    <w:rsid w:val="003A733A"/>
    <w:rsid w:val="003B1757"/>
    <w:rsid w:val="003B4F66"/>
    <w:rsid w:val="003B612C"/>
    <w:rsid w:val="003B7FF5"/>
    <w:rsid w:val="003C0258"/>
    <w:rsid w:val="003C3A43"/>
    <w:rsid w:val="003C5E04"/>
    <w:rsid w:val="003C7A3D"/>
    <w:rsid w:val="003C7B53"/>
    <w:rsid w:val="003D0E60"/>
    <w:rsid w:val="003D2BBC"/>
    <w:rsid w:val="003D35E5"/>
    <w:rsid w:val="003D424F"/>
    <w:rsid w:val="003D6179"/>
    <w:rsid w:val="003E0A70"/>
    <w:rsid w:val="003E1CC2"/>
    <w:rsid w:val="003E27CB"/>
    <w:rsid w:val="003E2845"/>
    <w:rsid w:val="003E367E"/>
    <w:rsid w:val="003E5576"/>
    <w:rsid w:val="003E5C56"/>
    <w:rsid w:val="003E6FC1"/>
    <w:rsid w:val="003E7B9A"/>
    <w:rsid w:val="003F1834"/>
    <w:rsid w:val="003F264D"/>
    <w:rsid w:val="003F2946"/>
    <w:rsid w:val="003F37AB"/>
    <w:rsid w:val="00400C4F"/>
    <w:rsid w:val="00402214"/>
    <w:rsid w:val="004026D8"/>
    <w:rsid w:val="004061AF"/>
    <w:rsid w:val="00407416"/>
    <w:rsid w:val="00407BCA"/>
    <w:rsid w:val="0041279C"/>
    <w:rsid w:val="00413430"/>
    <w:rsid w:val="0041658F"/>
    <w:rsid w:val="00416953"/>
    <w:rsid w:val="0042188F"/>
    <w:rsid w:val="004229FC"/>
    <w:rsid w:val="004235DB"/>
    <w:rsid w:val="004248B9"/>
    <w:rsid w:val="0042569B"/>
    <w:rsid w:val="00425B3A"/>
    <w:rsid w:val="004269EB"/>
    <w:rsid w:val="00426D12"/>
    <w:rsid w:val="00431F82"/>
    <w:rsid w:val="004325F0"/>
    <w:rsid w:val="00433441"/>
    <w:rsid w:val="00434DBF"/>
    <w:rsid w:val="0043610C"/>
    <w:rsid w:val="00440A43"/>
    <w:rsid w:val="004436C3"/>
    <w:rsid w:val="00443A87"/>
    <w:rsid w:val="004440F0"/>
    <w:rsid w:val="0044560A"/>
    <w:rsid w:val="00445C13"/>
    <w:rsid w:val="00445D14"/>
    <w:rsid w:val="004465CF"/>
    <w:rsid w:val="0044672D"/>
    <w:rsid w:val="00451C6B"/>
    <w:rsid w:val="004609EE"/>
    <w:rsid w:val="00461BED"/>
    <w:rsid w:val="00463278"/>
    <w:rsid w:val="0046329B"/>
    <w:rsid w:val="0046495C"/>
    <w:rsid w:val="00466EBD"/>
    <w:rsid w:val="004704FA"/>
    <w:rsid w:val="00470809"/>
    <w:rsid w:val="004717EF"/>
    <w:rsid w:val="00472AFF"/>
    <w:rsid w:val="00472B06"/>
    <w:rsid w:val="00472FE0"/>
    <w:rsid w:val="00473085"/>
    <w:rsid w:val="004734CE"/>
    <w:rsid w:val="00473F93"/>
    <w:rsid w:val="00476540"/>
    <w:rsid w:val="00477B24"/>
    <w:rsid w:val="00477C43"/>
    <w:rsid w:val="00477EEF"/>
    <w:rsid w:val="00481546"/>
    <w:rsid w:val="00483BB5"/>
    <w:rsid w:val="004840E3"/>
    <w:rsid w:val="00484280"/>
    <w:rsid w:val="00484C5C"/>
    <w:rsid w:val="00484FAD"/>
    <w:rsid w:val="00485802"/>
    <w:rsid w:val="00485F5D"/>
    <w:rsid w:val="0048733E"/>
    <w:rsid w:val="004876E6"/>
    <w:rsid w:val="0048781B"/>
    <w:rsid w:val="00490859"/>
    <w:rsid w:val="00490EE9"/>
    <w:rsid w:val="00492043"/>
    <w:rsid w:val="00494643"/>
    <w:rsid w:val="00494D3D"/>
    <w:rsid w:val="00495E69"/>
    <w:rsid w:val="00496E1F"/>
    <w:rsid w:val="004A1ECF"/>
    <w:rsid w:val="004A535F"/>
    <w:rsid w:val="004A568D"/>
    <w:rsid w:val="004A7977"/>
    <w:rsid w:val="004B32F6"/>
    <w:rsid w:val="004B39C3"/>
    <w:rsid w:val="004B4A04"/>
    <w:rsid w:val="004B5418"/>
    <w:rsid w:val="004B5613"/>
    <w:rsid w:val="004B6A2E"/>
    <w:rsid w:val="004C4F4B"/>
    <w:rsid w:val="004D28C7"/>
    <w:rsid w:val="004D44EB"/>
    <w:rsid w:val="004D6361"/>
    <w:rsid w:val="004D6999"/>
    <w:rsid w:val="004D72F3"/>
    <w:rsid w:val="004D79C4"/>
    <w:rsid w:val="004E4013"/>
    <w:rsid w:val="004E4C8D"/>
    <w:rsid w:val="004E594B"/>
    <w:rsid w:val="004F4DD5"/>
    <w:rsid w:val="004F7BFD"/>
    <w:rsid w:val="00503149"/>
    <w:rsid w:val="005043D0"/>
    <w:rsid w:val="0050493E"/>
    <w:rsid w:val="00504A56"/>
    <w:rsid w:val="00506344"/>
    <w:rsid w:val="00507617"/>
    <w:rsid w:val="00511DF3"/>
    <w:rsid w:val="00513877"/>
    <w:rsid w:val="00520A19"/>
    <w:rsid w:val="00523759"/>
    <w:rsid w:val="00531496"/>
    <w:rsid w:val="00534209"/>
    <w:rsid w:val="0053460E"/>
    <w:rsid w:val="00535BD7"/>
    <w:rsid w:val="00535F1E"/>
    <w:rsid w:val="00536299"/>
    <w:rsid w:val="0053664A"/>
    <w:rsid w:val="00537FB4"/>
    <w:rsid w:val="0054229E"/>
    <w:rsid w:val="00542603"/>
    <w:rsid w:val="00545A0F"/>
    <w:rsid w:val="00545C10"/>
    <w:rsid w:val="00550035"/>
    <w:rsid w:val="0055347F"/>
    <w:rsid w:val="005545B2"/>
    <w:rsid w:val="00555A41"/>
    <w:rsid w:val="00555C38"/>
    <w:rsid w:val="00555E8D"/>
    <w:rsid w:val="0055697E"/>
    <w:rsid w:val="00557C95"/>
    <w:rsid w:val="0056334E"/>
    <w:rsid w:val="005648B1"/>
    <w:rsid w:val="00565401"/>
    <w:rsid w:val="00565A99"/>
    <w:rsid w:val="00570645"/>
    <w:rsid w:val="005707CB"/>
    <w:rsid w:val="00572397"/>
    <w:rsid w:val="00572A8E"/>
    <w:rsid w:val="00573929"/>
    <w:rsid w:val="00574A4D"/>
    <w:rsid w:val="00576BC8"/>
    <w:rsid w:val="00577BDC"/>
    <w:rsid w:val="00587298"/>
    <w:rsid w:val="00587C5B"/>
    <w:rsid w:val="005921AA"/>
    <w:rsid w:val="005922D5"/>
    <w:rsid w:val="00593B4C"/>
    <w:rsid w:val="005949D4"/>
    <w:rsid w:val="005A1985"/>
    <w:rsid w:val="005A2515"/>
    <w:rsid w:val="005A2989"/>
    <w:rsid w:val="005A37EE"/>
    <w:rsid w:val="005A4DEE"/>
    <w:rsid w:val="005A616A"/>
    <w:rsid w:val="005A704D"/>
    <w:rsid w:val="005A72F0"/>
    <w:rsid w:val="005A7A09"/>
    <w:rsid w:val="005A7F64"/>
    <w:rsid w:val="005B0449"/>
    <w:rsid w:val="005B5C41"/>
    <w:rsid w:val="005B716B"/>
    <w:rsid w:val="005B73B0"/>
    <w:rsid w:val="005C0197"/>
    <w:rsid w:val="005C091D"/>
    <w:rsid w:val="005C0C11"/>
    <w:rsid w:val="005C112C"/>
    <w:rsid w:val="005C1669"/>
    <w:rsid w:val="005C4798"/>
    <w:rsid w:val="005C608B"/>
    <w:rsid w:val="005C6966"/>
    <w:rsid w:val="005D1282"/>
    <w:rsid w:val="005D3878"/>
    <w:rsid w:val="005D6331"/>
    <w:rsid w:val="005D74CD"/>
    <w:rsid w:val="005E0205"/>
    <w:rsid w:val="005E2BC6"/>
    <w:rsid w:val="005F037B"/>
    <w:rsid w:val="005F15E9"/>
    <w:rsid w:val="005F1765"/>
    <w:rsid w:val="005F35ED"/>
    <w:rsid w:val="005F5674"/>
    <w:rsid w:val="005F6A6F"/>
    <w:rsid w:val="006021FC"/>
    <w:rsid w:val="006033F4"/>
    <w:rsid w:val="006040E2"/>
    <w:rsid w:val="00605324"/>
    <w:rsid w:val="0060641C"/>
    <w:rsid w:val="00607A81"/>
    <w:rsid w:val="00612474"/>
    <w:rsid w:val="00612616"/>
    <w:rsid w:val="00612A05"/>
    <w:rsid w:val="00613D44"/>
    <w:rsid w:val="0061527D"/>
    <w:rsid w:val="0061670C"/>
    <w:rsid w:val="006216BB"/>
    <w:rsid w:val="006225CC"/>
    <w:rsid w:val="0062509A"/>
    <w:rsid w:val="00630C62"/>
    <w:rsid w:val="00631721"/>
    <w:rsid w:val="00631EF3"/>
    <w:rsid w:val="00633AA8"/>
    <w:rsid w:val="006353E2"/>
    <w:rsid w:val="00636B7D"/>
    <w:rsid w:val="00643FC9"/>
    <w:rsid w:val="0064577B"/>
    <w:rsid w:val="00646C00"/>
    <w:rsid w:val="006509CE"/>
    <w:rsid w:val="00651846"/>
    <w:rsid w:val="00652C5D"/>
    <w:rsid w:val="006534FF"/>
    <w:rsid w:val="00653594"/>
    <w:rsid w:val="00661F59"/>
    <w:rsid w:val="00663D1C"/>
    <w:rsid w:val="006644C0"/>
    <w:rsid w:val="00671A00"/>
    <w:rsid w:val="00673314"/>
    <w:rsid w:val="00675B6F"/>
    <w:rsid w:val="00677AEB"/>
    <w:rsid w:val="0068232F"/>
    <w:rsid w:val="00682870"/>
    <w:rsid w:val="00686ED2"/>
    <w:rsid w:val="00686F73"/>
    <w:rsid w:val="00687968"/>
    <w:rsid w:val="00690C08"/>
    <w:rsid w:val="00693BD3"/>
    <w:rsid w:val="00694D68"/>
    <w:rsid w:val="00695E1C"/>
    <w:rsid w:val="00695F3D"/>
    <w:rsid w:val="00696890"/>
    <w:rsid w:val="006972E6"/>
    <w:rsid w:val="006974D8"/>
    <w:rsid w:val="006A0A0E"/>
    <w:rsid w:val="006A15A7"/>
    <w:rsid w:val="006A1F6B"/>
    <w:rsid w:val="006A3330"/>
    <w:rsid w:val="006A3CDE"/>
    <w:rsid w:val="006A40C6"/>
    <w:rsid w:val="006A433E"/>
    <w:rsid w:val="006A490E"/>
    <w:rsid w:val="006A6BE4"/>
    <w:rsid w:val="006A7125"/>
    <w:rsid w:val="006A78E3"/>
    <w:rsid w:val="006B1F0E"/>
    <w:rsid w:val="006B3785"/>
    <w:rsid w:val="006B38E7"/>
    <w:rsid w:val="006B7309"/>
    <w:rsid w:val="006C026F"/>
    <w:rsid w:val="006C11B4"/>
    <w:rsid w:val="006C2440"/>
    <w:rsid w:val="006C259F"/>
    <w:rsid w:val="006D01FE"/>
    <w:rsid w:val="006D0304"/>
    <w:rsid w:val="006D3B0D"/>
    <w:rsid w:val="006D3E5E"/>
    <w:rsid w:val="006D478A"/>
    <w:rsid w:val="006D4A87"/>
    <w:rsid w:val="006D4D35"/>
    <w:rsid w:val="006D58C6"/>
    <w:rsid w:val="006D5E61"/>
    <w:rsid w:val="006D616F"/>
    <w:rsid w:val="006E06DB"/>
    <w:rsid w:val="006E0B16"/>
    <w:rsid w:val="006E341F"/>
    <w:rsid w:val="006E3888"/>
    <w:rsid w:val="006E7F30"/>
    <w:rsid w:val="006F1FEA"/>
    <w:rsid w:val="006F287B"/>
    <w:rsid w:val="006F454A"/>
    <w:rsid w:val="006F4EB5"/>
    <w:rsid w:val="006F5D21"/>
    <w:rsid w:val="006F5D5B"/>
    <w:rsid w:val="006F766F"/>
    <w:rsid w:val="006F796B"/>
    <w:rsid w:val="00702E26"/>
    <w:rsid w:val="00703A1E"/>
    <w:rsid w:val="00704B07"/>
    <w:rsid w:val="0070678D"/>
    <w:rsid w:val="00717E6A"/>
    <w:rsid w:val="00720365"/>
    <w:rsid w:val="007225E2"/>
    <w:rsid w:val="00722669"/>
    <w:rsid w:val="00723655"/>
    <w:rsid w:val="0072453F"/>
    <w:rsid w:val="00724A8A"/>
    <w:rsid w:val="00724F14"/>
    <w:rsid w:val="0072507A"/>
    <w:rsid w:val="00725E0E"/>
    <w:rsid w:val="007263BF"/>
    <w:rsid w:val="00733CBC"/>
    <w:rsid w:val="00735645"/>
    <w:rsid w:val="00735A21"/>
    <w:rsid w:val="00735F7F"/>
    <w:rsid w:val="00736A0F"/>
    <w:rsid w:val="00741214"/>
    <w:rsid w:val="00741270"/>
    <w:rsid w:val="00741496"/>
    <w:rsid w:val="00742182"/>
    <w:rsid w:val="007446D7"/>
    <w:rsid w:val="00746D91"/>
    <w:rsid w:val="00747225"/>
    <w:rsid w:val="00750CA1"/>
    <w:rsid w:val="007532AF"/>
    <w:rsid w:val="00753C2B"/>
    <w:rsid w:val="0075523F"/>
    <w:rsid w:val="00760072"/>
    <w:rsid w:val="007615EA"/>
    <w:rsid w:val="00761896"/>
    <w:rsid w:val="00762FF7"/>
    <w:rsid w:val="00763AA8"/>
    <w:rsid w:val="00763E82"/>
    <w:rsid w:val="007667E9"/>
    <w:rsid w:val="00770391"/>
    <w:rsid w:val="007705DB"/>
    <w:rsid w:val="00771732"/>
    <w:rsid w:val="00771A54"/>
    <w:rsid w:val="00773B9C"/>
    <w:rsid w:val="00774007"/>
    <w:rsid w:val="00777ABC"/>
    <w:rsid w:val="007800AA"/>
    <w:rsid w:val="007818DC"/>
    <w:rsid w:val="007822FF"/>
    <w:rsid w:val="00783EC9"/>
    <w:rsid w:val="007905B1"/>
    <w:rsid w:val="00790AA4"/>
    <w:rsid w:val="00792DBA"/>
    <w:rsid w:val="00797FD8"/>
    <w:rsid w:val="007A0785"/>
    <w:rsid w:val="007A0D09"/>
    <w:rsid w:val="007A22D0"/>
    <w:rsid w:val="007B1AA4"/>
    <w:rsid w:val="007B1AEF"/>
    <w:rsid w:val="007B22C5"/>
    <w:rsid w:val="007B53F0"/>
    <w:rsid w:val="007B55CE"/>
    <w:rsid w:val="007B588F"/>
    <w:rsid w:val="007B5D00"/>
    <w:rsid w:val="007B7D9F"/>
    <w:rsid w:val="007C026D"/>
    <w:rsid w:val="007C1CBD"/>
    <w:rsid w:val="007C4380"/>
    <w:rsid w:val="007C77BC"/>
    <w:rsid w:val="007D1E32"/>
    <w:rsid w:val="007D37D9"/>
    <w:rsid w:val="007D41F8"/>
    <w:rsid w:val="007D4BCD"/>
    <w:rsid w:val="007D4EF5"/>
    <w:rsid w:val="007E18B5"/>
    <w:rsid w:val="007E2327"/>
    <w:rsid w:val="007E27EE"/>
    <w:rsid w:val="007E3901"/>
    <w:rsid w:val="007E7608"/>
    <w:rsid w:val="007E7A7F"/>
    <w:rsid w:val="007F0CC4"/>
    <w:rsid w:val="007F2919"/>
    <w:rsid w:val="007F3555"/>
    <w:rsid w:val="007F386C"/>
    <w:rsid w:val="007F46A9"/>
    <w:rsid w:val="007F6A70"/>
    <w:rsid w:val="008009FF"/>
    <w:rsid w:val="008013A2"/>
    <w:rsid w:val="00802FF7"/>
    <w:rsid w:val="008040AA"/>
    <w:rsid w:val="008054A6"/>
    <w:rsid w:val="0080682F"/>
    <w:rsid w:val="00807215"/>
    <w:rsid w:val="00810CAB"/>
    <w:rsid w:val="00812BD7"/>
    <w:rsid w:val="00812E67"/>
    <w:rsid w:val="00816155"/>
    <w:rsid w:val="00816226"/>
    <w:rsid w:val="008200AC"/>
    <w:rsid w:val="008207D2"/>
    <w:rsid w:val="00821A92"/>
    <w:rsid w:val="00822D6C"/>
    <w:rsid w:val="00824262"/>
    <w:rsid w:val="008246CE"/>
    <w:rsid w:val="008248CC"/>
    <w:rsid w:val="00824B67"/>
    <w:rsid w:val="00825A55"/>
    <w:rsid w:val="008302B6"/>
    <w:rsid w:val="00833896"/>
    <w:rsid w:val="00833A94"/>
    <w:rsid w:val="00834823"/>
    <w:rsid w:val="00840138"/>
    <w:rsid w:val="00843B09"/>
    <w:rsid w:val="0084483E"/>
    <w:rsid w:val="00845478"/>
    <w:rsid w:val="00845580"/>
    <w:rsid w:val="00850DB5"/>
    <w:rsid w:val="0085138B"/>
    <w:rsid w:val="008534F2"/>
    <w:rsid w:val="00853903"/>
    <w:rsid w:val="00853CD0"/>
    <w:rsid w:val="00853DDA"/>
    <w:rsid w:val="00856B0A"/>
    <w:rsid w:val="008570C5"/>
    <w:rsid w:val="0086041F"/>
    <w:rsid w:val="00860E9C"/>
    <w:rsid w:val="00863C12"/>
    <w:rsid w:val="00863C14"/>
    <w:rsid w:val="008647E5"/>
    <w:rsid w:val="0086538A"/>
    <w:rsid w:val="008653A1"/>
    <w:rsid w:val="0086679B"/>
    <w:rsid w:val="00866A05"/>
    <w:rsid w:val="00867421"/>
    <w:rsid w:val="008705A5"/>
    <w:rsid w:val="00870CB3"/>
    <w:rsid w:val="0087574C"/>
    <w:rsid w:val="0087577F"/>
    <w:rsid w:val="00875F44"/>
    <w:rsid w:val="0088116A"/>
    <w:rsid w:val="00885FE7"/>
    <w:rsid w:val="008863AA"/>
    <w:rsid w:val="008871A2"/>
    <w:rsid w:val="00892CFF"/>
    <w:rsid w:val="008939BE"/>
    <w:rsid w:val="008952F4"/>
    <w:rsid w:val="00896D01"/>
    <w:rsid w:val="008A2987"/>
    <w:rsid w:val="008A2D5E"/>
    <w:rsid w:val="008A3502"/>
    <w:rsid w:val="008A43FB"/>
    <w:rsid w:val="008A7B63"/>
    <w:rsid w:val="008B42DC"/>
    <w:rsid w:val="008B4589"/>
    <w:rsid w:val="008B57DB"/>
    <w:rsid w:val="008B6620"/>
    <w:rsid w:val="008B67FC"/>
    <w:rsid w:val="008C268D"/>
    <w:rsid w:val="008C2938"/>
    <w:rsid w:val="008C3F49"/>
    <w:rsid w:val="008C4C9D"/>
    <w:rsid w:val="008C6899"/>
    <w:rsid w:val="008C6C3E"/>
    <w:rsid w:val="008C73FC"/>
    <w:rsid w:val="008D1947"/>
    <w:rsid w:val="008D1B92"/>
    <w:rsid w:val="008D2445"/>
    <w:rsid w:val="008D2E70"/>
    <w:rsid w:val="008D7EAC"/>
    <w:rsid w:val="008E009E"/>
    <w:rsid w:val="008E02CC"/>
    <w:rsid w:val="008E0740"/>
    <w:rsid w:val="008E0E73"/>
    <w:rsid w:val="008E2DF0"/>
    <w:rsid w:val="008E3AA6"/>
    <w:rsid w:val="008E4B62"/>
    <w:rsid w:val="008E5DF2"/>
    <w:rsid w:val="008E745E"/>
    <w:rsid w:val="008F09C6"/>
    <w:rsid w:val="008F2571"/>
    <w:rsid w:val="00900814"/>
    <w:rsid w:val="00901F06"/>
    <w:rsid w:val="0090317C"/>
    <w:rsid w:val="009078E4"/>
    <w:rsid w:val="009114B6"/>
    <w:rsid w:val="00915005"/>
    <w:rsid w:val="00916722"/>
    <w:rsid w:val="00921CA1"/>
    <w:rsid w:val="00926158"/>
    <w:rsid w:val="0092634C"/>
    <w:rsid w:val="009277AB"/>
    <w:rsid w:val="00932E66"/>
    <w:rsid w:val="0093319D"/>
    <w:rsid w:val="00933DBF"/>
    <w:rsid w:val="009351F0"/>
    <w:rsid w:val="00936EFE"/>
    <w:rsid w:val="0093705B"/>
    <w:rsid w:val="009370B8"/>
    <w:rsid w:val="009409C8"/>
    <w:rsid w:val="009425AF"/>
    <w:rsid w:val="00944839"/>
    <w:rsid w:val="00947AFD"/>
    <w:rsid w:val="00950716"/>
    <w:rsid w:val="00950ABF"/>
    <w:rsid w:val="00950B52"/>
    <w:rsid w:val="0095623A"/>
    <w:rsid w:val="009604D4"/>
    <w:rsid w:val="0096247B"/>
    <w:rsid w:val="009635D1"/>
    <w:rsid w:val="00963CD8"/>
    <w:rsid w:val="00965AD7"/>
    <w:rsid w:val="00966582"/>
    <w:rsid w:val="00966C3D"/>
    <w:rsid w:val="00972451"/>
    <w:rsid w:val="00972C29"/>
    <w:rsid w:val="00973A93"/>
    <w:rsid w:val="009806A4"/>
    <w:rsid w:val="00981079"/>
    <w:rsid w:val="00982190"/>
    <w:rsid w:val="00984F44"/>
    <w:rsid w:val="0098538C"/>
    <w:rsid w:val="00985C99"/>
    <w:rsid w:val="00987356"/>
    <w:rsid w:val="009873D6"/>
    <w:rsid w:val="00990822"/>
    <w:rsid w:val="00991673"/>
    <w:rsid w:val="0099530F"/>
    <w:rsid w:val="00997A4E"/>
    <w:rsid w:val="00997A77"/>
    <w:rsid w:val="009A11FE"/>
    <w:rsid w:val="009A3E15"/>
    <w:rsid w:val="009B168A"/>
    <w:rsid w:val="009B35A2"/>
    <w:rsid w:val="009B36AC"/>
    <w:rsid w:val="009B3EC2"/>
    <w:rsid w:val="009B56E3"/>
    <w:rsid w:val="009B5C09"/>
    <w:rsid w:val="009C0B34"/>
    <w:rsid w:val="009C1CE5"/>
    <w:rsid w:val="009C2035"/>
    <w:rsid w:val="009C27CA"/>
    <w:rsid w:val="009C4648"/>
    <w:rsid w:val="009D0E06"/>
    <w:rsid w:val="009D2887"/>
    <w:rsid w:val="009D44C7"/>
    <w:rsid w:val="009D4530"/>
    <w:rsid w:val="009D4581"/>
    <w:rsid w:val="009D5927"/>
    <w:rsid w:val="009D78FE"/>
    <w:rsid w:val="009D7940"/>
    <w:rsid w:val="009E0685"/>
    <w:rsid w:val="009E19B8"/>
    <w:rsid w:val="009E1BFB"/>
    <w:rsid w:val="009E2F18"/>
    <w:rsid w:val="009E4A40"/>
    <w:rsid w:val="009E549B"/>
    <w:rsid w:val="009E6615"/>
    <w:rsid w:val="009E707D"/>
    <w:rsid w:val="009E7B00"/>
    <w:rsid w:val="009F08E2"/>
    <w:rsid w:val="009F1931"/>
    <w:rsid w:val="009F2D94"/>
    <w:rsid w:val="009F48C2"/>
    <w:rsid w:val="009F5DDA"/>
    <w:rsid w:val="009F6195"/>
    <w:rsid w:val="009F68AD"/>
    <w:rsid w:val="00A016DF"/>
    <w:rsid w:val="00A03182"/>
    <w:rsid w:val="00A05A22"/>
    <w:rsid w:val="00A104DD"/>
    <w:rsid w:val="00A1102A"/>
    <w:rsid w:val="00A1174B"/>
    <w:rsid w:val="00A11FF0"/>
    <w:rsid w:val="00A138DC"/>
    <w:rsid w:val="00A14193"/>
    <w:rsid w:val="00A15261"/>
    <w:rsid w:val="00A16BED"/>
    <w:rsid w:val="00A20B02"/>
    <w:rsid w:val="00A2143F"/>
    <w:rsid w:val="00A218ED"/>
    <w:rsid w:val="00A232F7"/>
    <w:rsid w:val="00A23322"/>
    <w:rsid w:val="00A23B65"/>
    <w:rsid w:val="00A24E51"/>
    <w:rsid w:val="00A25A9C"/>
    <w:rsid w:val="00A26E83"/>
    <w:rsid w:val="00A30E51"/>
    <w:rsid w:val="00A3451C"/>
    <w:rsid w:val="00A37903"/>
    <w:rsid w:val="00A37AA7"/>
    <w:rsid w:val="00A449B8"/>
    <w:rsid w:val="00A46BD3"/>
    <w:rsid w:val="00A47B0E"/>
    <w:rsid w:val="00A50076"/>
    <w:rsid w:val="00A50133"/>
    <w:rsid w:val="00A627A7"/>
    <w:rsid w:val="00A62C8B"/>
    <w:rsid w:val="00A633FC"/>
    <w:rsid w:val="00A6343B"/>
    <w:rsid w:val="00A63EFE"/>
    <w:rsid w:val="00A70DE2"/>
    <w:rsid w:val="00A70E11"/>
    <w:rsid w:val="00A718B5"/>
    <w:rsid w:val="00A72642"/>
    <w:rsid w:val="00A729AF"/>
    <w:rsid w:val="00A744AF"/>
    <w:rsid w:val="00A749E6"/>
    <w:rsid w:val="00A74A8B"/>
    <w:rsid w:val="00A75199"/>
    <w:rsid w:val="00A80E21"/>
    <w:rsid w:val="00A83660"/>
    <w:rsid w:val="00A870A9"/>
    <w:rsid w:val="00A87345"/>
    <w:rsid w:val="00A907DF"/>
    <w:rsid w:val="00A90A6A"/>
    <w:rsid w:val="00A94798"/>
    <w:rsid w:val="00A963AA"/>
    <w:rsid w:val="00AA146C"/>
    <w:rsid w:val="00AA2C8D"/>
    <w:rsid w:val="00AA2E22"/>
    <w:rsid w:val="00AA301F"/>
    <w:rsid w:val="00AA32B6"/>
    <w:rsid w:val="00AA3E9C"/>
    <w:rsid w:val="00AA4FB5"/>
    <w:rsid w:val="00AA5C88"/>
    <w:rsid w:val="00AA61C9"/>
    <w:rsid w:val="00AB3ED9"/>
    <w:rsid w:val="00AB65FF"/>
    <w:rsid w:val="00AB66E8"/>
    <w:rsid w:val="00AB780E"/>
    <w:rsid w:val="00AB7813"/>
    <w:rsid w:val="00AC0968"/>
    <w:rsid w:val="00AC0B95"/>
    <w:rsid w:val="00AC1201"/>
    <w:rsid w:val="00AC1BBC"/>
    <w:rsid w:val="00AC24B5"/>
    <w:rsid w:val="00AC583D"/>
    <w:rsid w:val="00AD28EF"/>
    <w:rsid w:val="00AD7532"/>
    <w:rsid w:val="00AE13B1"/>
    <w:rsid w:val="00AE1460"/>
    <w:rsid w:val="00AE175E"/>
    <w:rsid w:val="00AE260F"/>
    <w:rsid w:val="00AE3739"/>
    <w:rsid w:val="00AE3C7B"/>
    <w:rsid w:val="00AE3EE5"/>
    <w:rsid w:val="00AE4165"/>
    <w:rsid w:val="00AE42F4"/>
    <w:rsid w:val="00AE5753"/>
    <w:rsid w:val="00AE7FBA"/>
    <w:rsid w:val="00AF380B"/>
    <w:rsid w:val="00AF67C8"/>
    <w:rsid w:val="00AF689A"/>
    <w:rsid w:val="00AF7E8F"/>
    <w:rsid w:val="00B01FC1"/>
    <w:rsid w:val="00B06DA2"/>
    <w:rsid w:val="00B06F72"/>
    <w:rsid w:val="00B103E8"/>
    <w:rsid w:val="00B10EEC"/>
    <w:rsid w:val="00B11EF5"/>
    <w:rsid w:val="00B12A54"/>
    <w:rsid w:val="00B1450E"/>
    <w:rsid w:val="00B154E7"/>
    <w:rsid w:val="00B158A1"/>
    <w:rsid w:val="00B16244"/>
    <w:rsid w:val="00B16FC4"/>
    <w:rsid w:val="00B1736C"/>
    <w:rsid w:val="00B21408"/>
    <w:rsid w:val="00B23A07"/>
    <w:rsid w:val="00B24EDF"/>
    <w:rsid w:val="00B253F8"/>
    <w:rsid w:val="00B27704"/>
    <w:rsid w:val="00B27AD8"/>
    <w:rsid w:val="00B300DD"/>
    <w:rsid w:val="00B31026"/>
    <w:rsid w:val="00B315F8"/>
    <w:rsid w:val="00B31B68"/>
    <w:rsid w:val="00B320AE"/>
    <w:rsid w:val="00B343B8"/>
    <w:rsid w:val="00B34811"/>
    <w:rsid w:val="00B34DE7"/>
    <w:rsid w:val="00B360A7"/>
    <w:rsid w:val="00B371C2"/>
    <w:rsid w:val="00B42DD5"/>
    <w:rsid w:val="00B43578"/>
    <w:rsid w:val="00B441C9"/>
    <w:rsid w:val="00B446BE"/>
    <w:rsid w:val="00B44717"/>
    <w:rsid w:val="00B45AF7"/>
    <w:rsid w:val="00B46616"/>
    <w:rsid w:val="00B50291"/>
    <w:rsid w:val="00B52195"/>
    <w:rsid w:val="00B526DB"/>
    <w:rsid w:val="00B53FB1"/>
    <w:rsid w:val="00B54F6D"/>
    <w:rsid w:val="00B5745C"/>
    <w:rsid w:val="00B57847"/>
    <w:rsid w:val="00B6014A"/>
    <w:rsid w:val="00B60226"/>
    <w:rsid w:val="00B60B2A"/>
    <w:rsid w:val="00B6436E"/>
    <w:rsid w:val="00B66319"/>
    <w:rsid w:val="00B67F5C"/>
    <w:rsid w:val="00B71DF4"/>
    <w:rsid w:val="00B7307D"/>
    <w:rsid w:val="00B748E2"/>
    <w:rsid w:val="00B74BD3"/>
    <w:rsid w:val="00B74C4F"/>
    <w:rsid w:val="00B750B4"/>
    <w:rsid w:val="00B7529B"/>
    <w:rsid w:val="00B75562"/>
    <w:rsid w:val="00B7656A"/>
    <w:rsid w:val="00B767FF"/>
    <w:rsid w:val="00B77641"/>
    <w:rsid w:val="00B8269D"/>
    <w:rsid w:val="00B83FF5"/>
    <w:rsid w:val="00B858A9"/>
    <w:rsid w:val="00B85B32"/>
    <w:rsid w:val="00B87151"/>
    <w:rsid w:val="00B8724C"/>
    <w:rsid w:val="00B92360"/>
    <w:rsid w:val="00B92632"/>
    <w:rsid w:val="00B93D80"/>
    <w:rsid w:val="00B9534C"/>
    <w:rsid w:val="00B96C4D"/>
    <w:rsid w:val="00B96EA7"/>
    <w:rsid w:val="00BA590A"/>
    <w:rsid w:val="00BB24BC"/>
    <w:rsid w:val="00BB6375"/>
    <w:rsid w:val="00BC3D2E"/>
    <w:rsid w:val="00BC4AC2"/>
    <w:rsid w:val="00BC5180"/>
    <w:rsid w:val="00BD01B4"/>
    <w:rsid w:val="00BD20EE"/>
    <w:rsid w:val="00BD6B29"/>
    <w:rsid w:val="00BD75F8"/>
    <w:rsid w:val="00BE32F1"/>
    <w:rsid w:val="00BE42AA"/>
    <w:rsid w:val="00BE4D5F"/>
    <w:rsid w:val="00BE4F45"/>
    <w:rsid w:val="00BE7E3B"/>
    <w:rsid w:val="00BF0192"/>
    <w:rsid w:val="00BF1276"/>
    <w:rsid w:val="00BF185E"/>
    <w:rsid w:val="00BF269D"/>
    <w:rsid w:val="00BF3BB8"/>
    <w:rsid w:val="00BF3BE3"/>
    <w:rsid w:val="00BF3C09"/>
    <w:rsid w:val="00BF57AA"/>
    <w:rsid w:val="00BF5F6E"/>
    <w:rsid w:val="00BF6B90"/>
    <w:rsid w:val="00BF7F98"/>
    <w:rsid w:val="00C036B1"/>
    <w:rsid w:val="00C0669C"/>
    <w:rsid w:val="00C07854"/>
    <w:rsid w:val="00C14A9D"/>
    <w:rsid w:val="00C16A22"/>
    <w:rsid w:val="00C16A81"/>
    <w:rsid w:val="00C16D06"/>
    <w:rsid w:val="00C178F4"/>
    <w:rsid w:val="00C17FA3"/>
    <w:rsid w:val="00C2208F"/>
    <w:rsid w:val="00C2379E"/>
    <w:rsid w:val="00C23B56"/>
    <w:rsid w:val="00C23F03"/>
    <w:rsid w:val="00C2647B"/>
    <w:rsid w:val="00C26998"/>
    <w:rsid w:val="00C26C25"/>
    <w:rsid w:val="00C27653"/>
    <w:rsid w:val="00C27799"/>
    <w:rsid w:val="00C27ECA"/>
    <w:rsid w:val="00C31AD7"/>
    <w:rsid w:val="00C32C4F"/>
    <w:rsid w:val="00C32E63"/>
    <w:rsid w:val="00C366C5"/>
    <w:rsid w:val="00C36BAB"/>
    <w:rsid w:val="00C3725A"/>
    <w:rsid w:val="00C40B25"/>
    <w:rsid w:val="00C42FDB"/>
    <w:rsid w:val="00C432E3"/>
    <w:rsid w:val="00C444B4"/>
    <w:rsid w:val="00C4629C"/>
    <w:rsid w:val="00C51278"/>
    <w:rsid w:val="00C51D7C"/>
    <w:rsid w:val="00C51F1E"/>
    <w:rsid w:val="00C5303F"/>
    <w:rsid w:val="00C53474"/>
    <w:rsid w:val="00C557D3"/>
    <w:rsid w:val="00C6408C"/>
    <w:rsid w:val="00C64A26"/>
    <w:rsid w:val="00C64D0A"/>
    <w:rsid w:val="00C64D68"/>
    <w:rsid w:val="00C65DE2"/>
    <w:rsid w:val="00C66475"/>
    <w:rsid w:val="00C732E1"/>
    <w:rsid w:val="00C752BA"/>
    <w:rsid w:val="00C82076"/>
    <w:rsid w:val="00C8235C"/>
    <w:rsid w:val="00C82C60"/>
    <w:rsid w:val="00C87511"/>
    <w:rsid w:val="00C909DD"/>
    <w:rsid w:val="00C925D4"/>
    <w:rsid w:val="00C928F4"/>
    <w:rsid w:val="00C94583"/>
    <w:rsid w:val="00C97ECE"/>
    <w:rsid w:val="00CA7FBD"/>
    <w:rsid w:val="00CB0D8A"/>
    <w:rsid w:val="00CB3036"/>
    <w:rsid w:val="00CB3233"/>
    <w:rsid w:val="00CB44DD"/>
    <w:rsid w:val="00CB6AB2"/>
    <w:rsid w:val="00CC013E"/>
    <w:rsid w:val="00CC0324"/>
    <w:rsid w:val="00CC03EC"/>
    <w:rsid w:val="00CC2966"/>
    <w:rsid w:val="00CC4E97"/>
    <w:rsid w:val="00CD29E4"/>
    <w:rsid w:val="00CD30F2"/>
    <w:rsid w:val="00CD39DB"/>
    <w:rsid w:val="00CD4020"/>
    <w:rsid w:val="00CD5344"/>
    <w:rsid w:val="00CD6835"/>
    <w:rsid w:val="00CE002B"/>
    <w:rsid w:val="00CE090E"/>
    <w:rsid w:val="00CE0A23"/>
    <w:rsid w:val="00CE0D3D"/>
    <w:rsid w:val="00CE1487"/>
    <w:rsid w:val="00CE183D"/>
    <w:rsid w:val="00CE373C"/>
    <w:rsid w:val="00CE3FAF"/>
    <w:rsid w:val="00CE59FB"/>
    <w:rsid w:val="00CE5ADA"/>
    <w:rsid w:val="00CF5C1A"/>
    <w:rsid w:val="00CF6633"/>
    <w:rsid w:val="00D00A40"/>
    <w:rsid w:val="00D06C55"/>
    <w:rsid w:val="00D0783E"/>
    <w:rsid w:val="00D107A4"/>
    <w:rsid w:val="00D11219"/>
    <w:rsid w:val="00D11FA0"/>
    <w:rsid w:val="00D1279B"/>
    <w:rsid w:val="00D16C3C"/>
    <w:rsid w:val="00D2524F"/>
    <w:rsid w:val="00D273C8"/>
    <w:rsid w:val="00D27458"/>
    <w:rsid w:val="00D30D89"/>
    <w:rsid w:val="00D30EC8"/>
    <w:rsid w:val="00D30FC0"/>
    <w:rsid w:val="00D34FF3"/>
    <w:rsid w:val="00D352A7"/>
    <w:rsid w:val="00D36362"/>
    <w:rsid w:val="00D41D21"/>
    <w:rsid w:val="00D4216C"/>
    <w:rsid w:val="00D4361E"/>
    <w:rsid w:val="00D439A9"/>
    <w:rsid w:val="00D45981"/>
    <w:rsid w:val="00D459BE"/>
    <w:rsid w:val="00D46434"/>
    <w:rsid w:val="00D46BBB"/>
    <w:rsid w:val="00D47CE9"/>
    <w:rsid w:val="00D52048"/>
    <w:rsid w:val="00D55E07"/>
    <w:rsid w:val="00D617FA"/>
    <w:rsid w:val="00D63327"/>
    <w:rsid w:val="00D639C6"/>
    <w:rsid w:val="00D652D9"/>
    <w:rsid w:val="00D65B7D"/>
    <w:rsid w:val="00D66899"/>
    <w:rsid w:val="00D71934"/>
    <w:rsid w:val="00D72437"/>
    <w:rsid w:val="00D729AC"/>
    <w:rsid w:val="00D7335A"/>
    <w:rsid w:val="00D75288"/>
    <w:rsid w:val="00D7684B"/>
    <w:rsid w:val="00D76872"/>
    <w:rsid w:val="00D80D54"/>
    <w:rsid w:val="00D8395A"/>
    <w:rsid w:val="00D83F18"/>
    <w:rsid w:val="00D86003"/>
    <w:rsid w:val="00D904D6"/>
    <w:rsid w:val="00D93CE4"/>
    <w:rsid w:val="00D93D2D"/>
    <w:rsid w:val="00D94C04"/>
    <w:rsid w:val="00D97E66"/>
    <w:rsid w:val="00DA021F"/>
    <w:rsid w:val="00DA15B3"/>
    <w:rsid w:val="00DA2524"/>
    <w:rsid w:val="00DA2B11"/>
    <w:rsid w:val="00DA45E4"/>
    <w:rsid w:val="00DA59EE"/>
    <w:rsid w:val="00DA6A1F"/>
    <w:rsid w:val="00DB2063"/>
    <w:rsid w:val="00DB3D40"/>
    <w:rsid w:val="00DB69CC"/>
    <w:rsid w:val="00DB728F"/>
    <w:rsid w:val="00DC34DF"/>
    <w:rsid w:val="00DC552E"/>
    <w:rsid w:val="00DC616E"/>
    <w:rsid w:val="00DC7C2C"/>
    <w:rsid w:val="00DD0206"/>
    <w:rsid w:val="00DD2D75"/>
    <w:rsid w:val="00DD4C5C"/>
    <w:rsid w:val="00DD4C87"/>
    <w:rsid w:val="00DD4F41"/>
    <w:rsid w:val="00DE173E"/>
    <w:rsid w:val="00DE3FFA"/>
    <w:rsid w:val="00DE4B7C"/>
    <w:rsid w:val="00DE5972"/>
    <w:rsid w:val="00DE6EA0"/>
    <w:rsid w:val="00DE770C"/>
    <w:rsid w:val="00DF02A6"/>
    <w:rsid w:val="00DF02AA"/>
    <w:rsid w:val="00DF229C"/>
    <w:rsid w:val="00DF5293"/>
    <w:rsid w:val="00DF7272"/>
    <w:rsid w:val="00DF7611"/>
    <w:rsid w:val="00DF772F"/>
    <w:rsid w:val="00E0297B"/>
    <w:rsid w:val="00E02C2D"/>
    <w:rsid w:val="00E053CF"/>
    <w:rsid w:val="00E0575C"/>
    <w:rsid w:val="00E0742C"/>
    <w:rsid w:val="00E114A4"/>
    <w:rsid w:val="00E16A36"/>
    <w:rsid w:val="00E17ADD"/>
    <w:rsid w:val="00E20B0F"/>
    <w:rsid w:val="00E21E1A"/>
    <w:rsid w:val="00E21FB7"/>
    <w:rsid w:val="00E2315B"/>
    <w:rsid w:val="00E24401"/>
    <w:rsid w:val="00E27D55"/>
    <w:rsid w:val="00E3101A"/>
    <w:rsid w:val="00E31A68"/>
    <w:rsid w:val="00E343CA"/>
    <w:rsid w:val="00E3483D"/>
    <w:rsid w:val="00E351C9"/>
    <w:rsid w:val="00E3622C"/>
    <w:rsid w:val="00E378A4"/>
    <w:rsid w:val="00E408A6"/>
    <w:rsid w:val="00E42632"/>
    <w:rsid w:val="00E446FA"/>
    <w:rsid w:val="00E44809"/>
    <w:rsid w:val="00E44A3E"/>
    <w:rsid w:val="00E4600A"/>
    <w:rsid w:val="00E461B9"/>
    <w:rsid w:val="00E47314"/>
    <w:rsid w:val="00E477D7"/>
    <w:rsid w:val="00E50F34"/>
    <w:rsid w:val="00E513E2"/>
    <w:rsid w:val="00E51490"/>
    <w:rsid w:val="00E545EC"/>
    <w:rsid w:val="00E54FDA"/>
    <w:rsid w:val="00E56376"/>
    <w:rsid w:val="00E574B0"/>
    <w:rsid w:val="00E621EB"/>
    <w:rsid w:val="00E6263D"/>
    <w:rsid w:val="00E632E8"/>
    <w:rsid w:val="00E639F4"/>
    <w:rsid w:val="00E6445A"/>
    <w:rsid w:val="00E71BF6"/>
    <w:rsid w:val="00E737F1"/>
    <w:rsid w:val="00E775A9"/>
    <w:rsid w:val="00E80E9B"/>
    <w:rsid w:val="00E81834"/>
    <w:rsid w:val="00E82F72"/>
    <w:rsid w:val="00E90396"/>
    <w:rsid w:val="00E91CE9"/>
    <w:rsid w:val="00E93263"/>
    <w:rsid w:val="00E94DE0"/>
    <w:rsid w:val="00EA1B59"/>
    <w:rsid w:val="00EA1C23"/>
    <w:rsid w:val="00EA2441"/>
    <w:rsid w:val="00EB058A"/>
    <w:rsid w:val="00EB32D0"/>
    <w:rsid w:val="00EB4430"/>
    <w:rsid w:val="00EB46DC"/>
    <w:rsid w:val="00EC0A3E"/>
    <w:rsid w:val="00EC12AD"/>
    <w:rsid w:val="00EC2DC9"/>
    <w:rsid w:val="00EC2DD7"/>
    <w:rsid w:val="00EC47F0"/>
    <w:rsid w:val="00EC5775"/>
    <w:rsid w:val="00EC7E20"/>
    <w:rsid w:val="00ED0F6D"/>
    <w:rsid w:val="00ED171E"/>
    <w:rsid w:val="00ED2329"/>
    <w:rsid w:val="00ED39D2"/>
    <w:rsid w:val="00ED3C3A"/>
    <w:rsid w:val="00ED4227"/>
    <w:rsid w:val="00ED6378"/>
    <w:rsid w:val="00EE14C7"/>
    <w:rsid w:val="00EE2077"/>
    <w:rsid w:val="00EE279E"/>
    <w:rsid w:val="00EE2D55"/>
    <w:rsid w:val="00EE63A3"/>
    <w:rsid w:val="00EE65C6"/>
    <w:rsid w:val="00EE6ECB"/>
    <w:rsid w:val="00EF04AB"/>
    <w:rsid w:val="00EF30B6"/>
    <w:rsid w:val="00EF4592"/>
    <w:rsid w:val="00F03375"/>
    <w:rsid w:val="00F03DA2"/>
    <w:rsid w:val="00F106F6"/>
    <w:rsid w:val="00F1227D"/>
    <w:rsid w:val="00F12667"/>
    <w:rsid w:val="00F14EAD"/>
    <w:rsid w:val="00F14F07"/>
    <w:rsid w:val="00F15BCB"/>
    <w:rsid w:val="00F15EB3"/>
    <w:rsid w:val="00F1667E"/>
    <w:rsid w:val="00F1771C"/>
    <w:rsid w:val="00F2113E"/>
    <w:rsid w:val="00F21976"/>
    <w:rsid w:val="00F225CB"/>
    <w:rsid w:val="00F22685"/>
    <w:rsid w:val="00F2468E"/>
    <w:rsid w:val="00F25CB0"/>
    <w:rsid w:val="00F25DFD"/>
    <w:rsid w:val="00F26762"/>
    <w:rsid w:val="00F27F62"/>
    <w:rsid w:val="00F3161C"/>
    <w:rsid w:val="00F31F70"/>
    <w:rsid w:val="00F329FF"/>
    <w:rsid w:val="00F3357D"/>
    <w:rsid w:val="00F33B16"/>
    <w:rsid w:val="00F35FB9"/>
    <w:rsid w:val="00F44EC1"/>
    <w:rsid w:val="00F46793"/>
    <w:rsid w:val="00F46F28"/>
    <w:rsid w:val="00F47D54"/>
    <w:rsid w:val="00F53324"/>
    <w:rsid w:val="00F5501E"/>
    <w:rsid w:val="00F6012A"/>
    <w:rsid w:val="00F631A6"/>
    <w:rsid w:val="00F634C4"/>
    <w:rsid w:val="00F64813"/>
    <w:rsid w:val="00F655B6"/>
    <w:rsid w:val="00F6767F"/>
    <w:rsid w:val="00F7040F"/>
    <w:rsid w:val="00F707E5"/>
    <w:rsid w:val="00F708F8"/>
    <w:rsid w:val="00F73091"/>
    <w:rsid w:val="00F75186"/>
    <w:rsid w:val="00F757F5"/>
    <w:rsid w:val="00F76E96"/>
    <w:rsid w:val="00F77258"/>
    <w:rsid w:val="00F80343"/>
    <w:rsid w:val="00F8178A"/>
    <w:rsid w:val="00F82114"/>
    <w:rsid w:val="00F82CA4"/>
    <w:rsid w:val="00F843B4"/>
    <w:rsid w:val="00F85D7F"/>
    <w:rsid w:val="00F8742D"/>
    <w:rsid w:val="00F91F14"/>
    <w:rsid w:val="00F9403B"/>
    <w:rsid w:val="00FA15E5"/>
    <w:rsid w:val="00FA3DBD"/>
    <w:rsid w:val="00FA4AA8"/>
    <w:rsid w:val="00FA54FE"/>
    <w:rsid w:val="00FA61F0"/>
    <w:rsid w:val="00FA6EFE"/>
    <w:rsid w:val="00FA7692"/>
    <w:rsid w:val="00FA7FBA"/>
    <w:rsid w:val="00FB0433"/>
    <w:rsid w:val="00FB16A7"/>
    <w:rsid w:val="00FB18A0"/>
    <w:rsid w:val="00FB2F0A"/>
    <w:rsid w:val="00FB31FA"/>
    <w:rsid w:val="00FB5003"/>
    <w:rsid w:val="00FC0629"/>
    <w:rsid w:val="00FC1EE1"/>
    <w:rsid w:val="00FC5245"/>
    <w:rsid w:val="00FD04EB"/>
    <w:rsid w:val="00FD0DC4"/>
    <w:rsid w:val="00FD0F2F"/>
    <w:rsid w:val="00FD169D"/>
    <w:rsid w:val="00FD3780"/>
    <w:rsid w:val="00FD3B59"/>
    <w:rsid w:val="00FD3EE4"/>
    <w:rsid w:val="00FD4F79"/>
    <w:rsid w:val="00FD6109"/>
    <w:rsid w:val="00FD7CE4"/>
    <w:rsid w:val="00FD7F8F"/>
    <w:rsid w:val="00FE114A"/>
    <w:rsid w:val="00FE184F"/>
    <w:rsid w:val="00FE207A"/>
    <w:rsid w:val="00FE2F7B"/>
    <w:rsid w:val="00FE3EEA"/>
    <w:rsid w:val="00FE542F"/>
    <w:rsid w:val="00FF064D"/>
    <w:rsid w:val="00FF1DE6"/>
    <w:rsid w:val="00FF2204"/>
    <w:rsid w:val="00FF2821"/>
    <w:rsid w:val="00FF2D53"/>
    <w:rsid w:val="00FF36FA"/>
    <w:rsid w:val="00FF722C"/>
    <w:rsid w:val="010C2B69"/>
    <w:rsid w:val="018E5CC5"/>
    <w:rsid w:val="01977B2C"/>
    <w:rsid w:val="01CB2E8B"/>
    <w:rsid w:val="01DE1773"/>
    <w:rsid w:val="02667B4D"/>
    <w:rsid w:val="02A824AD"/>
    <w:rsid w:val="03930613"/>
    <w:rsid w:val="039447DF"/>
    <w:rsid w:val="03C06894"/>
    <w:rsid w:val="041D7567"/>
    <w:rsid w:val="04DC643E"/>
    <w:rsid w:val="05485881"/>
    <w:rsid w:val="065364FE"/>
    <w:rsid w:val="07015629"/>
    <w:rsid w:val="070E509C"/>
    <w:rsid w:val="07CB1364"/>
    <w:rsid w:val="07CC279A"/>
    <w:rsid w:val="08A9008E"/>
    <w:rsid w:val="097766A4"/>
    <w:rsid w:val="0AE72965"/>
    <w:rsid w:val="0AF7207F"/>
    <w:rsid w:val="0B106D25"/>
    <w:rsid w:val="0B195D7B"/>
    <w:rsid w:val="0B2E71DA"/>
    <w:rsid w:val="0B66419E"/>
    <w:rsid w:val="0C0B7609"/>
    <w:rsid w:val="0CFB767D"/>
    <w:rsid w:val="0E481D12"/>
    <w:rsid w:val="0EA7554F"/>
    <w:rsid w:val="0EDB59B8"/>
    <w:rsid w:val="0EE4486D"/>
    <w:rsid w:val="0EF3685E"/>
    <w:rsid w:val="0F955E06"/>
    <w:rsid w:val="10184E62"/>
    <w:rsid w:val="10205149"/>
    <w:rsid w:val="106D3063"/>
    <w:rsid w:val="12185725"/>
    <w:rsid w:val="12274A70"/>
    <w:rsid w:val="124244CE"/>
    <w:rsid w:val="12EF7E22"/>
    <w:rsid w:val="13590041"/>
    <w:rsid w:val="138E75D3"/>
    <w:rsid w:val="14A60BBB"/>
    <w:rsid w:val="14D346C6"/>
    <w:rsid w:val="15A33119"/>
    <w:rsid w:val="163015C4"/>
    <w:rsid w:val="16B32D77"/>
    <w:rsid w:val="16F65DA3"/>
    <w:rsid w:val="17B248C7"/>
    <w:rsid w:val="188501DE"/>
    <w:rsid w:val="193E726F"/>
    <w:rsid w:val="19805192"/>
    <w:rsid w:val="1AD56FF2"/>
    <w:rsid w:val="1B617245"/>
    <w:rsid w:val="1B852F33"/>
    <w:rsid w:val="1C0A2EB8"/>
    <w:rsid w:val="1C270975"/>
    <w:rsid w:val="1C6551CC"/>
    <w:rsid w:val="1C6E22CA"/>
    <w:rsid w:val="1E1957B4"/>
    <w:rsid w:val="1F0A567B"/>
    <w:rsid w:val="1F110373"/>
    <w:rsid w:val="1FB9308A"/>
    <w:rsid w:val="1FE87F35"/>
    <w:rsid w:val="21620938"/>
    <w:rsid w:val="23163ED6"/>
    <w:rsid w:val="23AD16E8"/>
    <w:rsid w:val="23B73EA6"/>
    <w:rsid w:val="23D61C99"/>
    <w:rsid w:val="248D4C07"/>
    <w:rsid w:val="24F86524"/>
    <w:rsid w:val="257B0F03"/>
    <w:rsid w:val="25EE7927"/>
    <w:rsid w:val="2613066B"/>
    <w:rsid w:val="261455E0"/>
    <w:rsid w:val="263C0693"/>
    <w:rsid w:val="267C13D7"/>
    <w:rsid w:val="269A22AF"/>
    <w:rsid w:val="26EA68A8"/>
    <w:rsid w:val="27217CEC"/>
    <w:rsid w:val="27BC17BF"/>
    <w:rsid w:val="27D76B06"/>
    <w:rsid w:val="27FD02F5"/>
    <w:rsid w:val="283E5421"/>
    <w:rsid w:val="283F26BC"/>
    <w:rsid w:val="28453CC8"/>
    <w:rsid w:val="28902F18"/>
    <w:rsid w:val="28930A95"/>
    <w:rsid w:val="28F33BD2"/>
    <w:rsid w:val="29624758"/>
    <w:rsid w:val="299A0972"/>
    <w:rsid w:val="29AC35F6"/>
    <w:rsid w:val="2A703001"/>
    <w:rsid w:val="2A8D770F"/>
    <w:rsid w:val="2B377690"/>
    <w:rsid w:val="2B7D7783"/>
    <w:rsid w:val="2B836D64"/>
    <w:rsid w:val="2B8C3E6A"/>
    <w:rsid w:val="2B9E508B"/>
    <w:rsid w:val="2BE316A7"/>
    <w:rsid w:val="2C453170"/>
    <w:rsid w:val="2C495545"/>
    <w:rsid w:val="2C4A23DD"/>
    <w:rsid w:val="2C6B7F24"/>
    <w:rsid w:val="2D0E2451"/>
    <w:rsid w:val="2E0221C2"/>
    <w:rsid w:val="2E4550AD"/>
    <w:rsid w:val="2F51608C"/>
    <w:rsid w:val="3038011D"/>
    <w:rsid w:val="303F594F"/>
    <w:rsid w:val="304167F7"/>
    <w:rsid w:val="30D53BFF"/>
    <w:rsid w:val="30DF67EA"/>
    <w:rsid w:val="32075FF9"/>
    <w:rsid w:val="3306714A"/>
    <w:rsid w:val="330F6123"/>
    <w:rsid w:val="335214F5"/>
    <w:rsid w:val="338A6CBC"/>
    <w:rsid w:val="34030A42"/>
    <w:rsid w:val="34607C42"/>
    <w:rsid w:val="357F059C"/>
    <w:rsid w:val="35943DB0"/>
    <w:rsid w:val="35D067A7"/>
    <w:rsid w:val="3715740A"/>
    <w:rsid w:val="37AE6F16"/>
    <w:rsid w:val="383A1294"/>
    <w:rsid w:val="388F2773"/>
    <w:rsid w:val="39047736"/>
    <w:rsid w:val="396401D4"/>
    <w:rsid w:val="39A131D7"/>
    <w:rsid w:val="39AB195F"/>
    <w:rsid w:val="39BF6117"/>
    <w:rsid w:val="3A2260A1"/>
    <w:rsid w:val="3B771C1F"/>
    <w:rsid w:val="3C77021F"/>
    <w:rsid w:val="3D671B69"/>
    <w:rsid w:val="3DD671C7"/>
    <w:rsid w:val="3E4051D3"/>
    <w:rsid w:val="3EAD2EC9"/>
    <w:rsid w:val="3EBA2645"/>
    <w:rsid w:val="40DE086C"/>
    <w:rsid w:val="41793B21"/>
    <w:rsid w:val="41795491"/>
    <w:rsid w:val="417A5147"/>
    <w:rsid w:val="418B713B"/>
    <w:rsid w:val="41C2228F"/>
    <w:rsid w:val="421E67E1"/>
    <w:rsid w:val="4220265B"/>
    <w:rsid w:val="426F3F97"/>
    <w:rsid w:val="42B53CC1"/>
    <w:rsid w:val="432D4E22"/>
    <w:rsid w:val="444100C9"/>
    <w:rsid w:val="445D419E"/>
    <w:rsid w:val="44FD328B"/>
    <w:rsid w:val="451B17F6"/>
    <w:rsid w:val="45EA1A61"/>
    <w:rsid w:val="45EB56D0"/>
    <w:rsid w:val="46130B22"/>
    <w:rsid w:val="46985894"/>
    <w:rsid w:val="46C357BC"/>
    <w:rsid w:val="46E13DB1"/>
    <w:rsid w:val="47CB141F"/>
    <w:rsid w:val="48552C62"/>
    <w:rsid w:val="48A44149"/>
    <w:rsid w:val="48D367DD"/>
    <w:rsid w:val="490D6E35"/>
    <w:rsid w:val="491C63D6"/>
    <w:rsid w:val="496541A2"/>
    <w:rsid w:val="496E7B1A"/>
    <w:rsid w:val="497578A1"/>
    <w:rsid w:val="497E4B01"/>
    <w:rsid w:val="499D371C"/>
    <w:rsid w:val="4A29004F"/>
    <w:rsid w:val="4A4B252B"/>
    <w:rsid w:val="4A9205ED"/>
    <w:rsid w:val="4BE74117"/>
    <w:rsid w:val="4C995F8F"/>
    <w:rsid w:val="4CCC0782"/>
    <w:rsid w:val="4CDF5113"/>
    <w:rsid w:val="4D2C12E0"/>
    <w:rsid w:val="4D4521D3"/>
    <w:rsid w:val="4DCA15C8"/>
    <w:rsid w:val="4E65437B"/>
    <w:rsid w:val="50674E00"/>
    <w:rsid w:val="50DE0552"/>
    <w:rsid w:val="515F3303"/>
    <w:rsid w:val="519531C9"/>
    <w:rsid w:val="51F85506"/>
    <w:rsid w:val="52090DED"/>
    <w:rsid w:val="522808F4"/>
    <w:rsid w:val="523E2E19"/>
    <w:rsid w:val="52990A97"/>
    <w:rsid w:val="529D03AD"/>
    <w:rsid w:val="52E00474"/>
    <w:rsid w:val="53071EA5"/>
    <w:rsid w:val="5338205E"/>
    <w:rsid w:val="534D3630"/>
    <w:rsid w:val="53775035"/>
    <w:rsid w:val="53E15B76"/>
    <w:rsid w:val="53FC01C8"/>
    <w:rsid w:val="53FC6721"/>
    <w:rsid w:val="54DF4EE8"/>
    <w:rsid w:val="55AD49B3"/>
    <w:rsid w:val="56E6661F"/>
    <w:rsid w:val="576D24F2"/>
    <w:rsid w:val="577C4928"/>
    <w:rsid w:val="579F744D"/>
    <w:rsid w:val="58276B45"/>
    <w:rsid w:val="588418A2"/>
    <w:rsid w:val="58B83E74"/>
    <w:rsid w:val="58E41D48"/>
    <w:rsid w:val="58E81E30"/>
    <w:rsid w:val="5A96780E"/>
    <w:rsid w:val="5AF42331"/>
    <w:rsid w:val="5B577BFC"/>
    <w:rsid w:val="5BE85E95"/>
    <w:rsid w:val="5BF3746A"/>
    <w:rsid w:val="5C01262C"/>
    <w:rsid w:val="5C0608D6"/>
    <w:rsid w:val="5C1B076F"/>
    <w:rsid w:val="5C71213D"/>
    <w:rsid w:val="5CFD02A0"/>
    <w:rsid w:val="5DDE3904"/>
    <w:rsid w:val="5E0F7E5F"/>
    <w:rsid w:val="5E2356B9"/>
    <w:rsid w:val="5E3E301E"/>
    <w:rsid w:val="5E730E82"/>
    <w:rsid w:val="5EAA5DDA"/>
    <w:rsid w:val="5FA82319"/>
    <w:rsid w:val="5FAC336D"/>
    <w:rsid w:val="616E578F"/>
    <w:rsid w:val="61CF0031"/>
    <w:rsid w:val="62E54C39"/>
    <w:rsid w:val="63603041"/>
    <w:rsid w:val="63B84AF5"/>
    <w:rsid w:val="63E636A7"/>
    <w:rsid w:val="647E4241"/>
    <w:rsid w:val="648669A1"/>
    <w:rsid w:val="64D63485"/>
    <w:rsid w:val="6585087D"/>
    <w:rsid w:val="65E97D44"/>
    <w:rsid w:val="66E92F02"/>
    <w:rsid w:val="67923542"/>
    <w:rsid w:val="67EB7247"/>
    <w:rsid w:val="69262337"/>
    <w:rsid w:val="69B01F0C"/>
    <w:rsid w:val="6A633A0D"/>
    <w:rsid w:val="6ADB3023"/>
    <w:rsid w:val="6B1B6095"/>
    <w:rsid w:val="6BCB60D2"/>
    <w:rsid w:val="6C1E72DF"/>
    <w:rsid w:val="6C245031"/>
    <w:rsid w:val="6CFE17CB"/>
    <w:rsid w:val="6DFC768A"/>
    <w:rsid w:val="6E466A83"/>
    <w:rsid w:val="6F522F46"/>
    <w:rsid w:val="6F9A6059"/>
    <w:rsid w:val="6FA348AB"/>
    <w:rsid w:val="705F75AB"/>
    <w:rsid w:val="719B1CDE"/>
    <w:rsid w:val="71C108C5"/>
    <w:rsid w:val="71FB3C3C"/>
    <w:rsid w:val="72C50044"/>
    <w:rsid w:val="72CB65F3"/>
    <w:rsid w:val="733E6DC5"/>
    <w:rsid w:val="738B5D82"/>
    <w:rsid w:val="73927111"/>
    <w:rsid w:val="740578E3"/>
    <w:rsid w:val="74624249"/>
    <w:rsid w:val="74A82F40"/>
    <w:rsid w:val="752B3379"/>
    <w:rsid w:val="760F67F7"/>
    <w:rsid w:val="764853C3"/>
    <w:rsid w:val="768E1E11"/>
    <w:rsid w:val="76BD6253"/>
    <w:rsid w:val="77BD7F0F"/>
    <w:rsid w:val="7812649D"/>
    <w:rsid w:val="78494817"/>
    <w:rsid w:val="78F13B18"/>
    <w:rsid w:val="79066F17"/>
    <w:rsid w:val="79A70AC0"/>
    <w:rsid w:val="79F503F9"/>
    <w:rsid w:val="7A210B1F"/>
    <w:rsid w:val="7A8F7F06"/>
    <w:rsid w:val="7BB120FE"/>
    <w:rsid w:val="7BF841C6"/>
    <w:rsid w:val="7D2C0CE2"/>
    <w:rsid w:val="7D6F2271"/>
    <w:rsid w:val="7E071957"/>
    <w:rsid w:val="7E6E54AC"/>
    <w:rsid w:val="7EAA7A04"/>
    <w:rsid w:val="7EAE0FEB"/>
    <w:rsid w:val="7EBA4486"/>
    <w:rsid w:val="7F0A04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nhideWhenUsed="0" w:uiPriority="99" w:semiHidden="0" w:name="footer"/>
    <w:lsdException w:qFormat="1"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87"/>
    <w:qFormat/>
    <w:uiPriority w:val="0"/>
    <w:pPr>
      <w:keepNext/>
      <w:keepLines/>
      <w:snapToGrid w:val="0"/>
      <w:spacing w:line="360" w:lineRule="auto"/>
      <w:jc w:val="center"/>
      <w:outlineLvl w:val="0"/>
    </w:pPr>
    <w:rPr>
      <w:rFonts w:ascii="宋体" w:hAnsi="宋体" w:cs="宋体"/>
      <w:b/>
      <w:color w:val="FF0000"/>
      <w:kern w:val="44"/>
      <w:sz w:val="28"/>
      <w:szCs w:val="28"/>
    </w:rPr>
  </w:style>
  <w:style w:type="paragraph" w:styleId="3">
    <w:name w:val="heading 2"/>
    <w:basedOn w:val="1"/>
    <w:next w:val="1"/>
    <w:link w:val="35"/>
    <w:qFormat/>
    <w:uiPriority w:val="0"/>
    <w:pPr>
      <w:keepNext/>
      <w:keepLines/>
      <w:numPr>
        <w:ilvl w:val="1"/>
        <w:numId w:val="1"/>
      </w:numPr>
      <w:spacing w:before="200" w:after="200" w:line="360" w:lineRule="auto"/>
      <w:jc w:val="left"/>
      <w:outlineLvl w:val="1"/>
    </w:pPr>
    <w:rPr>
      <w:rFonts w:ascii="黑体" w:hAnsi="黑体" w:eastAsia="黑体"/>
      <w:bCs/>
      <w:sz w:val="28"/>
      <w:szCs w:val="32"/>
    </w:rPr>
  </w:style>
  <w:style w:type="paragraph" w:styleId="4">
    <w:name w:val="heading 3"/>
    <w:basedOn w:val="1"/>
    <w:next w:val="1"/>
    <w:link w:val="66"/>
    <w:autoRedefine/>
    <w:unhideWhenUsed/>
    <w:qFormat/>
    <w:uiPriority w:val="9"/>
    <w:pPr>
      <w:keepNext/>
      <w:keepLines/>
      <w:spacing w:before="260" w:after="260" w:line="416" w:lineRule="auto"/>
      <w:outlineLvl w:val="2"/>
    </w:pPr>
    <w:rPr>
      <w:b/>
      <w:bCs/>
      <w:sz w:val="32"/>
      <w:szCs w:val="32"/>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style>
  <w:style w:type="paragraph" w:customStyle="1" w:styleId="6">
    <w:name w:val="Char Char Char Char Char Char Char Char Char1 Char"/>
    <w:basedOn w:val="1"/>
    <w:next w:val="7"/>
    <w:qFormat/>
    <w:uiPriority w:val="0"/>
    <w:pPr>
      <w:spacing w:line="360" w:lineRule="auto"/>
      <w:ind w:firstLine="200" w:firstLineChars="200"/>
    </w:pPr>
    <w:rPr>
      <w:rFonts w:hAnsi="ˎ̥" w:cs="ˎ̥"/>
    </w:rPr>
  </w:style>
  <w:style w:type="paragraph" w:customStyle="1" w:styleId="7">
    <w:name w:val="Body Text First Indent1"/>
    <w:next w:val="1"/>
    <w:qFormat/>
    <w:uiPriority w:val="99"/>
    <w:pPr>
      <w:widowControl w:val="0"/>
      <w:spacing w:after="120"/>
      <w:ind w:firstLine="420"/>
      <w:jc w:val="both"/>
    </w:pPr>
    <w:rPr>
      <w:rFonts w:ascii="Times New Roman" w:hAnsi="Times New Roman" w:eastAsia="宋体" w:cs="Times New Roman"/>
      <w:sz w:val="21"/>
      <w:szCs w:val="22"/>
      <w:lang w:val="en-US" w:eastAsia="zh-CN" w:bidi="ar-SA"/>
    </w:rPr>
  </w:style>
  <w:style w:type="paragraph" w:styleId="8">
    <w:name w:val="caption"/>
    <w:basedOn w:val="1"/>
    <w:next w:val="1"/>
    <w:link w:val="36"/>
    <w:qFormat/>
    <w:uiPriority w:val="99"/>
    <w:pPr>
      <w:keepNext/>
      <w:spacing w:line="300" w:lineRule="exact"/>
      <w:jc w:val="center"/>
    </w:pPr>
    <w:rPr>
      <w:rFonts w:ascii="黑体" w:hAnsi="黑体" w:eastAsia="黑体"/>
      <w:color w:val="000000" w:themeColor="text1"/>
      <w:sz w:val="21"/>
      <w:szCs w:val="21"/>
      <w14:textFill>
        <w14:solidFill>
          <w14:schemeClr w14:val="tx1"/>
        </w14:solidFill>
      </w14:textFill>
    </w:rPr>
  </w:style>
  <w:style w:type="paragraph" w:styleId="9">
    <w:name w:val="Document Map"/>
    <w:basedOn w:val="1"/>
    <w:link w:val="67"/>
    <w:autoRedefine/>
    <w:qFormat/>
    <w:uiPriority w:val="0"/>
    <w:rPr>
      <w:rFonts w:ascii="宋体" w:hAnsi="宋体" w:cs="宋体"/>
      <w:sz w:val="18"/>
      <w:szCs w:val="18"/>
    </w:rPr>
  </w:style>
  <w:style w:type="paragraph" w:styleId="10">
    <w:name w:val="annotation text"/>
    <w:basedOn w:val="1"/>
    <w:link w:val="68"/>
    <w:autoRedefine/>
    <w:qFormat/>
    <w:uiPriority w:val="99"/>
    <w:pPr>
      <w:jc w:val="left"/>
    </w:pPr>
  </w:style>
  <w:style w:type="paragraph" w:styleId="11">
    <w:name w:val="Body Text"/>
    <w:basedOn w:val="1"/>
    <w:next w:val="12"/>
    <w:link w:val="69"/>
    <w:qFormat/>
    <w:uiPriority w:val="99"/>
    <w:pPr>
      <w:widowControl/>
      <w:snapToGrid w:val="0"/>
      <w:spacing w:line="500" w:lineRule="exact"/>
      <w:ind w:firstLine="482" w:firstLineChars="200"/>
    </w:pPr>
    <w:rPr>
      <w:rFonts w:ascii="宋体" w:hAnsi="宋体" w:cs="宋体"/>
      <w:b/>
      <w:bCs/>
      <w:color w:val="ED0000"/>
      <w:kern w:val="0"/>
    </w:rPr>
  </w:style>
  <w:style w:type="paragraph" w:styleId="12">
    <w:name w:val="Body Text 2"/>
    <w:basedOn w:val="1"/>
    <w:qFormat/>
    <w:uiPriority w:val="0"/>
    <w:pPr>
      <w:spacing w:after="120" w:line="480" w:lineRule="auto"/>
    </w:pPr>
  </w:style>
  <w:style w:type="paragraph" w:styleId="13">
    <w:name w:val="Body Text Indent"/>
    <w:basedOn w:val="1"/>
    <w:autoRedefine/>
    <w:qFormat/>
    <w:uiPriority w:val="0"/>
    <w:pPr>
      <w:spacing w:line="440" w:lineRule="exact"/>
      <w:ind w:firstLine="510"/>
    </w:pPr>
    <w:rPr>
      <w:rFonts w:ascii="宋体"/>
      <w:spacing w:val="12"/>
      <w:kern w:val="0"/>
    </w:rPr>
  </w:style>
  <w:style w:type="paragraph" w:styleId="14">
    <w:name w:val="Block Text"/>
    <w:basedOn w:val="1"/>
    <w:next w:val="1"/>
    <w:autoRedefine/>
    <w:qFormat/>
    <w:uiPriority w:val="99"/>
    <w:pPr>
      <w:spacing w:line="480" w:lineRule="exact"/>
      <w:ind w:left="-125" w:right="-56" w:firstLine="570"/>
      <w:jc w:val="center"/>
    </w:pPr>
    <w:rPr>
      <w:sz w:val="28"/>
    </w:rPr>
  </w:style>
  <w:style w:type="paragraph" w:styleId="15">
    <w:name w:val="Date"/>
    <w:basedOn w:val="1"/>
    <w:next w:val="1"/>
    <w:autoRedefine/>
    <w:qFormat/>
    <w:uiPriority w:val="0"/>
    <w:rPr>
      <w:rFonts w:ascii="宋体"/>
      <w:kern w:val="0"/>
      <w:sz w:val="20"/>
      <w:szCs w:val="20"/>
    </w:rPr>
  </w:style>
  <w:style w:type="paragraph" w:styleId="16">
    <w:name w:val="Body Text Indent 2"/>
    <w:basedOn w:val="1"/>
    <w:link w:val="93"/>
    <w:autoRedefine/>
    <w:qFormat/>
    <w:uiPriority w:val="0"/>
    <w:pPr>
      <w:spacing w:after="120" w:line="480" w:lineRule="auto"/>
      <w:ind w:left="420" w:leftChars="200"/>
    </w:pPr>
  </w:style>
  <w:style w:type="paragraph" w:styleId="17">
    <w:name w:val="footer"/>
    <w:basedOn w:val="1"/>
    <w:link w:val="70"/>
    <w:autoRedefine/>
    <w:qFormat/>
    <w:uiPriority w:val="99"/>
    <w:pPr>
      <w:tabs>
        <w:tab w:val="center" w:pos="4153"/>
        <w:tab w:val="right" w:pos="8306"/>
      </w:tabs>
      <w:snapToGrid w:val="0"/>
      <w:jc w:val="left"/>
    </w:pPr>
    <w:rPr>
      <w:sz w:val="18"/>
      <w:szCs w:val="18"/>
    </w:rPr>
  </w:style>
  <w:style w:type="paragraph" w:styleId="18">
    <w:name w:val="header"/>
    <w:basedOn w:val="1"/>
    <w:link w:val="71"/>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9">
    <w:name w:val="index heading"/>
    <w:basedOn w:val="1"/>
    <w:next w:val="20"/>
    <w:autoRedefine/>
    <w:qFormat/>
    <w:uiPriority w:val="0"/>
    <w:rPr>
      <w:rFonts w:hint="eastAsia" w:ascii="Cambria" w:hAnsi="Cambria"/>
      <w:b/>
    </w:rPr>
  </w:style>
  <w:style w:type="paragraph" w:styleId="20">
    <w:name w:val="index 1"/>
    <w:basedOn w:val="1"/>
    <w:next w:val="1"/>
    <w:autoRedefine/>
    <w:qFormat/>
    <w:uiPriority w:val="0"/>
  </w:style>
  <w:style w:type="paragraph" w:styleId="21">
    <w:name w:val="List"/>
    <w:basedOn w:val="1"/>
    <w:next w:val="1"/>
    <w:autoRedefine/>
    <w:qFormat/>
    <w:uiPriority w:val="0"/>
    <w:pPr>
      <w:adjustRightInd w:val="0"/>
      <w:snapToGrid w:val="0"/>
      <w:ind w:left="198" w:hanging="198"/>
      <w:contextualSpacing/>
    </w:pPr>
    <w:rPr>
      <w:sz w:val="21"/>
    </w:rPr>
  </w:style>
  <w:style w:type="paragraph" w:styleId="22">
    <w:name w:val="Body Text Indent 3"/>
    <w:basedOn w:val="1"/>
    <w:link w:val="72"/>
    <w:autoRedefine/>
    <w:qFormat/>
    <w:uiPriority w:val="0"/>
    <w:pPr>
      <w:spacing w:line="520" w:lineRule="exact"/>
      <w:ind w:firstLine="640" w:firstLineChars="200"/>
    </w:pPr>
    <w:rPr>
      <w:rFonts w:ascii="宋体" w:hAnsi="宋体" w:eastAsia="楷体_GB2312" w:cs="宋体"/>
      <w:sz w:val="32"/>
      <w:szCs w:val="20"/>
    </w:rPr>
  </w:style>
  <w:style w:type="paragraph" w:styleId="23">
    <w:name w:val="toc 2"/>
    <w:basedOn w:val="1"/>
    <w:next w:val="1"/>
    <w:autoRedefine/>
    <w:unhideWhenUsed/>
    <w:qFormat/>
    <w:uiPriority w:val="39"/>
    <w:pPr>
      <w:spacing w:before="120"/>
      <w:ind w:left="210"/>
      <w:jc w:val="left"/>
    </w:pPr>
    <w:rPr>
      <w:rFonts w:ascii="Calibri" w:hAnsi="Calibri" w:cs="Calibri"/>
      <w:i/>
      <w:iCs/>
      <w:sz w:val="20"/>
    </w:rPr>
  </w:style>
  <w:style w:type="paragraph" w:styleId="24">
    <w:name w:val="toc 9"/>
    <w:basedOn w:val="1"/>
    <w:next w:val="1"/>
    <w:autoRedefine/>
    <w:qFormat/>
    <w:uiPriority w:val="39"/>
    <w:pPr>
      <w:ind w:left="1680"/>
      <w:jc w:val="left"/>
    </w:pPr>
    <w:rPr>
      <w:sz w:val="18"/>
    </w:rPr>
  </w:style>
  <w:style w:type="paragraph" w:styleId="25">
    <w:name w:val="HTML Preformatted"/>
    <w:basedOn w:val="1"/>
    <w:link w:val="117"/>
    <w:qFormat/>
    <w:uiPriority w:val="0"/>
    <w:rPr>
      <w:rFonts w:ascii="Courier New" w:hAnsi="Courier New" w:cs="Courier New"/>
      <w:sz w:val="20"/>
      <w:szCs w:val="20"/>
    </w:rPr>
  </w:style>
  <w:style w:type="paragraph" w:styleId="26">
    <w:name w:val="Normal (Web)"/>
    <w:basedOn w:val="1"/>
    <w:link w:val="98"/>
    <w:autoRedefine/>
    <w:qFormat/>
    <w:uiPriority w:val="99"/>
    <w:pPr>
      <w:widowControl/>
      <w:spacing w:before="100" w:beforeAutospacing="1" w:after="100" w:afterAutospacing="1"/>
      <w:jc w:val="left"/>
    </w:pPr>
    <w:rPr>
      <w:rFonts w:ascii="宋体" w:hAnsi="宋体"/>
      <w:kern w:val="0"/>
    </w:rPr>
  </w:style>
  <w:style w:type="paragraph" w:styleId="27">
    <w:name w:val="annotation subject"/>
    <w:basedOn w:val="10"/>
    <w:next w:val="1"/>
    <w:link w:val="90"/>
    <w:autoRedefine/>
    <w:qFormat/>
    <w:uiPriority w:val="0"/>
    <w:rPr>
      <w:b/>
      <w:bCs/>
    </w:rPr>
  </w:style>
  <w:style w:type="table" w:styleId="29">
    <w:name w:val="Table Grid"/>
    <w:basedOn w:val="28"/>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autoRedefine/>
    <w:qFormat/>
    <w:uiPriority w:val="0"/>
  </w:style>
  <w:style w:type="character" w:styleId="32">
    <w:name w:val="FollowedHyperlink"/>
    <w:autoRedefine/>
    <w:qFormat/>
    <w:uiPriority w:val="0"/>
    <w:rPr>
      <w:color w:val="333333"/>
      <w:u w:val="none"/>
    </w:rPr>
  </w:style>
  <w:style w:type="character" w:styleId="33">
    <w:name w:val="Hyperlink"/>
    <w:autoRedefine/>
    <w:qFormat/>
    <w:uiPriority w:val="0"/>
    <w:rPr>
      <w:color w:val="20528F"/>
      <w:u w:val="none"/>
    </w:rPr>
  </w:style>
  <w:style w:type="character" w:styleId="34">
    <w:name w:val="annotation reference"/>
    <w:basedOn w:val="30"/>
    <w:autoRedefine/>
    <w:qFormat/>
    <w:uiPriority w:val="0"/>
    <w:rPr>
      <w:sz w:val="21"/>
      <w:szCs w:val="21"/>
    </w:rPr>
  </w:style>
  <w:style w:type="character" w:customStyle="1" w:styleId="35">
    <w:name w:val="标题 2 字符"/>
    <w:link w:val="3"/>
    <w:autoRedefine/>
    <w:qFormat/>
    <w:uiPriority w:val="0"/>
    <w:rPr>
      <w:rFonts w:ascii="黑体" w:hAnsi="黑体" w:eastAsia="黑体"/>
      <w:bCs/>
      <w:kern w:val="2"/>
      <w:sz w:val="28"/>
      <w:szCs w:val="32"/>
    </w:rPr>
  </w:style>
  <w:style w:type="character" w:customStyle="1" w:styleId="36">
    <w:name w:val="题注 字符"/>
    <w:link w:val="8"/>
    <w:autoRedefine/>
    <w:qFormat/>
    <w:uiPriority w:val="0"/>
    <w:rPr>
      <w:rFonts w:ascii="黑体" w:hAnsi="黑体" w:eastAsia="黑体"/>
      <w:color w:val="000000" w:themeColor="text1"/>
      <w:kern w:val="2"/>
      <w:sz w:val="21"/>
      <w:szCs w:val="21"/>
      <w14:textFill>
        <w14:solidFill>
          <w14:schemeClr w14:val="tx1"/>
        </w14:solidFill>
      </w14:textFill>
    </w:rPr>
  </w:style>
  <w:style w:type="paragraph" w:customStyle="1" w:styleId="37">
    <w:name w:val="MEL正文*"/>
    <w:basedOn w:val="1"/>
    <w:link w:val="59"/>
    <w:qFormat/>
    <w:uiPriority w:val="0"/>
    <w:pPr>
      <w:spacing w:line="500" w:lineRule="exact"/>
      <w:ind w:firstLine="200" w:firstLineChars="200"/>
    </w:pPr>
    <w:rPr>
      <w:rFonts w:ascii="宋体" w:hAnsi="宋体"/>
      <w:kern w:val="0"/>
    </w:rPr>
  </w:style>
  <w:style w:type="paragraph" w:customStyle="1" w:styleId="38">
    <w:name w:val="YJ-正文"/>
    <w:basedOn w:val="39"/>
    <w:link w:val="114"/>
    <w:autoRedefine/>
    <w:qFormat/>
    <w:uiPriority w:val="0"/>
    <w:pPr>
      <w:ind w:firstLine="200" w:firstLineChars="200"/>
      <w:jc w:val="both"/>
      <w:outlineLvl w:val="9"/>
    </w:pPr>
    <w:rPr>
      <w:b w:val="0"/>
      <w:sz w:val="24"/>
    </w:rPr>
  </w:style>
  <w:style w:type="paragraph" w:customStyle="1" w:styleId="39">
    <w:name w:val="YJ-表标题1"/>
    <w:basedOn w:val="1"/>
    <w:autoRedefine/>
    <w:qFormat/>
    <w:uiPriority w:val="0"/>
    <w:pPr>
      <w:widowControl/>
      <w:spacing w:line="520" w:lineRule="exact"/>
      <w:jc w:val="left"/>
      <w:outlineLvl w:val="1"/>
    </w:pPr>
    <w:rPr>
      <w:b/>
      <w:kern w:val="0"/>
      <w:sz w:val="30"/>
      <w:szCs w:val="22"/>
    </w:rPr>
  </w:style>
  <w:style w:type="paragraph" w:customStyle="1" w:styleId="40">
    <w:name w:val="YJ正文*"/>
    <w:basedOn w:val="1"/>
    <w:link w:val="58"/>
    <w:autoRedefine/>
    <w:qFormat/>
    <w:uiPriority w:val="0"/>
    <w:rPr>
      <w:rFonts w:ascii="宋体" w:hAnsi="宋体" w:cs="宋体"/>
      <w:color w:val="FF0000"/>
      <w:sz w:val="21"/>
      <w:szCs w:val="21"/>
    </w:rPr>
  </w:style>
  <w:style w:type="paragraph" w:customStyle="1" w:styleId="41">
    <w:name w:val="表字-书"/>
    <w:basedOn w:val="1"/>
    <w:link w:val="57"/>
    <w:qFormat/>
    <w:uiPriority w:val="0"/>
    <w:pPr>
      <w:widowControl/>
      <w:spacing w:line="300" w:lineRule="exact"/>
      <w:contextualSpacing/>
      <w:jc w:val="center"/>
    </w:pPr>
    <w:rPr>
      <w:rFonts w:ascii="宋体" w:hAnsi="宋体" w:cs="Arial"/>
      <w:spacing w:val="-6"/>
      <w:sz w:val="21"/>
      <w:szCs w:val="21"/>
    </w:rPr>
  </w:style>
  <w:style w:type="paragraph" w:customStyle="1" w:styleId="42">
    <w:name w:val="表格"/>
    <w:basedOn w:val="21"/>
    <w:next w:val="1"/>
    <w:autoRedefine/>
    <w:qFormat/>
    <w:uiPriority w:val="0"/>
    <w:pPr>
      <w:spacing w:beforeLines="10" w:afterLines="10" w:line="259" w:lineRule="auto"/>
      <w:jc w:val="center"/>
    </w:pPr>
    <w:rPr>
      <w:rFonts w:ascii="宋体"/>
      <w:kern w:val="0"/>
      <w:sz w:val="20"/>
      <w:szCs w:val="21"/>
    </w:rPr>
  </w:style>
  <w:style w:type="paragraph" w:customStyle="1" w:styleId="43">
    <w:name w:val="表格内容"/>
    <w:basedOn w:val="44"/>
    <w:next w:val="27"/>
    <w:autoRedefine/>
    <w:qFormat/>
    <w:uiPriority w:val="0"/>
    <w:pPr>
      <w:jc w:val="center"/>
    </w:pPr>
    <w:rPr>
      <w:rFonts w:ascii="Calibri" w:hAnsi="Calibri"/>
      <w:szCs w:val="22"/>
    </w:rPr>
  </w:style>
  <w:style w:type="paragraph" w:customStyle="1" w:styleId="44">
    <w:name w:val="WW-正文缩进"/>
    <w:basedOn w:val="1"/>
    <w:autoRedefine/>
    <w:semiHidden/>
    <w:qFormat/>
    <w:uiPriority w:val="0"/>
    <w:pPr>
      <w:ind w:firstLine="420" w:firstLineChars="200"/>
    </w:pPr>
    <w:rPr>
      <w:kern w:val="0"/>
      <w:sz w:val="28"/>
      <w:szCs w:val="20"/>
    </w:rPr>
  </w:style>
  <w:style w:type="paragraph" w:customStyle="1" w:styleId="45">
    <w:name w:val="YJ题注"/>
    <w:basedOn w:val="8"/>
    <w:autoRedefine/>
    <w:qFormat/>
    <w:uiPriority w:val="0"/>
    <w:pPr>
      <w:spacing w:line="520" w:lineRule="exact"/>
    </w:pPr>
    <w:rPr>
      <w:szCs w:val="24"/>
    </w:rPr>
  </w:style>
  <w:style w:type="paragraph" w:customStyle="1" w:styleId="46">
    <w:name w:val="表内文字"/>
    <w:basedOn w:val="47"/>
    <w:link w:val="113"/>
    <w:autoRedefine/>
    <w:qFormat/>
    <w:uiPriority w:val="0"/>
    <w:pPr>
      <w:widowControl/>
      <w:spacing w:line="300" w:lineRule="exact"/>
    </w:pPr>
    <w:rPr>
      <w:rFonts w:ascii="宋体" w:hAnsi="宋体"/>
      <w:szCs w:val="22"/>
    </w:rPr>
  </w:style>
  <w:style w:type="paragraph" w:customStyle="1" w:styleId="47">
    <w:name w:val="表文字"/>
    <w:basedOn w:val="1"/>
    <w:autoRedefine/>
    <w:qFormat/>
    <w:uiPriority w:val="0"/>
    <w:pPr>
      <w:overflowPunct w:val="0"/>
      <w:autoSpaceDE w:val="0"/>
      <w:autoSpaceDN w:val="0"/>
      <w:adjustRightInd w:val="0"/>
      <w:spacing w:line="240" w:lineRule="atLeast"/>
      <w:jc w:val="center"/>
      <w:textAlignment w:val="baseline"/>
    </w:pPr>
    <w:rPr>
      <w:kern w:val="0"/>
    </w:rPr>
  </w:style>
  <w:style w:type="paragraph" w:customStyle="1" w:styleId="48">
    <w:name w:val="标题3 CDD"/>
    <w:basedOn w:val="1"/>
    <w:autoRedefine/>
    <w:qFormat/>
    <w:uiPriority w:val="0"/>
    <w:pPr>
      <w:adjustRightInd w:val="0"/>
      <w:snapToGrid w:val="0"/>
      <w:spacing w:line="500" w:lineRule="exact"/>
      <w:ind w:firstLine="482"/>
    </w:pPr>
    <w:rPr>
      <w:rFonts w:hAnsi="宋体"/>
      <w:b/>
    </w:rPr>
  </w:style>
  <w:style w:type="paragraph" w:customStyle="1" w:styleId="49">
    <w:name w:val="正文 CDD"/>
    <w:basedOn w:val="1"/>
    <w:autoRedefine/>
    <w:qFormat/>
    <w:uiPriority w:val="0"/>
    <w:pPr>
      <w:ind w:firstLine="480"/>
    </w:pPr>
    <w:rPr>
      <w:rFonts w:ascii="等线" w:hAnsi="宋体"/>
    </w:rPr>
  </w:style>
  <w:style w:type="paragraph" w:customStyle="1" w:styleId="50">
    <w:name w:val="MEL表字-书"/>
    <w:basedOn w:val="1"/>
    <w:link w:val="64"/>
    <w:qFormat/>
    <w:uiPriority w:val="0"/>
    <w:pPr>
      <w:spacing w:line="260" w:lineRule="exact"/>
      <w:contextualSpacing/>
      <w:jc w:val="center"/>
    </w:pPr>
    <w:rPr>
      <w:rFonts w:ascii="宋体" w:hAnsi="宋体"/>
      <w:kern w:val="0"/>
      <w:sz w:val="21"/>
      <w:szCs w:val="21"/>
    </w:rPr>
  </w:style>
  <w:style w:type="paragraph" w:customStyle="1" w:styleId="51">
    <w:name w:val="文本"/>
    <w:basedOn w:val="13"/>
    <w:autoRedefine/>
    <w:qFormat/>
    <w:uiPriority w:val="0"/>
    <w:pPr>
      <w:adjustRightInd w:val="0"/>
      <w:snapToGrid w:val="0"/>
      <w:spacing w:line="520" w:lineRule="exact"/>
      <w:ind w:firstLine="200" w:firstLineChars="200"/>
    </w:pPr>
    <w:rPr>
      <w:rFonts w:eastAsia="仿宋_GB2312"/>
    </w:rPr>
  </w:style>
  <w:style w:type="paragraph" w:customStyle="1" w:styleId="52">
    <w:name w:val="表格1"/>
    <w:basedOn w:val="1"/>
    <w:autoRedefine/>
    <w:qFormat/>
    <w:uiPriority w:val="0"/>
    <w:pPr>
      <w:adjustRightInd w:val="0"/>
      <w:snapToGrid w:val="0"/>
      <w:jc w:val="center"/>
    </w:pPr>
    <w:rPr>
      <w:rFonts w:eastAsia="方正仿宋_GBK"/>
      <w:color w:val="000000"/>
      <w:kern w:val="0"/>
    </w:rPr>
  </w:style>
  <w:style w:type="paragraph" w:styleId="53">
    <w:name w:val="List Paragraph"/>
    <w:basedOn w:val="1"/>
    <w:autoRedefine/>
    <w:qFormat/>
    <w:uiPriority w:val="99"/>
    <w:pPr>
      <w:ind w:firstLine="420" w:firstLineChars="200"/>
    </w:pPr>
  </w:style>
  <w:style w:type="paragraph" w:customStyle="1" w:styleId="54">
    <w:name w:val="p0"/>
    <w:basedOn w:val="1"/>
    <w:autoRedefine/>
    <w:qFormat/>
    <w:uiPriority w:val="0"/>
    <w:pPr>
      <w:widowControl/>
    </w:pPr>
    <w:rPr>
      <w:kern w:val="0"/>
      <w:szCs w:val="21"/>
    </w:rPr>
  </w:style>
  <w:style w:type="paragraph" w:customStyle="1" w:styleId="5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6">
    <w:name w:val="FL正文字体"/>
    <w:basedOn w:val="40"/>
    <w:link w:val="97"/>
    <w:autoRedefine/>
    <w:qFormat/>
    <w:uiPriority w:val="0"/>
    <w:rPr>
      <w:color w:val="000000" w:themeColor="text1"/>
      <w:kern w:val="0"/>
      <w14:textFill>
        <w14:solidFill>
          <w14:schemeClr w14:val="tx1"/>
        </w14:solidFill>
      </w14:textFill>
    </w:rPr>
  </w:style>
  <w:style w:type="character" w:customStyle="1" w:styleId="57">
    <w:name w:val="表字-书 Char"/>
    <w:link w:val="41"/>
    <w:autoRedefine/>
    <w:qFormat/>
    <w:uiPriority w:val="0"/>
    <w:rPr>
      <w:rFonts w:ascii="宋体" w:hAnsi="宋体" w:cs="Arial"/>
      <w:spacing w:val="-6"/>
      <w:kern w:val="2"/>
      <w:sz w:val="21"/>
      <w:szCs w:val="21"/>
    </w:rPr>
  </w:style>
  <w:style w:type="character" w:customStyle="1" w:styleId="58">
    <w:name w:val="YJ正文* 字符"/>
    <w:link w:val="40"/>
    <w:autoRedefine/>
    <w:qFormat/>
    <w:locked/>
    <w:uiPriority w:val="0"/>
    <w:rPr>
      <w:rFonts w:ascii="宋体" w:hAnsi="宋体" w:cs="宋体"/>
      <w:color w:val="FF0000"/>
      <w:kern w:val="2"/>
      <w:sz w:val="21"/>
      <w:szCs w:val="21"/>
    </w:rPr>
  </w:style>
  <w:style w:type="character" w:customStyle="1" w:styleId="59">
    <w:name w:val="MEL正文* 字符"/>
    <w:link w:val="37"/>
    <w:autoRedefine/>
    <w:qFormat/>
    <w:uiPriority w:val="0"/>
    <w:rPr>
      <w:rFonts w:ascii="宋体" w:hAnsi="宋体"/>
      <w:sz w:val="24"/>
      <w:szCs w:val="24"/>
    </w:rPr>
  </w:style>
  <w:style w:type="character" w:customStyle="1" w:styleId="60">
    <w:name w:val="CDD正文 Char"/>
    <w:link w:val="61"/>
    <w:autoRedefine/>
    <w:qFormat/>
    <w:locked/>
    <w:uiPriority w:val="0"/>
    <w:rPr>
      <w:rFonts w:ascii="宋体" w:hAnsi="宋体"/>
      <w:kern w:val="2"/>
      <w:sz w:val="24"/>
      <w:szCs w:val="24"/>
    </w:rPr>
  </w:style>
  <w:style w:type="paragraph" w:customStyle="1" w:styleId="61">
    <w:name w:val="CDD正文"/>
    <w:basedOn w:val="1"/>
    <w:link w:val="60"/>
    <w:autoRedefine/>
    <w:qFormat/>
    <w:uiPriority w:val="0"/>
    <w:pPr>
      <w:suppressLineNumbers/>
      <w:suppressAutoHyphens/>
      <w:snapToGrid w:val="0"/>
      <w:spacing w:line="520" w:lineRule="exact"/>
      <w:ind w:firstLine="200" w:firstLineChars="200"/>
      <w:outlineLvl w:val="3"/>
    </w:pPr>
    <w:rPr>
      <w:rFonts w:ascii="宋体" w:hAnsi="宋体"/>
    </w:rPr>
  </w:style>
  <w:style w:type="character" w:customStyle="1" w:styleId="62">
    <w:name w:val="正文(首行缩进) Char Char"/>
    <w:link w:val="63"/>
    <w:autoRedefine/>
    <w:qFormat/>
    <w:locked/>
    <w:uiPriority w:val="99"/>
    <w:rPr>
      <w:rFonts w:hAnsi="宋体"/>
      <w:spacing w:val="-2"/>
      <w:sz w:val="24"/>
      <w:szCs w:val="24"/>
    </w:rPr>
  </w:style>
  <w:style w:type="paragraph" w:customStyle="1" w:styleId="63">
    <w:name w:val="正文(首行缩进)"/>
    <w:basedOn w:val="1"/>
    <w:link w:val="62"/>
    <w:autoRedefine/>
    <w:qFormat/>
    <w:uiPriority w:val="99"/>
    <w:pPr>
      <w:tabs>
        <w:tab w:val="left" w:pos="4584"/>
      </w:tabs>
      <w:adjustRightInd w:val="0"/>
      <w:snapToGrid w:val="0"/>
      <w:spacing w:line="520" w:lineRule="exact"/>
      <w:ind w:firstLine="531" w:firstLineChars="225"/>
    </w:pPr>
    <w:rPr>
      <w:rFonts w:hAnsi="宋体"/>
      <w:spacing w:val="-2"/>
      <w:kern w:val="0"/>
    </w:rPr>
  </w:style>
  <w:style w:type="character" w:customStyle="1" w:styleId="64">
    <w:name w:val="MEL表字-书 字符"/>
    <w:link w:val="50"/>
    <w:autoRedefine/>
    <w:qFormat/>
    <w:uiPriority w:val="0"/>
    <w:rPr>
      <w:rFonts w:ascii="宋体" w:hAnsi="宋体"/>
      <w:sz w:val="21"/>
      <w:szCs w:val="21"/>
    </w:rPr>
  </w:style>
  <w:style w:type="character" w:customStyle="1" w:styleId="65">
    <w:name w:val="题注 字符3"/>
    <w:autoRedefine/>
    <w:qFormat/>
    <w:uiPriority w:val="0"/>
    <w:rPr>
      <w:rFonts w:ascii="黑体" w:hAnsi="黑体" w:eastAsia="黑体"/>
      <w:sz w:val="21"/>
    </w:rPr>
  </w:style>
  <w:style w:type="character" w:customStyle="1" w:styleId="66">
    <w:name w:val="标题 3 字符"/>
    <w:basedOn w:val="30"/>
    <w:link w:val="4"/>
    <w:autoRedefine/>
    <w:qFormat/>
    <w:uiPriority w:val="9"/>
    <w:rPr>
      <w:b/>
      <w:bCs/>
      <w:kern w:val="2"/>
      <w:sz w:val="32"/>
      <w:szCs w:val="32"/>
    </w:rPr>
  </w:style>
  <w:style w:type="character" w:customStyle="1" w:styleId="67">
    <w:name w:val="文档结构图 字符"/>
    <w:basedOn w:val="30"/>
    <w:link w:val="9"/>
    <w:autoRedefine/>
    <w:qFormat/>
    <w:uiPriority w:val="0"/>
    <w:rPr>
      <w:rFonts w:ascii="宋体" w:hAnsi="宋体" w:cs="宋体"/>
      <w:kern w:val="2"/>
      <w:sz w:val="18"/>
      <w:szCs w:val="18"/>
    </w:rPr>
  </w:style>
  <w:style w:type="character" w:customStyle="1" w:styleId="68">
    <w:name w:val="批注文字 字符"/>
    <w:link w:val="10"/>
    <w:autoRedefine/>
    <w:qFormat/>
    <w:uiPriority w:val="99"/>
    <w:rPr>
      <w:kern w:val="2"/>
      <w:sz w:val="24"/>
      <w:szCs w:val="24"/>
    </w:rPr>
  </w:style>
  <w:style w:type="character" w:customStyle="1" w:styleId="69">
    <w:name w:val="正文文本 字符"/>
    <w:link w:val="11"/>
    <w:autoRedefine/>
    <w:qFormat/>
    <w:uiPriority w:val="0"/>
    <w:rPr>
      <w:rFonts w:ascii="宋体" w:hAnsi="宋体" w:cs="宋体"/>
      <w:b/>
      <w:bCs/>
      <w:color w:val="ED0000"/>
      <w:sz w:val="24"/>
      <w:szCs w:val="24"/>
    </w:rPr>
  </w:style>
  <w:style w:type="character" w:customStyle="1" w:styleId="70">
    <w:name w:val="页脚 字符"/>
    <w:link w:val="17"/>
    <w:autoRedefine/>
    <w:qFormat/>
    <w:uiPriority w:val="99"/>
    <w:rPr>
      <w:kern w:val="2"/>
      <w:sz w:val="18"/>
      <w:szCs w:val="18"/>
    </w:rPr>
  </w:style>
  <w:style w:type="character" w:customStyle="1" w:styleId="71">
    <w:name w:val="页眉 字符"/>
    <w:link w:val="18"/>
    <w:autoRedefine/>
    <w:qFormat/>
    <w:uiPriority w:val="0"/>
    <w:rPr>
      <w:sz w:val="18"/>
      <w:szCs w:val="18"/>
    </w:rPr>
  </w:style>
  <w:style w:type="character" w:customStyle="1" w:styleId="72">
    <w:name w:val="正文文本缩进 3 字符"/>
    <w:basedOn w:val="30"/>
    <w:link w:val="22"/>
    <w:qFormat/>
    <w:uiPriority w:val="0"/>
    <w:rPr>
      <w:rFonts w:ascii="宋体" w:hAnsi="宋体" w:eastAsia="楷体_GB2312" w:cs="宋体"/>
      <w:kern w:val="2"/>
      <w:sz w:val="32"/>
    </w:rPr>
  </w:style>
  <w:style w:type="character" w:customStyle="1" w:styleId="73">
    <w:name w:val="fbrq"/>
    <w:qFormat/>
    <w:uiPriority w:val="0"/>
  </w:style>
  <w:style w:type="character" w:customStyle="1" w:styleId="74">
    <w:name w:val="active"/>
    <w:qFormat/>
    <w:uiPriority w:val="0"/>
    <w:rPr>
      <w:color w:val="000000"/>
      <w:shd w:val="clear" w:color="auto" w:fill="F7F7F7"/>
    </w:rPr>
  </w:style>
  <w:style w:type="character" w:customStyle="1" w:styleId="75">
    <w:name w:val="active1"/>
    <w:autoRedefine/>
    <w:qFormat/>
    <w:uiPriority w:val="0"/>
    <w:rPr>
      <w:shd w:val="clear" w:color="auto" w:fill="FFFFFF"/>
    </w:rPr>
  </w:style>
  <w:style w:type="character" w:customStyle="1" w:styleId="76">
    <w:name w:val="first-child1"/>
    <w:autoRedefine/>
    <w:qFormat/>
    <w:uiPriority w:val="0"/>
  </w:style>
  <w:style w:type="character" w:customStyle="1" w:styleId="77">
    <w:name w:val="first-child2"/>
    <w:autoRedefine/>
    <w:qFormat/>
    <w:uiPriority w:val="0"/>
  </w:style>
  <w:style w:type="character" w:customStyle="1" w:styleId="78">
    <w:name w:val="first-child"/>
    <w:autoRedefine/>
    <w:qFormat/>
    <w:uiPriority w:val="0"/>
    <w:rPr>
      <w:color w:val="DF1C00"/>
    </w:rPr>
  </w:style>
  <w:style w:type="paragraph" w:customStyle="1" w:styleId="79">
    <w:name w:val="Table Paragraph"/>
    <w:basedOn w:val="1"/>
    <w:autoRedefine/>
    <w:qFormat/>
    <w:uiPriority w:val="1"/>
    <w:rPr>
      <w:rFonts w:ascii="楷体" w:hAnsi="楷体" w:eastAsia="楷体" w:cs="楷体"/>
      <w:sz w:val="21"/>
      <w:szCs w:val="22"/>
      <w:lang w:val="zh-CN" w:bidi="zh-CN"/>
    </w:rPr>
  </w:style>
  <w:style w:type="paragraph" w:customStyle="1" w:styleId="80">
    <w:name w:val="Char"/>
    <w:basedOn w:val="1"/>
    <w:autoRedefine/>
    <w:qFormat/>
    <w:uiPriority w:val="0"/>
    <w:rPr>
      <w:sz w:val="21"/>
    </w:rPr>
  </w:style>
  <w:style w:type="paragraph" w:customStyle="1" w:styleId="81">
    <w:name w:val="样式 首行缩进:  2 字符1"/>
    <w:basedOn w:val="1"/>
    <w:autoRedefine/>
    <w:qFormat/>
    <w:uiPriority w:val="0"/>
    <w:pPr>
      <w:spacing w:line="400" w:lineRule="exact"/>
    </w:pPr>
    <w:rPr>
      <w:rFonts w:ascii="宋体"/>
      <w:sz w:val="21"/>
      <w:szCs w:val="20"/>
    </w:rPr>
  </w:style>
  <w:style w:type="character" w:customStyle="1" w:styleId="82">
    <w:name w:val="报告书正文 Char"/>
    <w:link w:val="83"/>
    <w:autoRedefine/>
    <w:qFormat/>
    <w:uiPriority w:val="0"/>
    <w:rPr>
      <w:sz w:val="24"/>
      <w:lang w:val="zh-CN"/>
    </w:rPr>
  </w:style>
  <w:style w:type="paragraph" w:customStyle="1" w:styleId="83">
    <w:name w:val="报告书正文"/>
    <w:basedOn w:val="1"/>
    <w:link w:val="82"/>
    <w:autoRedefine/>
    <w:qFormat/>
    <w:uiPriority w:val="0"/>
    <w:pPr>
      <w:spacing w:line="360" w:lineRule="auto"/>
    </w:pPr>
    <w:rPr>
      <w:kern w:val="0"/>
      <w:szCs w:val="20"/>
      <w:lang w:val="zh-CN"/>
    </w:rPr>
  </w:style>
  <w:style w:type="character" w:customStyle="1" w:styleId="84">
    <w:name w:val="页脚 Char2"/>
    <w:autoRedefine/>
    <w:qFormat/>
    <w:uiPriority w:val="99"/>
    <w:rPr>
      <w:sz w:val="18"/>
      <w:szCs w:val="18"/>
    </w:rPr>
  </w:style>
  <w:style w:type="character" w:customStyle="1" w:styleId="85">
    <w:name w:val="寇 字符"/>
    <w:link w:val="86"/>
    <w:autoRedefine/>
    <w:qFormat/>
    <w:uiPriority w:val="0"/>
    <w:rPr>
      <w:rFonts w:ascii="宋体" w:hAnsi="宋体"/>
      <w:color w:val="FF0000"/>
      <w:kern w:val="2"/>
      <w:sz w:val="24"/>
      <w:szCs w:val="24"/>
    </w:rPr>
  </w:style>
  <w:style w:type="paragraph" w:customStyle="1" w:styleId="86">
    <w:name w:val="寇"/>
    <w:basedOn w:val="40"/>
    <w:link w:val="85"/>
    <w:autoRedefine/>
    <w:qFormat/>
    <w:uiPriority w:val="0"/>
  </w:style>
  <w:style w:type="character" w:customStyle="1" w:styleId="87">
    <w:name w:val="标题 1 字符"/>
    <w:link w:val="2"/>
    <w:autoRedefine/>
    <w:qFormat/>
    <w:uiPriority w:val="0"/>
    <w:rPr>
      <w:rFonts w:ascii="宋体" w:hAnsi="宋体" w:cs="宋体"/>
      <w:b/>
      <w:color w:val="FF0000"/>
      <w:kern w:val="44"/>
      <w:sz w:val="28"/>
      <w:szCs w:val="28"/>
    </w:rPr>
  </w:style>
  <w:style w:type="character" w:customStyle="1" w:styleId="88">
    <w:name w:val="正文文本 (2)_"/>
    <w:basedOn w:val="30"/>
    <w:link w:val="89"/>
    <w:autoRedefine/>
    <w:qFormat/>
    <w:uiPriority w:val="0"/>
    <w:rPr>
      <w:rFonts w:ascii="仿宋" w:eastAsia="仿宋"/>
      <w:sz w:val="13"/>
      <w:szCs w:val="13"/>
      <w:shd w:val="clear" w:color="auto" w:fill="FFFFFF"/>
    </w:rPr>
  </w:style>
  <w:style w:type="paragraph" w:customStyle="1" w:styleId="89">
    <w:name w:val="正文文本 (2)1"/>
    <w:basedOn w:val="1"/>
    <w:link w:val="88"/>
    <w:autoRedefine/>
    <w:qFormat/>
    <w:uiPriority w:val="0"/>
    <w:pPr>
      <w:shd w:val="clear" w:color="auto" w:fill="FFFFFF"/>
      <w:spacing w:line="259" w:lineRule="exact"/>
      <w:ind w:firstLine="300"/>
      <w:jc w:val="distribute"/>
    </w:pPr>
    <w:rPr>
      <w:rFonts w:ascii="仿宋" w:eastAsia="仿宋"/>
      <w:kern w:val="0"/>
      <w:sz w:val="13"/>
      <w:szCs w:val="13"/>
    </w:rPr>
  </w:style>
  <w:style w:type="character" w:customStyle="1" w:styleId="90">
    <w:name w:val="批注主题 字符"/>
    <w:basedOn w:val="68"/>
    <w:link w:val="27"/>
    <w:autoRedefine/>
    <w:qFormat/>
    <w:uiPriority w:val="0"/>
    <w:rPr>
      <w:b/>
      <w:bCs/>
      <w:kern w:val="2"/>
      <w:sz w:val="24"/>
      <w:szCs w:val="24"/>
    </w:rPr>
  </w:style>
  <w:style w:type="character" w:customStyle="1" w:styleId="91">
    <w:name w:val="正文 楷体 Char"/>
    <w:link w:val="92"/>
    <w:autoRedefine/>
    <w:qFormat/>
    <w:uiPriority w:val="0"/>
    <w:rPr>
      <w:rFonts w:ascii="楷体_GB2312" w:hAnsi="楷体_GB2312" w:eastAsia="楷体_GB2312"/>
      <w:sz w:val="24"/>
      <w:szCs w:val="24"/>
    </w:rPr>
  </w:style>
  <w:style w:type="paragraph" w:customStyle="1" w:styleId="92">
    <w:name w:val="正文 楷体"/>
    <w:basedOn w:val="1"/>
    <w:link w:val="91"/>
    <w:autoRedefine/>
    <w:qFormat/>
    <w:uiPriority w:val="0"/>
    <w:pPr>
      <w:spacing w:line="500" w:lineRule="exact"/>
      <w:ind w:firstLine="200" w:firstLineChars="200"/>
    </w:pPr>
    <w:rPr>
      <w:rFonts w:ascii="楷体_GB2312" w:hAnsi="楷体_GB2312" w:eastAsia="楷体_GB2312"/>
      <w:kern w:val="0"/>
    </w:rPr>
  </w:style>
  <w:style w:type="character" w:customStyle="1" w:styleId="93">
    <w:name w:val="正文文本缩进 2 字符"/>
    <w:basedOn w:val="30"/>
    <w:link w:val="16"/>
    <w:autoRedefine/>
    <w:qFormat/>
    <w:uiPriority w:val="0"/>
    <w:rPr>
      <w:kern w:val="2"/>
      <w:sz w:val="24"/>
      <w:szCs w:val="24"/>
    </w:rPr>
  </w:style>
  <w:style w:type="paragraph" w:customStyle="1" w:styleId="94">
    <w:name w:val="文字"/>
    <w:basedOn w:val="40"/>
    <w:link w:val="95"/>
    <w:autoRedefine/>
    <w:qFormat/>
    <w:uiPriority w:val="0"/>
    <w:pPr>
      <w:spacing w:line="520" w:lineRule="exact"/>
    </w:pPr>
    <w:rPr>
      <w:lang w:val="zh-CN"/>
    </w:rPr>
  </w:style>
  <w:style w:type="character" w:customStyle="1" w:styleId="95">
    <w:name w:val="文字 字符"/>
    <w:link w:val="94"/>
    <w:autoRedefine/>
    <w:qFormat/>
    <w:uiPriority w:val="0"/>
    <w:rPr>
      <w:rFonts w:ascii="宋体" w:hAnsi="宋体"/>
      <w:kern w:val="2"/>
      <w:sz w:val="24"/>
      <w:szCs w:val="24"/>
      <w:lang w:val="zh-CN" w:eastAsia="zh-CN"/>
    </w:rPr>
  </w:style>
  <w:style w:type="table" w:customStyle="1" w:styleId="96">
    <w:name w:val="报告书表格样式1"/>
    <w:basedOn w:val="28"/>
    <w:autoRedefine/>
    <w:qFormat/>
    <w:uiPriority w:val="0"/>
    <w:pPr>
      <w:spacing w:line="300" w:lineRule="exact"/>
      <w:contextualSpacing/>
      <w:jc w:val="center"/>
    </w:pPr>
    <w:rPr>
      <w:rFonts w:ascii="宋体" w:hAnsi="宋体" w:cs="宋体"/>
      <w:szCs w:val="21"/>
    </w:rPr>
    <w:tblPr>
      <w:jc w:val="center"/>
      <w:tblBorders>
        <w:top w:val="single" w:color="auto" w:sz="12" w:space="0"/>
        <w:bottom w:val="single" w:color="auto" w:sz="12" w:space="0"/>
        <w:insideH w:val="single" w:color="auto" w:sz="4" w:space="0"/>
        <w:insideV w:val="single" w:color="auto" w:sz="4" w:space="0"/>
      </w:tblBorders>
      <w:tblCellMar>
        <w:left w:w="28" w:type="dxa"/>
        <w:right w:w="28" w:type="dxa"/>
      </w:tblCellMar>
    </w:tblPr>
    <w:trPr>
      <w:jc w:val="center"/>
    </w:trPr>
    <w:tcPr>
      <w:vAlign w:val="center"/>
    </w:tcPr>
  </w:style>
  <w:style w:type="character" w:customStyle="1" w:styleId="97">
    <w:name w:val="FL正文字体 字符"/>
    <w:link w:val="56"/>
    <w:autoRedefine/>
    <w:qFormat/>
    <w:uiPriority w:val="0"/>
    <w:rPr>
      <w:rFonts w:ascii="宋体" w:hAnsi="宋体" w:cs="宋体"/>
      <w:color w:val="000000" w:themeColor="text1"/>
      <w:sz w:val="21"/>
      <w:szCs w:val="21"/>
      <w14:textFill>
        <w14:solidFill>
          <w14:schemeClr w14:val="tx1"/>
        </w14:solidFill>
      </w14:textFill>
    </w:rPr>
  </w:style>
  <w:style w:type="character" w:customStyle="1" w:styleId="98">
    <w:name w:val="普通(网站) 字符"/>
    <w:link w:val="26"/>
    <w:autoRedefine/>
    <w:qFormat/>
    <w:locked/>
    <w:uiPriority w:val="99"/>
    <w:rPr>
      <w:rFonts w:ascii="宋体" w:hAnsi="宋体"/>
      <w:sz w:val="24"/>
      <w:szCs w:val="24"/>
    </w:rPr>
  </w:style>
  <w:style w:type="paragraph" w:customStyle="1" w:styleId="99">
    <w:name w:val="正文邵"/>
    <w:basedOn w:val="1"/>
    <w:autoRedefine/>
    <w:qFormat/>
    <w:uiPriority w:val="0"/>
    <w:pPr>
      <w:spacing w:line="360" w:lineRule="auto"/>
      <w:ind w:firstLine="200" w:firstLineChars="200"/>
    </w:pPr>
    <w:rPr>
      <w:szCs w:val="21"/>
    </w:rPr>
  </w:style>
  <w:style w:type="table" w:customStyle="1" w:styleId="100">
    <w:name w:val="样式1"/>
    <w:basedOn w:val="28"/>
    <w:autoRedefine/>
    <w:qFormat/>
    <w:uiPriority w:val="0"/>
    <w:tblPr>
      <w:tblBorders>
        <w:top w:val="single" w:color="auto" w:sz="12" w:space="0"/>
        <w:bottom w:val="single" w:color="auto" w:sz="12" w:space="0"/>
        <w:insideH w:val="single" w:color="auto" w:sz="6" w:space="0"/>
        <w:insideV w:val="single" w:color="auto" w:sz="6" w:space="0"/>
      </w:tblBorders>
    </w:tblPr>
  </w:style>
  <w:style w:type="paragraph" w:customStyle="1" w:styleId="101">
    <w:name w:val="报告书-表体（左对齐）小五"/>
    <w:basedOn w:val="102"/>
    <w:next w:val="43"/>
    <w:autoRedefine/>
    <w:qFormat/>
    <w:uiPriority w:val="0"/>
    <w:pPr>
      <w:tabs>
        <w:tab w:val="left" w:pos="2760"/>
      </w:tabs>
    </w:pPr>
    <w:rPr>
      <w:sz w:val="18"/>
      <w:szCs w:val="18"/>
    </w:rPr>
  </w:style>
  <w:style w:type="paragraph" w:customStyle="1" w:styleId="102">
    <w:name w:val="报告书-表体（左对齐）"/>
    <w:basedOn w:val="103"/>
    <w:autoRedefine/>
    <w:qFormat/>
    <w:uiPriority w:val="0"/>
    <w:pPr>
      <w:tabs>
        <w:tab w:val="left" w:pos="2760"/>
      </w:tabs>
      <w:textAlignment w:val="baseline"/>
    </w:pPr>
    <w:rPr>
      <w:szCs w:val="21"/>
    </w:rPr>
  </w:style>
  <w:style w:type="paragraph" w:customStyle="1" w:styleId="103">
    <w:name w:val="报告书-表体（居中）"/>
    <w:basedOn w:val="1"/>
    <w:autoRedefine/>
    <w:qFormat/>
    <w:uiPriority w:val="0"/>
    <w:pPr>
      <w:tabs>
        <w:tab w:val="left" w:pos="2760"/>
      </w:tabs>
      <w:adjustRightInd w:val="0"/>
      <w:snapToGrid w:val="0"/>
      <w:spacing w:line="260" w:lineRule="exact"/>
      <w:jc w:val="center"/>
      <w:textAlignment w:val="center"/>
    </w:pPr>
    <w:rPr>
      <w:snapToGrid w:val="0"/>
      <w:kern w:val="0"/>
      <w:szCs w:val="28"/>
    </w:rPr>
  </w:style>
  <w:style w:type="character" w:customStyle="1" w:styleId="104">
    <w:name w:val="YJ题注 Char"/>
    <w:basedOn w:val="30"/>
    <w:autoRedefine/>
    <w:qFormat/>
    <w:uiPriority w:val="0"/>
    <w:rPr>
      <w:rFonts w:hint="eastAsia" w:ascii="宋体" w:hAnsi="宋体" w:eastAsia="黑体" w:cs="宋体"/>
      <w:kern w:val="2"/>
      <w:sz w:val="24"/>
      <w:szCs w:val="24"/>
    </w:rPr>
  </w:style>
  <w:style w:type="character" w:customStyle="1" w:styleId="105">
    <w:name w:val="YJ表中字体 Char"/>
    <w:link w:val="106"/>
    <w:qFormat/>
    <w:uiPriority w:val="0"/>
    <w:rPr>
      <w:rFonts w:ascii="宋体" w:hAnsi="宋体"/>
      <w:kern w:val="2"/>
      <w:sz w:val="21"/>
      <w:szCs w:val="22"/>
    </w:rPr>
  </w:style>
  <w:style w:type="paragraph" w:customStyle="1" w:styleId="106">
    <w:name w:val="YJ表中字体"/>
    <w:basedOn w:val="5"/>
    <w:link w:val="105"/>
    <w:qFormat/>
    <w:uiPriority w:val="0"/>
    <w:pPr>
      <w:tabs>
        <w:tab w:val="left" w:pos="8176"/>
      </w:tabs>
      <w:adjustRightInd w:val="0"/>
      <w:snapToGrid w:val="0"/>
      <w:spacing w:line="300" w:lineRule="exact"/>
      <w:ind w:firstLine="0" w:firstLineChars="0"/>
      <w:jc w:val="center"/>
    </w:pPr>
    <w:rPr>
      <w:rFonts w:ascii="宋体" w:hAnsi="宋体"/>
      <w:sz w:val="21"/>
      <w:szCs w:val="22"/>
    </w:rPr>
  </w:style>
  <w:style w:type="paragraph" w:customStyle="1" w:styleId="107">
    <w:name w:val="XA表字"/>
    <w:basedOn w:val="1"/>
    <w:qFormat/>
    <w:uiPriority w:val="0"/>
    <w:pPr>
      <w:spacing w:line="300" w:lineRule="exact"/>
      <w:jc w:val="center"/>
    </w:pPr>
    <w:rPr>
      <w:rFonts w:eastAsia="楷体"/>
      <w:snapToGrid w:val="0"/>
      <w:kern w:val="0"/>
      <w:sz w:val="21"/>
    </w:rPr>
  </w:style>
  <w:style w:type="character" w:customStyle="1" w:styleId="108">
    <w:name w:val="表中文字 Char"/>
    <w:link w:val="109"/>
    <w:qFormat/>
    <w:locked/>
    <w:uiPriority w:val="0"/>
    <w:rPr>
      <w:szCs w:val="24"/>
    </w:rPr>
  </w:style>
  <w:style w:type="paragraph" w:customStyle="1" w:styleId="109">
    <w:name w:val="表中文字"/>
    <w:basedOn w:val="1"/>
    <w:link w:val="108"/>
    <w:qFormat/>
    <w:uiPriority w:val="0"/>
    <w:pPr>
      <w:jc w:val="center"/>
    </w:pPr>
    <w:rPr>
      <w:kern w:val="0"/>
      <w:sz w:val="20"/>
    </w:rPr>
  </w:style>
  <w:style w:type="character" w:customStyle="1" w:styleId="110">
    <w:name w:val="FL 字符"/>
    <w:link w:val="111"/>
    <w:qFormat/>
    <w:uiPriority w:val="0"/>
    <w:rPr>
      <w:rFonts w:ascii="宋体" w:hAnsi="宋体"/>
      <w:color w:val="FF0000"/>
      <w:kern w:val="2"/>
      <w:sz w:val="24"/>
      <w:szCs w:val="24"/>
    </w:rPr>
  </w:style>
  <w:style w:type="paragraph" w:customStyle="1" w:styleId="111">
    <w:name w:val="FL"/>
    <w:basedOn w:val="40"/>
    <w:link w:val="110"/>
    <w:qFormat/>
    <w:uiPriority w:val="0"/>
    <w:pPr>
      <w:spacing w:line="500" w:lineRule="exact"/>
      <w:ind w:firstLine="480" w:firstLineChars="200"/>
    </w:pPr>
    <w:rPr>
      <w:rFonts w:cs="Times New Roman"/>
      <w:sz w:val="24"/>
      <w:szCs w:val="24"/>
    </w:rPr>
  </w:style>
  <w:style w:type="table" w:customStyle="1" w:styleId="112">
    <w:name w:val="报告书表格样式12"/>
    <w:basedOn w:val="28"/>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character" w:customStyle="1" w:styleId="113">
    <w:name w:val="表内文字 字符"/>
    <w:link w:val="46"/>
    <w:qFormat/>
    <w:locked/>
    <w:uiPriority w:val="0"/>
    <w:rPr>
      <w:rFonts w:ascii="宋体" w:hAnsi="宋体"/>
      <w:sz w:val="24"/>
      <w:szCs w:val="22"/>
    </w:rPr>
  </w:style>
  <w:style w:type="character" w:customStyle="1" w:styleId="114">
    <w:name w:val="YJ-正文 Char"/>
    <w:link w:val="38"/>
    <w:qFormat/>
    <w:uiPriority w:val="0"/>
    <w:rPr>
      <w:sz w:val="24"/>
      <w:szCs w:val="22"/>
    </w:rPr>
  </w:style>
  <w:style w:type="paragraph" w:customStyle="1" w:styleId="115">
    <w:name w:val="Table Text"/>
    <w:basedOn w:val="1"/>
    <w:semiHidden/>
    <w:qFormat/>
    <w:uiPriority w:val="0"/>
    <w:rPr>
      <w:rFonts w:ascii="宋体" w:hAnsi="宋体" w:cs="宋体"/>
      <w:sz w:val="21"/>
      <w:szCs w:val="21"/>
      <w:lang w:eastAsia="en-US"/>
    </w:rPr>
  </w:style>
  <w:style w:type="paragraph" w:customStyle="1" w:styleId="116">
    <w:name w:val="00.正文格式"/>
    <w:basedOn w:val="5"/>
    <w:qFormat/>
    <w:uiPriority w:val="0"/>
    <w:pPr>
      <w:widowControl/>
      <w:spacing w:line="360" w:lineRule="auto"/>
      <w:ind w:firstLine="200"/>
      <w:jc w:val="left"/>
    </w:pPr>
    <w:rPr>
      <w:rFonts w:hAnsi="宋体"/>
      <w:color w:val="000000"/>
      <w:kern w:val="0"/>
    </w:rPr>
  </w:style>
  <w:style w:type="character" w:customStyle="1" w:styleId="117">
    <w:name w:val="HTML 预设格式 字符"/>
    <w:basedOn w:val="30"/>
    <w:link w:val="25"/>
    <w:qFormat/>
    <w:uiPriority w:val="0"/>
    <w:rPr>
      <w:rFonts w:ascii="Courier New" w:hAnsi="Courier New" w:cs="Courier New"/>
      <w:kern w:val="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4e9c278c-5cda-42b6-9c57-e9a0596e3e18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354B1DF0</paraID>
      <start>2</start>
      <end>4</end>
      <status>modified</status>
      <modifiedWord>1.</modifiedWord>
      <trackRevisions>false</trackRevisions>
    </reviewItem>
    <reviewItem>
      <errorID>383f7d9d-bc7a-4e90-aabb-d73dc5764fd9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53D3B85A</paraID>
      <start>0</start>
      <end>2</end>
      <status>modified</status>
      <modifiedWord>1.</modifiedWord>
      <trackRevisions>false</trackRevisions>
    </reviewItem>
    <reviewItem>
      <errorID>d9dfcfb4-ba34-4a23-890f-52d92674231d</errorID>
      <errorWord>减缓</errorWord>
      <group>L1_Grammar</group>
      <groupName>语法问题</groupName>
      <ability>L2_Grammar</ability>
      <abilityName>语法错误</abilityName>
      <candidateList>
        <item>减少</item>
      </candidateList>
      <explain>“最大限度～减缓”搭配不当，建议修改为“最大限度～减少”。</explain>
      <paraID>261E811B</paraID>
      <start>88</start>
      <end>90</end>
      <status>modified</status>
      <modifiedWord>减少</modifiedWord>
      <trackRevisions>false</trackRevisions>
    </reviewItem>
    <reviewItem>
      <errorID>2cf009c4-5bb1-40fb-aa04-06b83035fb85</errorID>
      <errorWord>提高</errorWord>
      <group>L1_Grammar</group>
      <groupName>语法问题</groupName>
      <ability>L2_Grammar</ability>
      <abilityName>语法错误</abilityName>
      <candidateList>
        <item>增强</item>
      </candidateList>
      <explain>“提高～意识”搭配不当，建议修改为“增强～意识”。</explain>
      <paraID>1CB7A26E</paraID>
      <start>119</start>
      <end>121</end>
      <status>modified</status>
      <modifiedWord>增强</modifiedWord>
      <trackRevisions>false</trackRevisions>
    </reviewItem>
    <reviewItem>
      <errorID>1511564d-5ef0-4687-8085-231ea7ea81ae</errorID>
      <errorWord>是注意</errorWord>
      <group>L1_Word</group>
      <groupName>字词问题</groupName>
      <ability>L2_Typo</ability>
      <abilityName>字词错误</abilityName>
      <candidateList>
        <item>要注意</item>
      </candidateList>
      <explain/>
      <paraID>1CB7A26E</paraID>
      <start>132</start>
      <end>135</end>
      <status>modified</status>
      <modifiedWord>要注意</modifiedWord>
      <trackRevisions>false</trackRevisions>
    </reviewItem>
    <reviewItem>
      <errorID>4482f4d0-fdc8-4649-82a3-1803d422dfe5</errorID>
      <errorWord>》中</errorWord>
      <group>L1_Word</group>
      <groupName>字词问题</groupName>
      <ability>L2_Typo</ability>
      <abilityName>字词错误</abilityName>
      <candidateList>
        <item>》</item>
      </candidateList>
      <explain/>
      <paraID>6DE7D0DB</paraID>
      <start>17</start>
      <end>18</end>
      <status>modified</status>
      <modifiedWord>》</modifiedWord>
      <trackRevisions>false</trackRevisions>
    </reviewItem>
    <reviewItem>
      <errorID>2b70b69d-8ba9-4e74-9e9c-4c05a79def49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DB5545A</paraID>
      <start>0</start>
      <end>2</end>
      <status>modified</status>
      <modifiedWord>2.</modifiedWord>
      <trackRevisions>false</trackRevisions>
    </reviewItem>
    <reviewItem>
      <errorID>0c6e1de9-f932-41ed-ac8b-58c8f8b23a50</errorID>
      <errorWord>期</errorWord>
      <group>L1_Word</group>
      <groupName>字词问题</groupName>
      <ability>L2_Typo</ability>
      <abilityName>字词错误</abilityName>
      <candidateList>
        <item>期间</item>
      </candidateList>
      <explain>〈名〉某个时期里面：农忙～｜春节～｜抗战～。</explain>
      <paraID>51A565C6</paraID>
      <start>105</start>
      <end>107</end>
      <status>modified</status>
      <modifiedWord>期间</modifiedWord>
      <trackRevisions>false</trackRevisions>
    </reviewItem>
    <reviewItem>
      <errorID>9099376d-f728-4990-b9cb-bb78b0dcda0b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18DAAFD4</paraID>
      <start>0</start>
      <end>2</end>
      <status>modified</status>
      <modifiedWord>3.</modifiedWord>
      <trackRevisions>false</trackRevisions>
    </reviewItem>
    <reviewItem>
      <errorID>60bd468b-fd4a-48b9-bfcd-a4fc86e0972c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2AAD31</paraID>
      <start>0</start>
      <end>2</end>
      <status>modified</status>
      <modifiedWord>4.</modifiedWord>
      <trackRevisions>false</trackRevisions>
    </reviewItem>
    <reviewItem>
      <errorID>2f000cc6-7f72-455e-bd83-2816cadfb3aa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42D871</paraID>
      <start>143</start>
      <end>144</end>
      <status>modified</status>
      <modifiedWord>—</modifiedWord>
      <trackRevisions>false</trackRevisions>
    </reviewItem>
    <reviewItem>
      <errorID>bc173f4f-ec7c-4f69-908c-89ad0fc69dc6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42D871</paraID>
      <start>214</start>
      <end>215</end>
      <status>modified</status>
      <modifiedWord>—</modifiedWord>
      <trackRevisions>false</trackRevisions>
    </reviewItem>
    <reviewItem>
      <errorID>0ace4428-4e43-4cab-97a4-9e7cbf22e22f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3CC17E3D</paraID>
      <start>99</start>
      <end>100</end>
      <status>modified</status>
      <modifiedWord>—</modifiedWord>
      <trackRevisions>false</trackRevisions>
    </reviewItem>
    <reviewItem>
      <errorID>e86c1dab-b234-4c36-a0d9-a844c1fc0946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49C04DB9</paraID>
      <start>0</start>
      <end>2</end>
      <status>modified</status>
      <modifiedWord>5.</modifiedWord>
      <trackRevisions>false</trackRevisions>
    </reviewItem>
    <reviewItem>
      <errorID>b5c0fc2a-c472-4036-95f8-40578dc01260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51374842</paraID>
      <start>0</start>
      <end>2</end>
      <status>modified</status>
      <modifiedWord>6.</modifiedWord>
      <trackRevisions>false</trackRevisions>
    </reviewItem>
    <reviewItem>
      <errorID>b8b0d1ce-363c-42f8-9a6d-916e1cdfa5e3</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411DE46D</paraID>
      <start>94</start>
      <end>114</end>
      <status>modified</status>
      <modifiedWord>《固体废物分类与代码目录（2024年）》</modifiedWord>
      <trackRevisions>false</trackRevisions>
    </reviewItem>
    <reviewItem>
      <errorID>e6eca91b-2b92-4ff6-9d66-65f705704ce0</errorID>
      <errorWord>(</errorWord>
      <group>L1_Format</group>
      <groupName>格式问题</groupName>
      <ability>L2_HalfPunc_CN</ability>
      <abilityName>全半角问题</abilityName>
      <candidateList>
        <item>（</item>
      </candidateList>
      <explain>文本全半角错误。</explain>
      <paraID>411DE46D</paraID>
      <start>236</start>
      <end>237</end>
      <status>modified</status>
      <modifiedWord>（</modifiedWord>
      <trackRevisions>false</trackRevisions>
    </reviewItem>
    <reviewItem>
      <errorID>4c4a2204-ac83-4027-b9cc-5d1ebf7ea470</errorID>
      <errorWord>)</errorWord>
      <group>L1_Format</group>
      <groupName>格式问题</groupName>
      <ability>L2_HalfPunc_CN</ability>
      <abilityName>全半角问题</abilityName>
      <candidateList>
        <item>）</item>
      </candidateList>
      <explain>文本全半角错误。</explain>
      <paraID>411DE46D</paraID>
      <start>251</start>
      <end>252</end>
      <status>modified</status>
      <modifiedWord>）</modifiedWord>
      <trackRevisions>false</trackRevisions>
    </reviewItem>
    <reviewItem>
      <errorID>00289400-e147-4953-a227-6e263324ddfb</errorID>
      <errorWord>(</errorWord>
      <group>L1_Format</group>
      <groupName>格式问题</groupName>
      <ability>L2_HalfPunc_CN</ability>
      <abilityName>全半角问题</abilityName>
      <candidateList>
        <item>（</item>
      </candidateList>
      <explain>文本全半角错误。</explain>
      <paraID>411DE46D</paraID>
      <start>294</start>
      <end>295</end>
      <status>modified</status>
      <modifiedWord>（</modifiedWord>
      <trackRevisions>false</trackRevisions>
    </reviewItem>
    <reviewItem>
      <errorID>1aad1e6d-94e0-4ba9-9662-02046d157b53</errorID>
      <errorWord>)</errorWord>
      <group>L1_Format</group>
      <groupName>格式问题</groupName>
      <ability>L2_HalfPunc_CN</ability>
      <abilityName>全半角问题</abilityName>
      <candidateList>
        <item>）</item>
      </candidateList>
      <explain>文本全半角错误。</explain>
      <paraID>411DE46D</paraID>
      <start>309</start>
      <end>310</end>
      <status>modified</status>
      <modifiedWord>）</modifiedWord>
      <trackRevisions>false</trackRevisions>
    </reviewItem>
    <reviewItem>
      <errorID>2cce942c-8d1a-40f1-b47a-bde37009efb5</errorID>
      <errorWord>(</errorWord>
      <group>L1_Format</group>
      <groupName>格式问题</groupName>
      <ability>L2_HalfPunc_CN</ability>
      <abilityName>全半角问题</abilityName>
      <candidateList>
        <item>（</item>
      </candidateList>
      <explain>文本全半角错误。</explain>
      <paraID>411DE46D</paraID>
      <start>367</start>
      <end>368</end>
      <status>modified</status>
      <modifiedWord>（</modifiedWord>
      <trackRevisions>false</trackRevisions>
    </reviewItem>
    <reviewItem>
      <errorID>06fefe56-a4c3-4f5b-bb84-7eedd79ea51d</errorID>
      <errorWord>)</errorWord>
      <group>L1_Format</group>
      <groupName>格式问题</groupName>
      <ability>L2_HalfPunc_CN</ability>
      <abilityName>全半角问题</abilityName>
      <candidateList>
        <item>）</item>
      </candidateList>
      <explain>文本全半角错误。</explain>
      <paraID>411DE46D</paraID>
      <start>382</start>
      <end>383</end>
      <status>modified</status>
      <modifiedWord>）</modifiedWord>
      <trackRevisions>false</trackRevisions>
    </reviewItem>
    <reviewItem>
      <errorID>eb8e4c38-5c16-4e99-94ab-cf68ea35042f</errorID>
      <errorWord>行</errorWord>
      <group>L1_Word</group>
      <groupName>字词问题</groupName>
      <ability>L2_Typo</ability>
      <abilityName>字词错误</abilityName>
      <candidateList>
        <item>行性</item>
      </candidateList>
      <explain/>
      <paraID>3B7CF745</paraID>
      <start>93</start>
      <end>95</end>
      <status>modified</status>
      <modifiedWord>行性</modifiedWord>
      <trackRevisions>false</trackRevisions>
    </reviewItem>
  </reviewItems>
  <config/>
</contractReview>
</file>

<file path=customXml/itemProps1.xml><?xml version="1.0" encoding="utf-8"?>
<ds:datastoreItem xmlns:ds="http://schemas.openxmlformats.org/officeDocument/2006/customXml" ds:itemID="{D1812C5B-0C3E-4E59-9DD7-A10267793A29}">
  <ds:schemaRefs/>
</ds:datastoreItem>
</file>

<file path=customXml/itemProps2.xml><?xml version="1.0" encoding="utf-8"?>
<ds:datastoreItem xmlns:ds="http://schemas.openxmlformats.org/officeDocument/2006/customXml" ds:itemID="{e36e45b1-85ce-4bd9-9129-12e87d786ee6}">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7553</Words>
  <Characters>8021</Characters>
  <Lines>441</Lines>
  <Paragraphs>124</Paragraphs>
  <TotalTime>1779</TotalTime>
  <ScaleCrop>false</ScaleCrop>
  <LinksUpToDate>false</LinksUpToDate>
  <CharactersWithSpaces>8082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2024-02-29T09:57:00Z</dcterms:created>
  <dc:creator>WPS_pL</dc:creator>
  <cp:lastModifiedBy>无敌可乐鸡翅包饭</cp:lastModifiedBy>
  <cp:lastPrinted>2025-12-19T10:04:00Z</cp:lastPrinted>
  <dcterms:modified xsi:type="dcterms:W3CDTF">2026-07-10T05:40:20Z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B1C4192D855D45E9B46113FD81CEE231_13</vt:lpwstr>
  </property>
  <property fmtid="{D5CDD505-2E9C-101B-9397-08002B2CF9AE}" pid="4" name="KSOTemplateDocerSaveRecord">
    <vt:lpwstr>eyJoZGlkIjoiZDAxZmVlMTBjZmI5NGY1MzQzYjhlZDg3Y2YzODNmMTYiLCJ1c2VySWQiOiI3OTQ2NDA5ODkifQ==</vt:lpwstr>
  </property>
</Properties>
</file>